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180975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177165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36"/>
          <w:szCs w:val="36"/>
          <w:b w:val="1"/>
          <w:bCs w:val="1"/>
          <w:color w:val="auto"/>
        </w:rPr>
        <w:t>Mistras Group, Inc.</w:t>
      </w:r>
    </w:p>
    <w:p>
      <w:pPr>
        <w:spacing w:after="0" w:line="5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195 Clarksville Road, Princeton Junction, New Jersey 08550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-119380</wp:posOffset>
            </wp:positionV>
            <wp:extent cx="108013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214630"/>
                    </a:xfrm>
                    <a:prstGeom prst="rect">
                      <a:avLst/>
                    </a:prstGeom>
                    <a:noFill/>
                  </pic:spPr>
                </pic:pic>
              </a:graphicData>
            </a:graphic>
          </wp:anchor>
        </w:drawing>
      </w:r>
    </w:p>
    <w:p>
      <w:pPr>
        <w:spacing w:after="0" w:line="1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 </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 PROPOSED—YOUR VOTE IS VERY IMPORTANT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27, 2026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Dear MISTRAS Group Stockholder:</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behalf of the Board of Directors (the “Board”) of Mistras Group, Inc. (NYSE: MG) (the “Company,” “we,” “us,” or “our”), we are pleased to invite you to attend a special meeting of stockholders (the “Special Meeting”) of the Company. The Special Meeting will be held virtually on November 24, 2026, at 9:00 a.m. Eastern Time. You will be able to attend and participate in the Special Meeting by visiting www.virtualshareholdermeeting.com/MG2026SM.</w:t>
      </w:r>
    </w:p>
    <w:p>
      <w:pPr>
        <w:spacing w:after="0" w:line="75"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On September 17, 2026, the Company entered into an Agreement and Plan of Merger (the “Merger Agreement”) with Athena Purchaser, LLC, a Delaware limited liability company (“Parent”), and Athena Merger Sub, Inc., a Delaware corporation and a wholly owned subsidiary of Parent (“Acquisition Sub”). Parent and Acquisition Sub are controlled by funds affiliated with H.I.G. Capital, LLC. Subject to the terms and conditions of the Merger Agreement, Acquisition Sub will merge with and into the Company, with the Company surviving the merger as a wholly owned subsidiary of Parent (such transaction being referred to herein as the “Merger”). If the Merger is completed, you will be entitled to receive $20.35 per share of common stock of the Company, par value $0.01 per share (referred to herein as “Common Stock”), in cash, without interest and subject to any applicable withholding taxes (the “Merger Consideration”), that you own (unless you are entitled to and have properly demanded statutory appraisal for your shares in accordance with, and have complied in all respects with, Section 262 of the General Corporation Law of the State of Delaware, as amended, and such demand is not effectively withdrawn or lost).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upon the following proposals:</w:t>
      </w:r>
    </w:p>
    <w:p>
      <w:pPr>
        <w:spacing w:after="0" w:line="117"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 (the “Merger Proposal”);</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Special Meeting, if necessary or appropriate, to solicit additional proxies if there are insufficient votes at the time of the Special Meeting to approve the Merger Proposal (the “Adjournment Proposal”); and</w:t>
      </w:r>
    </w:p>
    <w:p>
      <w:pPr>
        <w:spacing w:after="0" w:line="67"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non-binding advisory vote, the compensation that may be paid or become payable to the Company’s named executive officers in connection with the Merger (the “Compensation Proposal”).</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Board has unanimously determined that the Merger Agreement and the transactions contemplated thereby, including the Merger, are advisable, fair to and in the best interests of the Company and its stockholders, and has unanimously approved and declared advisable the Merger Agreement and the transactions contemplated thereby, including the Merger, directed the submission of the Merger Agreement to the Company’s stockholders for adoption, and made its recommendation as described herein. </w:t>
      </w:r>
      <w:r>
        <w:rPr>
          <w:rFonts w:ascii="Times New Roman" w:cs="Times New Roman" w:eastAsia="Times New Roman" w:hAnsi="Times New Roman"/>
          <w:sz w:val="18"/>
          <w:szCs w:val="18"/>
          <w:b w:val="1"/>
          <w:bCs w:val="1"/>
          <w:color w:val="auto"/>
        </w:rPr>
        <w:t>Accordingly, the Board unanimously recommends that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“FOR” the Merger Proposal, “FOR” the Adjournment Proposal and “FOR” the Compensation Proposal.</w:t>
      </w:r>
    </w:p>
    <w:p>
      <w:pPr>
        <w:spacing w:after="0" w:line="77" w:lineRule="exact"/>
        <w:rPr>
          <w:sz w:val="20"/>
          <w:szCs w:val="20"/>
          <w:color w:val="auto"/>
        </w:rPr>
      </w:pPr>
    </w:p>
    <w:p>
      <w:pPr>
        <w:ind w:left="300" w:right="4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Common Stock you own. </w:t>
      </w:r>
      <w:r>
        <w:rPr>
          <w:rFonts w:ascii="Times New Roman" w:cs="Times New Roman" w:eastAsia="Times New Roman" w:hAnsi="Times New Roman"/>
          <w:sz w:val="18"/>
          <w:szCs w:val="18"/>
          <w:color w:val="auto"/>
        </w:rPr>
        <w:t>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requires the affirmative vote of the holders of a majority of the outstanding shares of Common Stock entitled to vote on the Merger Proposal. Accordingly, a failure to vote, a broker non-vote or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If you sign and return your proxy card without indicating how you want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w:t>
      </w:r>
    </w:p>
    <w:p>
      <w:pPr>
        <w:spacing w:after="0" w:line="78" w:lineRule="exact"/>
        <w:rPr>
          <w:sz w:val="20"/>
          <w:szCs w:val="20"/>
          <w:color w:val="auto"/>
        </w:rPr>
      </w:pPr>
    </w:p>
    <w:p>
      <w:pPr>
        <w:ind w:left="300" w:right="639" w:firstLine="360"/>
        <w:spacing w:after="0" w:line="258" w:lineRule="auto"/>
        <w:rPr>
          <w:sz w:val="20"/>
          <w:szCs w:val="20"/>
          <w:color w:val="auto"/>
        </w:rPr>
      </w:pPr>
      <w:r>
        <w:rPr>
          <w:rFonts w:ascii="Times New Roman" w:cs="Times New Roman" w:eastAsia="Times New Roman" w:hAnsi="Times New Roman"/>
          <w:sz w:val="18"/>
          <w:szCs w:val="18"/>
          <w:color w:val="auto"/>
        </w:rPr>
        <w:t>The Special Meeting will be held entirely online via live webcast. You will be able to attend the Special Meeting, submit your questions during the meeting and vote your shares electronically during the meeting by visiting www.virtualshareholdermeeting.com/MG2026SM and using the control number included on your proxy card or voting instruction form. We encourage you to log in to the virtual meeting platform at least 15 minutes before the start of the Special Meeting to ensure that you are connected.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proxy statement accompanying this letter provides detailed information about the Special Meeting, the Merger Agreement and the proposed Merger. We encourage you to read the entire proxy statement, including all of its appendices, carefully and in its entirety. You may also obtain additional information about the Company from documents that we have filed with the U.S. Securities and Exchange Commission (the “SEC”).</w:t>
      </w:r>
    </w:p>
    <w:p>
      <w:pPr>
        <w:spacing w:after="0" w:line="72"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assistance voting your shares of Common Stock, please contact D.F. King &amp; Co., Inc., our proxy solicitor, by calling toll-free at 888-605-1957.</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thank you for your continued support.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702945"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 cy="54864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180340</wp:posOffset>
            </wp:positionV>
            <wp:extent cx="728345"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10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 xml:space="preserve">  </w:t>
      </w:r>
    </w:p>
    <w:p>
      <w:pPr>
        <w:sectPr>
          <w:pgSz w:w="11900" w:h="16838" w:orient="portrait"/>
          <w:cols w:equalWidth="0" w:num="1">
            <w:col w:w="9019"/>
          </w:cols>
          <w:pgMar w:left="1440" w:top="263" w:right="1440" w:bottom="1440" w:gutter="0" w:footer="0" w:header="0"/>
        </w:sectPr>
      </w:pP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Executive Chairman of the Board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Natalia Shuman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64" w:lineRule="exact"/>
        <w:rPr>
          <w:sz w:val="20"/>
          <w:szCs w:val="20"/>
          <w:color w:val="auto"/>
        </w:rPr>
      </w:pPr>
    </w:p>
    <w:p>
      <w:pPr>
        <w:sectPr>
          <w:pgSz w:w="11900" w:h="16838" w:orient="portrait"/>
          <w:cols w:equalWidth="0" w:num="2">
            <w:col w:w="3900" w:space="720"/>
            <w:col w:w="4399"/>
          </w:cols>
          <w:pgMar w:left="1440" w:top="263" w:right="14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This proxy statement is dated October 27, 2026, and is first being mailed to stockholders of Mistras Group, Inc.</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or about October 27, 2026.</w:t>
      </w:r>
    </w:p>
    <w:p>
      <w:pPr>
        <w:spacing w:after="0" w:line="95"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regulatory agency has approved or disapproved of the transactions described in this document or the accompanying proxy statement, including the Merger, passed upon the merits or fairness of such transactions or passed upon the adequacy or accuracy of the disclosure in the accompanying proxy statement.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195 Clarksville Road, Princeton Junction, New Jersey 08550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-119380</wp:posOffset>
            </wp:positionV>
            <wp:extent cx="108013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0135" cy="214630"/>
                    </a:xfrm>
                    <a:prstGeom prst="rect">
                      <a:avLst/>
                    </a:prstGeom>
                    <a:noFill/>
                  </pic:spPr>
                </pic:pic>
              </a:graphicData>
            </a:graphic>
          </wp:anchor>
        </w:drawing>
      </w:r>
    </w:p>
    <w:p>
      <w:pPr>
        <w:spacing w:after="0" w:line="1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51" w:lineRule="exact"/>
        <w:rPr>
          <w:sz w:val="20"/>
          <w:szCs w:val="20"/>
          <w:color w:val="auto"/>
        </w:rPr>
      </w:pPr>
    </w:p>
    <w:p>
      <w:pPr>
        <w:ind w:left="300" w:right="4139"/>
        <w:spacing w:after="0" w:line="393" w:lineRule="auto"/>
        <w:rPr>
          <w:sz w:val="20"/>
          <w:szCs w:val="20"/>
          <w:color w:val="auto"/>
        </w:rPr>
      </w:pPr>
      <w:r>
        <w:rPr>
          <w:rFonts w:ascii="Times New Roman" w:cs="Times New Roman" w:eastAsia="Times New Roman" w:hAnsi="Times New Roman"/>
          <w:sz w:val="18"/>
          <w:szCs w:val="18"/>
          <w:b w:val="1"/>
          <w:bCs w:val="1"/>
          <w:color w:val="auto"/>
        </w:rPr>
        <w:t>NOTICE OF SPECIAL MEETING OF STOCKHOLDERS October 27, 2026</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Mistras Group,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Delaware corporation (the “Company,” “we,” “us,” or “our”), will be held virtually on November 24, 2026, at 9:00</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 Eastern Time. The Special Meeting will be held exclusively via live webcast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www.virtualshareholdermeeting.com/MG2026SM (the “Virtual Special Meeting Website”). There will be 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physical location for the Special Meeting, and you will only be able to attend the Special Meeting via the Virtual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Special Meeting Website. The details of the Special Meeting are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MEETING DETAILS</w:t>
            </w:r>
          </w:p>
        </w:tc>
        <w:tc>
          <w:tcPr>
            <w:tcW w:w="45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9"/>
        </w:trPr>
        <w:tc>
          <w:tcPr>
            <w:tcW w:w="400" w:type="dxa"/>
            <w:vAlign w:val="bottom"/>
          </w:tcPr>
          <w:p>
            <w:pPr>
              <w:spacing w:after="0"/>
              <w:rPr>
                <w:sz w:val="24"/>
                <w:szCs w:val="24"/>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Time and Date</w:t>
            </w:r>
          </w:p>
        </w:tc>
        <w:tc>
          <w:tcPr>
            <w:tcW w:w="452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800" w:type="dxa"/>
            <w:vAlign w:val="bottom"/>
          </w:tcPr>
          <w:p>
            <w:pPr>
              <w:ind w:left="880"/>
              <w:spacing w:after="0"/>
              <w:rPr>
                <w:sz w:val="20"/>
                <w:szCs w:val="20"/>
                <w:color w:val="auto"/>
              </w:rPr>
            </w:pPr>
            <w:r>
              <w:rPr>
                <w:rFonts w:ascii="Times New Roman" w:cs="Times New Roman" w:eastAsia="Times New Roman" w:hAnsi="Times New Roman"/>
                <w:sz w:val="17"/>
                <w:szCs w:val="17"/>
                <w:b w:val="1"/>
                <w:bCs w:val="1"/>
                <w:color w:val="auto"/>
                <w:w w:val="98"/>
              </w:rPr>
              <w:t>Record Date</w:t>
            </w:r>
          </w:p>
        </w:tc>
      </w:tr>
      <w:tr>
        <w:trPr>
          <w:trHeight w:val="203"/>
        </w:trPr>
        <w:tc>
          <w:tcPr>
            <w:tcW w:w="400" w:type="dxa"/>
            <w:vAlign w:val="bottom"/>
          </w:tcPr>
          <w:p>
            <w:pPr>
              <w:spacing w:after="0"/>
              <w:rPr>
                <w:sz w:val="17"/>
                <w:szCs w:val="17"/>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November 24,</w:t>
            </w:r>
          </w:p>
        </w:tc>
        <w:tc>
          <w:tcPr>
            <w:tcW w:w="45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Webcast at</w:t>
            </w:r>
          </w:p>
        </w:tc>
        <w:tc>
          <w:tcPr>
            <w:tcW w:w="18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October 19,</w:t>
            </w:r>
          </w:p>
        </w:tc>
      </w:tr>
      <w:tr>
        <w:trPr>
          <w:trHeight w:val="189"/>
        </w:trPr>
        <w:tc>
          <w:tcPr>
            <w:tcW w:w="400" w:type="dxa"/>
            <w:vAlign w:val="bottom"/>
          </w:tcPr>
          <w:p>
            <w:pPr>
              <w:spacing w:after="0"/>
              <w:rPr>
                <w:sz w:val="16"/>
                <w:szCs w:val="16"/>
                <w:color w:val="auto"/>
              </w:rPr>
            </w:pPr>
          </w:p>
        </w:tc>
        <w:tc>
          <w:tcPr>
            <w:tcW w:w="164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2026</w:t>
            </w:r>
          </w:p>
        </w:tc>
        <w:tc>
          <w:tcPr>
            <w:tcW w:w="4520" w:type="dxa"/>
            <w:vAlign w:val="bottom"/>
          </w:tcPr>
          <w:p>
            <w:pPr>
              <w:ind w:left="980"/>
              <w:spacing w:after="0" w:line="189" w:lineRule="exact"/>
              <w:rPr>
                <w:sz w:val="20"/>
                <w:szCs w:val="20"/>
                <w:color w:val="auto"/>
              </w:rPr>
            </w:pPr>
            <w:r>
              <w:rPr>
                <w:rFonts w:ascii="Times New Roman" w:cs="Times New Roman" w:eastAsia="Times New Roman" w:hAnsi="Times New Roman"/>
                <w:sz w:val="17"/>
                <w:szCs w:val="17"/>
                <w:color w:val="auto"/>
              </w:rPr>
              <w:t>www.virtualshareholdermeeting.com/MG2026SM</w:t>
            </w:r>
          </w:p>
        </w:tc>
        <w:tc>
          <w:tcPr>
            <w:tcW w:w="1800" w:type="dxa"/>
            <w:vAlign w:val="bottom"/>
          </w:tcPr>
          <w:p>
            <w:pPr>
              <w:ind w:left="880"/>
              <w:spacing w:after="0" w:line="189" w:lineRule="exact"/>
              <w:rPr>
                <w:sz w:val="20"/>
                <w:szCs w:val="20"/>
                <w:color w:val="auto"/>
              </w:rPr>
            </w:pPr>
            <w:r>
              <w:rPr>
                <w:rFonts w:ascii="Times New Roman" w:cs="Times New Roman" w:eastAsia="Times New Roman" w:hAnsi="Times New Roman"/>
                <w:sz w:val="17"/>
                <w:szCs w:val="17"/>
                <w:color w:val="auto"/>
              </w:rPr>
              <w:t>2026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at 9:00 a.m.</w:t>
            </w:r>
          </w:p>
        </w:tc>
        <w:tc>
          <w:tcPr>
            <w:tcW w:w="4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8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w:t>
            </w:r>
          </w:p>
        </w:tc>
      </w:tr>
      <w:tr>
        <w:trPr>
          <w:trHeight w:val="222"/>
        </w:trPr>
        <w:tc>
          <w:tcPr>
            <w:tcW w:w="400" w:type="dxa"/>
            <w:vAlign w:val="bottom"/>
          </w:tcPr>
          <w:p>
            <w:pPr>
              <w:spacing w:after="0"/>
              <w:rPr>
                <w:sz w:val="19"/>
                <w:szCs w:val="19"/>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Eastern Time</w:t>
            </w:r>
          </w:p>
        </w:tc>
        <w:tc>
          <w:tcPr>
            <w:tcW w:w="452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-641350</wp:posOffset>
            </wp:positionV>
            <wp:extent cx="37719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-641350</wp:posOffset>
            </wp:positionV>
            <wp:extent cx="37719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-641350</wp:posOffset>
            </wp:positionV>
            <wp:extent cx="37719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To attend the Special Meeting, please visit the Virtual Special Meeting Website. You will be asked to provide the control number located on your proxy card or voting instruction form. You will not be able to attend the Special Meeting in person. A complete list of stockholders entitled to vote at the Special Meeting will be open to the examination of any stockholder, for any purpose germane to the Special Meeting, during ordinary business hours for a period of at least 10 days prior to the Special Meeting at our principal executive offices located at 195 Clarksville Road, Princeton Junction, New Jersey 08550, and during the Special Meeting on the Virtual Special Meeting Website at www.virtualshareholdermeeting.com/MG2026SM.</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Meeting is being held for the following purposes:</w:t>
      </w:r>
    </w:p>
    <w:p>
      <w:pPr>
        <w:spacing w:after="0" w:line="117" w:lineRule="exact"/>
        <w:rPr>
          <w:sz w:val="20"/>
          <w:szCs w:val="20"/>
          <w:color w:val="auto"/>
        </w:rPr>
      </w:pPr>
    </w:p>
    <w:p>
      <w:pPr>
        <w:ind w:left="1000" w:right="379" w:hanging="348"/>
        <w:spacing w:after="0" w:line="255" w:lineRule="auto"/>
        <w:tabs>
          <w:tab w:leader="none" w:pos="10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upon a proposal to adopt the Agreement and Plan of Merger, dated as of September 17, 2026 (as it may be amended from time to time, the “Merger Agreement”), by and among the Company, Athena Purchaser, LLC, a Delaware limited liability company (“Parent”), and Athena Merger Sub, Inc., a Delaware corporation and a wholly owned subsidiary of Parent (“Acquisition Sub”), pursuant to which, subject to the terms and conditions set forth in the Merger Agreement, Acquisition Sub will merge with and into the Company, with the Company surviving as a wholly owned subsidiary of Parent (the “Merger” and such proposal, the “Merger Proposal”);</w:t>
      </w:r>
    </w:p>
    <w:p>
      <w:pPr>
        <w:spacing w:after="0" w:line="81" w:lineRule="exact"/>
        <w:rPr>
          <w:sz w:val="20"/>
          <w:szCs w:val="20"/>
          <w:color w:val="auto"/>
        </w:rPr>
      </w:pPr>
    </w:p>
    <w:p>
      <w:pPr>
        <w:ind w:left="1000" w:right="359" w:hanging="348"/>
        <w:spacing w:after="0" w:line="266" w:lineRule="auto"/>
        <w:tabs>
          <w:tab w:leader="none" w:pos="10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upon a proposal to approve the adjournment of the Special Meeting, if necessary or appropriate, to solicit additional proxies if there are insufficient votes at the time of the Special Meeting to approve the Merger Proposal (the “Adjournment Proposal”); and</w:t>
      </w:r>
    </w:p>
    <w:p>
      <w:pPr>
        <w:spacing w:after="0" w:line="68" w:lineRule="exact"/>
        <w:rPr>
          <w:sz w:val="20"/>
          <w:szCs w:val="20"/>
          <w:color w:val="auto"/>
        </w:rPr>
      </w:pPr>
    </w:p>
    <w:p>
      <w:pPr>
        <w:ind w:left="1000" w:right="339" w:hanging="348"/>
        <w:spacing w:after="0" w:line="266" w:lineRule="auto"/>
        <w:tabs>
          <w:tab w:leader="none" w:pos="10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upon a proposal to approve, by non-binding advisory vote, the compensation that may be paid or become payable to the Company’s named executive officers in connection with the Merger (the “Compensation Proposal”).</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(the “Board”) has fixed October 19, 2026, as the record date (the “Record Date”) for determining stockholders entitled to receive notice of, and to vote at, the Special Meeting and any adjournments or postponements thereof. Only holders of record of shares of common stock of the Company, par value $0.01 per share (“Common Stock”), at the close of business on the Record Date are entitled to receive notice of, and to vote at, the Special Meeting and any adjournments or postponements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accompanying proxy statement contains, among other things, detailed information about the Merger Proposal, the Adjournment Proposal and the Compensation Proposal. We encourage you to read the accompanying proxy statement, including its appendices and all documents incorporated by reference therein, carefully and in its entirety.</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outstanding as of the Record Date and entitled to vote on the matter is required to approve the Merger Proposal. Approval of the Adjournment Proposal and Compensation Proposal requires the affirmative vote of the holders of a majority of the voting power of the shares of Common Stock present, by attendance via the Virtual Special Meeting Website, or represented by proxy at the Special Meeting and entitled to vote on the Adjournment Proposal and the Compensation Proposal, at a meeting at which a quorum is present. If a quorum is not present at the Special Meeting, the Company’s Amended and Restated Bylaws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subject to the terms of the Merger Agreement, under the Bylaws, the chairperson of the Special Meeting has the authority to recess and/or adjourn the Special Meeting for any or no reason, whether or not a quorum is present.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Common Stock that you own.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failure of any stockholder of record to vote via the Virtual Special Meeting Website at the Special Meeting or to submit a proxy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will have no effect on the Adjournment Proposal or the Compensation Proposal. If you hold your shares in “street name,” you should instruct your broker, bank or other nominee on how to vote your shares using the voting instruction form furnished by your broker, bank or other nominee. The failure to do so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assuming a quorum is present, will have no effect on the outcome of any vote on the Adjournment Proposal or the Compensation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the Adjournment Proposal and the Compensation Proposal. If you sign, date and return your proxy card without indicating how you wish to vote on a proposal,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such proposal.</w:t>
      </w:r>
    </w:p>
    <w:p>
      <w:pPr>
        <w:spacing w:after="0" w:line="8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 Abstentions will be counted as present for purposes of determining the existence of a quorum. Shares held in “street name” for which the applicable broker, bank or other nominee receives no instructions regarding how to vote on any of the proposals before the Special Meeting will not be counted as present at the Special Meeting for quorum purposes. Shares held in “street name” for which the applicable broker, bank or other nominee receives instructions regarding how to vote on at least one of the proposals before the Special Meeting will be counted as present at the Special Meeting for quorum purposes.</w:t>
      </w:r>
    </w:p>
    <w:p>
      <w:pPr>
        <w:spacing w:after="0" w:line="8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Stockholders who do not vote in favor of the Merger Proposal and who otherwise meet the requirements of Section 262 of the General Corporation Law of the State of Delaware, as amended (the “DGCL”), will have the right to seek appraisal of the fair value of their shares of Common Stock, as determined in accordance with Section 262 of the DGCL. This notice and the accompanying proxy statement constitute the notice to stockholders of the availability of appraisal rights required by Section 262(d)(1) of the DGCL. In addition to not voting in favor of the Merger Proposal, any stockholder wishing to exercise its appraisal rights must deliver a written demand for appraisal to the Company before the vote on the Merger Proposal and must comply in all respects with the requirements of Section 262 of the DGCL, the text of which is attached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the accompanying proxy statement and is incorporated by reference therein.</w:t>
      </w:r>
    </w:p>
    <w:p>
      <w:pPr>
        <w:spacing w:after="0" w:line="80"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The Board has unanimously determined that the Merger Agreement and the transactions contemplated thereby, including the Merger, are advisable, fair to and in the best interests of the Company and its stockholders. The Board has unanimously approved and declared advisable the Merger Agreement and the transactions contemplated thereby.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7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(i) “FOR” the Merger Proposal; (ii) “FOR” the Adjournment Proposal; and (iii) “FOR” the Compensation Proposal.</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EILEEN COGGINS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Princeton Junction, New Jersey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27,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00" w:right="3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Ensure that your shares of Common Stock are voted at the Special Meeting by submitting your proxy or, if your shares of Common Stock are held in “street name” through a broker, bank or other nominee, by contacting your broker, bank or other nominee. If you do not submit a proxy, vote via the Virtual Special Meeting Website at the Special Meeting or instruct your broker, bank or other nominee how to vote your shares, it will have the same effect as voting “AGAINST” the Merger Proposal.</w:t>
      </w:r>
    </w:p>
    <w:p>
      <w:pPr>
        <w:spacing w:after="0" w:line="71" w:lineRule="exact"/>
        <w:rPr>
          <w:sz w:val="20"/>
          <w:szCs w:val="20"/>
          <w:color w:val="auto"/>
        </w:rPr>
      </w:pPr>
    </w:p>
    <w:p>
      <w:pPr>
        <w:ind w:left="30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your shares of Common Stock are registered directly in your name: </w:t>
      </w:r>
      <w:r>
        <w:rPr>
          <w:rFonts w:ascii="Times New Roman" w:cs="Times New Roman" w:eastAsia="Times New Roman" w:hAnsi="Times New Roman"/>
          <w:sz w:val="18"/>
          <w:szCs w:val="18"/>
          <w:color w:val="auto"/>
        </w:rPr>
        <w:t>If you are a stockholder of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submit a proxy to vote your shares of Common Stock over the Internet, by telephone or by mail. Please follow the instructions on the enclosed form of proxy.</w:t>
      </w:r>
    </w:p>
    <w:p>
      <w:pPr>
        <w:spacing w:after="0" w:line="63" w:lineRule="exact"/>
        <w:rPr>
          <w:sz w:val="20"/>
          <w:szCs w:val="20"/>
          <w:color w:val="auto"/>
        </w:rPr>
      </w:pPr>
    </w:p>
    <w:p>
      <w:pPr>
        <w:ind w:left="30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If your shares of Common Stock are held in the name of a broker, bank or other nominee: </w:t>
      </w:r>
      <w:r>
        <w:rPr>
          <w:rFonts w:ascii="Times New Roman" w:cs="Times New Roman" w:eastAsia="Times New Roman" w:hAnsi="Times New Roman"/>
          <w:sz w:val="18"/>
          <w:szCs w:val="18"/>
          <w:color w:val="auto"/>
        </w:rPr>
        <w:t>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voting instructions from the organization holding your account and you must follow those instructions to vote your shares of Common Stock. As a beneficial owner, you have the right to direct your broker, bank or other nominee on how to vote the shares of Common Stock in your account. Your broker, bank or other nominee cannot vote on any of the proposals, including the Merger Proposal, without your instructions.</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you fail to submit a signed proxy card, fail to attend the Special Meeting via the Virtual Special Meeting Website or, if you hold your shares through a broker, bank or other nominee, fail to provide voting instructions to your broker, bank or other nominee, your shares of Common Stock will not be counted for purposes of determining whether a quorum is present at the Special Meeting. If you hold your shares of Common Stock through a broker, bank or other nominee, you must obtain from the record holder a valid proxy issued in your name in order to vote via the Virtual Special Meeting Website at the Special Meeting. A stockholder of record may revoke their proxy at any time before it is voted at the Special Meeting by (i) submitting a new proxy bearing a later date over the Internet or by telephone by the applicable deadline or by mail so that it is received by 11:59 p.m. Eastern Time on the day before the Special Meeting, (ii) delivering a written notice of revocation so that it is received by our Secretary by 11:59 p.m. Eastern Time on the day before the Special Meeting, or (iii) attending the Special Meeting and voting via the Virtual Special Meeting Website, pursuant to the instructions set forth in “The Special Meeting—Revocability of Proxies” beginning on 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of this proxy statement. Attendance at the Special Meeting via the Virtual Special Meeting Website alone will not revoke a submitted proxy.</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encourage you to read the accompanying proxy statement, including its appendices and all documents incorporated by reference therein, carefully and in its entirety. If you have any questions concerning the Merger, the Special Meeting or the accompanying proxy statement, would like additional copies of the accompanying proxy statement or need help voting your shares of Common Stock, please contact our proxy solicitor:</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D.F. King &amp; Co., Inc.</w:t>
      </w:r>
    </w:p>
    <w:p>
      <w:pPr>
        <w:jc w:val="center"/>
        <w:ind w:right="39"/>
        <w:spacing w:after="0" w:line="182" w:lineRule="auto"/>
        <w:rPr>
          <w:sz w:val="20"/>
          <w:szCs w:val="20"/>
          <w:color w:val="auto"/>
        </w:rPr>
      </w:pPr>
      <w:r>
        <w:rPr>
          <w:rFonts w:ascii="Times New Roman" w:cs="Times New Roman" w:eastAsia="Times New Roman" w:hAnsi="Times New Roman"/>
          <w:sz w:val="17"/>
          <w:szCs w:val="17"/>
          <w:color w:val="auto"/>
        </w:rPr>
        <w:t>28 Liberty Street, 53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Stockholders call toll-free: 888-605-1957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brokers call collect: 212-257-2468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MISTRAS@dfking.com</w:t>
      </w:r>
    </w:p>
    <w:p>
      <w:pPr>
        <w:spacing w:after="0" w:line="9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SPECIAL MEETING VIA THE VIRTUAL SPECIAL MEETING WEBSITE, PLEASE COMPLETE, DATE, SIGN AND RETURN A PROXY CARD, VOTE OVER THE INTERNET OR BY TELEPHONE PURSUANT TO THE INSTRUCTIONS CONTAINED IN THESE MATERIALS, OR INSTRUCT YOUR BROKER, BANK OR OTHER NOMINEE ON HOW TO VOTE YOUR SHARES USING THE VOTING INSTRUCTION FORM FURNISHED BY YOUR BROKER, BANK OR OTHER NOMINEE, AS PROMPTLY AS POSSIBLE.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tbl>
      <w:tblPr>
        <w:tblLayout w:type="fixed"/>
        <w:tblInd w:w="300" w:type="dxa"/>
        <w:tblCellMar>
          <w:top w:w="0" w:type="dxa"/>
          <w:left w:w="0" w:type="dxa"/>
          <w:bottom w:w="0" w:type="dxa"/>
          <w:right w:w="0" w:type="dxa"/>
        </w:tblCellMar>
      </w:tblPr>
      <w:tr>
        <w:trPr>
          <w:trHeight w:val="161"/>
        </w:trPr>
        <w:tc>
          <w:tcPr>
            <w:tcW w:w="7760" w:type="dxa"/>
            <w:vAlign w:val="bottom"/>
            <w:gridSpan w:val="4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47"/>
            <w:shd w:val="clear" w:color="auto" w:fill="CCEEFF"/>
          </w:tcPr>
          <w:p>
            <w:pPr>
              <w:spacing w:after="0"/>
              <w:rPr>
                <w:sz w:val="20"/>
                <w:szCs w:val="20"/>
                <w:color w:val="auto"/>
              </w:rPr>
            </w:pPr>
            <w:r>
              <w:rPr>
                <w:rFonts w:ascii="Times New Roman" w:cs="Times New Roman" w:eastAsia="Times New Roman" w:hAnsi="Times New Roman"/>
                <w:sz w:val="18"/>
                <w:szCs w:val="18"/>
                <w:color w:val="0000EE"/>
              </w:rPr>
              <w:t>YOUR VOTE IS IMPORTANT</w:t>
            </w:r>
          </w:p>
        </w:tc>
        <w:tc>
          <w:tcPr>
            <w:tcW w:w="540" w:type="dxa"/>
            <w:vAlign w:val="bottom"/>
            <w:tcBorders>
              <w:right w:val="single" w:sz="8" w:color="CCEEFF"/>
            </w:tcBorders>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0000EE"/>
                <w:w w:val="78"/>
              </w:rPr>
              <w:t>iv</w:t>
            </w:r>
          </w:p>
        </w:tc>
      </w:tr>
      <w:tr>
        <w:trPr>
          <w:trHeight w:val="189"/>
        </w:trPr>
        <w:tc>
          <w:tcPr>
            <w:tcW w:w="2300" w:type="dxa"/>
            <w:vAlign w:val="bottom"/>
            <w:tcBorders>
              <w:top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SUMMARY</w:t>
            </w:r>
          </w:p>
        </w:tc>
        <w:tc>
          <w:tcPr>
            <w:tcW w:w="5460" w:type="dxa"/>
            <w:vAlign w:val="bottom"/>
            <w:tcBorders>
              <w:top w:val="single" w:sz="8" w:color="CCEEFF"/>
            </w:tcBorders>
            <w:gridSpan w:val="26"/>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Parties Involved in the Merger</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200" w:type="dxa"/>
            <w:vAlign w:val="bottom"/>
            <w:tcBorders>
              <w:top w:val="single" w:sz="8" w:color="0000EE"/>
            </w:tcBorders>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The Special Meeting</w:t>
            </w:r>
          </w:p>
        </w:tc>
        <w:tc>
          <w:tcPr>
            <w:tcW w:w="5380" w:type="dxa"/>
            <w:vAlign w:val="bottom"/>
            <w:tcBorders>
              <w:top w:val="single" w:sz="8" w:color="CCEEFF"/>
            </w:tcBorders>
            <w:gridSpan w:val="25"/>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Date, Time and Place</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ind w:left="180"/>
              <w:spacing w:after="0" w:line="189" w:lineRule="exact"/>
              <w:rPr>
                <w:sz w:val="20"/>
                <w:szCs w:val="20"/>
                <w:color w:val="auto"/>
              </w:rPr>
            </w:pPr>
            <w:r>
              <w:rPr>
                <w:rFonts w:ascii="Times New Roman" w:cs="Times New Roman" w:eastAsia="Times New Roman" w:hAnsi="Times New Roman"/>
                <w:sz w:val="18"/>
                <w:szCs w:val="18"/>
                <w:color w:val="0000EE"/>
              </w:rPr>
              <w:t>Record Date; Shares Entitled to Vote</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Purpose</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ind w:left="180"/>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Required Vote</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ind w:left="180"/>
              <w:spacing w:after="0" w:line="189" w:lineRule="exact"/>
              <w:rPr>
                <w:sz w:val="20"/>
                <w:szCs w:val="20"/>
                <w:color w:val="auto"/>
              </w:rPr>
            </w:pPr>
            <w:r>
              <w:rPr>
                <w:rFonts w:ascii="Times New Roman" w:cs="Times New Roman" w:eastAsia="Times New Roman" w:hAnsi="Times New Roman"/>
                <w:sz w:val="18"/>
                <w:szCs w:val="18"/>
                <w:color w:val="0000EE"/>
              </w:rPr>
              <w:t>Stock Ownership and Interests of Certain Persons</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of Proxies</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Expenses of Proxy Solicitation</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40" w:type="dxa"/>
            <w:vAlign w:val="bottom"/>
            <w:tcBorders>
              <w:bottom w:val="single" w:sz="8" w:color="0000EE"/>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Certain Effects of the Merger on the Company</w:t>
            </w:r>
          </w:p>
        </w:tc>
        <w:tc>
          <w:tcPr>
            <w:tcW w:w="4240" w:type="dxa"/>
            <w:vAlign w:val="bottom"/>
            <w:tcBorders>
              <w:bottom w:val="single" w:sz="8" w:color="CCEEFF"/>
            </w:tcBorders>
            <w:gridSpan w:val="13"/>
            <w:shd w:val="clear" w:color="auto" w:fill="CCEEFF"/>
          </w:tcPr>
          <w:p>
            <w:pPr>
              <w:spacing w:after="0"/>
              <w:rPr>
                <w:sz w:val="19"/>
                <w:szCs w:val="19"/>
                <w:color w:val="auto"/>
              </w:rPr>
            </w:pPr>
          </w:p>
        </w:tc>
        <w:tc>
          <w:tcPr>
            <w:tcW w:w="5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Effect on the Company if the Merger is Not Completed</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Merger Consideration</w:t>
            </w:r>
          </w:p>
        </w:tc>
        <w:tc>
          <w:tcPr>
            <w:tcW w:w="6000" w:type="dxa"/>
            <w:vAlign w:val="bottom"/>
            <w:tcBorders>
              <w:bottom w:val="single" w:sz="8" w:color="CCEEFF"/>
            </w:tcBorders>
            <w:gridSpan w:val="31"/>
            <w:shd w:val="clear" w:color="auto" w:fill="CCEEFF"/>
          </w:tcPr>
          <w:p>
            <w:pPr>
              <w:spacing w:after="0"/>
              <w:rPr>
                <w:sz w:val="19"/>
                <w:szCs w:val="19"/>
                <w:color w:val="auto"/>
              </w:rPr>
            </w:pPr>
          </w:p>
        </w:tc>
        <w:tc>
          <w:tcPr>
            <w:tcW w:w="5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Treatment of Outstanding Equity-Based Awards</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Stock Options</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ind w:left="180"/>
              <w:spacing w:after="0" w:line="189" w:lineRule="exact"/>
              <w:rPr>
                <w:sz w:val="20"/>
                <w:szCs w:val="20"/>
                <w:color w:val="auto"/>
              </w:rPr>
            </w:pPr>
            <w:r>
              <w:rPr>
                <w:rFonts w:ascii="Times New Roman" w:cs="Times New Roman" w:eastAsia="Times New Roman" w:hAnsi="Times New Roman"/>
                <w:sz w:val="18"/>
                <w:szCs w:val="18"/>
                <w:color w:val="0000EE"/>
              </w:rPr>
              <w:t>Restricted Stock Units</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Performance-Based Restricted Stock Units</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the Board and Reasons for the Merger</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Opinion of the Company’s Financial Advisor</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Interests of the Directors and Executive Officers of the Company in the Merger</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Agreements</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Financing of the Merger</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Limited Guarantee</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1340" w:type="dxa"/>
            <w:vAlign w:val="bottom"/>
            <w:tcBorders>
              <w:top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6240" w:type="dxa"/>
            <w:vAlign w:val="bottom"/>
            <w:tcBorders>
              <w:top w:val="single" w:sz="8" w:color="CCEEFF"/>
            </w:tcBorders>
            <w:gridSpan w:val="36"/>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480" w:type="dxa"/>
            <w:vAlign w:val="bottom"/>
            <w:tcBorders>
              <w:bottom w:val="single" w:sz="8" w:color="0000EE"/>
            </w:tcBorders>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Certain U.S. Federal Income Tax Consequences of the Merger</w:t>
            </w:r>
          </w:p>
        </w:tc>
        <w:tc>
          <w:tcPr>
            <w:tcW w:w="3100" w:type="dxa"/>
            <w:vAlign w:val="bottom"/>
            <w:tcBorders>
              <w:bottom w:val="single" w:sz="8" w:color="CCEEFF"/>
            </w:tcBorders>
            <w:gridSpan w:val="3"/>
            <w:shd w:val="clear" w:color="auto" w:fill="CCEEFF"/>
          </w:tcPr>
          <w:p>
            <w:pPr>
              <w:spacing w:after="0"/>
              <w:rPr>
                <w:sz w:val="19"/>
                <w:szCs w:val="19"/>
                <w:color w:val="auto"/>
              </w:rPr>
            </w:pPr>
          </w:p>
        </w:tc>
        <w:tc>
          <w:tcPr>
            <w:tcW w:w="5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1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Go-Shop Period</w:t>
            </w:r>
          </w:p>
        </w:tc>
        <w:tc>
          <w:tcPr>
            <w:tcW w:w="6420" w:type="dxa"/>
            <w:vAlign w:val="bottom"/>
            <w:gridSpan w:val="39"/>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0000EE"/>
                <w:w w:val="72"/>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No Solicitation of Other Offers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Restrictions on a Change of Board Recommendation</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78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Closing of the Merger</w:t>
            </w:r>
          </w:p>
        </w:tc>
        <w:tc>
          <w:tcPr>
            <w:tcW w:w="3800" w:type="dxa"/>
            <w:vAlign w:val="bottom"/>
            <w:gridSpan w:val="6"/>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EE"/>
                <w:w w:val="72"/>
              </w:rPr>
              <w:t>12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Termination Fees and Treatment of Expenses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Specific Performance</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Market Prices and Dividend Data</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40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Delisting and Deregistration of Common Stock</w:t>
            </w:r>
          </w:p>
        </w:tc>
        <w:tc>
          <w:tcPr>
            <w:tcW w:w="4180" w:type="dxa"/>
            <w:vAlign w:val="bottom"/>
            <w:gridSpan w:val="11"/>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0000EE"/>
                <w:w w:val="72"/>
              </w:rPr>
              <w:t>16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40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Litigation Relating to the Merger</w:t>
            </w:r>
          </w:p>
        </w:tc>
        <w:tc>
          <w:tcPr>
            <w:tcW w:w="4180" w:type="dxa"/>
            <w:vAlign w:val="bottom"/>
            <w:gridSpan w:val="11"/>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EE"/>
                <w:w w:val="72"/>
              </w:rPr>
              <w:t>16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Stockholders Can Find More Information</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QUESTIONS AND ANSWERS ABOUT THE SPECIAL MEETING AND THE MERGER</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9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5780" w:type="dxa"/>
            <w:vAlign w:val="bottom"/>
            <w:gridSpan w:val="27"/>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0000EE"/>
                <w:w w:val="72"/>
              </w:rPr>
              <w:t>25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8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Date, Time and Place</w:t>
            </w:r>
          </w:p>
        </w:tc>
        <w:tc>
          <w:tcPr>
            <w:tcW w:w="5780" w:type="dxa"/>
            <w:vAlign w:val="bottom"/>
            <w:gridSpan w:val="27"/>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EE"/>
                <w:w w:val="72"/>
              </w:rPr>
              <w:t>25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Purpose of the Special Meeting</w:t>
            </w:r>
          </w:p>
        </w:tc>
        <w:tc>
          <w:tcPr>
            <w:tcW w:w="5320" w:type="dxa"/>
            <w:vAlign w:val="bottom"/>
            <w:gridSpan w:val="22"/>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0000EE"/>
                <w:w w:val="72"/>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Record Date and Shares Entitled to Vote</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Quorum</w:t>
            </w:r>
          </w:p>
        </w:tc>
        <w:tc>
          <w:tcPr>
            <w:tcW w:w="6980" w:type="dxa"/>
            <w:vAlign w:val="bottom"/>
            <w:gridSpan w:val="44"/>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0000EE"/>
                <w:w w:val="72"/>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Required Vote</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 Ownership and Interests of Certain Persons</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56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Voting of Proxies</w:t>
            </w:r>
          </w:p>
        </w:tc>
        <w:tc>
          <w:tcPr>
            <w:tcW w:w="4020" w:type="dxa"/>
            <w:vAlign w:val="bottom"/>
            <w:gridSpan w:val="8"/>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0000EE"/>
                <w:w w:val="72"/>
              </w:rPr>
              <w:t>27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7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Revocability of Proxies</w:t>
            </w:r>
          </w:p>
        </w:tc>
        <w:tc>
          <w:tcPr>
            <w:tcW w:w="5880" w:type="dxa"/>
            <w:vAlign w:val="bottom"/>
            <w:gridSpan w:val="30"/>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0000EE"/>
                <w:w w:val="72"/>
              </w:rPr>
              <w:t>27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the Board</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 w:name="page9"/>
    <w:bookmarkEnd w:id="8"/>
    <w:tbl>
      <w:tblPr>
        <w:tblLayout w:type="fixed"/>
        <w:tblInd w:w="300" w:type="dxa"/>
        <w:tblCellMar>
          <w:top w:w="0" w:type="dxa"/>
          <w:left w:w="0" w:type="dxa"/>
          <w:bottom w:w="0" w:type="dxa"/>
          <w:right w:w="0" w:type="dxa"/>
        </w:tblCellMar>
      </w:tblPr>
      <w:tr>
        <w:trPr>
          <w:trHeight w:val="161"/>
        </w:trPr>
        <w:tc>
          <w:tcPr>
            <w:tcW w:w="7760" w:type="dxa"/>
            <w:vAlign w:val="bottom"/>
            <w:gridSpan w:val="5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180" w:type="dxa"/>
            <w:vAlign w:val="bottom"/>
            <w:shd w:val="clear" w:color="auto" w:fill="CCEEFF"/>
          </w:tcPr>
          <w:p>
            <w:pPr>
              <w:spacing w:after="0"/>
              <w:rPr>
                <w:sz w:val="24"/>
                <w:szCs w:val="24"/>
                <w:color w:val="auto"/>
              </w:rPr>
            </w:pPr>
          </w:p>
        </w:tc>
        <w:tc>
          <w:tcPr>
            <w:tcW w:w="22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Expenses of Proxy Solicitation</w:t>
            </w:r>
          </w:p>
        </w:tc>
        <w:tc>
          <w:tcPr>
            <w:tcW w:w="5360" w:type="dxa"/>
            <w:vAlign w:val="bottom"/>
            <w:gridSpan w:val="22"/>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Anticipated Date of Completion of the Merger</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Other Matters</w:t>
            </w:r>
          </w:p>
        </w:tc>
        <w:tc>
          <w:tcPr>
            <w:tcW w:w="6580" w:type="dxa"/>
            <w:vAlign w:val="bottom"/>
            <w:gridSpan w:val="47"/>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Stockholder List</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Questions and Additional Information</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78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1980" w:type="dxa"/>
            <w:vAlign w:val="bottom"/>
            <w:gridSpan w:val="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78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THE MERGER</w:t>
            </w:r>
          </w:p>
        </w:tc>
        <w:tc>
          <w:tcPr>
            <w:tcW w:w="198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32</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Parties Involved in the Merger</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80" w:type="dxa"/>
            <w:vAlign w:val="bottom"/>
            <w:gridSpan w:val="27"/>
          </w:tcPr>
          <w:p>
            <w:pPr>
              <w:ind w:left="180"/>
              <w:spacing w:after="0" w:line="189" w:lineRule="exact"/>
              <w:rPr>
                <w:sz w:val="20"/>
                <w:szCs w:val="20"/>
                <w:color w:val="auto"/>
              </w:rPr>
            </w:pPr>
            <w:r>
              <w:rPr>
                <w:rFonts w:ascii="Times New Roman" w:cs="Times New Roman" w:eastAsia="Times New Roman" w:hAnsi="Times New Roman"/>
                <w:sz w:val="18"/>
                <w:szCs w:val="18"/>
                <w:color w:val="0000EE"/>
              </w:rPr>
              <w:t>MISTRAS Group, Inc.</w:t>
            </w:r>
          </w:p>
        </w:tc>
        <w:tc>
          <w:tcPr>
            <w:tcW w:w="5400" w:type="dxa"/>
            <w:vAlign w:val="bottom"/>
            <w:gridSpan w:val="2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32</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Athena Purchaser, LLC</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ind w:left="180"/>
              <w:spacing w:after="0" w:line="189" w:lineRule="exact"/>
              <w:rPr>
                <w:sz w:val="20"/>
                <w:szCs w:val="20"/>
                <w:color w:val="auto"/>
              </w:rPr>
            </w:pPr>
            <w:r>
              <w:rPr>
                <w:rFonts w:ascii="Times New Roman" w:cs="Times New Roman" w:eastAsia="Times New Roman" w:hAnsi="Times New Roman"/>
                <w:sz w:val="18"/>
                <w:szCs w:val="18"/>
                <w:color w:val="0000EE"/>
              </w:rPr>
              <w:t>Athena Merger Sub, Inc.</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Effects of the Merger on the Company</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Effect on the Company if the Merger is Not Completed</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Merger Consideration</w:t>
            </w:r>
          </w:p>
        </w:tc>
        <w:tc>
          <w:tcPr>
            <w:tcW w:w="6000" w:type="dxa"/>
            <w:vAlign w:val="bottom"/>
            <w:gridSpan w:val="3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Payment of Merger Consideration and Surrender of Stock Certificates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Merger</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90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Reasons for the Merger</w:t>
            </w:r>
          </w:p>
        </w:tc>
        <w:tc>
          <w:tcPr>
            <w:tcW w:w="5680" w:type="dxa"/>
            <w:vAlign w:val="bottom"/>
            <w:gridSpan w:val="2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44</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the Board</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Opinion of the Company’s Financial Advisor</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49</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82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Certain Unaudited Prospective Financial Information</w:t>
            </w:r>
          </w:p>
        </w:tc>
        <w:tc>
          <w:tcPr>
            <w:tcW w:w="3760" w:type="dxa"/>
            <w:vAlign w:val="bottom"/>
            <w:gridSpan w:val="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Interests of the Directors and Executive Officers of the Company in the Merger</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58</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Treatment of Shares of Common Stock</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ind w:left="180"/>
              <w:spacing w:after="0" w:line="189" w:lineRule="exact"/>
              <w:rPr>
                <w:sz w:val="20"/>
                <w:szCs w:val="20"/>
                <w:color w:val="auto"/>
              </w:rPr>
            </w:pPr>
            <w:r>
              <w:rPr>
                <w:rFonts w:ascii="Times New Roman" w:cs="Times New Roman" w:eastAsia="Times New Roman" w:hAnsi="Times New Roman"/>
                <w:sz w:val="18"/>
                <w:szCs w:val="18"/>
                <w:color w:val="0000EE"/>
              </w:rPr>
              <w:t>Treatment of Company Equity Awards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59</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Potential Change in Control and Severance Entitlements to the Company’s Executive Officers</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ind w:left="180"/>
              <w:spacing w:after="0" w:line="189" w:lineRule="exact"/>
              <w:rPr>
                <w:sz w:val="20"/>
                <w:szCs w:val="20"/>
                <w:color w:val="auto"/>
              </w:rPr>
            </w:pPr>
            <w:r>
              <w:rPr>
                <w:rFonts w:ascii="Times New Roman" w:cs="Times New Roman" w:eastAsia="Times New Roman" w:hAnsi="Times New Roman"/>
                <w:sz w:val="18"/>
                <w:szCs w:val="18"/>
                <w:color w:val="0000EE"/>
              </w:rPr>
              <w:t>Section 280G Mitigation Actions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62</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Retention Bonus Arrangements</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ind w:left="180"/>
              <w:spacing w:after="0" w:line="189" w:lineRule="exact"/>
              <w:rPr>
                <w:sz w:val="20"/>
                <w:szCs w:val="20"/>
                <w:color w:val="auto"/>
              </w:rPr>
            </w:pPr>
            <w:r>
              <w:rPr>
                <w:rFonts w:ascii="Times New Roman" w:cs="Times New Roman" w:eastAsia="Times New Roman" w:hAnsi="Times New Roman"/>
                <w:sz w:val="18"/>
                <w:szCs w:val="18"/>
                <w:color w:val="0000EE"/>
              </w:rPr>
              <w:t>Indemnification Insurance</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63</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Quantification of Payments and Benefits</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ind w:left="180"/>
              <w:spacing w:after="0" w:line="189" w:lineRule="exact"/>
              <w:rPr>
                <w:sz w:val="20"/>
                <w:szCs w:val="20"/>
                <w:color w:val="auto"/>
              </w:rPr>
            </w:pPr>
            <w:r>
              <w:rPr>
                <w:rFonts w:ascii="Times New Roman" w:cs="Times New Roman" w:eastAsia="Times New Roman" w:hAnsi="Times New Roman"/>
                <w:sz w:val="18"/>
                <w:szCs w:val="18"/>
                <w:color w:val="0000EE"/>
              </w:rPr>
              <w:t>Other Arrangements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65</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 of the Merger</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740" w:type="dxa"/>
            <w:vAlign w:val="bottom"/>
            <w:gridSpan w:val="20"/>
          </w:tcPr>
          <w:p>
            <w:pPr>
              <w:ind w:left="180"/>
              <w:spacing w:after="0" w:line="189" w:lineRule="exact"/>
              <w:rPr>
                <w:sz w:val="20"/>
                <w:szCs w:val="20"/>
                <w:color w:val="auto"/>
              </w:rPr>
            </w:pPr>
            <w:r>
              <w:rPr>
                <w:rFonts w:ascii="Times New Roman" w:cs="Times New Roman" w:eastAsia="Times New Roman" w:hAnsi="Times New Roman"/>
                <w:sz w:val="18"/>
                <w:szCs w:val="18"/>
                <w:color w:val="0000EE"/>
              </w:rPr>
              <w:t>Equity Financing</w:t>
            </w:r>
          </w:p>
        </w:tc>
        <w:tc>
          <w:tcPr>
            <w:tcW w:w="5840" w:type="dxa"/>
            <w:vAlign w:val="bottom"/>
            <w:gridSpan w:val="31"/>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65</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Debt Financing</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Limited Guarantee</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Agreements</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 Required</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General</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ind w:left="180"/>
              <w:spacing w:after="0" w:line="189" w:lineRule="exact"/>
              <w:rPr>
                <w:sz w:val="20"/>
                <w:szCs w:val="20"/>
                <w:color w:val="auto"/>
              </w:rPr>
            </w:pPr>
            <w:r>
              <w:rPr>
                <w:rFonts w:ascii="Times New Roman" w:cs="Times New Roman" w:eastAsia="Times New Roman" w:hAnsi="Times New Roman"/>
                <w:sz w:val="18"/>
                <w:szCs w:val="18"/>
                <w:color w:val="0000EE"/>
              </w:rPr>
              <w:t>Antitrust Laws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70</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Nuclear Materials</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Delisting and Deregistration of Common Stock</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71</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Accounting Treatment</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6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5980" w:type="dxa"/>
            <w:vAlign w:val="bottom"/>
            <w:gridSpan w:val="3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71</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38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Litigation Relating to the Merger</w:t>
            </w:r>
          </w:p>
        </w:tc>
        <w:tc>
          <w:tcPr>
            <w:tcW w:w="5200" w:type="dxa"/>
            <w:vAlign w:val="bottom"/>
            <w:gridSpan w:val="20"/>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72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Certain U.S. Federal Income Tax Consequences of the Merger</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72</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U.S. holders</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ind w:left="180"/>
              <w:spacing w:after="0" w:line="189" w:lineRule="exact"/>
              <w:rPr>
                <w:sz w:val="20"/>
                <w:szCs w:val="20"/>
                <w:color w:val="auto"/>
              </w:rPr>
            </w:pPr>
            <w:r>
              <w:rPr>
                <w:rFonts w:ascii="Times New Roman" w:cs="Times New Roman" w:eastAsia="Times New Roman" w:hAnsi="Times New Roman"/>
                <w:sz w:val="18"/>
                <w:szCs w:val="18"/>
                <w:color w:val="0000EE"/>
              </w:rPr>
              <w:t>Non-U.S. holders</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74</w:t>
            </w: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3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THE MERGER AGREEMENT</w:t>
            </w:r>
          </w:p>
        </w:tc>
        <w:tc>
          <w:tcPr>
            <w:tcW w:w="5460" w:type="dxa"/>
            <w:vAlign w:val="bottom"/>
            <w:gridSpan w:val="2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77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51"/>
          </w:tcPr>
          <w:p>
            <w:pPr>
              <w:spacing w:after="0" w:line="189" w:lineRule="exact"/>
              <w:rPr>
                <w:sz w:val="20"/>
                <w:szCs w:val="20"/>
                <w:color w:val="auto"/>
              </w:rPr>
            </w:pPr>
            <w:r>
              <w:rPr>
                <w:rFonts w:ascii="Times New Roman" w:cs="Times New Roman" w:eastAsia="Times New Roman" w:hAnsi="Times New Roman"/>
                <w:sz w:val="18"/>
                <w:szCs w:val="18"/>
                <w:color w:val="0000EE"/>
              </w:rPr>
              <w:t>Explanatory Note Regarding the Merger Agreement and the Summary of the Merger Agreement</w:t>
            </w:r>
          </w:p>
        </w:tc>
        <w:tc>
          <w:tcPr>
            <w:tcW w:w="6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940" w:type="dxa"/>
            <w:vAlign w:val="bottom"/>
            <w:gridSpan w:val="4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Effects of the Merger; Directors and Officers; Certificate of Incorporation; Bylaws</w:t>
            </w:r>
          </w:p>
        </w:tc>
        <w:tc>
          <w:tcPr>
            <w:tcW w:w="1640" w:type="dxa"/>
            <w:vAlign w:val="bottom"/>
            <w:gridSpan w:val="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77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940" w:type="dxa"/>
            <w:vAlign w:val="bottom"/>
            <w:gridSpan w:val="49"/>
          </w:tcPr>
          <w:p>
            <w:pPr>
              <w:spacing w:after="0" w:line="189" w:lineRule="exact"/>
              <w:rPr>
                <w:sz w:val="20"/>
                <w:szCs w:val="20"/>
                <w:color w:val="auto"/>
              </w:rPr>
            </w:pPr>
            <w:r>
              <w:rPr>
                <w:rFonts w:ascii="Times New Roman" w:cs="Times New Roman" w:eastAsia="Times New Roman" w:hAnsi="Times New Roman"/>
                <w:sz w:val="18"/>
                <w:szCs w:val="18"/>
                <w:color w:val="0000EE"/>
              </w:rPr>
              <w:t>Closing of the Merger; Filing and Effective Time of the Merger</w:t>
            </w:r>
          </w:p>
        </w:tc>
        <w:tc>
          <w:tcPr>
            <w:tcW w:w="16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78</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5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Merger Consideration</w:t>
            </w:r>
          </w:p>
        </w:tc>
        <w:tc>
          <w:tcPr>
            <w:tcW w:w="6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78</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 w:name="page10"/>
    <w:bookmarkEnd w:id="9"/>
    <w:tbl>
      <w:tblPr>
        <w:tblLayout w:type="fixed"/>
        <w:tblInd w:w="300" w:type="dxa"/>
        <w:tblCellMar>
          <w:top w:w="0" w:type="dxa"/>
          <w:left w:w="0" w:type="dxa"/>
          <w:bottom w:w="0" w:type="dxa"/>
          <w:right w:w="0" w:type="dxa"/>
        </w:tblCellMar>
      </w:tblPr>
      <w:tr>
        <w:trPr>
          <w:trHeight w:val="161"/>
        </w:trPr>
        <w:tc>
          <w:tcPr>
            <w:tcW w:w="7760" w:type="dxa"/>
            <w:vAlign w:val="bottom"/>
            <w:gridSpan w:val="40"/>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180" w:type="dxa"/>
            <w:vAlign w:val="bottom"/>
            <w:shd w:val="clear" w:color="auto" w:fill="CCEEFF"/>
          </w:tcPr>
          <w:p>
            <w:pPr>
              <w:spacing w:after="0"/>
              <w:rPr>
                <w:sz w:val="24"/>
                <w:szCs w:val="24"/>
                <w:color w:val="auto"/>
              </w:rPr>
            </w:pPr>
          </w:p>
        </w:tc>
        <w:tc>
          <w:tcPr>
            <w:tcW w:w="7580" w:type="dxa"/>
            <w:vAlign w:val="bottom"/>
            <w:gridSpan w:val="39"/>
            <w:shd w:val="clear" w:color="auto" w:fill="CCEEFF"/>
          </w:tcPr>
          <w:p>
            <w:pPr>
              <w:ind w:left="180"/>
              <w:spacing w:after="0"/>
              <w:rPr>
                <w:sz w:val="20"/>
                <w:szCs w:val="20"/>
                <w:color w:val="auto"/>
              </w:rPr>
            </w:pPr>
            <w:r>
              <w:rPr>
                <w:rFonts w:ascii="Times New Roman" w:cs="Times New Roman" w:eastAsia="Times New Roman" w:hAnsi="Times New Roman"/>
                <w:sz w:val="18"/>
                <w:szCs w:val="18"/>
                <w:color w:val="0000EE"/>
              </w:rPr>
              <w:t>Common Stock</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78</w:t>
            </w:r>
          </w:p>
        </w:tc>
        <w:tc>
          <w:tcPr>
            <w:tcW w:w="20" w:type="dxa"/>
            <w:vAlign w:val="bottom"/>
            <w:shd w:val="clear" w:color="auto" w:fill="CCEEFF"/>
          </w:tcPr>
          <w:p>
            <w:pPr>
              <w:spacing w:after="0"/>
              <w:rPr>
                <w:sz w:val="24"/>
                <w:szCs w:val="24"/>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Outstanding Equity Awards and Other Awards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Dissenting Shares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and Payment Procedures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Company Representations and Warranties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Parent and Acquisition Sub Representations and Warranties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Conduct of Business Pending the Merger</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Go-Shop Period</w:t>
            </w:r>
          </w:p>
        </w:tc>
        <w:tc>
          <w:tcPr>
            <w:tcW w:w="6420" w:type="dxa"/>
            <w:vAlign w:val="bottom"/>
            <w:gridSpan w:val="34"/>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Solicitation of Other Offers; Change of Recommendation</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No-Shop Restrictions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Fiduciary Exception to No-Shop</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Restrictions on a Change of Board Recommendation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Notification Obligations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Superior Proposals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Intervening Events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Permitted Disclosures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Certain Definitions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89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80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Stockholder Meeting; Proxy Statement</w:t>
            </w:r>
          </w:p>
        </w:tc>
        <w:tc>
          <w:tcPr>
            <w:tcW w:w="4780" w:type="dxa"/>
            <w:vAlign w:val="bottom"/>
            <w:gridSpan w:val="13"/>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Consents, Approvals and Filings</w:t>
            </w:r>
          </w:p>
        </w:tc>
        <w:tc>
          <w:tcPr>
            <w:tcW w:w="4780" w:type="dxa"/>
            <w:vAlign w:val="bottom"/>
            <w:gridSpan w:val="13"/>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Continuing Employees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Directors’ and Officers’ Indemnification and Insurance</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Financing Efforts</w:t>
            </w:r>
          </w:p>
        </w:tc>
        <w:tc>
          <w:tcPr>
            <w:tcW w:w="6320" w:type="dxa"/>
            <w:vAlign w:val="bottom"/>
            <w:gridSpan w:val="33"/>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Other Covenants and Agreements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Conditions to the Closing of the Merger</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860" w:type="dxa"/>
            <w:vAlign w:val="bottom"/>
            <w:gridSpan w:val="27"/>
          </w:tcPr>
          <w:p>
            <w:pPr>
              <w:ind w:left="180"/>
              <w:spacing w:after="0" w:line="189" w:lineRule="exact"/>
              <w:rPr>
                <w:sz w:val="20"/>
                <w:szCs w:val="20"/>
                <w:color w:val="auto"/>
              </w:rPr>
            </w:pPr>
            <w:r>
              <w:rPr>
                <w:rFonts w:ascii="Times New Roman" w:cs="Times New Roman" w:eastAsia="Times New Roman" w:hAnsi="Times New Roman"/>
                <w:sz w:val="18"/>
                <w:szCs w:val="18"/>
                <w:color w:val="0000EE"/>
              </w:rPr>
              <w:t>Mutual Conditions</w:t>
            </w:r>
          </w:p>
        </w:tc>
        <w:tc>
          <w:tcPr>
            <w:tcW w:w="4720" w:type="dxa"/>
            <w:vAlign w:val="bottom"/>
            <w:gridSpan w:val="12"/>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Company’s Additional Conditions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Parent’s Additional Conditions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ind w:left="180"/>
              <w:spacing w:after="0" w:line="189" w:lineRule="exact"/>
              <w:rPr>
                <w:sz w:val="20"/>
                <w:szCs w:val="20"/>
                <w:color w:val="auto"/>
              </w:rPr>
            </w:pPr>
            <w:r>
              <w:rPr>
                <w:rFonts w:ascii="Times New Roman" w:cs="Times New Roman" w:eastAsia="Times New Roman" w:hAnsi="Times New Roman"/>
                <w:sz w:val="18"/>
                <w:szCs w:val="18"/>
                <w:color w:val="0000EE"/>
              </w:rPr>
              <w:t>Termination Fees and Expense Reimbursement</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7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Limitation on Recourse</w:t>
            </w:r>
          </w:p>
        </w:tc>
        <w:tc>
          <w:tcPr>
            <w:tcW w:w="5880" w:type="dxa"/>
            <w:vAlign w:val="bottom"/>
            <w:gridSpan w:val="24"/>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7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Specific Performance</w:t>
            </w:r>
          </w:p>
        </w:tc>
        <w:tc>
          <w:tcPr>
            <w:tcW w:w="5880" w:type="dxa"/>
            <w:vAlign w:val="bottom"/>
            <w:gridSpan w:val="24"/>
          </w:tcPr>
          <w:p>
            <w:pPr>
              <w:spacing w:after="0"/>
              <w:rPr>
                <w:sz w:val="16"/>
                <w:szCs w:val="16"/>
                <w:color w:val="auto"/>
              </w:rPr>
            </w:pP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101</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3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Fees and Expenses</w:t>
            </w:r>
          </w:p>
        </w:tc>
        <w:tc>
          <w:tcPr>
            <w:tcW w:w="6220" w:type="dxa"/>
            <w:vAlign w:val="bottom"/>
            <w:gridSpan w:val="30"/>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Amendments; Waivers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101</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2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1: THE MERGER PROPOSAL</w:t>
            </w:r>
          </w:p>
        </w:tc>
        <w:tc>
          <w:tcPr>
            <w:tcW w:w="4500" w:type="dxa"/>
            <w:vAlign w:val="bottom"/>
            <w:gridSpan w:val="9"/>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0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The Proposal</w:t>
            </w:r>
          </w:p>
        </w:tc>
        <w:tc>
          <w:tcPr>
            <w:tcW w:w="4500" w:type="dxa"/>
            <w:vAlign w:val="bottom"/>
            <w:gridSpan w:val="9"/>
          </w:tcPr>
          <w:p>
            <w:pPr>
              <w:spacing w:after="0"/>
              <w:rPr>
                <w:sz w:val="16"/>
                <w:szCs w:val="16"/>
                <w:color w:val="auto"/>
              </w:rPr>
            </w:pP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103</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Required Vote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103</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86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THE ADJOURNMENT PROPOSAL</w:t>
            </w:r>
          </w:p>
        </w:tc>
        <w:tc>
          <w:tcPr>
            <w:tcW w:w="3900" w:type="dxa"/>
            <w:vAlign w:val="bottom"/>
            <w:gridSpan w:val="5"/>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68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The Proposal</w:t>
            </w:r>
          </w:p>
        </w:tc>
        <w:tc>
          <w:tcPr>
            <w:tcW w:w="3900" w:type="dxa"/>
            <w:vAlign w:val="bottom"/>
            <w:gridSpan w:val="5"/>
          </w:tcPr>
          <w:p>
            <w:pPr>
              <w:spacing w:after="0"/>
              <w:rPr>
                <w:sz w:val="16"/>
                <w:szCs w:val="16"/>
                <w:color w:val="auto"/>
              </w:rPr>
            </w:pP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104</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Required Vote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104</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90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3: THE COMPENSATION PROPOSAL</w:t>
            </w:r>
          </w:p>
        </w:tc>
        <w:tc>
          <w:tcPr>
            <w:tcW w:w="3860" w:type="dxa"/>
            <w:vAlign w:val="bottom"/>
            <w:gridSpan w:val="4"/>
            <w:shd w:val="clear" w:color="auto" w:fill="CCEEFF"/>
          </w:tcPr>
          <w:p>
            <w:pPr>
              <w:spacing w:after="0"/>
              <w:rPr>
                <w:sz w:val="16"/>
                <w:szCs w:val="16"/>
                <w:color w:val="auto"/>
              </w:rPr>
            </w:pP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72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The Proposal</w:t>
            </w:r>
          </w:p>
        </w:tc>
        <w:tc>
          <w:tcPr>
            <w:tcW w:w="3860" w:type="dxa"/>
            <w:vAlign w:val="bottom"/>
            <w:gridSpan w:val="4"/>
          </w:tcPr>
          <w:p>
            <w:pPr>
              <w:spacing w:after="0"/>
              <w:rPr>
                <w:sz w:val="16"/>
                <w:szCs w:val="16"/>
                <w:color w:val="auto"/>
              </w:rPr>
            </w:pP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Required Vote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107</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Summary of Section 262 Procedures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Demand Requirements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Notice by the Surviving Corporation</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108</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Filing a Petition in the Court of Chancery</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108</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1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161"/>
        </w:trPr>
        <w:tc>
          <w:tcPr>
            <w:tcW w:w="77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180" w:type="dxa"/>
            <w:vAlign w:val="bottom"/>
            <w:shd w:val="clear" w:color="auto" w:fill="CCEEFF"/>
          </w:tcPr>
          <w:p>
            <w:pPr>
              <w:spacing w:after="0"/>
              <w:rPr>
                <w:sz w:val="24"/>
                <w:szCs w:val="24"/>
                <w:color w:val="auto"/>
              </w:rPr>
            </w:pPr>
          </w:p>
        </w:tc>
        <w:tc>
          <w:tcPr>
            <w:tcW w:w="7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Limitation on Appraisal Proceedings</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108</w:t>
            </w:r>
          </w:p>
        </w:tc>
        <w:tc>
          <w:tcPr>
            <w:tcW w:w="20" w:type="dxa"/>
            <w:vAlign w:val="bottom"/>
            <w:shd w:val="clear" w:color="auto" w:fill="CCEEFF"/>
          </w:tcPr>
          <w:p>
            <w:pPr>
              <w:spacing w:after="0"/>
              <w:rPr>
                <w:sz w:val="24"/>
                <w:szCs w:val="24"/>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640" w:type="dxa"/>
            <w:vAlign w:val="bottom"/>
            <w:gridSpan w:val="9"/>
          </w:tcPr>
          <w:p>
            <w:pPr>
              <w:ind w:left="180"/>
              <w:spacing w:after="0" w:line="189" w:lineRule="exact"/>
              <w:rPr>
                <w:sz w:val="20"/>
                <w:szCs w:val="20"/>
                <w:color w:val="auto"/>
              </w:rPr>
            </w:pPr>
            <w:r>
              <w:rPr>
                <w:rFonts w:ascii="Times New Roman" w:cs="Times New Roman" w:eastAsia="Times New Roman" w:hAnsi="Times New Roman"/>
                <w:sz w:val="18"/>
                <w:szCs w:val="18"/>
                <w:color w:val="0000EE"/>
              </w:rPr>
              <w:t>Determination of Fair Value</w:t>
            </w:r>
          </w:p>
        </w:tc>
        <w:tc>
          <w:tcPr>
            <w:tcW w:w="4940" w:type="dxa"/>
            <w:vAlign w:val="bottom"/>
            <w:gridSpan w:val="11"/>
          </w:tcPr>
          <w:p>
            <w:pPr>
              <w:spacing w:after="0"/>
              <w:rPr>
                <w:sz w:val="16"/>
                <w:szCs w:val="16"/>
                <w:color w:val="auto"/>
              </w:rPr>
            </w:pP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2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Costs and Expenses</w:t>
            </w:r>
          </w:p>
        </w:tc>
        <w:tc>
          <w:tcPr>
            <w:tcW w:w="6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20"/>
          </w:tcPr>
          <w:p>
            <w:pPr>
              <w:ind w:left="180"/>
              <w:spacing w:after="0" w:line="189" w:lineRule="exact"/>
              <w:rPr>
                <w:sz w:val="20"/>
                <w:szCs w:val="20"/>
                <w:color w:val="auto"/>
              </w:rPr>
            </w:pPr>
            <w:r>
              <w:rPr>
                <w:rFonts w:ascii="Times New Roman" w:cs="Times New Roman" w:eastAsia="Times New Roman" w:hAnsi="Times New Roman"/>
                <w:sz w:val="18"/>
                <w:szCs w:val="18"/>
                <w:color w:val="0000EE"/>
              </w:rPr>
              <w:t>Withdrawal of Demand for Appraisal</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2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Street Name Holders</w:t>
            </w:r>
          </w:p>
        </w:tc>
        <w:tc>
          <w:tcPr>
            <w:tcW w:w="6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MARKET PRICE OF COMMON STOCK</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110</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4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Market Information</w:t>
            </w:r>
          </w:p>
        </w:tc>
        <w:tc>
          <w:tcPr>
            <w:tcW w:w="6160" w:type="dxa"/>
            <w:vAlign w:val="bottom"/>
            <w:gridSpan w:val="15"/>
            <w:shd w:val="clear" w:color="auto" w:fill="CCEEFF"/>
          </w:tcPr>
          <w:p>
            <w:pPr>
              <w:spacing w:after="0"/>
              <w:rPr>
                <w:sz w:val="16"/>
                <w:szCs w:val="16"/>
                <w:color w:val="auto"/>
              </w:rPr>
            </w:pPr>
          </w:p>
        </w:tc>
        <w:tc>
          <w:tcPr>
            <w:tcW w:w="6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4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Dividends</w:t>
            </w:r>
          </w:p>
        </w:tc>
        <w:tc>
          <w:tcPr>
            <w:tcW w:w="6160" w:type="dxa"/>
            <w:vAlign w:val="bottom"/>
            <w:gridSpan w:val="15"/>
          </w:tcPr>
          <w:p>
            <w:pPr>
              <w:spacing w:after="0"/>
              <w:rPr>
                <w:sz w:val="16"/>
                <w:szCs w:val="16"/>
                <w:color w:val="auto"/>
              </w:rPr>
            </w:pP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2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0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3"/>
            <w:shd w:val="clear" w:color="auto" w:fill="CCEEFF"/>
          </w:tcPr>
          <w:p>
            <w:pPr>
              <w:spacing w:after="0"/>
              <w:rPr>
                <w:sz w:val="19"/>
                <w:szCs w:val="19"/>
                <w:color w:val="auto"/>
              </w:rPr>
            </w:pPr>
          </w:p>
        </w:tc>
        <w:tc>
          <w:tcPr>
            <w:tcW w:w="26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111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WHERE STOCKHOLDERS CAN FIND MORE INFORMATION</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1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FUTURE STOCKHOLDER PROPOSALS</w:t>
            </w:r>
          </w:p>
        </w:tc>
        <w:tc>
          <w:tcPr>
            <w:tcW w:w="4640" w:type="dxa"/>
            <w:vAlign w:val="bottom"/>
            <w:gridSpan w:val="8"/>
            <w:shd w:val="clear" w:color="auto" w:fill="CCEEFF"/>
          </w:tcPr>
          <w:p>
            <w:pPr>
              <w:spacing w:after="0"/>
              <w:rPr>
                <w:sz w:val="16"/>
                <w:szCs w:val="16"/>
                <w:color w:val="auto"/>
              </w:rPr>
            </w:pPr>
          </w:p>
        </w:tc>
        <w:tc>
          <w:tcPr>
            <w:tcW w:w="6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1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HOUSEHOLDING</w:t>
            </w:r>
          </w:p>
        </w:tc>
        <w:tc>
          <w:tcPr>
            <w:tcW w:w="4640" w:type="dxa"/>
            <w:vAlign w:val="bottom"/>
            <w:gridSpan w:val="8"/>
          </w:tcPr>
          <w:p>
            <w:pPr>
              <w:spacing w:after="0"/>
              <w:rPr>
                <w:sz w:val="16"/>
                <w:szCs w:val="16"/>
                <w:color w:val="auto"/>
              </w:rPr>
            </w:pP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APPENDIX A – Agreement and Plan of Merger</w:t>
            </w:r>
          </w:p>
        </w:tc>
        <w:tc>
          <w:tcPr>
            <w:tcW w:w="4280" w:type="dxa"/>
            <w:vAlign w:val="bottom"/>
            <w:gridSpan w:val="7"/>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APPENDIX B-1 – Form of Voting and Support Agreement (Director and Officer Form)</w:t>
            </w:r>
          </w:p>
        </w:tc>
        <w:tc>
          <w:tcPr>
            <w:tcW w:w="220" w:type="dxa"/>
            <w:vAlign w:val="bottom"/>
          </w:tcPr>
          <w:p>
            <w:pPr>
              <w:spacing w:after="0"/>
              <w:rPr>
                <w:sz w:val="16"/>
                <w:szCs w:val="16"/>
                <w:color w:val="auto"/>
              </w:rPr>
            </w:pPr>
          </w:p>
        </w:tc>
        <w:tc>
          <w:tcPr>
            <w:tcW w:w="4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B-1-1</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7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APPENDIX B-2 – Form of Voting and Support Agreement (Stockholder Form)</w:t>
            </w:r>
          </w:p>
        </w:tc>
        <w:tc>
          <w:tcPr>
            <w:tcW w:w="2040" w:type="dxa"/>
            <w:vAlign w:val="bottom"/>
            <w:gridSpan w:val="3"/>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B-2-1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7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APPENDIX C – Opinion of Robert W. Baird &amp; Co. Incorporated</w:t>
            </w:r>
          </w:p>
        </w:tc>
        <w:tc>
          <w:tcPr>
            <w:tcW w:w="2040" w:type="dxa"/>
            <w:vAlign w:val="bottom"/>
            <w:gridSpan w:val="3"/>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C-1</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APPENDIX D – Section 262 of the Delaware General Corporation Law</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D-1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summary, together with the following section of this proxy statement entitled “Questions and Answers About the Special Meeting and the Merger,” highlights selected information from this proxy statement and may not contain all of the information that is important to you as a holder of Common Stock or that you should consider before voting on the Merger Proposal. To better understand the Merger Proposal, you should read this proxy statement, including its appendices and the other documents incorporated by reference herein, carefully and in its entirety. Each item in this summary includes a page reference directing you to a more complete description of that topic. You may obtain the documents and information incorporated by reference into this proxy statement without charge by following the instructions under “Where Stockholders Can Find More Information” beginning on page </w:t>
      </w:r>
      <w:r>
        <w:rPr>
          <w:rFonts w:ascii="Times New Roman" w:cs="Times New Roman" w:eastAsia="Times New Roman" w:hAnsi="Times New Roman"/>
          <w:sz w:val="18"/>
          <w:szCs w:val="18"/>
          <w:i w:val="1"/>
          <w:iCs w:val="1"/>
          <w:u w:val="single" w:color="auto"/>
          <w:color w:val="0000EE"/>
        </w:rPr>
        <w:t>113</w:t>
      </w:r>
      <w:r>
        <w:rPr>
          <w:rFonts w:ascii="Times New Roman" w:cs="Times New Roman" w:eastAsia="Times New Roman" w:hAnsi="Times New Roman"/>
          <w:sz w:val="18"/>
          <w:szCs w:val="18"/>
          <w:i w:val="1"/>
          <w:iCs w:val="1"/>
          <w:color w:val="auto"/>
        </w:rPr>
        <w:t xml:space="preserve"> of this proxy statement. The Merger Agreement is attached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i w:val="1"/>
          <w:iCs w:val="1"/>
          <w:color w:val="auto"/>
        </w:rPr>
        <w:t xml:space="preserve"> to this proxy statement and is incorporated by reference herein.</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Parties Involved in the Merger (page </w:t>
      </w:r>
      <w:r>
        <w:rPr>
          <w:rFonts w:ascii="Times New Roman" w:cs="Times New Roman" w:eastAsia="Times New Roman" w:hAnsi="Times New Roman"/>
          <w:sz w:val="18"/>
          <w:szCs w:val="18"/>
          <w:b w:val="1"/>
          <w:bCs w:val="1"/>
          <w:u w:val="single" w:color="auto"/>
          <w:color w:val="0000EE"/>
        </w:rPr>
        <w:t>32</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Mistras Group, Inc.</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195 Clarksville Road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Princeton Junction, New Jersey 08550</w:t>
      </w:r>
    </w:p>
    <w:p>
      <w:pPr>
        <w:spacing w:after="0" w:line="9" w:lineRule="exact"/>
        <w:rPr>
          <w:sz w:val="20"/>
          <w:szCs w:val="20"/>
          <w:color w:val="auto"/>
        </w:rPr>
      </w:pPr>
    </w:p>
    <w:p>
      <w:pPr>
        <w:ind w:left="320" w:right="6999" w:hanging="10"/>
        <w:spacing w:after="0" w:line="290" w:lineRule="auto"/>
        <w:tabs>
          <w:tab w:leader="none" w:pos="7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716-4000 www.mistrasgroup.com</w:t>
      </w:r>
    </w:p>
    <w:p>
      <w:pPr>
        <w:spacing w:after="0" w:line="49" w:lineRule="exact"/>
        <w:rPr>
          <w:sz w:val="20"/>
          <w:szCs w:val="20"/>
          <w:color w:val="auto"/>
        </w:rPr>
      </w:pPr>
    </w:p>
    <w:p>
      <w:pPr>
        <w:ind w:left="320" w:right="339" w:firstLine="360"/>
        <w:spacing w:after="0" w:line="253" w:lineRule="auto"/>
        <w:rPr>
          <w:sz w:val="20"/>
          <w:szCs w:val="20"/>
          <w:color w:val="auto"/>
        </w:rPr>
      </w:pPr>
      <w:r>
        <w:rPr>
          <w:rFonts w:ascii="Times New Roman" w:cs="Times New Roman" w:eastAsia="Times New Roman" w:hAnsi="Times New Roman"/>
          <w:sz w:val="18"/>
          <w:szCs w:val="18"/>
          <w:color w:val="auto"/>
        </w:rPr>
        <w:t>Mistras Group, Inc., a Delaware corporation, is a global leader in technology-enabled industrial asset integrity and laboratory testing solutions, serving critical industries including oil and gas, aerospace and defense, power and utilities, manufacturing, and civil infrastructure. We provide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Our core capabilities include non-destructive testing field inspections enhanced by advanced robotics, laboratory quality control, laboratory materials services, in-house laboratory assurance testing, sensing technologies and non-destructive testing equipment, asset and mechanical integrity engineering services, and light mechanical maintenance and access services. We operate through three reportable segments: North America, International, and Products and Systems.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“MG.”</w:t>
      </w:r>
    </w:p>
    <w:p>
      <w:pPr>
        <w:spacing w:after="0" w:line="117"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195 Clarksville Road, Princeton Junction, New Jersey 08550, and our telephone number is (609) 716-4000. For more information about the Company, please visit our website, www.mistrasgroup.com. Our website address is provided as an inactive textual reference only. The information contained on our website is not incorporated into, and does not form a part of, this proxy statement or any other report or document on file with, or furnished to, the Securities and Exchange Commission (“SEC”). See “Where Stockholders Can Find More Information”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 xml:space="preserve"> of this proxy statement.</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Athena Purchaser, LLC</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 H.I.G. Capital, LLC</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1450 Brickell Avenue, 31st Floor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(305) 379-2322</w:t>
      </w:r>
    </w:p>
    <w:p>
      <w:pPr>
        <w:spacing w:after="0" w:line="99" w:lineRule="exact"/>
        <w:rPr>
          <w:sz w:val="20"/>
          <w:szCs w:val="20"/>
          <w:color w:val="auto"/>
        </w:rPr>
      </w:pPr>
    </w:p>
    <w:p>
      <w:pPr>
        <w:ind w:left="320" w:right="359" w:firstLine="360"/>
        <w:spacing w:after="0" w:line="266" w:lineRule="auto"/>
        <w:rPr>
          <w:sz w:val="20"/>
          <w:szCs w:val="20"/>
          <w:color w:val="auto"/>
        </w:rPr>
      </w:pPr>
      <w:r>
        <w:rPr>
          <w:rFonts w:ascii="Times New Roman" w:cs="Times New Roman" w:eastAsia="Times New Roman" w:hAnsi="Times New Roman"/>
          <w:sz w:val="18"/>
          <w:szCs w:val="18"/>
          <w:color w:val="auto"/>
        </w:rPr>
        <w:t>Athena Purchaser, LLC, a Delaware limited liability company (“Parent”), was formed solely for the purpose of entering into the Merger Agreement and, subject to the terms and conditions thereof, completing the transactions contemplated by the Merger Agreement and the related financing transactions.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is controlled by funds affiliated with H.I.G. Capital, LLC (“H.I.G.”).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H.I.G. is a leading global alternative investment firm with $75 billion of capital under management. H.I.G.</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specializes in providing both debt and equity capital to companies across a broad range of industries.</w:t>
      </w:r>
    </w:p>
    <w:p>
      <w:pPr>
        <w:spacing w:after="0" w:line="99" w:lineRule="exact"/>
        <w:rPr>
          <w:sz w:val="20"/>
          <w:szCs w:val="20"/>
          <w:color w:val="auto"/>
        </w:rPr>
      </w:pPr>
    </w:p>
    <w:p>
      <w:pPr>
        <w:ind w:left="320" w:right="399" w:firstLine="360"/>
        <w:spacing w:after="0" w:line="281" w:lineRule="auto"/>
        <w:rPr>
          <w:sz w:val="20"/>
          <w:szCs w:val="20"/>
          <w:color w:val="auto"/>
        </w:rPr>
      </w:pPr>
      <w:r>
        <w:rPr>
          <w:rFonts w:ascii="Times New Roman" w:cs="Times New Roman" w:eastAsia="Times New Roman" w:hAnsi="Times New Roman"/>
          <w:sz w:val="17"/>
          <w:szCs w:val="17"/>
          <w:color w:val="auto"/>
        </w:rPr>
        <w:t xml:space="preserve">At the Effective Time (as defined in “The Merger Agreement—Closing of the Merger; Filing and Effective Time of the Merger” beginning on page </w:t>
      </w:r>
      <w:r>
        <w:rPr>
          <w:rFonts w:ascii="Times New Roman" w:cs="Times New Roman" w:eastAsia="Times New Roman" w:hAnsi="Times New Roman"/>
          <w:sz w:val="17"/>
          <w:szCs w:val="17"/>
          <w:u w:val="single" w:color="auto"/>
          <w:color w:val="0000EE"/>
        </w:rPr>
        <w:t>78</w:t>
      </w:r>
      <w:r>
        <w:rPr>
          <w:rFonts w:ascii="Times New Roman" w:cs="Times New Roman" w:eastAsia="Times New Roman" w:hAnsi="Times New Roman"/>
          <w:sz w:val="17"/>
          <w:szCs w:val="17"/>
          <w:color w:val="auto"/>
        </w:rPr>
        <w:t xml:space="preserve"> of this proxy statement), the Company, as the Surviving Corporation (as defined in “The Merger Agreement—Effects of the Merger; Directors and Officers; Certificate of Incorporation; Bylaws” beginning on page </w:t>
      </w:r>
      <w:r>
        <w:rPr>
          <w:rFonts w:ascii="Times New Roman" w:cs="Times New Roman" w:eastAsia="Times New Roman" w:hAnsi="Times New Roman"/>
          <w:sz w:val="17"/>
          <w:szCs w:val="17"/>
          <w:u w:val="single" w:color="auto"/>
          <w:color w:val="0000EE"/>
        </w:rPr>
        <w:t>77</w:t>
      </w:r>
      <w:r>
        <w:rPr>
          <w:rFonts w:ascii="Times New Roman" w:cs="Times New Roman" w:eastAsia="Times New Roman" w:hAnsi="Times New Roman"/>
          <w:sz w:val="17"/>
          <w:szCs w:val="17"/>
          <w:color w:val="auto"/>
        </w:rPr>
        <w:t xml:space="preserve"> of this proxy statement), will be indirectly owned by funds affiliated with H.I.G.</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Athena Merger Sub, Inc.</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 H.I.G. Capital, LLC</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1450 Brickell Avenue, 31st Floor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(305) 379-2322</w:t>
      </w:r>
    </w:p>
    <w:p>
      <w:pPr>
        <w:spacing w:after="0" w:line="99" w:lineRule="exact"/>
        <w:rPr>
          <w:sz w:val="20"/>
          <w:szCs w:val="20"/>
          <w:color w:val="auto"/>
        </w:rPr>
      </w:pPr>
    </w:p>
    <w:p>
      <w:pPr>
        <w:ind w:left="320" w:right="439" w:firstLine="360"/>
        <w:spacing w:after="0" w:line="258" w:lineRule="auto"/>
        <w:rPr>
          <w:sz w:val="20"/>
          <w:szCs w:val="20"/>
          <w:color w:val="auto"/>
        </w:rPr>
      </w:pPr>
      <w:r>
        <w:rPr>
          <w:rFonts w:ascii="Times New Roman" w:cs="Times New Roman" w:eastAsia="Times New Roman" w:hAnsi="Times New Roman"/>
          <w:sz w:val="18"/>
          <w:szCs w:val="18"/>
          <w:color w:val="auto"/>
        </w:rPr>
        <w:t>Athena Merger Sub, Inc. (“Acquisition Sub”) is a Delaware corporation and a wholly owned subsidiary of Parent that was formed solely for the purpose of entering into the Merger Agreement and completing the transactions contemplated thereby and the related financing transactions. Upon consummation of the merger of Acquisition Sub with and into the Company in accordance with the Merger Agreement, Acquisition Sub will cease to exist, and the Company will survive the Merger as a wholly owned subsidiary of Parent.</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Special Meeting (page </w:t>
      </w:r>
      <w:r>
        <w:rPr>
          <w:rFonts w:ascii="Times New Roman" w:cs="Times New Roman" w:eastAsia="Times New Roman" w:hAnsi="Times New Roman"/>
          <w:sz w:val="18"/>
          <w:szCs w:val="18"/>
          <w:b w:val="1"/>
          <w:bCs w:val="1"/>
          <w:u w:val="single" w:color="auto"/>
          <w:color w:val="0000EE"/>
        </w:rPr>
        <w:t>25</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Meeting will be held on November 24, 2026, at 9:00 a.m. Eastern Time.</w:t>
      </w:r>
    </w:p>
    <w:p>
      <w:pPr>
        <w:spacing w:after="0" w:line="117" w:lineRule="exact"/>
        <w:rPr>
          <w:sz w:val="20"/>
          <w:szCs w:val="20"/>
          <w:color w:val="auto"/>
        </w:rPr>
      </w:pPr>
    </w:p>
    <w:p>
      <w:pPr>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The Special Meeting will be held in a virtual meeting format only, via the Internet, with no physical in-person meeting. You will be able to attend and participate in the Special Meeting by visiting www.virtualshareholdermeeting.com/MG2026SM (the “Virtual Special Meeting Website”) where you will be able to submit questions and, if you are a stockholder of record (or hold a legal proxy from your broker, bank or other nominee), vote electronically. Please have your control number to access the Special Meeting webcast. The control number appears on the proxy card or in the instructions that accompanied your proxy materials. Instructions on how to attend and participate via the Internet, including how to demonstrate proof of stock ownership, are posted at www.proxyvote.com.</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Record Date; Shares Entitled to Vote</w:t>
      </w:r>
    </w:p>
    <w:p>
      <w:pPr>
        <w:spacing w:after="0" w:line="121" w:lineRule="exact"/>
        <w:rPr>
          <w:sz w:val="20"/>
          <w:szCs w:val="20"/>
          <w:color w:val="auto"/>
        </w:rPr>
      </w:pPr>
    </w:p>
    <w:p>
      <w:pPr>
        <w:ind w:left="320" w:right="459" w:firstLine="360"/>
        <w:spacing w:after="0" w:line="266" w:lineRule="auto"/>
        <w:rPr>
          <w:sz w:val="20"/>
          <w:szCs w:val="20"/>
          <w:color w:val="auto"/>
        </w:rPr>
      </w:pPr>
      <w:r>
        <w:rPr>
          <w:rFonts w:ascii="Times New Roman" w:cs="Times New Roman" w:eastAsia="Times New Roman" w:hAnsi="Times New Roman"/>
          <w:sz w:val="18"/>
          <w:szCs w:val="18"/>
          <w:color w:val="auto"/>
        </w:rPr>
        <w:t>You are entitled to vote at the Special Meeting if you owned shares of Common Stock at the close of business on October 19, 2026, which we refer to as the “Record Date.” You will have one vote at the Special Meeting for each share of Common Stock you own at the close of business on the Record Date.</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320" w:right="459" w:firstLine="360"/>
        <w:spacing w:after="0" w:line="282" w:lineRule="auto"/>
        <w:rPr>
          <w:sz w:val="20"/>
          <w:szCs w:val="20"/>
          <w:color w:val="auto"/>
        </w:rPr>
      </w:pPr>
      <w:r>
        <w:rPr>
          <w:rFonts w:ascii="Times New Roman" w:cs="Times New Roman" w:eastAsia="Times New Roman" w:hAnsi="Times New Roman"/>
          <w:sz w:val="18"/>
          <w:szCs w:val="18"/>
          <w:color w:val="auto"/>
        </w:rPr>
        <w:t>At the Special Meeting, we will ask our stockholders of record as of the Record Date to vote on the following proposals:</w:t>
      </w:r>
    </w:p>
    <w:p>
      <w:pPr>
        <w:spacing w:after="0" w:line="54" w:lineRule="exact"/>
        <w:rPr>
          <w:sz w:val="20"/>
          <w:szCs w:val="20"/>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Merger Agreement;</w:t>
      </w:r>
    </w:p>
    <w:p>
      <w:pPr>
        <w:spacing w:after="0" w:line="117" w:lineRule="exact"/>
        <w:rPr>
          <w:rFonts w:ascii="Times New Roman" w:cs="Times New Roman" w:eastAsia="Times New Roman" w:hAnsi="Times New Roman"/>
          <w:sz w:val="18"/>
          <w:szCs w:val="18"/>
          <w:color w:val="auto"/>
        </w:rPr>
      </w:pPr>
    </w:p>
    <w:p>
      <w:pPr>
        <w:jc w:val="both"/>
        <w:ind w:left="1020" w:right="53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to a later date or dates if necessary or appropriate to solicit additional proxies if there are insufficient votes to adopt the Merger Agreement at the time of the Special Meeting; and</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certain compensation that will or may become payable to our named executive officers in connection with the Merger.</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As of the Record Date, there were 31,867,074 shares of Common Stock outstanding and entitled to be voted at the Special Meeting. 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 As a result, 15,933,538 shares of Common Stock must be present by attendance via the Virtual Special Meeting Website or represented by proxy to constitute a quorum. Shares that abstain on one or more of the proposals to be considered at the Special Meeting will be counted as present for purposes of determining the existence of a quorum.</w:t>
      </w:r>
    </w:p>
    <w:p>
      <w:pPr>
        <w:spacing w:after="0" w:line="81" w:lineRule="exact"/>
        <w:rPr>
          <w:sz w:val="20"/>
          <w:szCs w:val="20"/>
          <w:color w:val="auto"/>
        </w:rPr>
      </w:pPr>
    </w:p>
    <w:p>
      <w:pPr>
        <w:ind w:left="320" w:right="399" w:firstLine="360"/>
        <w:spacing w:after="0" w:line="266" w:lineRule="auto"/>
        <w:rPr>
          <w:sz w:val="20"/>
          <w:szCs w:val="20"/>
          <w:color w:val="auto"/>
        </w:rPr>
      </w:pPr>
      <w:r>
        <w:rPr>
          <w:rFonts w:ascii="Times New Roman" w:cs="Times New Roman" w:eastAsia="Times New Roman" w:hAnsi="Times New Roman"/>
          <w:sz w:val="18"/>
          <w:szCs w:val="18"/>
          <w:color w:val="auto"/>
        </w:rPr>
        <w:t>Because each of the Merger Proposal, the Adjournment Proposal and the Compensation Proposal is a “non-routine” matter, a broker, bank or other nominee that does not receive voting instructions from the beneficial owner with respect to any of the proposals will have no discretionary authority to vote those shares on any matter,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39"/>
        <w:spacing w:after="0" w:line="266" w:lineRule="auto"/>
        <w:rPr>
          <w:sz w:val="20"/>
          <w:szCs w:val="20"/>
          <w:color w:val="auto"/>
        </w:rPr>
      </w:pPr>
      <w:r>
        <w:rPr>
          <w:rFonts w:ascii="Times New Roman" w:cs="Times New Roman" w:eastAsia="Times New Roman" w:hAnsi="Times New Roman"/>
          <w:sz w:val="18"/>
          <w:szCs w:val="18"/>
          <w:color w:val="auto"/>
        </w:rPr>
        <w:t>and those shares will not be counted as present at the Special Meeting for quorum purposes. Shares for which a broker, bank or other nominee receives voting instructions with respect to one or more, but not all, of the proposals will be counted as present at the Special Meeting for quorum purposes.</w:t>
      </w:r>
    </w:p>
    <w:p>
      <w:pPr>
        <w:spacing w:after="0" w:line="68"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If a quorum is not present at the Special Meeting, the Company’s Amended and Restated Bylaws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If the adjournment is for more than 30 days, or if after the adjournment a new record date is fixed for the adjourned meeting, notice of the adjourned meeting will be given to each stockholder of record entitled to vote at the adjourned meeting. An adjournment for lack of a quorum does not require approval of the Adjournment Proposal.</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shares of Common Stock outstanding as of the Record Date and entitled to vote on the matter. Approval of the Adjournment Proposal and the Compensation Proposal requires the affirmative vote of the holders of a majority of the voting power of the shares of Common Stock present, by attendance via the Virtual Special Meeting Website, or represented by proxy at the Special Meeting and entitled to vote on the Adjournment Proposal and the Compensation Proposal, at a meeting at which a quorum is present. 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and Interests of Certain Persons</w:t>
      </w:r>
    </w:p>
    <w:p>
      <w:pPr>
        <w:spacing w:after="0" w:line="121" w:lineRule="exact"/>
        <w:rPr>
          <w:sz w:val="20"/>
          <w:szCs w:val="20"/>
          <w:color w:val="auto"/>
        </w:rPr>
      </w:pPr>
    </w:p>
    <w:p>
      <w:pPr>
        <w:ind w:left="320" w:right="759" w:firstLine="360"/>
        <w:spacing w:after="0" w:line="312" w:lineRule="auto"/>
        <w:rPr>
          <w:sz w:val="20"/>
          <w:szCs w:val="20"/>
          <w:color w:val="auto"/>
        </w:rPr>
      </w:pPr>
      <w:r>
        <w:rPr>
          <w:rFonts w:ascii="Times New Roman" w:cs="Times New Roman" w:eastAsia="Times New Roman" w:hAnsi="Times New Roman"/>
          <w:sz w:val="17"/>
          <w:szCs w:val="17"/>
          <w:color w:val="auto"/>
        </w:rPr>
        <w:t>As of the Record Date, our directors and executive officers beneficially owned an aggregate of 2,308,966 shares of Common Stock, representing approximately 7.2% of the outstanding shares of Common Stock.</w:t>
      </w:r>
    </w:p>
    <w:p>
      <w:pPr>
        <w:spacing w:after="0" w:line="32" w:lineRule="exact"/>
        <w:rPr>
          <w:sz w:val="20"/>
          <w:szCs w:val="20"/>
          <w:color w:val="auto"/>
        </w:rPr>
      </w:pPr>
    </w:p>
    <w:p>
      <w:pPr>
        <w:ind w:left="320" w:right="579" w:firstLine="360"/>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have informed us that they currently intend to vote all of their shares of Common Stock: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(iii)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w:t>
      </w:r>
    </w:p>
    <w:p>
      <w:pPr>
        <w:spacing w:after="0" w:line="68"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On September 17, 2026, in connection with the execution of the Merger Agreement, Parent entered into voting and support agreements (the “Voting Agreements”) with each of our directors and named executive officers and certain stockholders affiliated with the family of the Company’s late founder, Dr. Sotirios J. Vahaviolos (collectively, the “Voting Agreement Stockholders” and, each, a “Voting Agreement Stockholder”), pursuant to which the Voting Agreement Stockholders have agreed to, among other things, and subject to certain conditions, vote, or cause to be voted, shares of Common Stock representing approximately 29.0% of the outstanding shares of Common Stock as of October 19, 2026, in favor of the Merger Proposal. For more information, please see “The Merger—Interests of the Directors and Executive Officers of the Company in the Merger” and “The Merger—Voting Agreements” beginning on pages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of this proxy statement, respectively.</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Voting of Proxies (page </w:t>
      </w:r>
      <w:r>
        <w:rPr>
          <w:rFonts w:ascii="Times New Roman" w:cs="Times New Roman" w:eastAsia="Times New Roman" w:hAnsi="Times New Roman"/>
          <w:sz w:val="18"/>
          <w:szCs w:val="18"/>
          <w:b w:val="1"/>
          <w:bCs w:val="1"/>
          <w:u w:val="single" w:color="auto"/>
          <w:color w:val="0000EE"/>
        </w:rPr>
        <w:t>27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59" w:firstLine="360"/>
        <w:spacing w:after="0" w:line="253" w:lineRule="auto"/>
        <w:rPr>
          <w:sz w:val="20"/>
          <w:szCs w:val="20"/>
          <w:color w:val="auto"/>
        </w:rPr>
      </w:pPr>
      <w:r>
        <w:rPr>
          <w:rFonts w:ascii="Times New Roman" w:cs="Times New Roman" w:eastAsia="Times New Roman" w:hAnsi="Times New Roman"/>
          <w:sz w:val="18"/>
          <w:szCs w:val="18"/>
          <w:color w:val="auto"/>
        </w:rPr>
        <w:t>Any stockholder of record entitled to vote at the Special Meeting may submit a proxy by returning a signed proxy card by mail or granting a proxy electronically over the Internet or by telephone or may attend the Special Meeting to vote via the Virtual Special Meeting Website. If you are a beneficial owner and hold your shares of Common Stock in “street name” through a broker, bank or other nominee, you should instruct your broker, bank or other nominee on how you wish to vote your shares of Common Stock using the instructions provided by your broker, bank or other nominee. Under applicable stock exchange rules, brokers, banks or other nominees have the discretion to vote your shares on routine matters if you fail to instruct your broker, bank or other nominee on how to vote your shares with respect to such matters. The proposals in this proxy statement are non-routine matters, and brokers, banks and other nominees therefore cannot vote on these proposals without your instructions. A “broker non-vote” occurs when a broker, bank or other nominee submits a proxy for shares held in “street name” but does not vote on a particular proposal because it has not received voting instructions on that proposal and lacks discretionary authority to vote on it. Because none of the proposals is a routine matter, broker non-votes are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61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spacing w:after="0" w:line="258" w:lineRule="auto"/>
        <w:rPr>
          <w:sz w:val="20"/>
          <w:szCs w:val="20"/>
          <w:color w:val="auto"/>
        </w:rPr>
      </w:pPr>
      <w:r>
        <w:rPr>
          <w:rFonts w:ascii="Times New Roman" w:cs="Times New Roman" w:eastAsia="Times New Roman" w:hAnsi="Times New Roman"/>
          <w:sz w:val="18"/>
          <w:szCs w:val="18"/>
          <w:color w:val="auto"/>
        </w:rPr>
        <w:t>expected to arise only if a beneficial owner provides voting instructions on one or more, but not all, of the proposals; if you provide no voting instructions, your shares will not be represented at the Special Meeting. Therefore, it is important that you instruct your broker, bank or other nominee on how you wish to vote your shares of Common Stock for each proposal or that you obtain from such broker, bank or other nominee a valid proxy issued in your name and vote at the Special Meeting.</w:t>
      </w:r>
    </w:p>
    <w:p>
      <w:pPr>
        <w:spacing w:after="0" w:line="75" w:lineRule="exact"/>
        <w:rPr>
          <w:sz w:val="20"/>
          <w:szCs w:val="20"/>
          <w:color w:val="auto"/>
        </w:rPr>
      </w:pPr>
    </w:p>
    <w:p>
      <w:pPr>
        <w:ind w:left="320" w:right="419" w:firstLine="360"/>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you may change your vote or revoke your proxy at any time before it is voted at the Special Meeting by (i) submitting a new proxy bearing a later date over the Internet or by telephone by the applicable deadline or by mail so that it is received by 11:59 p.m. Eastern Time on the day before the Special Meeting, (ii) delivering a written notice of revocation so that it is received by our Secretary by 11:59 p.m.</w:t>
      </w:r>
    </w:p>
    <w:p>
      <w:pPr>
        <w:spacing w:after="0" w:line="3" w:lineRule="exact"/>
        <w:rPr>
          <w:sz w:val="20"/>
          <w:szCs w:val="20"/>
          <w:color w:val="auto"/>
        </w:rPr>
      </w:pPr>
    </w:p>
    <w:p>
      <w:pPr>
        <w:ind w:left="320" w:right="379"/>
        <w:spacing w:after="0" w:line="253" w:lineRule="auto"/>
        <w:rPr>
          <w:sz w:val="20"/>
          <w:szCs w:val="20"/>
          <w:color w:val="auto"/>
        </w:rPr>
      </w:pPr>
      <w:r>
        <w:rPr>
          <w:rFonts w:ascii="Times New Roman" w:cs="Times New Roman" w:eastAsia="Times New Roman" w:hAnsi="Times New Roman"/>
          <w:sz w:val="18"/>
          <w:szCs w:val="18"/>
          <w:color w:val="auto"/>
        </w:rPr>
        <w:t xml:space="preserve">Eastern Time on the day before the Special Meeting or (iii) attending the Special Meeting and voting via the Virtual Special Meeting Website, pursuant to the instructions set forth in “The Special Meeting—Revocability of Proxies” beginning on 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of this proxy statement. If you hold your shares of Common Stock in “street name,” you should contact your broker, bank or other nominee for instructions regarding how to change your vote.</w:t>
      </w:r>
    </w:p>
    <w:p>
      <w:pPr>
        <w:spacing w:after="0" w:line="8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The failure of any stockholder of record to submit a proxy or to vote at the Special Meeting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will have no effect on the Adjournment Proposal and Compensation Proposal. If you sign, date and return your proxy card without indicating how you wish to vote on the Merger Proposal,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If you hold your shares of Common Stock in “street name,” the failure to instruct your broker, bank or other nominee on how to vote your shares on any of the proposals (a broker non-vote)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but, assuming a quorum is present, will have no effect on the outcome of any vote on the Adjournment Proposal or the Compensation Proposal.</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Expenses of Proxy Solicitation (page </w:t>
      </w:r>
      <w:r>
        <w:rPr>
          <w:rFonts w:ascii="Times New Roman" w:cs="Times New Roman" w:eastAsia="Times New Roman" w:hAnsi="Times New Roman"/>
          <w:sz w:val="18"/>
          <w:szCs w:val="18"/>
          <w:b w:val="1"/>
          <w:bCs w:val="1"/>
          <w:u w:val="single" w:color="auto"/>
          <w:color w:val="0000EE"/>
        </w:rPr>
        <w:t>28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53" w:lineRule="auto"/>
        <w:rPr>
          <w:sz w:val="20"/>
          <w:szCs w:val="20"/>
          <w:color w:val="auto"/>
        </w:rPr>
      </w:pPr>
      <w:r>
        <w:rPr>
          <w:rFonts w:ascii="Times New Roman" w:cs="Times New Roman" w:eastAsia="Times New Roman" w:hAnsi="Times New Roman"/>
          <w:sz w:val="18"/>
          <w:szCs w:val="18"/>
          <w:color w:val="auto"/>
        </w:rPr>
        <w:t>The Board is soliciting your proxy, and the Company will bear the cost of soliciting proxies. We have engaged the services of D.F. King &amp; Co., Inc. (“D.F. King”) to solicit proxies for the Special Meeting. In connection with its retention, D.F. King has agreed to provide consulting, analytic and proxy solicitation services in connection with the Special Meeting. We have agreed to pay D.F. King a one-time fee of $12,500 and a monthly fee of $3,500, plus reasonable and documented out-of-pocket expenses, for its services, and we will indemnify D.F. King for certain losses arising out of its proxy solicitation services. In addition to the solicitation of proxies by mail, proxies may be solicited by our directors, officers and employees, or representatives of D.F. King, in person or by telephone, email or other means of communication, and we may pay persons holding shares of Common Stock on behalf of others their expenses for sending proxy materials to their principals. No additional compensation will be paid to our directors, officers or employees for their services in connection with solicitation of proxies.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Certain Effects of the Merger on the Company (page </w:t>
      </w:r>
      <w:r>
        <w:rPr>
          <w:rFonts w:ascii="Times New Roman" w:cs="Times New Roman" w:eastAsia="Times New Roman" w:hAnsi="Times New Roman"/>
          <w:sz w:val="18"/>
          <w:szCs w:val="18"/>
          <w:b w:val="1"/>
          <w:bCs w:val="1"/>
          <w:u w:val="single" w:color="auto"/>
          <w:color w:val="0000EE"/>
        </w:rPr>
        <w:t>33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Upon the terms and subject to the conditions of the Merger Agreement, Acquisition Sub will merge with and into the Company, with the Company continuing as the Surviving Corporation as a wholly owned subsidiary of Parent. As a result of the Merger, the Company will cease to be a publicly traded company and will cease to be listed on the New York Stock Exchange (“NYSE”). If the Merger is completed, you will not own any shares of the capital stock of the Surviving Corporation, and instead will only be entitled to receive $20.35 per share in cash (the “Merger Consideration”), except that if you are entitled to and have properly demanded statutory appraisal for your shares in accordance with, and have complied in all respects with, Section 262 of the General Corporation Law of the State of Delaware, as amended (the “DGCL”), and such demand is not effectively withdrawn or lost, you will be entitled only to those rights granted under Section 262 of the DGCL as described in “Appraisal Rights” beginning on page </w:t>
      </w:r>
      <w:r>
        <w:rPr>
          <w:rFonts w:ascii="Times New Roman" w:cs="Times New Roman" w:eastAsia="Times New Roman" w:hAnsi="Times New Roman"/>
          <w:sz w:val="17"/>
          <w:szCs w:val="17"/>
          <w:u w:val="single" w:color="auto"/>
          <w:color w:val="0000EE"/>
        </w:rPr>
        <w:t>107</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of this proxy statement 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00"/>
        </w:rPr>
        <w:t>Appendix 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to this proxy statement, which is incorporated by reference herein.</w:t>
      </w:r>
    </w:p>
    <w:p>
      <w:pPr>
        <w:spacing w:after="0" w:line="69" w:lineRule="exact"/>
        <w:rPr>
          <w:sz w:val="20"/>
          <w:szCs w:val="20"/>
          <w:color w:val="auto"/>
        </w:rPr>
      </w:pPr>
    </w:p>
    <w:p>
      <w:pPr>
        <w:jc w:val="both"/>
        <w:ind w:left="320" w:right="419" w:firstLine="360"/>
        <w:spacing w:after="0" w:line="266" w:lineRule="auto"/>
        <w:rPr>
          <w:sz w:val="20"/>
          <w:szCs w:val="20"/>
          <w:color w:val="auto"/>
        </w:rPr>
      </w:pPr>
      <w:r>
        <w:rPr>
          <w:rFonts w:ascii="Times New Roman" w:cs="Times New Roman" w:eastAsia="Times New Roman" w:hAnsi="Times New Roman"/>
          <w:sz w:val="18"/>
          <w:szCs w:val="18"/>
          <w:color w:val="auto"/>
        </w:rPr>
        <w:t>The Effective Time will occur upon the filing of a certificate of merger with the Secretary of State of the State of Delaware, or such later date and time as is agreed upon by the parties to the Merger Agreement and specified in such certificate of merger.</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Effect on the Company if the Merger is Not Completed (page </w:t>
      </w:r>
      <w:r>
        <w:rPr>
          <w:rFonts w:ascii="Times New Roman" w:cs="Times New Roman" w:eastAsia="Times New Roman" w:hAnsi="Times New Roman"/>
          <w:sz w:val="18"/>
          <w:szCs w:val="18"/>
          <w:b w:val="1"/>
          <w:bCs w:val="1"/>
          <w:u w:val="single" w:color="auto"/>
          <w:color w:val="0000EE"/>
        </w:rPr>
        <w:t>33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If the Merger Proposal is not adopted by the stockholders of the Company or if the Merger is not completed for any other reason, you will not receive any payment for your shares of Common Stock. Instead, we will remain a public company, Common Stock will continue to be listed and traded on the NYSE and registered under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45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834517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39"/>
        <w:spacing w:after="0" w:line="254" w:lineRule="auto"/>
        <w:rPr>
          <w:sz w:val="20"/>
          <w:szCs w:val="20"/>
          <w:color w:val="auto"/>
        </w:rPr>
      </w:pPr>
      <w:r>
        <w:rPr>
          <w:rFonts w:ascii="Times New Roman" w:cs="Times New Roman" w:eastAsia="Times New Roman" w:hAnsi="Times New Roman"/>
          <w:sz w:val="18"/>
          <w:szCs w:val="18"/>
          <w:color w:val="auto"/>
        </w:rPr>
        <w:t xml:space="preserve">Securities Exchange Act of 1934, as amended (the “Exchange Act”), and we will continue to be obligated to file periodic reports with the SEC. Under specified circumstances, we may be required to pay Parent or its designee a termination fee equal to approximately $27.5 million (the “Company Termination Fee”) or the Parent Expense Reimbursement (as defined in “The Merger Agreement—Termination—Termination Fees and Expense Reimbursement”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xml:space="preserve"> of this proxy statement), or may be entitled to receive a termination fee of approximately $49.9 million (the “Parent Termination Fee”) from Parent, upon the termination of the Merger Agreement, as described in “The Merger Agreement—Termination—Termination Fees and Expense Reimbursement.”</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Merger Consideration (page </w:t>
      </w:r>
      <w:r>
        <w:rPr>
          <w:rFonts w:ascii="Times New Roman" w:cs="Times New Roman" w:eastAsia="Times New Roman" w:hAnsi="Times New Roman"/>
          <w:sz w:val="18"/>
          <w:szCs w:val="18"/>
          <w:b w:val="1"/>
          <w:bCs w:val="1"/>
          <w:u w:val="single" w:color="auto"/>
          <w:color w:val="0000EE"/>
        </w:rPr>
        <w:t>34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each share of Common Stock issued and outstanding immediately prior to the Effective Time (other than (i) shares held by the Company as treasury stock or held directly by Parent or Acquisition Sub (or any direct or indirect wholly owned subsidiaries of Parent or Acquisition Sub) (the “Cancelled Shares”) or (ii) shares of Common Stock held by stockholders who are entitled to and have properly demanded, and not effectively withdrawn or lost, statutory appraisal for such shares in accordance with, and have complied in all respects with, Section 262 of the DGCL (“Dissenting Shares”)) will be converted automatically into the right to receive Merger Consideration, without interest, subject to any withholding of taxes required by applicable law. All shares of Common Stock converted into the right to receive the Merger Consideration will automatically be cancelled and cease to exist at the Effective Time, and each certificate formerly representing such shares will thereafter represent only the right to receive the Merger Consideration.</w:t>
      </w:r>
    </w:p>
    <w:p>
      <w:pPr>
        <w:spacing w:after="0" w:line="86" w:lineRule="exact"/>
        <w:rPr>
          <w:sz w:val="20"/>
          <w:szCs w:val="20"/>
          <w:color w:val="auto"/>
        </w:rPr>
      </w:pPr>
    </w:p>
    <w:p>
      <w:pPr>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As described further in “The Merger Agreement—Exchange and Payment Procedures” beginning on page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 xml:space="preserve"> of this proxy statement, at the closing of the Merger (the “Closing”) and substantially concurrently with the Effective Time, Parent will cause to be deposited with a reputable bank or trust company reasonably acceptable to the Company (the “Paying Agent”), cash sufficient to pay the aggregate Merger Consideration. Following the completion of the Merger, after a stockholder has provided the Paying Agent with such stockholder’s stock certificates and a letter of transmittal, the Paying Agent will promptly pay the stockholder the Merger Consideration to which such stockholder is entitled. Stockholders who hold shares of Common Stock in book-entry form (other than shares held through The Depository Trust Company (“DTC”)) will not be required to deliver stock certificates to the Paying Agent to receive the Merger Consideration to which they are entitled. Holders of shares of Common Stock in book-entry form who hold such shares through DTC will not be required to deliver an executed letter of transmittal to the Paying Agent to receive the Merger Consideration to which they are entitled.</w:t>
      </w:r>
    </w:p>
    <w:p>
      <w:pPr>
        <w:spacing w:after="0" w:line="84"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After the completion of the Merger, under the terms of the Merger Agreement, you will have the right to receive the Merger Consideration, but you will no longer have any rights as a stockholder of the Company (except that stockholders who hold Dissenting Shares will not have the right to receive the Merger Consideration but will instead have the right to receive a payment for the “fair value” of their Dissenting Shares as determined by the Delaware Court of Chancery pursuant to an appraisal proceeding as contemplated by Delaware law, as described in “Appraisal Rights” beginning on page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 xml:space="preserve"> of this proxy statement and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proxy statement, which is incorporated by reference herein).</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Outstanding Equity-Based Awards (page </w:t>
      </w:r>
      <w:r>
        <w:rPr>
          <w:rFonts w:ascii="Times New Roman" w:cs="Times New Roman" w:eastAsia="Times New Roman" w:hAnsi="Times New Roman"/>
          <w:sz w:val="18"/>
          <w:szCs w:val="18"/>
          <w:b w:val="1"/>
          <w:bCs w:val="1"/>
          <w:u w:val="single" w:color="auto"/>
          <w:color w:val="0000EE"/>
        </w:rPr>
        <w:t>79</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provides for the following treatment of equity-based awards relating to Common Stock:</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outstanding option to purchase shares of Common Stock (each, a “Company Option”), whether vested or unvested, will automatically and without any required action on the part of the holder thereof or the Company, be cancelled and converted into the right to receive (without interest) an amount in cash equal to the product of (i) the total number of shares of Common Stock underlying such Company Option multiplied by (ii) the excess, if any, of the Merger Consideration over the applicable exercise price per share of the Common Stock subject to such Company Option, less applicable tax withholdings; provided, that any Company Option with an exercise price that is equal to or greater than the Merger Consideration as of the Effective Time will be cancelled for no consideration.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320" w:right="45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each outstanding restricted stock unit covering shares of Common Stock the vesting of which is conditioned solely upon satisfaction of time-based vesting requirements (each, a “Company RSU”),</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19"/>
        <w:spacing w:after="0" w:line="261" w:lineRule="auto"/>
        <w:rPr>
          <w:sz w:val="20"/>
          <w:szCs w:val="20"/>
          <w:color w:val="auto"/>
        </w:rPr>
      </w:pPr>
      <w:r>
        <w:rPr>
          <w:rFonts w:ascii="Times New Roman" w:cs="Times New Roman" w:eastAsia="Times New Roman" w:hAnsi="Times New Roman"/>
          <w:sz w:val="18"/>
          <w:szCs w:val="18"/>
          <w:color w:val="auto"/>
        </w:rPr>
        <w:t>whether vested or unvested, will automatically and without any required action on the part of the holder thereof or the Company, be cancelled and converted into the right to receive (without interest) a cash payment equal to the product of (i) the total number of shares of Common Stock subject to such Company RSU immediately prior to the Effective Time and (ii) the Merger Consideration, less applicable tax withholdings.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At the Effective Time, each outstanding restricted stock unit the vesting of which is conditioned, in whole or in part, on achievement of one or more performance goals or performance metrics (each, a “Company PRSU”), whether vested or unvested, that is outstanding as of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and (ii) the Merger Consideration, less applicable tax withholdings. The Compensation Committee of the Board will determine the number of shares of Common Stock deemed to be earned under each Company PRSU at least three business days prior to the Effective Time based on actual performance through the date on which the Closing occurs (such date, the “Closing Date”). Subject to the Company’s timely receipt of a duly executed election and waiver agreement (a “PRSU Waiver Agreement”) from each individual who received an award of Company PRSUs during the Company’s 2026 fiscal year (each, a “Company PRSU Holder”), such Company PRSU Holder will be entitled to elect to have such Company PRSUs either (x) paid at the Closing based on target performance, subject to the terms of the Merger Agreement, or (y) paid following the Closing, after actual performance has been finally determined, based on such actual performance and otherwise subject to the terms of the Merger Agreement and consistent with Section 409A of the Internal Revenue Code of 1986, as amended (the “Code”).</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Payment of Company Options, Company RSUs and Company PRSUs</w:t>
      </w:r>
    </w:p>
    <w:p>
      <w:pPr>
        <w:spacing w:after="0" w:line="121"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The Surviving Corporation will, and Parent will cause the Surviving Corporation to, pay to the holders of Company Options, Company RSUs and Company PRSUs the amounts as respectively described above no later than the first regularly scheduled payroll date of the Surviving Corporation that is at least three business days after the Closing Date; provided that such payments may be made at such other time or times following the Effective Time consistent with the terms of the Company RSU or Company PRSU (as may be amended by the terms of an applicable PRSU Waiver Agreement), as applicable, to the extent necessary to avoid the imposition of additional income tax.</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between September 17, 2026, the date of the Merger Agreement, and the Effective Time, any change in the outstanding shares of Common Stock occurs as a result of any stock split, reverse stock split, stock dividend (including any dividend or distribution of equity interests of the Company convertible into or exchangeable for shares of Common Stock), recapitalization, reclassification, combination, exchange of shares or other similar event, should such action be authorized and permitted in accordance with the Merger Agreement, the Merger Consideration will be equitably adjusted to reflect such event and to provide to holders of Company Options, Company RSUs and Company PRSUs the same economic effect as contemplated by the Merger Agreement prior to such event. The same adjustment applies to holders of Common Stock; see “The Merger—The Merger Consideration” beginning on page </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 xml:space="preserve"> of this proxy statement.</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Recommendation of the Board and Reasons for the Merger (page </w:t>
      </w:r>
      <w:r>
        <w:rPr>
          <w:rFonts w:ascii="Times New Roman" w:cs="Times New Roman" w:eastAsia="Times New Roman" w:hAnsi="Times New Roman"/>
          <w:sz w:val="18"/>
          <w:szCs w:val="18"/>
          <w:b w:val="1"/>
          <w:bCs w:val="1"/>
          <w:u w:val="single" w:color="auto"/>
          <w:color w:val="0000EE"/>
        </w:rPr>
        <w:t>44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519" w:firstLine="360"/>
        <w:spacing w:after="0" w:line="272" w:lineRule="auto"/>
        <w:rPr>
          <w:sz w:val="20"/>
          <w:szCs w:val="20"/>
          <w:color w:val="auto"/>
        </w:rPr>
      </w:pPr>
      <w:r>
        <w:rPr>
          <w:rFonts w:ascii="Times New Roman" w:cs="Times New Roman" w:eastAsia="Times New Roman" w:hAnsi="Times New Roman"/>
          <w:sz w:val="17"/>
          <w:szCs w:val="17"/>
          <w:color w:val="auto"/>
        </w:rPr>
        <w:t xml:space="preserve">The Board, after consulting with its financial advisor and outside legal counsel, and after carefully reviewing and considering various factors described in “The Merger—Reasons for the Merger” beginning on page </w:t>
      </w:r>
      <w:r>
        <w:rPr>
          <w:rFonts w:ascii="Times New Roman" w:cs="Times New Roman" w:eastAsia="Times New Roman" w:hAnsi="Times New Roman"/>
          <w:sz w:val="17"/>
          <w:szCs w:val="17"/>
          <w:u w:val="single" w:color="auto"/>
          <w:color w:val="0000EE"/>
        </w:rPr>
        <w:t>44</w:t>
      </w:r>
      <w:r>
        <w:rPr>
          <w:rFonts w:ascii="Times New Roman" w:cs="Times New Roman" w:eastAsia="Times New Roman" w:hAnsi="Times New Roman"/>
          <w:sz w:val="17"/>
          <w:szCs w:val="17"/>
          <w:color w:val="auto"/>
        </w:rPr>
        <w:t xml:space="preserve"> of this proxy statement, at a meeting duly called and held at which all members of the Board were present, unanimously</w:t>
      </w:r>
    </w:p>
    <w:p>
      <w:pPr>
        <w:spacing w:after="0" w:line="2" w:lineRule="exact"/>
        <w:rPr>
          <w:sz w:val="20"/>
          <w:szCs w:val="20"/>
          <w:color w:val="auto"/>
        </w:rPr>
      </w:pPr>
    </w:p>
    <w:p>
      <w:pPr>
        <w:ind w:left="320" w:right="419" w:hanging="10"/>
        <w:spacing w:after="0" w:line="250" w:lineRule="auto"/>
        <w:tabs>
          <w:tab w:leader="none" w:pos="5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contemplated thereby, including the Merger, are fair to and in the best interests of the Company and its stockholders, (ii) approved, adopted and declared advisable the Merger Agreement and the transactions contemplated thereby, including the Merger, (iii) directed that the Merger Agreement be submitted to the stockholders of the Company for adoption at the Special Meeting, and</w:t>
      </w:r>
    </w:p>
    <w:p>
      <w:pPr>
        <w:spacing w:after="0" w:line="1" w:lineRule="exact"/>
        <w:rPr>
          <w:rFonts w:ascii="Times New Roman" w:cs="Times New Roman" w:eastAsia="Times New Roman" w:hAnsi="Times New Roman"/>
          <w:sz w:val="18"/>
          <w:szCs w:val="18"/>
          <w:color w:val="auto"/>
        </w:rPr>
      </w:pPr>
    </w:p>
    <w:p>
      <w:pPr>
        <w:ind w:left="620" w:hanging="310"/>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Company’s stockholders adopt the Merger Agreement.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9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right="1139" w:firstLine="360"/>
        <w:spacing w:after="0" w:line="286" w:lineRule="auto"/>
        <w:rPr>
          <w:sz w:val="20"/>
          <w:szCs w:val="20"/>
          <w:color w:val="auto"/>
        </w:rPr>
      </w:pPr>
      <w:r>
        <w:rPr>
          <w:rFonts w:ascii="Times New Roman" w:cs="Times New Roman" w:eastAsia="Times New Roman" w:hAnsi="Times New Roman"/>
          <w:sz w:val="18"/>
          <w:szCs w:val="18"/>
          <w:color w:val="auto"/>
        </w:rPr>
        <w:t>The Board unanimously recommends that you vote: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(iii)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 of the Company’s Financial Advisor (page </w:t>
      </w:r>
      <w:r>
        <w:rPr>
          <w:rFonts w:ascii="Times New Roman" w:cs="Times New Roman" w:eastAsia="Times New Roman" w:hAnsi="Times New Roman"/>
          <w:sz w:val="18"/>
          <w:szCs w:val="18"/>
          <w:b w:val="1"/>
          <w:bCs w:val="1"/>
          <w:u w:val="single" w:color="auto"/>
          <w:color w:val="0000EE"/>
        </w:rPr>
        <w:t>49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On September 17, 2026, Robert W. Baird &amp; Co. Incorporated (“Baird”) orally rendered its opinion to the Board (which was subsequently confirmed in writing by delivery of Baird’s written opinion addressed to the Board dated September 17, 2026) as to the fairness, as of such date and from a financial point of view, to the holders of Common Stock (other than (i) the Company as holder of treasury stock, (ii) Parent, Acquisition Sub and any other direct or indirect wholly owned subsidiary of Parent and (iii) holders of Dissenting Shares (collectively, the “Excluded Holders”)) of the Merger Consideration to be received by such holders in the Merger pursuant to the Merger Agreement. Baird’s opinion was directed to the Board (in its capacity as the Board) and only addressed the fairness, from a financial point of view, to the holders of Common Stock (other than the Excluded Holders) of the Merger Consideration to be received by such holders in the Merger pursuant to the Merger Agreement and did not address any other terms, aspects or implications of the Merger or any agreements, arrangements or understandings entered into in connection with the Merger.</w:t>
      </w:r>
    </w:p>
    <w:p>
      <w:pPr>
        <w:spacing w:after="0" w:line="84" w:lineRule="exact"/>
        <w:rPr>
          <w:sz w:val="20"/>
          <w:szCs w:val="20"/>
          <w:color w:val="auto"/>
        </w:rPr>
      </w:pPr>
    </w:p>
    <w:p>
      <w:pPr>
        <w:ind w:left="320" w:right="319" w:firstLine="360"/>
        <w:spacing w:after="0" w:line="272" w:lineRule="auto"/>
        <w:rPr>
          <w:sz w:val="20"/>
          <w:szCs w:val="20"/>
          <w:color w:val="auto"/>
        </w:rPr>
      </w:pPr>
      <w:r>
        <w:rPr>
          <w:rFonts w:ascii="Times New Roman" w:cs="Times New Roman" w:eastAsia="Times New Roman" w:hAnsi="Times New Roman"/>
          <w:sz w:val="17"/>
          <w:szCs w:val="17"/>
          <w:color w:val="auto"/>
        </w:rPr>
        <w:t xml:space="preserve">The full text of the written opinion of Baird, dated September 17, 2026, which sets forth, among other things, the assumptions made, procedures followed, matters considered and qualifications and limitations on the review undertaken by Baird in preparing its opinion, is attached as </w:t>
      </w:r>
      <w:r>
        <w:rPr>
          <w:rFonts w:ascii="Times New Roman" w:cs="Times New Roman" w:eastAsia="Times New Roman" w:hAnsi="Times New Roman"/>
          <w:sz w:val="17"/>
          <w:szCs w:val="17"/>
          <w:u w:val="single" w:color="auto"/>
          <w:color w:val="auto"/>
        </w:rPr>
        <w:t>Appendix C</w:t>
      </w:r>
      <w:r>
        <w:rPr>
          <w:rFonts w:ascii="Times New Roman" w:cs="Times New Roman" w:eastAsia="Times New Roman" w:hAnsi="Times New Roman"/>
          <w:sz w:val="17"/>
          <w:szCs w:val="17"/>
          <w:color w:val="auto"/>
        </w:rPr>
        <w:t xml:space="preserve"> to this proxy statement and is incorporated herein by reference. The summary of the opinion of Baird set forth in this proxy statement is qualified in its entirety by reference to the full text of such opinion. The Company’s stockholders are urged to read the opinion in its entirety. However, neither Baird’s opinion nor the summary of its opinion and the related analyses set forth in this proxy statement are intended to be, and do not constitute, advice or a recommendation to the Board, any security holder of the Company or any other person as to how to act or vote with respect to any matter relating to the Merger.</w:t>
      </w:r>
    </w:p>
    <w:p>
      <w:pPr>
        <w:spacing w:after="0" w:line="64" w:lineRule="exact"/>
        <w:rPr>
          <w:sz w:val="20"/>
          <w:szCs w:val="20"/>
          <w:color w:val="auto"/>
        </w:rPr>
      </w:pPr>
    </w:p>
    <w:p>
      <w:pPr>
        <w:ind w:left="320" w:right="5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the opinion that the Board received from Baird, see the section titled “The Merger— Opinion of the Company’s Financial Advisor” beginning on page </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 xml:space="preserve"> and for the full text of the written opinion of Baird, see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proxy statement.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Interests of the Directors and Executive Officers of the Company in the Merger (page </w:t>
      </w:r>
      <w:r>
        <w:rPr>
          <w:rFonts w:ascii="Times New Roman" w:cs="Times New Roman" w:eastAsia="Times New Roman" w:hAnsi="Times New Roman"/>
          <w:sz w:val="18"/>
          <w:szCs w:val="18"/>
          <w:b w:val="1"/>
          <w:bCs w:val="1"/>
          <w:u w:val="single" w:color="auto"/>
          <w:color w:val="0000EE"/>
        </w:rPr>
        <w:t>58</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20" w:right="299" w:firstLine="360"/>
        <w:spacing w:after="0" w:line="257" w:lineRule="auto"/>
        <w:rPr>
          <w:sz w:val="20"/>
          <w:szCs w:val="20"/>
          <w:color w:val="auto"/>
        </w:rPr>
      </w:pPr>
      <w:r>
        <w:rPr>
          <w:rFonts w:ascii="Times New Roman" w:cs="Times New Roman" w:eastAsia="Times New Roman" w:hAnsi="Times New Roman"/>
          <w:sz w:val="18"/>
          <w:szCs w:val="18"/>
          <w:color w:val="auto"/>
        </w:rPr>
        <w:t>When considering the unanimous recommendation of the Board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you should be aware that certain of our directors and executive officers may have interests in the Merger that may be different from, or in addition to, your interests as a stockholder. The Board was aware of these interests in, among other matters, approving the Merger Agreement and the Merger and in unanimously recommending that the Merger Agreement be adopted by the stockholders of the Company. These interests include, but are not limited to, the following:</w:t>
      </w:r>
    </w:p>
    <w:p>
      <w:pPr>
        <w:spacing w:after="0" w:line="74" w:lineRule="exact"/>
        <w:rPr>
          <w:sz w:val="20"/>
          <w:szCs w:val="20"/>
          <w:color w:val="auto"/>
        </w:rPr>
      </w:pPr>
    </w:p>
    <w:p>
      <w:pPr>
        <w:ind w:left="1020" w:right="379" w:hanging="350"/>
        <w:spacing w:after="0" w:line="25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of our named executive officers are entitled to severance benefits under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pre-existing employment agreements with us if their employment terminates in certain circumstances, the material terms of which are described in “The Merger—Interests of the Directors and Executive Officers of the Company in the Merger—Potential Change in Control and Severance Entitlements to the Company’s Executive Officers” beginning on 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xml:space="preserve"> of this proxy statement;</w:t>
      </w:r>
    </w:p>
    <w:p>
      <w:pPr>
        <w:spacing w:after="0" w:line="71" w:lineRule="exact"/>
        <w:rPr>
          <w:rFonts w:ascii="Times New Roman" w:cs="Times New Roman" w:eastAsia="Times New Roman" w:hAnsi="Times New Roman"/>
          <w:sz w:val="18"/>
          <w:szCs w:val="18"/>
          <w:color w:val="auto"/>
        </w:rPr>
      </w:pPr>
    </w:p>
    <w:p>
      <w:pPr>
        <w:ind w:left="1020" w:right="459" w:hanging="350"/>
        <w:spacing w:after="0" w:line="26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of Equity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of our directors and executive officers hold equity awards,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treatment of which is described in “The Merger—Interests of the Directors and Executive Officers of the Company in the Merger—Treatment of Company Equity Awards” beginning on page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 xml:space="preserve"> of this proxy statement;</w:t>
      </w:r>
    </w:p>
    <w:p>
      <w:pPr>
        <w:spacing w:after="0" w:line="68" w:lineRule="exact"/>
        <w:rPr>
          <w:rFonts w:ascii="Times New Roman" w:cs="Times New Roman" w:eastAsia="Times New Roman" w:hAnsi="Times New Roman"/>
          <w:sz w:val="18"/>
          <w:szCs w:val="18"/>
          <w:color w:val="auto"/>
        </w:rPr>
      </w:pPr>
    </w:p>
    <w:p>
      <w:pPr>
        <w:ind w:left="1020" w:right="359" w:hanging="350"/>
        <w:spacing w:after="0" w:line="26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directors, executive officers and certain other stockholders have entered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Voting Agreements in connection with the Merger Agreement and the transactions contemplated thereby, including the Merger, which are described in “The Merger—Voting Agreements” beginning on page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of this proxy statement;</w:t>
      </w:r>
    </w:p>
    <w:p>
      <w:pPr>
        <w:spacing w:after="0" w:line="68" w:lineRule="exact"/>
        <w:rPr>
          <w:rFonts w:ascii="Times New Roman" w:cs="Times New Roman" w:eastAsia="Times New Roman" w:hAnsi="Times New Roman"/>
          <w:sz w:val="18"/>
          <w:szCs w:val="18"/>
          <w:color w:val="auto"/>
        </w:rPr>
      </w:pPr>
    </w:p>
    <w:p>
      <w:pPr>
        <w:ind w:left="1020" w:right="439" w:hanging="350"/>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Retention Bonus Arrangements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Merger, the Compensation Committee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approved cash retention bonus awards for certain of our executive officers. The retention bonuses will vest 50% upon the Effective Time and 50% upon the 12-month anniversary of the Effective Time, subject to continued employment and accelerated vesting upon certain qualifying terminations, as further described in “The Merger—Interests of the Directors and Executive Officers of the Company in the Merger—Retention Bonus Arrangements” beginning on page </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 xml:space="preserve"> of this proxy statement; and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20" w:right="359" w:hanging="350"/>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directors and executive officers are entitled to continued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the Merger Agreement, our organizational documents and certain indemnification agreements, as well as directors’ and officers’ liability insurance, which is described in “The Merger—Interests of the Directors and Executive Officers of the Company in the Merger—Indemnification Insurance” beginning on page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xml:space="preserve"> of this proxy statement.</w:t>
      </w:r>
    </w:p>
    <w:p>
      <w:pPr>
        <w:spacing w:after="0" w:line="75"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foregoing specific interests in the Merger, if the Merger Proposal is adopted by our stockholders and the Merger is completed, any shares of Common Stock held by our directors and executive officers will be treated in the same manner as outstanding shares of Common Stock held by all other stockholders entitled to receive the Merger Consideration, as described in more detail in “The Merger—Interests of the Directors and Executive Officers of the Company in the Merger—Treatment of Shares of Common Stock” beginning on page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xml:space="preserve"> of this proxy statement.</w:t>
      </w:r>
    </w:p>
    <w:p>
      <w:pPr>
        <w:spacing w:after="0" w:line="79" w:lineRule="exact"/>
        <w:rPr>
          <w:sz w:val="20"/>
          <w:szCs w:val="20"/>
          <w:color w:val="auto"/>
        </w:rPr>
      </w:pPr>
    </w:p>
    <w:p>
      <w:pPr>
        <w:ind w:left="320" w:right="3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These interests are discussed in more detail in “The Merger—Interests of the Directors and Executive Officers of the Company in the Merger” beginning on page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xml:space="preserve"> of this proxy statement.</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Voting Agreements (page </w:t>
      </w:r>
      <w:r>
        <w:rPr>
          <w:rFonts w:ascii="Times New Roman" w:cs="Times New Roman" w:eastAsia="Times New Roman" w:hAnsi="Times New Roman"/>
          <w:sz w:val="18"/>
          <w:szCs w:val="18"/>
          <w:b w:val="1"/>
          <w:bCs w:val="1"/>
          <w:u w:val="single" w:color="auto"/>
          <w:color w:val="0000EE"/>
        </w:rPr>
        <w:t>68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Immediately following the execution of the Merger Agreement, the Voting Agreement Stockholders, which include each of our directors and named executive officers and certain other stockholders, entered into Voting Agreements with Parent. Pursuant to the Voting Agreements, the Voting Agreement Stockholders have agreed to, among other things, and subject to certain conditions, vote, or cause to be voted, their shares of Common Stock in favor of the Merger Proposal and against any competing acquisition proposal. The shares of Common Stock covered by the Voting Agreements constituted approximately 29.0% of the outstanding shares of Common Stock as of October 19, 2026. The Voting Agreement Stockholders have also agreed to certain restrictions on transfers of their shares and have waived their appraisal rights under Section 262 of the DGCL. For more information, please see “The Merger—Voting Agreements” beginning on page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of this proxy statement.</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Financing of the Merger (page </w:t>
      </w:r>
      <w:r>
        <w:rPr>
          <w:rFonts w:ascii="Times New Roman" w:cs="Times New Roman" w:eastAsia="Times New Roman" w:hAnsi="Times New Roman"/>
          <w:sz w:val="18"/>
          <w:szCs w:val="18"/>
          <w:b w:val="1"/>
          <w:bCs w:val="1"/>
          <w:u w:val="single" w:color="auto"/>
          <w:color w:val="0000EE"/>
        </w:rPr>
        <w:t>65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H.I.G. Middle Market LBO Fund IV, L.P., an affiliated fund of H.I.G. (“H.I.G. Fund”), has committed to provide or cause to be provided equity financing to Parent (the “Equity Financing”) in an amount sufficient, together with the Debt Financing (as defined below) and other available funds, to fund the aggregate Merger Consideration, repay certain existing indebtedness of the Company and its subsidiaries, and pay related fees and expenses, all subject to the terms and conditions set forth in H.I.G. Fund’s commitment letter with Parent, dated as of September 17, 2026 (the “Equity Commitment Letter”).</w:t>
      </w:r>
    </w:p>
    <w:p>
      <w:pPr>
        <w:spacing w:after="0" w:line="79" w:lineRule="exact"/>
        <w:rPr>
          <w:sz w:val="20"/>
          <w:szCs w:val="20"/>
          <w:color w:val="auto"/>
        </w:rPr>
      </w:pPr>
    </w:p>
    <w:p>
      <w:pPr>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Certain institutional lenders (collectively, the “Committed Lenders”) have committed to provide debt financing in connection with the Merger (the “Debt Financing” and together with the Equity Financing, the “Financing”), pursuant to the debt commitment letter dated as of September 17, 2026, by and among Acquisition Sub and the Committed Lenders (the “Debt Commitment Letter” and, collectively with the Equity Commitment Letter, the “Commitment Letters”). The term loan facility and, at the borrower’s election, a portion of the revolving facility are expected to be drawn on the Closing Date of the Merger for purposes of financing a portion of the Merger Consideration, funding the repayment of certain indebtedness of the Company, paying certain fees and expenses related to the foregoing and the transactions related thereto and the financing contemplated by the Debt Commitment Letter and funding ongoing working capital requirements and/or other general corporate purposes of the Company and its subsidiaries.</w:t>
      </w:r>
    </w:p>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Limited Guarantee (page </w:t>
      </w:r>
      <w:r>
        <w:rPr>
          <w:rFonts w:ascii="Times New Roman" w:cs="Times New Roman" w:eastAsia="Times New Roman" w:hAnsi="Times New Roman"/>
          <w:sz w:val="18"/>
          <w:szCs w:val="18"/>
          <w:b w:val="1"/>
          <w:bCs w:val="1"/>
          <w:u w:val="single" w:color="auto"/>
          <w:color w:val="0000EE"/>
        </w:rPr>
        <w:t>67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Pursuant to a limited guarantee delivered by H.I.G. Fund (in that capacity, the “Guarantor”) to the Company, dated as of September 17, 2026 (the “Limited Guarantee”), H.I.G. Fund has unconditionally and irrevocably agreed to guarantee payment of certain obligations of Parent under the Merger Agreement, including (i) the Parent Termination Fee, (ii) the Costs of Collection (as defined in “The Merger Agreement—Termination—Termination Fees and Expense Reimbursement—General” beginning on page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 xml:space="preserve"> of this proxy statement) and (iii) the Reimbursement Obligations (as defined in “The Merger Agreement—Financing Efforts” beginning on page </w:t>
      </w:r>
      <w:r>
        <w:rPr>
          <w:rFonts w:ascii="Times New Roman" w:cs="Times New Roman" w:eastAsia="Times New Roman" w:hAnsi="Times New Roman"/>
          <w:sz w:val="18"/>
          <w:szCs w:val="18"/>
          <w:u w:val="single" w:color="auto"/>
          <w:color w:val="0000EE"/>
        </w:rPr>
        <w:t>94</w:t>
      </w:r>
      <w:r>
        <w:rPr>
          <w:rFonts w:ascii="Times New Roman" w:cs="Times New Roman" w:eastAsia="Times New Roman" w:hAnsi="Times New Roman"/>
          <w:sz w:val="18"/>
          <w:szCs w:val="18"/>
          <w:color w:val="auto"/>
        </w:rPr>
        <w:t xml:space="preserve"> of this proxy statement), in an aggregate amount not to exceed $51.4 million, subject to certain conditions and limitations set forth in the Limited Guarantee.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Appraisal Rights (page </w:t>
      </w:r>
      <w:r>
        <w:rPr>
          <w:rFonts w:ascii="Times New Roman" w:cs="Times New Roman" w:eastAsia="Times New Roman" w:hAnsi="Times New Roman"/>
          <w:sz w:val="18"/>
          <w:szCs w:val="18"/>
          <w:b w:val="1"/>
          <w:bCs w:val="1"/>
          <w:u w:val="single" w:color="auto"/>
          <w:color w:val="0000EE"/>
        </w:rPr>
        <w:t>107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70" w:lineRule="auto"/>
        <w:rPr>
          <w:sz w:val="20"/>
          <w:szCs w:val="20"/>
          <w:color w:val="auto"/>
        </w:rPr>
      </w:pPr>
      <w:r>
        <w:rPr>
          <w:rFonts w:ascii="Times New Roman" w:cs="Times New Roman" w:eastAsia="Times New Roman" w:hAnsi="Times New Roman"/>
          <w:sz w:val="17"/>
          <w:szCs w:val="17"/>
          <w:color w:val="auto"/>
        </w:rPr>
        <w:t xml:space="preserve">If the Merger is approved by our stockholders and becomes effective, holders of Dissenting Shares will be entitled to statutory appraisal rights pursuant to Section 262 of the DGCL. This means that such stockholders are entitled to seek appraisal of their Dissenting Shares and to receive payment in cash for the “fair value” of such Dissenting Shares, exclusive of any element of value arising from the accomplishment or expectation of the Merger, as determined by the Delaware Court of Chancery, together with interest, if any, to be paid upon the amount determined to be the fair value. The ultimate amount holders receive in an appraisal proceeding may be less than, equal to or more than the amount such holders would have received under the Merger Agreement. For a description of the rights of holders of Dissenting Shares and of the procedures to be followed in order to assert such rights and obtain payment of the fair value of such Dissenting Shares, see Section 262 of the DGCL, which is attached as </w:t>
      </w:r>
      <w:r>
        <w:rPr>
          <w:rFonts w:ascii="Times New Roman" w:cs="Times New Roman" w:eastAsia="Times New Roman" w:hAnsi="Times New Roman"/>
          <w:sz w:val="17"/>
          <w:szCs w:val="17"/>
          <w:u w:val="single" w:color="auto"/>
          <w:color w:val="auto"/>
        </w:rPr>
        <w:t>Appendix D</w:t>
      </w:r>
      <w:r>
        <w:rPr>
          <w:rFonts w:ascii="Times New Roman" w:cs="Times New Roman" w:eastAsia="Times New Roman" w:hAnsi="Times New Roman"/>
          <w:sz w:val="17"/>
          <w:szCs w:val="17"/>
          <w:color w:val="auto"/>
        </w:rPr>
        <w:t xml:space="preserve"> to this proxy statement and incorporated by reference herein, as well as the information set forth below.</w:t>
      </w:r>
    </w:p>
    <w:p>
      <w:pPr>
        <w:spacing w:after="0" w:line="69" w:lineRule="exact"/>
        <w:rPr>
          <w:sz w:val="20"/>
          <w:szCs w:val="20"/>
          <w:color w:val="auto"/>
        </w:rPr>
      </w:pPr>
    </w:p>
    <w:p>
      <w:pPr>
        <w:ind w:left="320" w:right="319" w:firstLine="360"/>
        <w:spacing w:after="0" w:line="251" w:lineRule="auto"/>
        <w:rPr>
          <w:sz w:val="20"/>
          <w:szCs w:val="20"/>
          <w:color w:val="auto"/>
        </w:rPr>
      </w:pPr>
      <w:r>
        <w:rPr>
          <w:rFonts w:ascii="Times New Roman" w:cs="Times New Roman" w:eastAsia="Times New Roman" w:hAnsi="Times New Roman"/>
          <w:sz w:val="18"/>
          <w:szCs w:val="18"/>
          <w:color w:val="auto"/>
        </w:rPr>
        <w:t>IN ORDER TO PROPERLY EXERCISE YOUR APPRAISAL RIGHTS IN CONNECTION WITH THE MERGER, YOU MUST DELIVER A WRITTEN DEMAND FOR APPRAISAL IN ACCORDANCE WITH THE REQUIREMENTS OF SECTION 262 OF THE DGCL TO THE COMPANY BEFORE THE VOTE IS TAKEN ON THE ADOPTION OF THE MERGER AGREEMENT AT THE SPECIAL MEETING, MUST NOT VOTE, VIA THE VIRTUAL SPECIAL MEETING WEBSITE OR BY PROXY, IN FAVOR OF THE MERGER PROPOSAL, MUST CONTINUE TO HOLD (OF RECORD OR BENEFICIALLY) YOUR SHARES FROM THE DATE OF MAKING THE DEMAND FOR APPRAISAL THROUGH THE EFFECTIVE TIME AND MUST COMPLY WITH THE OTHER REQUIREMENTS OF SECTION 262 OF THE DGCL. MERELY VOTING AGAINST THE MERGER PROPOSAL WILL NOT PRESERVE YOUR RIGHT TO APPRAISAL UNDER SECTION 262 OF THE DGCL. BECAUSE A PROXY THAT IS SIGNED AND SUBMITTED BUT DOES NOT OTHERWISE CONTAIN VOTING INSTRUCTIONS WILL, UNLESS REVOKED, BE VOTED IN FAVOR OF THE ADOPTION OF THE MERGER AGREEMENT, IF YOU SUBMIT A PROXY AND WISH TO EXERCISE APPRAISAL RIGHTS, YOU MUST INCLUDE VOTING INSTRUCTIONS TO VOTE YOUR SHARES OF COMMON STOCK AGAINST, OR ABSTAIN WITH RESPECT TO, THE ADOPTION OF THE MERGER AGREEMENT. NEITHER VOTING AGAINST THE ADOPTION OF THE MERGER AGREEMENT, NOR ABSTAINING FROM VOTING OR FAILING TO VOTE ON THE MERGER PROPOSAL, WILL IN AND OF ITSELF CONSTITUTE A WRITTEN DEMAND FOR APPRAISAL SATISFYING THE REQUIREMENTS OF THE DGCL. THE WRITTEN DEMAND FOR APPRAISAL MUST BE IN ADDITION TO AND SEPARATE FROM ANY PROXY OR VOTE ON THE ADOPTION OF THE MERGER AGREEMENT. IF YOU HOLD YOUR SHARES OF COMMON STOCK THROUGH A BROKER, BANK OR OTHER NOMINEE AND YOU WISH TO EXERCISE APPRAISAL RIGHTS, YOU SHOULD CONSULT WITH YOUR BROKER, BANK OR OTHER NOMINEE TO DETERMINE THE APPROPRIATE PROCEDURES FOR THE MAKING OF A DEMAND FOR APPRAISAL BY SUCH BROKER, BANK OR OTHER NOMINEE. IN VIEW OF THE COMPLEXITY OF THE DGCL, STOCKHOLDERS WHO MAY WISH TO PURSUE APPRAISAL RIGHTS SHOULD PROMPTLY CONSULT THEIR LEGAL AND FINANCIAL ADVISORS.</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Certain U.S. Federal Income Tax Consequences of the Merger (page </w:t>
      </w:r>
      <w:r>
        <w:rPr>
          <w:rFonts w:ascii="Times New Roman" w:cs="Times New Roman" w:eastAsia="Times New Roman" w:hAnsi="Times New Roman"/>
          <w:sz w:val="18"/>
          <w:szCs w:val="18"/>
          <w:b w:val="1"/>
          <w:bCs w:val="1"/>
          <w:u w:val="single" w:color="auto"/>
          <w:color w:val="0000EE"/>
        </w:rPr>
        <w:t>72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Merger generally will be a taxable transaction for U.S. federal income tax purposes. The receipt of cash by a U.S. holder (as defined in “The Merger—Certain U.S. Federal Income Tax Consequences of the Merger” beginning on page </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of this proxy statement) in exchange for such U.S. holder’s shares of Common Stock in the Merger generally will result in the recognition of taxable gain or loss in an amount equal to the difference, if any, between the cash such U.S. holder receives in the Merger (including any cash required to be withheld for tax purposes) and such U.S. holder’s adjusted tax basis in such surrendered shares. Gain or loss will be determined separately for each block of shares of Common Stock (that is, shares acquired for the same cost in a</w:t>
      </w:r>
    </w:p>
    <w:p>
      <w:pPr>
        <w:spacing w:after="0" w:line="3" w:lineRule="exact"/>
        <w:rPr>
          <w:sz w:val="20"/>
          <w:szCs w:val="20"/>
          <w:color w:val="auto"/>
        </w:rPr>
      </w:pPr>
    </w:p>
    <w:p>
      <w:pPr>
        <w:ind w:left="320" w:right="459"/>
        <w:spacing w:after="0" w:line="260" w:lineRule="auto"/>
        <w:rPr>
          <w:sz w:val="20"/>
          <w:szCs w:val="20"/>
          <w:color w:val="auto"/>
        </w:rPr>
      </w:pPr>
      <w:r>
        <w:rPr>
          <w:rFonts w:ascii="Times New Roman" w:cs="Times New Roman" w:eastAsia="Times New Roman" w:hAnsi="Times New Roman"/>
          <w:sz w:val="18"/>
          <w:szCs w:val="18"/>
          <w:color w:val="auto"/>
        </w:rPr>
        <w:t>single transaction), as applicable. U.S. holders may be subject to backup withholding with respect to tax unless the U.S. holder complies with certain certification procedures under the backup withholding rules.</w:t>
      </w:r>
    </w:p>
    <w:p>
      <w:pPr>
        <w:spacing w:after="0" w:line="73" w:lineRule="exact"/>
        <w:rPr>
          <w:sz w:val="20"/>
          <w:szCs w:val="20"/>
          <w:color w:val="auto"/>
        </w:rPr>
      </w:pPr>
    </w:p>
    <w:p>
      <w:pPr>
        <w:ind w:left="32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non-U.S. holder (as defined in “The Merger—Certain U.S. Federal Income Tax Consequences of the Merger” beginning on page </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of this proxy statement) generally will not be subject to U.S. federal income tax with respect to the exchange of such non-U.S. holder’s shares of Common Stock for cash in the Merger unless such non-U.S. holder has certain connections to the United States or the Company is, or was during the relevant period, a U.S. real property holding corporation. Non-U.S. holders may be subject to backup withholding with respect to tax unless the non-U.S. holder complies with certain certification procedures or otherwise establishes a valid exemption from backup withholding.</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For more information, stockholders should refer to “The Merger—Certain U.S. Federal Income Tax Consequences of the Merger,” beginning on page </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of this proxy statement, and consult their own tax advisors concerning the U.S. federal income tax consequences to them of the Merger in light of their particular circumstances and any consequences arising under U.S. federal non-income tax laws or the laws of any state, local or foreign taxing jurisdiction.</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Regulatory Approvals Required for the Merger (page </w:t>
      </w:r>
      <w:r>
        <w:rPr>
          <w:rFonts w:ascii="Times New Roman" w:cs="Times New Roman" w:eastAsia="Times New Roman" w:hAnsi="Times New Roman"/>
          <w:sz w:val="18"/>
          <w:szCs w:val="18"/>
          <w:b w:val="1"/>
          <w:bCs w:val="1"/>
          <w:u w:val="single" w:color="auto"/>
          <w:color w:val="0000EE"/>
        </w:rPr>
        <w:t>70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Under the Merger Agreement, the Merger cannot be completed until (i) any applicable waiting period under the Hart-Scott-Rodino Antitrust Improvements Act of 1976, as amended (the “HSR Act”), has expired or been terminated, (ii) any waiting period, together with any extension thereof, under any competition law or other law specified in the Merger Agreement by virtue of the Company’s disclosure letter has expired or been terminated and, if applicable, any affirmative approval of a governmental entity so specified has been obtained, and (iii) Other Required Regulatory Approvals (as defined in “The Merger—Regulatory Approvals Required—General” beginning on page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 xml:space="preserve"> of this proxy statement) have been obtained or the applicable review periods have expired. Effective October 22, 2026, the Federal Trade Commission granted early termination of the HSR Act waiting period.</w:t>
      </w:r>
    </w:p>
    <w:p>
      <w:pPr>
        <w:spacing w:after="0" w:line="84" w:lineRule="exact"/>
        <w:rPr>
          <w:sz w:val="20"/>
          <w:szCs w:val="20"/>
          <w:color w:val="auto"/>
        </w:rPr>
      </w:pPr>
    </w:p>
    <w:p>
      <w:pPr>
        <w:ind w:left="320" w:right="359" w:firstLine="360"/>
        <w:spacing w:after="0" w:line="277" w:lineRule="auto"/>
        <w:rPr>
          <w:sz w:val="20"/>
          <w:szCs w:val="20"/>
          <w:color w:val="auto"/>
        </w:rPr>
      </w:pPr>
      <w:r>
        <w:rPr>
          <w:rFonts w:ascii="Times New Roman" w:cs="Times New Roman" w:eastAsia="Times New Roman" w:hAnsi="Times New Roman"/>
          <w:sz w:val="17"/>
          <w:szCs w:val="17"/>
          <w:color w:val="auto"/>
        </w:rPr>
        <w:t xml:space="preserve">Certain regulatory actions with respect to the Company’s nuclear regulatory licenses, including required filings with the U.S. Nuclear Regulatory Commission (the “NRC”) and Agreement States (as defined in “The Merger— Regulatory Approvals Required—Nuclear Materials” beginning on page </w:t>
      </w:r>
      <w:r>
        <w:rPr>
          <w:rFonts w:ascii="Times New Roman" w:cs="Times New Roman" w:eastAsia="Times New Roman" w:hAnsi="Times New Roman"/>
          <w:sz w:val="17"/>
          <w:szCs w:val="17"/>
          <w:u w:val="single" w:color="auto"/>
          <w:color w:val="0000EE"/>
        </w:rPr>
        <w:t>71</w:t>
      </w:r>
      <w:r>
        <w:rPr>
          <w:rFonts w:ascii="Times New Roman" w:cs="Times New Roman" w:eastAsia="Times New Roman" w:hAnsi="Times New Roman"/>
          <w:sz w:val="17"/>
          <w:szCs w:val="17"/>
          <w:color w:val="auto"/>
        </w:rPr>
        <w:t xml:space="preserve"> of this proxy statement), must also be completed or confirmed as not required prior to the consummation of the Merger. For more information about regulatory clearances relating to the Merger, see “The Merger—Regulatory Approvals Required.”</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Go-Shop Period (page </w:t>
      </w:r>
      <w:r>
        <w:rPr>
          <w:rFonts w:ascii="Times New Roman" w:cs="Times New Roman" w:eastAsia="Times New Roman" w:hAnsi="Times New Roman"/>
          <w:sz w:val="18"/>
          <w:szCs w:val="18"/>
          <w:b w:val="1"/>
          <w:bCs w:val="1"/>
          <w:u w:val="single" w:color="auto"/>
          <w:color w:val="0000EE"/>
        </w:rPr>
        <w:t>86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5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a 40-calendar-day period following the date of the Merger Agreement (expiring at 11:59 p.m. Eastern Time on October 27, 2026) (the “Go-Shop Period”), during which the Company and its representatives may:</w:t>
      </w:r>
    </w:p>
    <w:p>
      <w:pPr>
        <w:spacing w:after="0" w:line="68" w:lineRule="exact"/>
        <w:rPr>
          <w:sz w:val="20"/>
          <w:szCs w:val="20"/>
          <w:color w:val="auto"/>
        </w:rPr>
      </w:pPr>
    </w:p>
    <w:p>
      <w:pPr>
        <w:ind w:left="1020" w:right="299" w:hanging="350"/>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initiate, solicit and encourage any alternative Acquisition Proposals (as defined in “The Merger Agreement —No Solicitation of Other Offers; Change of Recommendation—Certain Definitions” beginning on page </w:t>
      </w:r>
      <w:r>
        <w:rPr>
          <w:rFonts w:ascii="Times New Roman" w:cs="Times New Roman" w:eastAsia="Times New Roman" w:hAnsi="Times New Roman"/>
          <w:sz w:val="18"/>
          <w:szCs w:val="18"/>
          <w:u w:val="single" w:color="auto"/>
          <w:color w:val="0000EE"/>
        </w:rPr>
        <w:t>89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this proxy statement), including by providing information (including non-public information) to third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parties pursuant to acceptable confidentiality agreements;</w:t>
      </w:r>
    </w:p>
    <w:p>
      <w:pPr>
        <w:spacing w:after="0" w:line="71" w:lineRule="exact"/>
        <w:rPr>
          <w:rFonts w:ascii="Times New Roman" w:cs="Times New Roman" w:eastAsia="Times New Roman" w:hAnsi="Times New Roman"/>
          <w:sz w:val="18"/>
          <w:szCs w:val="18"/>
          <w:color w:val="auto"/>
        </w:rPr>
      </w:pPr>
    </w:p>
    <w:p>
      <w:pPr>
        <w:ind w:left="1020" w:right="819" w:hanging="350"/>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engage in discussions or negotiations with third parties in connection with alternative Acquisition Proposals; and</w:t>
      </w:r>
    </w:p>
    <w:p>
      <w:pPr>
        <w:spacing w:after="0" w:line="53" w:lineRule="exact"/>
        <w:rPr>
          <w:rFonts w:ascii="Times New Roman" w:cs="Times New Roman" w:eastAsia="Times New Roman" w:hAnsi="Times New Roman"/>
          <w:sz w:val="18"/>
          <w:szCs w:val="18"/>
          <w:color w:val="auto"/>
        </w:rPr>
      </w:pPr>
    </w:p>
    <w:p>
      <w:pPr>
        <w:ind w:left="1020" w:right="379" w:hanging="350"/>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cooperate with or assist or participate in, or facilitate, any such inquiries, proposals, discussions or negotiations.</w:t>
      </w:r>
    </w:p>
    <w:p>
      <w:pPr>
        <w:spacing w:after="0" w:line="54" w:lineRule="exact"/>
        <w:rPr>
          <w:sz w:val="20"/>
          <w:szCs w:val="20"/>
          <w:color w:val="auto"/>
        </w:rPr>
      </w:pPr>
    </w:p>
    <w:p>
      <w:pPr>
        <w:ind w:left="320" w:right="53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about activity during the Go-Shop Period, see the last paragraph of the section entitled “The Merger—Background of the Merger.”</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No Solicitation of Other Offers (page </w:t>
      </w:r>
      <w:r>
        <w:rPr>
          <w:rFonts w:ascii="Times New Roman" w:cs="Times New Roman" w:eastAsia="Times New Roman" w:hAnsi="Times New Roman"/>
          <w:sz w:val="18"/>
          <w:szCs w:val="18"/>
          <w:b w:val="1"/>
          <w:bCs w:val="1"/>
          <w:u w:val="single" w:color="auto"/>
          <w:color w:val="0000EE"/>
        </w:rPr>
        <w:t>87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After the expiration of the Go-Shop Period, the Merger Agreement provides for customary “no-shop” restrictions, pursuant to which, from and after the first calendar day immediately after the Go-Shop Period (the “No-Shop Start Date”), until the earlier of the receipt of the Company Stockholder Approval (as defined in “The Merger Agreement—Conditions to the Closing of the Merger—Mutual Conditions” beginning on page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 xml:space="preserve"> of this proxy statement) and the termination of the Merger Agreement in accordance with its terms, the Company will not, and will cause our subsidiaries and our and their respective representatives not to, directly or indirectly:</w:t>
      </w:r>
    </w:p>
    <w:p>
      <w:pPr>
        <w:spacing w:after="0" w:line="79" w:lineRule="exact"/>
        <w:rPr>
          <w:sz w:val="20"/>
          <w:szCs w:val="20"/>
          <w:color w:val="auto"/>
        </w:rPr>
      </w:pPr>
    </w:p>
    <w:p>
      <w:pPr>
        <w:ind w:left="1020" w:right="45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knowingly facilitate or knowingly encourage the submission of any Acquisition Proposal other than to inform any third party that provisions contained in the Merger Agreement prohibit such discussions;</w:t>
      </w:r>
    </w:p>
    <w:p>
      <w:pPr>
        <w:spacing w:after="0" w:line="67" w:lineRule="exact"/>
        <w:rPr>
          <w:rFonts w:ascii="Times New Roman" w:cs="Times New Roman" w:eastAsia="Times New Roman" w:hAnsi="Times New Roman"/>
          <w:sz w:val="18"/>
          <w:szCs w:val="18"/>
          <w:color w:val="auto"/>
        </w:rPr>
      </w:pPr>
    </w:p>
    <w:p>
      <w:pPr>
        <w:jc w:val="both"/>
        <w:ind w:left="1020" w:right="55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that could reasonably be expected to lead to the submission of any Acquisition Proposal other than to inform any third party that provisions contained in the Merger Agreement prohibit such discussions;</w:t>
      </w:r>
    </w:p>
    <w:p>
      <w:pPr>
        <w:spacing w:after="0" w:line="67" w:lineRule="exact"/>
        <w:rPr>
          <w:rFonts w:ascii="Times New Roman" w:cs="Times New Roman" w:eastAsia="Times New Roman" w:hAnsi="Times New Roman"/>
          <w:sz w:val="18"/>
          <w:szCs w:val="18"/>
          <w:color w:val="auto"/>
        </w:rPr>
      </w:pPr>
    </w:p>
    <w:p>
      <w:pPr>
        <w:ind w:left="1020" w:right="419" w:hanging="350"/>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non-public information in connection with any Acquisition Proposal or any proposal or offer that would reasonably be expected to lead to an Acquisition Proposal;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2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379" w:hanging="350"/>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any takeover laws;</w:t>
      </w:r>
    </w:p>
    <w:p>
      <w:pPr>
        <w:spacing w:after="0" w:line="71"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acquisition agreement with respect to any Acquisition Proposal; or</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propose, resolve or agree to do any of the foregoing.</w:t>
      </w:r>
    </w:p>
    <w:p>
      <w:pPr>
        <w:spacing w:after="0" w:line="117" w:lineRule="exact"/>
        <w:rPr>
          <w:sz w:val="20"/>
          <w:szCs w:val="20"/>
          <w:color w:val="auto"/>
        </w:rPr>
      </w:pPr>
    </w:p>
    <w:p>
      <w:pPr>
        <w:ind w:left="320" w:right="43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restrictions (collectively, the “No-Shop Restrictions”), if at any time following the expiration of the Go-Shop Period and prior to receiving the Company Stockholder Approval:</w:t>
      </w:r>
    </w:p>
    <w:p>
      <w:pPr>
        <w:spacing w:after="0" w:line="54" w:lineRule="exact"/>
        <w:rPr>
          <w:sz w:val="20"/>
          <w:szCs w:val="20"/>
          <w:color w:val="auto"/>
        </w:rPr>
      </w:pPr>
    </w:p>
    <w:p>
      <w:pPr>
        <w:ind w:left="1020" w:hanging="350"/>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a bona fide written Acquisition Proposal from a third party;</w:t>
      </w:r>
    </w:p>
    <w:p>
      <w:pPr>
        <w:spacing w:after="0" w:line="117" w:lineRule="exact"/>
        <w:rPr>
          <w:rFonts w:ascii="Times New Roman" w:cs="Times New Roman" w:eastAsia="Times New Roman" w:hAnsi="Times New Roman"/>
          <w:sz w:val="18"/>
          <w:szCs w:val="18"/>
          <w:color w:val="auto"/>
        </w:rPr>
      </w:pPr>
    </w:p>
    <w:p>
      <w:pPr>
        <w:ind w:left="1020" w:right="839" w:hanging="350"/>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Proposal did not otherwise result from a breach or deemed breach of the No-Shop Restrictions; and</w:t>
      </w:r>
    </w:p>
    <w:p>
      <w:pPr>
        <w:spacing w:after="0" w:line="53" w:lineRule="exact"/>
        <w:rPr>
          <w:rFonts w:ascii="Times New Roman" w:cs="Times New Roman" w:eastAsia="Times New Roman" w:hAnsi="Times New Roman"/>
          <w:sz w:val="18"/>
          <w:szCs w:val="18"/>
          <w:color w:val="auto"/>
        </w:rPr>
      </w:pPr>
    </w:p>
    <w:p>
      <w:pPr>
        <w:ind w:left="1020" w:right="339" w:hanging="350"/>
        <w:spacing w:after="0" w:line="281"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determines in good faith, after consultation with its financial advisor and outside legal counsel, based on information then available, that such Acquisition Proposal constitutes or could reasonably be expected to lead to a Superior Proposal (as defined in “The Merger Agreement—No Solicitation of Other Offers; Change of Recommendation—Certain Definitions” beginning on page </w:t>
      </w:r>
      <w:r>
        <w:rPr>
          <w:rFonts w:ascii="Times New Roman" w:cs="Times New Roman" w:eastAsia="Times New Roman" w:hAnsi="Times New Roman"/>
          <w:sz w:val="17"/>
          <w:szCs w:val="17"/>
          <w:u w:val="single" w:color="auto"/>
          <w:color w:val="0000EE"/>
        </w:rPr>
        <w:t>89</w:t>
      </w:r>
      <w:r>
        <w:rPr>
          <w:rFonts w:ascii="Times New Roman" w:cs="Times New Roman" w:eastAsia="Times New Roman" w:hAnsi="Times New Roman"/>
          <w:sz w:val="17"/>
          <w:szCs w:val="17"/>
          <w:color w:val="auto"/>
        </w:rPr>
        <w:t xml:space="preserve"> of this proxy statement),</w:t>
      </w:r>
    </w:p>
    <w:p>
      <w:pPr>
        <w:spacing w:after="0" w:line="56" w:lineRule="exact"/>
        <w:rPr>
          <w:sz w:val="20"/>
          <w:szCs w:val="20"/>
          <w:color w:val="auto"/>
        </w:rPr>
      </w:pPr>
    </w:p>
    <w:p>
      <w:pPr>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then, subject to providing at least 24 hours’ prior written notice of our decision to take such action to Parent and a reasonably detailed description of the Acquisition Proposals in compliance with the terms of the Merger Agreement, we may:</w:t>
      </w:r>
    </w:p>
    <w:p>
      <w:pPr>
        <w:spacing w:after="0" w:line="68" w:lineRule="exact"/>
        <w:rPr>
          <w:sz w:val="20"/>
          <w:szCs w:val="20"/>
          <w:color w:val="auto"/>
        </w:rPr>
      </w:pPr>
    </w:p>
    <w:p>
      <w:pPr>
        <w:ind w:left="1020" w:right="699" w:hanging="350"/>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us and our subsidiaries to the third party making such Acquisition Proposal, its representatives and potential sources of financing pursuant to one or more acceptable confidentiality agreements; and</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discussions or negotiations with such third party regarding such Acquisition Proposal;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any information concerning us or our subsidiaries to be provided or made available to any</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third party will, to the extent not previously provided or made available to Parent or Acquisition Sub, be provided 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made available to Parent or Acquisition Sub concurrently with or promptly following such time as it is provided 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made available to such third party.</w:t>
      </w:r>
    </w:p>
    <w:p>
      <w:pPr>
        <w:spacing w:after="0" w:line="99" w:lineRule="exact"/>
        <w:rPr>
          <w:sz w:val="20"/>
          <w:szCs w:val="20"/>
          <w:color w:val="auto"/>
        </w:rPr>
      </w:pPr>
    </w:p>
    <w:p>
      <w:pPr>
        <w:ind w:left="320" w:right="319" w:firstLine="360"/>
        <w:spacing w:after="0" w:line="266" w:lineRule="auto"/>
        <w:rPr>
          <w:sz w:val="20"/>
          <w:szCs w:val="20"/>
          <w:color w:val="auto"/>
        </w:rPr>
      </w:pPr>
      <w:r>
        <w:rPr>
          <w:rFonts w:ascii="Times New Roman" w:cs="Times New Roman" w:eastAsia="Times New Roman" w:hAnsi="Times New Roman"/>
          <w:sz w:val="18"/>
          <w:szCs w:val="18"/>
          <w:color w:val="auto"/>
        </w:rPr>
        <w:t>Except as expressly permitted by the Merger Agreement, from and after the date of the Merger Agreement until the receipt of the Company Stockholder Approval or, if earlier, the termination of the Merger Agreement in accordance with its terms, neither the Board nor any committee thereof will:</w:t>
      </w:r>
    </w:p>
    <w:p>
      <w:pPr>
        <w:spacing w:after="0" w:line="68" w:lineRule="exact"/>
        <w:rPr>
          <w:sz w:val="20"/>
          <w:szCs w:val="20"/>
          <w:color w:val="auto"/>
        </w:rPr>
      </w:pPr>
    </w:p>
    <w:p>
      <w:pPr>
        <w:ind w:left="1020" w:right="539" w:hanging="350"/>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recommend, or publicly propose to adopt, approve or recommend, any Acquisition Proposal or any offer or proposal that would reasonably be expected to lead to an Acquisition Proposal;</w:t>
      </w:r>
    </w:p>
    <w:p>
      <w:pPr>
        <w:spacing w:after="0" w:line="53" w:lineRule="exact"/>
        <w:rPr>
          <w:rFonts w:ascii="Times New Roman" w:cs="Times New Roman" w:eastAsia="Times New Roman" w:hAnsi="Times New Roman"/>
          <w:sz w:val="18"/>
          <w:szCs w:val="18"/>
          <w:color w:val="auto"/>
        </w:rPr>
      </w:pPr>
    </w:p>
    <w:p>
      <w:pPr>
        <w:ind w:left="1020" w:right="579" w:hanging="350"/>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or qualify or propose to publicly withdraw, qualify or modify, in a manner adverse to Parent or Acquisition Sub, the Board’s recommendation with respect to the Merger (the “Board Recommendation”);</w:t>
      </w:r>
    </w:p>
    <w:p>
      <w:pPr>
        <w:spacing w:after="0" w:line="67" w:lineRule="exact"/>
        <w:rPr>
          <w:rFonts w:ascii="Times New Roman" w:cs="Times New Roman" w:eastAsia="Times New Roman" w:hAnsi="Times New Roman"/>
          <w:sz w:val="18"/>
          <w:szCs w:val="18"/>
          <w:color w:val="auto"/>
        </w:rPr>
      </w:pPr>
    </w:p>
    <w:p>
      <w:pPr>
        <w:ind w:left="1020" w:right="359" w:hanging="350"/>
        <w:spacing w:after="0" w:line="312"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or cause us to enter into any merger agreement, letter of intent or other similar agreement relating to any Acquisition Proposal or that would reasonably be expected to lead to an Acquisition Proposal;</w:t>
      </w:r>
    </w:p>
    <w:p>
      <w:pPr>
        <w:spacing w:after="0" w:line="31" w:lineRule="exact"/>
        <w:rPr>
          <w:rFonts w:ascii="Times New Roman" w:cs="Times New Roman" w:eastAsia="Times New Roman" w:hAnsi="Times New Roman"/>
          <w:sz w:val="17"/>
          <w:szCs w:val="17"/>
          <w:color w:val="auto"/>
        </w:rPr>
      </w:pPr>
    </w:p>
    <w:p>
      <w:pPr>
        <w:ind w:left="1020" w:right="319" w:hanging="350"/>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Board Recommendation in this proxy statement or fail to publicly reaffirm the Board Recommendation within five business days after Parent reasonably requests in writing (which request may be made not more than once per Acquisition Proposal or material change to an Acquisition Proposal);</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recommend against any tender offer or exchange offer for our equity securities; or</w:t>
      </w:r>
    </w:p>
    <w:p>
      <w:pPr>
        <w:spacing w:after="0" w:line="117" w:lineRule="exact"/>
        <w:rPr>
          <w:rFonts w:ascii="Times New Roman" w:cs="Times New Roman" w:eastAsia="Times New Roman" w:hAnsi="Times New Roman"/>
          <w:sz w:val="18"/>
          <w:szCs w:val="18"/>
          <w:color w:val="auto"/>
        </w:rPr>
      </w:pPr>
    </w:p>
    <w:p>
      <w:pPr>
        <w:ind w:left="1020" w:right="479" w:hanging="350"/>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resolve or agree to do or publicly propose to do any of the foregoing (any action set forth in the foregoing five bullets, a “Change of Board Recommendation”).</w:t>
      </w:r>
    </w:p>
    <w:p>
      <w:pPr>
        <w:spacing w:after="0" w:line="54"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If we receive after the expiration of the Go-Shop Period a bona fide written Acquisition Proposal that the Board determines in good faith, after consultation with its financial advisor and outside legal counsel, constitutes a Superior Proposal, and such Acquisition Proposal did not result from a breach or deemed breach of the No-Shop Restrictions, the Board may, at any time prior to the receipt of the Company Stockholder Approval if the Board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22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59"/>
        <w:spacing w:after="0" w:line="277" w:lineRule="auto"/>
        <w:rPr>
          <w:sz w:val="20"/>
          <w:szCs w:val="20"/>
          <w:color w:val="auto"/>
        </w:rPr>
      </w:pPr>
      <w:r>
        <w:rPr>
          <w:rFonts w:ascii="Times New Roman" w:cs="Times New Roman" w:eastAsia="Times New Roman" w:hAnsi="Times New Roman"/>
          <w:sz w:val="17"/>
          <w:szCs w:val="17"/>
          <w:color w:val="auto"/>
        </w:rPr>
        <w:t xml:space="preserve">determines in good faith after consultation with its outside counsel that the failure to take such action would be inconsistent with its fiduciary duties to the Company’s stockholders, effect a Change of Board Recommendation with respect to such Superior Proposal and/or terminate the Merger Agreement, subject to compliance with certain notice and other requirements as set forth in the Merger Agreement (as described in “The Merger Agreement—No Solicitation of Other Offers; Change of Recommendation” beginning on page </w:t>
      </w:r>
      <w:r>
        <w:rPr>
          <w:rFonts w:ascii="Times New Roman" w:cs="Times New Roman" w:eastAsia="Times New Roman" w:hAnsi="Times New Roman"/>
          <w:sz w:val="17"/>
          <w:szCs w:val="17"/>
          <w:u w:val="single" w:color="auto"/>
          <w:color w:val="0000EE"/>
        </w:rPr>
        <w:t>87</w:t>
      </w:r>
      <w:r>
        <w:rPr>
          <w:rFonts w:ascii="Times New Roman" w:cs="Times New Roman" w:eastAsia="Times New Roman" w:hAnsi="Times New Roman"/>
          <w:sz w:val="17"/>
          <w:szCs w:val="17"/>
          <w:color w:val="auto"/>
        </w:rPr>
        <w:t xml:space="preserve"> of this proxy statement).</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Restrictions on a Change of Board Recommendation (page </w:t>
      </w:r>
      <w:r>
        <w:rPr>
          <w:rFonts w:ascii="Times New Roman" w:cs="Times New Roman" w:eastAsia="Times New Roman" w:hAnsi="Times New Roman"/>
          <w:sz w:val="18"/>
          <w:szCs w:val="18"/>
          <w:b w:val="1"/>
          <w:bCs w:val="1"/>
          <w:u w:val="single" w:color="auto"/>
          <w:color w:val="0000EE"/>
        </w:rPr>
        <w:t>87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prior to the receipt of the Company Stockholder Approval, the Board may effect a Change of</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Board Recommendation if:</w:t>
      </w:r>
    </w:p>
    <w:p>
      <w:pPr>
        <w:spacing w:after="0" w:line="99" w:lineRule="exact"/>
        <w:rPr>
          <w:sz w:val="20"/>
          <w:szCs w:val="20"/>
          <w:color w:val="auto"/>
        </w:rPr>
      </w:pPr>
    </w:p>
    <w:p>
      <w:pPr>
        <w:ind w:left="1020" w:right="299" w:hanging="350"/>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determines in good faith, after consultation with its financial advisor and outside counsel, that an Intervening Event (as defined in “The Merger Agreement—No Solicitation of Other Offers; Change of Recommendation—Certain Definitions” beginning on page </w:t>
      </w:r>
      <w:r>
        <w:rPr>
          <w:rFonts w:ascii="Times New Roman" w:cs="Times New Roman" w:eastAsia="Times New Roman" w:hAnsi="Times New Roman"/>
          <w:sz w:val="18"/>
          <w:szCs w:val="18"/>
          <w:u w:val="single" w:color="auto"/>
          <w:color w:val="0000EE"/>
        </w:rPr>
        <w:t>89</w:t>
      </w:r>
      <w:r>
        <w:rPr>
          <w:rFonts w:ascii="Times New Roman" w:cs="Times New Roman" w:eastAsia="Times New Roman" w:hAnsi="Times New Roman"/>
          <w:sz w:val="18"/>
          <w:szCs w:val="18"/>
          <w:color w:val="auto"/>
        </w:rPr>
        <w:t xml:space="preserve"> of this proxy statement) has occurred and is continuing; and</w:t>
      </w:r>
    </w:p>
    <w:p>
      <w:pPr>
        <w:spacing w:after="0" w:line="71" w:lineRule="exact"/>
        <w:rPr>
          <w:rFonts w:ascii="Times New Roman" w:cs="Times New Roman" w:eastAsia="Times New Roman" w:hAnsi="Times New Roman"/>
          <w:sz w:val="18"/>
          <w:szCs w:val="18"/>
          <w:color w:val="auto"/>
        </w:rPr>
      </w:pPr>
    </w:p>
    <w:p>
      <w:pPr>
        <w:ind w:left="1020" w:right="499" w:hanging="350"/>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good faith, after consultation with outside counsel, that the failure to effect a Change of Board Recommendation in response to such Intervening Event would be inconsistent with its fiduciary duties to the Company’s stockholders.</w:t>
      </w:r>
    </w:p>
    <w:p>
      <w:pPr>
        <w:spacing w:after="0" w:line="68" w:lineRule="exact"/>
        <w:rPr>
          <w:sz w:val="20"/>
          <w:szCs w:val="20"/>
          <w:color w:val="auto"/>
        </w:rPr>
      </w:pPr>
    </w:p>
    <w:p>
      <w:pPr>
        <w:jc w:val="both"/>
        <w:ind w:left="320" w:right="379" w:firstLine="360"/>
        <w:spacing w:after="0" w:line="254" w:lineRule="auto"/>
        <w:rPr>
          <w:sz w:val="20"/>
          <w:szCs w:val="20"/>
          <w:color w:val="auto"/>
        </w:rPr>
      </w:pPr>
      <w:r>
        <w:rPr>
          <w:rFonts w:ascii="Times New Roman" w:cs="Times New Roman" w:eastAsia="Times New Roman" w:hAnsi="Times New Roman"/>
          <w:sz w:val="18"/>
          <w:szCs w:val="18"/>
          <w:color w:val="auto"/>
        </w:rPr>
        <w:t>However, such Change of Board Recommendation will not occur until a time that is after the fourth business day following Parent’s receipt of written notice from the Company advising Parent of the material information and facts relating to such Intervening Event and stating that it intends to make a Change of Board Recommendation and provided that (i) during such four-business-day period the Company has negotiated in good faith with Parent to the extent Parent wishes to negotiate to make such adjustments to the terms and conditions of the Merger Agreement or the Commitment Letters as would enable the Board to proceed with the Board Recommendation and (ii) at the end of such four-business-day period, the Board maintains its determination described in the second bullet above (after taking into account any adjustments offered in writing by Parent to the material terms and conditions of the Merger Agreement or the Commitment Letters).</w:t>
      </w:r>
    </w:p>
    <w:p>
      <w:pPr>
        <w:spacing w:after="0" w:line="80" w:lineRule="exact"/>
        <w:rPr>
          <w:sz w:val="20"/>
          <w:szCs w:val="20"/>
          <w:color w:val="auto"/>
        </w:rPr>
      </w:pPr>
    </w:p>
    <w:p>
      <w:pPr>
        <w:ind w:left="32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For a further discussion of the limitations on solicitation of Acquisition Proposals from third parties and the Board’s ability to make a Change of Board Recommendation with respect to the Merger Proposal, see “The Merger Agreement—No Solicitation of Other Offers; Change of Recommendation” beginning on page </w:t>
      </w:r>
      <w:r>
        <w:rPr>
          <w:rFonts w:ascii="Times New Roman" w:cs="Times New Roman" w:eastAsia="Times New Roman" w:hAnsi="Times New Roman"/>
          <w:sz w:val="18"/>
          <w:szCs w:val="18"/>
          <w:u w:val="single" w:color="auto"/>
          <w:color w:val="0000EE"/>
        </w:rPr>
        <w:t>87</w:t>
      </w:r>
      <w:r>
        <w:rPr>
          <w:rFonts w:ascii="Times New Roman" w:cs="Times New Roman" w:eastAsia="Times New Roman" w:hAnsi="Times New Roman"/>
          <w:sz w:val="18"/>
          <w:szCs w:val="18"/>
          <w:color w:val="auto"/>
        </w:rPr>
        <w:t xml:space="preserve"> of this proxy statement.</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Conditions to the Closing of the Merger (page </w:t>
      </w:r>
      <w:r>
        <w:rPr>
          <w:rFonts w:ascii="Times New Roman" w:cs="Times New Roman" w:eastAsia="Times New Roman" w:hAnsi="Times New Roman"/>
          <w:sz w:val="18"/>
          <w:szCs w:val="18"/>
          <w:b w:val="1"/>
          <w:bCs w:val="1"/>
          <w:u w:val="single" w:color="auto"/>
          <w:color w:val="0000EE"/>
        </w:rPr>
        <w:t>96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419" w:firstLine="360"/>
        <w:spacing w:after="0" w:line="312" w:lineRule="auto"/>
        <w:rPr>
          <w:sz w:val="20"/>
          <w:szCs w:val="20"/>
          <w:color w:val="auto"/>
        </w:rPr>
      </w:pPr>
      <w:r>
        <w:rPr>
          <w:rFonts w:ascii="Times New Roman" w:cs="Times New Roman" w:eastAsia="Times New Roman" w:hAnsi="Times New Roman"/>
          <w:sz w:val="17"/>
          <w:szCs w:val="17"/>
          <w:color w:val="auto"/>
        </w:rPr>
        <w:t>The parties expect to complete the Merger in late 2026 or early 2027. However, it is possible that factors outside of each party’s control could require them to complete the Merger at a later time or not to complete it at all.</w:t>
      </w:r>
    </w:p>
    <w:p>
      <w:pPr>
        <w:spacing w:after="0" w:line="32" w:lineRule="exact"/>
        <w:rPr>
          <w:sz w:val="20"/>
          <w:szCs w:val="20"/>
          <w:color w:val="auto"/>
        </w:rPr>
      </w:pPr>
    </w:p>
    <w:p>
      <w:pPr>
        <w:ind w:left="320" w:right="4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each of the Company, Parent and Acquisition Sub to consummate the Merger are subject to the satisfaction or, where permitted by law, waiver of the following mutual conditions:</w:t>
      </w:r>
    </w:p>
    <w:p>
      <w:pPr>
        <w:spacing w:after="0" w:line="54" w:lineRule="exact"/>
        <w:rPr>
          <w:sz w:val="20"/>
          <w:szCs w:val="20"/>
          <w:color w:val="auto"/>
        </w:rPr>
      </w:pPr>
    </w:p>
    <w:p>
      <w:pPr>
        <w:ind w:left="1020" w:hanging="350"/>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Company Stockholder Approval;</w:t>
      </w:r>
    </w:p>
    <w:p>
      <w:pPr>
        <w:spacing w:after="0" w:line="117" w:lineRule="exact"/>
        <w:rPr>
          <w:rFonts w:ascii="Times New Roman" w:cs="Times New Roman" w:eastAsia="Times New Roman" w:hAnsi="Times New Roman"/>
          <w:sz w:val="18"/>
          <w:szCs w:val="18"/>
          <w:color w:val="auto"/>
        </w:rPr>
      </w:pPr>
    </w:p>
    <w:p>
      <w:pPr>
        <w:ind w:left="1020" w:right="439" w:hanging="350"/>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not then being restrained, enjoined or prohibited by any final order (whether temporary, preliminary or permanent) of a court of competent jurisdiction or any other governmental entity, and there being in effect no law enacted or promulgated by any governmental entity that makes illegal or otherwise prohibits the consummation of the Merger or the other transactions contemplated by the Merger Agreement; and</w:t>
      </w:r>
    </w:p>
    <w:p>
      <w:pPr>
        <w:spacing w:after="0" w:line="75" w:lineRule="exact"/>
        <w:rPr>
          <w:rFonts w:ascii="Times New Roman" w:cs="Times New Roman" w:eastAsia="Times New Roman" w:hAnsi="Times New Roman"/>
          <w:sz w:val="18"/>
          <w:szCs w:val="18"/>
          <w:color w:val="auto"/>
        </w:rPr>
      </w:pPr>
    </w:p>
    <w:p>
      <w:pPr>
        <w:ind w:left="1020" w:right="419" w:hanging="350"/>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expiration or termination of any applicable waiting period (together with any extensions thereof) under the HSR Act and (B) the expiration or termination of any waiting period (together with any extensions thereof) under any other competition law or other law specified in the Merger Agreement and, if applicable, the receipt of any Other Required Regulatory Approvals, as defined in “The Merger— Regulatory Approvals Required” beginning on page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 xml:space="preserve"> of this proxy statement.</w:t>
      </w:r>
    </w:p>
    <w:p>
      <w:pPr>
        <w:spacing w:after="0" w:line="75"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The obligation of Parent and Acquisition Sub to consummate the Merger is subject to the satisfaction or waiver of additional conditions, including the accuracy of the Company’s representations and warranties (subject to specified qualifications and thresholds), the Company’s compliance in all material respects with its covenants, the absence of a Company Material Adverse Effect (as defined in “The Merger Agreement—Representations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508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3405" cy="79508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spacing w:after="0" w:line="256" w:lineRule="auto"/>
        <w:rPr>
          <w:sz w:val="20"/>
          <w:szCs w:val="20"/>
          <w:color w:val="auto"/>
        </w:rPr>
      </w:pPr>
      <w:r>
        <w:rPr>
          <w:rFonts w:ascii="Times New Roman" w:cs="Times New Roman" w:eastAsia="Times New Roman" w:hAnsi="Times New Roman"/>
          <w:sz w:val="18"/>
          <w:szCs w:val="18"/>
          <w:color w:val="auto"/>
        </w:rPr>
        <w:t xml:space="preserve">Warranties—Company Representations and Warranties” beginning on page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 xml:space="preserve"> of this proxy statement) since the date of the Merger Agreement, and delivery by the Company of an officer’s certificate. The obligation of the Company to consummate the Merger is subject to the satisfaction or waiver of additional conditions, including the accuracy of Parent’s and Acquisition Sub’s representations and warranties subject to certain qualifications, Parent’s and Acquisition Sub’s compliance in all material respects with their covenants, and delivery by Parent of an officer’s certificate.</w:t>
      </w:r>
    </w:p>
    <w:p>
      <w:pPr>
        <w:spacing w:after="0" w:line="79" w:lineRule="exact"/>
        <w:rPr>
          <w:sz w:val="20"/>
          <w:szCs w:val="20"/>
          <w:color w:val="auto"/>
        </w:rPr>
      </w:pPr>
    </w:p>
    <w:p>
      <w:pPr>
        <w:ind w:left="320" w:right="3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Merger is not subject to any financing condition. See “The Merger Agreement—Conditions to the Closing of the Merger” beginning on page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Merger Agreement (page </w:t>
      </w:r>
      <w:r>
        <w:rPr>
          <w:rFonts w:ascii="Times New Roman" w:cs="Times New Roman" w:eastAsia="Times New Roman" w:hAnsi="Times New Roman"/>
          <w:sz w:val="18"/>
          <w:szCs w:val="18"/>
          <w:b w:val="1"/>
          <w:bCs w:val="1"/>
          <w:u w:val="single" w:color="auto"/>
          <w:color w:val="0000EE"/>
        </w:rPr>
        <w:t>97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8" w:lineRule="auto"/>
        <w:rPr>
          <w:sz w:val="20"/>
          <w:szCs w:val="20"/>
          <w:color w:val="auto"/>
        </w:rPr>
      </w:pPr>
      <w:r>
        <w:rPr>
          <w:rFonts w:ascii="Times New Roman" w:cs="Times New Roman" w:eastAsia="Times New Roman" w:hAnsi="Times New Roman"/>
          <w:sz w:val="18"/>
          <w:szCs w:val="18"/>
          <w:color w:val="auto"/>
        </w:rPr>
        <w:t>In general, the Merger Agreement and other transactions contemplated thereby may be terminated and the Merger and other transactions contemplated thereby may be abandoned at any time prior to the Effective Time, whether before or (subject to the terms of the Merger Agreement) after the receipt of the Company Stockholder Approval, by action taken or authorized by the board of directors of the terminating party or parties, in the following ways (subject to certain limitations and exceptions):</w:t>
      </w:r>
    </w:p>
    <w:p>
      <w:pPr>
        <w:spacing w:after="0" w:line="75" w:lineRule="exact"/>
        <w:rPr>
          <w:sz w:val="20"/>
          <w:szCs w:val="20"/>
          <w:color w:val="auto"/>
        </w:rPr>
      </w:pPr>
    </w:p>
    <w:p>
      <w:pPr>
        <w:ind w:left="1020" w:right="419" w:hanging="350"/>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by action of their respective boards of directors, at any time prior to the Effective Time;</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559"/>
        <w:spacing w:after="0" w:line="266" w:lineRule="auto"/>
        <w:rPr>
          <w:sz w:val="20"/>
          <w:szCs w:val="20"/>
          <w:color w:val="auto"/>
        </w:rPr>
      </w:pPr>
      <w:r>
        <w:rPr>
          <w:rFonts w:ascii="Times New Roman" w:cs="Times New Roman" w:eastAsia="Times New Roman" w:hAnsi="Times New Roman"/>
          <w:sz w:val="18"/>
          <w:szCs w:val="18"/>
          <w:color w:val="auto"/>
        </w:rPr>
        <w:t>if the Company’s stockholders fail to adopt the Merger Proposal at the Special Meeting, or any adjournment or postponement thereof, at which a vote on such proposal is taken (the “Stockholder Approval Termination Provision”);</w:t>
      </w:r>
    </w:p>
    <w:p>
      <w:pPr>
        <w:spacing w:after="0" w:line="68"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8"/>
          <w:szCs w:val="18"/>
          <w:color w:val="auto"/>
        </w:rPr>
        <w:t>if any court of competent jurisdiction or other governmental entity of competent jurisdiction issues an order or takes any other action, in each case, that permanently restrains, enjoins or otherwise prohibits the consummation of the Merger, and such order or other action has become final and non-appealable; or</w:t>
      </w:r>
    </w:p>
    <w:p>
      <w:pPr>
        <w:spacing w:after="0" w:line="72" w:lineRule="exact"/>
        <w:rPr>
          <w:sz w:val="20"/>
          <w:szCs w:val="20"/>
          <w:color w:val="auto"/>
        </w:rPr>
      </w:pPr>
    </w:p>
    <w:p>
      <w:pPr>
        <w:sectPr>
          <w:pgSz w:w="11900" w:h="16838" w:orient="portrait"/>
          <w:cols w:equalWidth="0" w:num="2">
            <w:col w:w="1100" w:space="280"/>
            <w:col w:w="7639"/>
          </w:cols>
          <w:pgMar w:left="1440" w:top="263" w:right="1440" w:bottom="1440" w:gutter="0" w:footer="0" w:header="0"/>
          <w:type w:val="continuous"/>
        </w:sectPr>
      </w:pPr>
    </w:p>
    <w:p>
      <w:pPr>
        <w:ind w:left="1380" w:right="739" w:hanging="350"/>
        <w:spacing w:after="0" w:line="239" w:lineRule="auto"/>
        <w:tabs>
          <w:tab w:leader="none" w:pos="1380" w:val="left"/>
        </w:tabs>
        <w:numPr>
          <w:ilvl w:val="1"/>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if the Effective Time has not occurred on or before the Outside Date (as defined in “The Merger Agreement—Termination” beginning on page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 xml:space="preserve"> of this proxy statement) (the “Outside Date Termination Provision”);</w:t>
      </w:r>
    </w:p>
    <w:p>
      <w:pPr>
        <w:spacing w:after="0" w:line="91" w:lineRule="exact"/>
        <w:rPr>
          <w:rFonts w:ascii="Times New Roman" w:cs="Times New Roman" w:eastAsia="Times New Roman" w:hAnsi="Times New Roman"/>
          <w:sz w:val="22"/>
          <w:szCs w:val="22"/>
          <w:color w:val="auto"/>
          <w:vertAlign w:val="superscript"/>
        </w:rPr>
      </w:pPr>
    </w:p>
    <w:p>
      <w:pPr>
        <w:ind w:left="1020" w:hanging="350"/>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ectPr>
          <w:pgSz w:w="11900" w:h="16838" w:orient="portrait"/>
          <w:cols w:equalWidth="0" w:num="1">
            <w:col w:w="9019"/>
          </w:cols>
          <w:pgMar w:left="1440" w:top="263" w:right="1440" w:bottom="1440" w:gutter="0" w:footer="0" w:header="0"/>
          <w:type w:val="continuous"/>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39"/>
        <w:spacing w:after="0" w:line="274" w:lineRule="auto"/>
        <w:rPr>
          <w:sz w:val="20"/>
          <w:szCs w:val="20"/>
          <w:color w:val="auto"/>
        </w:rPr>
      </w:pPr>
      <w:r>
        <w:rPr>
          <w:rFonts w:ascii="Times New Roman" w:cs="Times New Roman" w:eastAsia="Times New Roman" w:hAnsi="Times New Roman"/>
          <w:sz w:val="17"/>
          <w:szCs w:val="17"/>
          <w:color w:val="auto"/>
        </w:rPr>
        <w:t xml:space="preserve">if, prior to receiving the Company Stockholder Approval, the Board has authorized the Company to enter into a definitive agreement with respect to a Superior Proposal immediately after termination of the Merger Agreement, to the extent permitted by and in accordance with the terms of the Merger Agreement; provided, that prior to or concurrently with, and as a condition of, such termination, the Company pays the Company Termination Fee described in “The Merger Agreement—Termination— Termination Fees and Expense Reimbursement” beginning on page </w:t>
      </w:r>
      <w:r>
        <w:rPr>
          <w:rFonts w:ascii="Times New Roman" w:cs="Times New Roman" w:eastAsia="Times New Roman" w:hAnsi="Times New Roman"/>
          <w:sz w:val="17"/>
          <w:szCs w:val="17"/>
          <w:u w:val="single" w:color="auto"/>
          <w:color w:val="0000EE"/>
        </w:rPr>
        <w:t>98</w:t>
      </w:r>
      <w:r>
        <w:rPr>
          <w:rFonts w:ascii="Times New Roman" w:cs="Times New Roman" w:eastAsia="Times New Roman" w:hAnsi="Times New Roman"/>
          <w:sz w:val="17"/>
          <w:szCs w:val="17"/>
          <w:color w:val="auto"/>
        </w:rPr>
        <w:t xml:space="preserve"> of this proxy statement;</w:t>
      </w:r>
    </w:p>
    <w:p>
      <w:pPr>
        <w:spacing w:after="0" w:line="65" w:lineRule="exact"/>
        <w:rPr>
          <w:sz w:val="20"/>
          <w:szCs w:val="20"/>
          <w:color w:val="auto"/>
        </w:rPr>
      </w:pPr>
    </w:p>
    <w:p>
      <w:pPr>
        <w:ind w:right="319"/>
        <w:spacing w:after="0" w:line="258" w:lineRule="auto"/>
        <w:rPr>
          <w:sz w:val="20"/>
          <w:szCs w:val="20"/>
          <w:color w:val="auto"/>
        </w:rPr>
      </w:pPr>
      <w:r>
        <w:rPr>
          <w:rFonts w:ascii="Times New Roman" w:cs="Times New Roman" w:eastAsia="Times New Roman" w:hAnsi="Times New Roman"/>
          <w:sz w:val="18"/>
          <w:szCs w:val="18"/>
          <w:color w:val="auto"/>
        </w:rPr>
        <w:t>if Parent or Acquisition Sub has breached any of their respective representations, warranties or covenants in the Merger Agreement, and the Company has delivered to Parent written notice of such breach and either such breach is not capable of being cured prior to the Outside Date, or at least 30 calendar days have elapsed since the date of delivery of such written notice to Parent and such breach will not have been cured in all material respects (the “Parent Breach Termination Provision”); or</w:t>
      </w:r>
    </w:p>
    <w:p>
      <w:pPr>
        <w:spacing w:after="0" w:line="75" w:lineRule="exact"/>
        <w:rPr>
          <w:sz w:val="20"/>
          <w:szCs w:val="20"/>
          <w:color w:val="auto"/>
        </w:rPr>
      </w:pPr>
    </w:p>
    <w:p>
      <w:pPr>
        <w:sectPr>
          <w:pgSz w:w="11900" w:h="16838" w:orient="portrait"/>
          <w:cols w:equalWidth="0" w:num="2">
            <w:col w:w="1100" w:space="280"/>
            <w:col w:w="7639"/>
          </w:cols>
          <w:pgMar w:left="1440" w:top="263" w:right="1440" w:bottom="1440" w:gutter="0" w:footer="0" w:header="0"/>
          <w:type w:val="continuous"/>
        </w:sectPr>
      </w:pPr>
    </w:p>
    <w:p>
      <w:pPr>
        <w:ind w:left="1380" w:right="299" w:hanging="350"/>
        <w:spacing w:after="0" w:line="247" w:lineRule="auto"/>
        <w:tabs>
          <w:tab w:leader="none" w:pos="13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if (i) the parties’ mutual conditions to the Closing and all of the conditions to Parent’s and Acquisition Sub’s obligations to consummate the Merger have been satisfied or waived (other than those conditions that by their nature are to be satisfied at the Closing, but which are then capable of satisfaction if the Closing were to occur on such date), (ii) Parent has failed to consummate the Merger as required pursuant to the Merger Agreement, (iii) the Company has delivered an irrevocable written notice to Parent stating that the Company is ready, willing and able to consummate the Merger, and (iv) Parent fails to consummate the Closing within three business days following the delivery of the irrevocable written notice referenced above (the “Parent Notice Termination Provision”);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99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3405" cy="78994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hanging="350"/>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39"/>
        <w:spacing w:after="0" w:line="256" w:lineRule="auto"/>
        <w:rPr>
          <w:sz w:val="20"/>
          <w:szCs w:val="20"/>
          <w:color w:val="auto"/>
        </w:rPr>
      </w:pPr>
      <w:r>
        <w:rPr>
          <w:rFonts w:ascii="Times New Roman" w:cs="Times New Roman" w:eastAsia="Times New Roman" w:hAnsi="Times New Roman"/>
          <w:sz w:val="18"/>
          <w:szCs w:val="18"/>
          <w:color w:val="auto"/>
        </w:rPr>
        <w:t>if, prior to the receipt of the Company Stockholder Approval, (i) the Board effects a Change of Board Recommendation (whether or not in compliance with certain provisions of the Merger Agreement regarding non-solicitation and the Board Recommendation), (ii) the Company enters into a merger agreement, letter of intent or other similar agreement relating to an Acquisition Proposal, or (iii) the Company commits a willful and material breach of certain provisions of the Merger Agreement regarding non-solicitation and the Board Recommendation; or</w:t>
      </w:r>
    </w:p>
    <w:p>
      <w:pPr>
        <w:spacing w:after="0" w:line="79" w:lineRule="exact"/>
        <w:rPr>
          <w:sz w:val="20"/>
          <w:szCs w:val="20"/>
          <w:color w:val="auto"/>
        </w:rPr>
      </w:pPr>
    </w:p>
    <w:p>
      <w:pPr>
        <w:ind w:right="299"/>
        <w:spacing w:after="0" w:line="255" w:lineRule="auto"/>
        <w:rPr>
          <w:sz w:val="20"/>
          <w:szCs w:val="20"/>
          <w:color w:val="auto"/>
        </w:rPr>
      </w:pPr>
      <w:r>
        <w:rPr>
          <w:rFonts w:ascii="Times New Roman" w:cs="Times New Roman" w:eastAsia="Times New Roman" w:hAnsi="Times New Roman"/>
          <w:sz w:val="18"/>
          <w:szCs w:val="18"/>
          <w:color w:val="auto"/>
        </w:rPr>
        <w:t>at any time prior to the Effective Time, if (i) the Company has breached any of its representations, warranties or covenants in the Merger Agreement, in each case, such that any of the related closing conditions are not reasonably capable of being satisfied while such breach is continuing, (ii) Parent has delivered to the Company written notice of such breach, and (iii) either such breach is not capable of being cured prior to the Outside Date, or at least 30 calendar days have elapsed since the date of delivery of such written notice to the Company and such breach will not have been cured in all material respects (the “Company Breach Termination Provision”).</w:t>
      </w:r>
    </w:p>
    <w:p>
      <w:pPr>
        <w:spacing w:after="0" w:line="200" w:lineRule="exact"/>
        <w:rPr>
          <w:sz w:val="20"/>
          <w:szCs w:val="20"/>
          <w:color w:val="auto"/>
        </w:rPr>
      </w:pPr>
    </w:p>
    <w:p>
      <w:pPr>
        <w:sectPr>
          <w:pgSz w:w="11900" w:h="16838" w:orient="portrait"/>
          <w:cols w:equalWidth="0" w:num="2">
            <w:col w:w="1100" w:space="280"/>
            <w:col w:w="7639"/>
          </w:cols>
          <w:pgMar w:left="1440" w:top="263" w:right="1440" w:bottom="1440" w:gutter="0" w:footer="0" w:header="0"/>
          <w:type w:val="continuous"/>
        </w:sectPr>
      </w:pP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Fees and Treatment of Expenses (page </w:t>
      </w:r>
      <w:r>
        <w:rPr>
          <w:rFonts w:ascii="Times New Roman" w:cs="Times New Roman" w:eastAsia="Times New Roman" w:hAnsi="Times New Roman"/>
          <w:sz w:val="18"/>
          <w:szCs w:val="18"/>
          <w:b w:val="1"/>
          <w:bCs w:val="1"/>
          <w:u w:val="single" w:color="auto"/>
          <w:color w:val="0000EE"/>
        </w:rPr>
        <w:t>98</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Merger Agreement is terminated:</w:t>
      </w:r>
    </w:p>
    <w:p>
      <w:pPr>
        <w:spacing w:after="0" w:line="117" w:lineRule="exact"/>
        <w:rPr>
          <w:sz w:val="20"/>
          <w:szCs w:val="20"/>
          <w:color w:val="auto"/>
        </w:rPr>
      </w:pPr>
    </w:p>
    <w:p>
      <w:pPr>
        <w:ind w:left="1020" w:right="379" w:hanging="350"/>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 prior to the receipt of the Company Stockholder Approval, (i) the Board effects a Change of Board Recommendation (whether or not in compliance with certain provisions of the Merger Agreement regarding non-solicitation and the Board Recommendation), (ii) the Company enters into a merger agreement, letter of intent or other similar agreement relating to an Acquisition Proposal, or (iii) the Company commits a willful and material breach of certain provisions of the Merger Agreement regarding non-solicitation and the Board Recommendation; or</w:t>
      </w:r>
    </w:p>
    <w:p>
      <w:pPr>
        <w:spacing w:after="0" w:line="79" w:lineRule="exact"/>
        <w:rPr>
          <w:rFonts w:ascii="Times New Roman" w:cs="Times New Roman" w:eastAsia="Times New Roman" w:hAnsi="Times New Roman"/>
          <w:sz w:val="18"/>
          <w:szCs w:val="18"/>
          <w:color w:val="auto"/>
        </w:rPr>
      </w:pPr>
    </w:p>
    <w:p>
      <w:pPr>
        <w:ind w:left="1020" w:right="479" w:hanging="350"/>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prior to receiving the Company Stockholder Approval, the Board has authorized the Company to enter into a definitive agreement with respect to a Superior Proposal immediately after termination of the Merger Agreement, to the extent permitted by and in accordance with the terms of the Merger Agreement,</w:t>
      </w:r>
    </w:p>
    <w:p>
      <w:pPr>
        <w:spacing w:after="0" w:line="72" w:lineRule="exact"/>
        <w:rPr>
          <w:sz w:val="20"/>
          <w:szCs w:val="20"/>
          <w:color w:val="auto"/>
        </w:rPr>
      </w:pPr>
    </w:p>
    <w:p>
      <w:pPr>
        <w:ind w:left="320" w:right="319"/>
        <w:spacing w:after="0" w:line="255" w:lineRule="auto"/>
        <w:rPr>
          <w:sz w:val="20"/>
          <w:szCs w:val="20"/>
          <w:color w:val="auto"/>
        </w:rPr>
      </w:pPr>
      <w:r>
        <w:rPr>
          <w:rFonts w:ascii="Times New Roman" w:cs="Times New Roman" w:eastAsia="Times New Roman" w:hAnsi="Times New Roman"/>
          <w:sz w:val="18"/>
          <w:szCs w:val="18"/>
          <w:color w:val="auto"/>
        </w:rPr>
        <w:t xml:space="preserve">then, the Company will pay to Parent or its designee (a) prior to or concurrently with, and as a condition of, such termination, in the case of a termination by the Company, or (b) within two business days thereafter, in the case of a termination by Parent, the Company Termination Fee; provided, that if the Merger Agreement is terminated by the Company during the Go-Shop Period in order to enter into a definitive agreement providing for a Superior Proposal, the Company will instead pay an amount equal to 50% of the Company Termination Fee. See “The Merger Agreement—Termination—Termination Fees and Expense Reimbursement—Company Termination Fee”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xml:space="preserve"> of this proxy statement.</w:t>
      </w:r>
    </w:p>
    <w:p>
      <w:pPr>
        <w:spacing w:after="0" w:line="8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Furthermore, if (x) after the date of the Merger Agreement, an Acquisition Proposal has become publicly known or has been publicly delivered to the Board or a committee thereof and has not been irrevocably withdrawn at least two business days prior to (a) the date of the Special Meeting, in the case of a termination pursuant to the Stockholder Approval Termination Provision, or (b) the date of termination, in the case of a termination pursuant to the Outside Date Termination Provision or the Company Breach Termination Provision, (y) thereafter the Merger Agreement is terminated by Parent or the Company pursuant to the Outside Date Termination Provision, by Parent pursuant to the Company Breach Termination Provision or by either the Company or Parent pursuant to the Stockholder Approval Termination Provision, and (z) within 12 months after such termination, the Company enters into a definitive agreement with respect to any Acquisition Proposal or any Acquisition Proposal is consummated, then the Company will pay the Company Termination Fee to Parent within two business days of such entry or consummation, as applicable. For purposes of this provision, references to “20%” and “80%” in the definition of Acquisition Proposal are deemed to be references to “50%.”</w:t>
      </w:r>
    </w:p>
    <w:p>
      <w:pPr>
        <w:spacing w:after="0" w:line="82" w:lineRule="exact"/>
        <w:rPr>
          <w:sz w:val="20"/>
          <w:szCs w:val="20"/>
          <w:color w:val="auto"/>
        </w:rPr>
      </w:pPr>
    </w:p>
    <w:p>
      <w:pPr>
        <w:ind w:left="320" w:right="459" w:firstLine="360"/>
        <w:spacing w:after="0" w:line="261" w:lineRule="auto"/>
        <w:rPr>
          <w:sz w:val="20"/>
          <w:szCs w:val="20"/>
          <w:color w:val="auto"/>
        </w:rPr>
      </w:pPr>
      <w:r>
        <w:rPr>
          <w:rFonts w:ascii="Times New Roman" w:cs="Times New Roman" w:eastAsia="Times New Roman" w:hAnsi="Times New Roman"/>
          <w:sz w:val="18"/>
          <w:szCs w:val="18"/>
          <w:color w:val="auto"/>
        </w:rPr>
        <w:t>If the Merger Agreement is terminated by Parent pursuant to the Company Breach Termination Provision as a result of a willful and material breach by the Company, then, without limitation of any other remedies available to Parent, the Company will pay to Parent, within three business days after such termination, the reasonable and documented out-of-pocket fees and expenses incurred by Parent and its affiliates in connection with the Merger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87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99"/>
        <w:spacing w:after="0" w:line="266" w:lineRule="auto"/>
        <w:rPr>
          <w:sz w:val="20"/>
          <w:szCs w:val="20"/>
          <w:color w:val="auto"/>
        </w:rPr>
      </w:pPr>
      <w:r>
        <w:rPr>
          <w:rFonts w:ascii="Times New Roman" w:cs="Times New Roman" w:eastAsia="Times New Roman" w:hAnsi="Times New Roman"/>
          <w:sz w:val="18"/>
          <w:szCs w:val="18"/>
          <w:color w:val="auto"/>
        </w:rPr>
        <w:t>Agreement and the transactions contemplated thereby, up to a maximum of $7.0 million (the “Parent Expense Reimbursement”). Any Parent Expense Reimbursement actually paid to Parent will be credited against, and reduce, any Company Termination Fee subsequently payable by the Company.</w:t>
      </w:r>
    </w:p>
    <w:p>
      <w:pPr>
        <w:spacing w:after="0" w:line="68" w:lineRule="exact"/>
        <w:rPr>
          <w:sz w:val="20"/>
          <w:szCs w:val="20"/>
          <w:color w:val="auto"/>
        </w:rPr>
      </w:pPr>
    </w:p>
    <w:p>
      <w:pPr>
        <w:jc w:val="both"/>
        <w:ind w:left="320" w:right="399" w:firstLine="360"/>
        <w:spacing w:after="0" w:line="266" w:lineRule="auto"/>
        <w:rPr>
          <w:sz w:val="20"/>
          <w:szCs w:val="20"/>
          <w:color w:val="auto"/>
        </w:rPr>
      </w:pPr>
      <w:r>
        <w:rPr>
          <w:rFonts w:ascii="Times New Roman" w:cs="Times New Roman" w:eastAsia="Times New Roman" w:hAnsi="Times New Roman"/>
          <w:sz w:val="18"/>
          <w:szCs w:val="18"/>
          <w:color w:val="auto"/>
        </w:rPr>
        <w:t>Subject to the payment by the Company of the Parent Expense Reimbursement, all fees and expenses incurred in connection with the transactions contemplated by the Merger Agreement will be paid by the party incurring such fees or expenses.</w:t>
      </w:r>
    </w:p>
    <w:p>
      <w:pPr>
        <w:spacing w:after="0" w:line="68" w:lineRule="exact"/>
        <w:rPr>
          <w:sz w:val="20"/>
          <w:szCs w:val="20"/>
          <w:color w:val="auto"/>
        </w:rPr>
      </w:pPr>
    </w:p>
    <w:p>
      <w:pPr>
        <w:ind w:left="320" w:right="539" w:firstLine="360"/>
        <w:spacing w:after="0" w:line="266" w:lineRule="auto"/>
        <w:rPr>
          <w:sz w:val="20"/>
          <w:szCs w:val="20"/>
          <w:color w:val="auto"/>
        </w:rPr>
      </w:pPr>
      <w:r>
        <w:rPr>
          <w:rFonts w:ascii="Times New Roman" w:cs="Times New Roman" w:eastAsia="Times New Roman" w:hAnsi="Times New Roman"/>
          <w:sz w:val="18"/>
          <w:szCs w:val="18"/>
          <w:color w:val="auto"/>
        </w:rPr>
        <w:t>Parent will pay to the Company the Parent Termination Fee if the Merger Agreement is terminated by the Company pursuant to (i) the Parent Breach Termination Provision, due to a willful and material breach, or (ii) the Parent Notice Termination Provision.</w:t>
      </w:r>
    </w:p>
    <w:p>
      <w:pPr>
        <w:spacing w:after="0" w:line="68"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In circumstances where the Company Termination Fee is payable (other than as a result of a willful and material breach of the No-Shop Restrictions of the Merger Agreement), Parent’s receipt of the Company Termination Fee, together with reimbursement of reasonable, documented out-of-pocket expenses incurred in enforcing its right to receive such fee (not to exceed $1.5 million in the aggregate if such fee is recovered through litigation), will be Parent’s and Acquisition Sub’s sole and exclusive remedy against the Company, its subsidiaries, and their respective equity holders, partners, controlling persons, stockholders, members, managers, directors, officers, employees, agents, affiliates, and assignees (collectively, the “Company Related Parties”) for any losses arising from the failure of the Merger or other transactions contemplated by the Merger Agreement to be consummated, for any breach or failure to perform under the Merger Agreement, and upon payment of such amounts, no such person will have any further liability or obligation under the Merger Agreement. Additionally, while Parent may seek both specific performance or other equitable relief and payment of the Company Termination Fee, Parent will not be entitled to receive both (i) specific performance or other equitable relief that results in the closing of the Merger occurring and (ii) monetary damages or the Company Termination Fee.</w:t>
      </w:r>
    </w:p>
    <w:p>
      <w:pPr>
        <w:spacing w:after="0" w:line="79"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no event will either the Company or Parent be required to pay the Company Termination Fee or the Parent Termination Fee, as applicable, more than once. See “The Merger Agreement—Termination—Termination Fees and Expense Reimbursement”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xml:space="preserve"> of this proxy statement for a discussion of the circumstances under which either party will be required to pay the Company Termination Fee or the Parent Termination Fee, as applicable, and the circumstances under which the Company will be required to pay the Parent Expense Reimbursement.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Specific Performance (page </w:t>
      </w:r>
      <w:r>
        <w:rPr>
          <w:rFonts w:ascii="Times New Roman" w:cs="Times New Roman" w:eastAsia="Times New Roman" w:hAnsi="Times New Roman"/>
          <w:sz w:val="18"/>
          <w:szCs w:val="18"/>
          <w:b w:val="1"/>
          <w:bCs w:val="1"/>
          <w:u w:val="single" w:color="auto"/>
          <w:color w:val="0000EE"/>
        </w:rPr>
        <w:t>101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Subject to the terms of the Merger Agreement and the following proviso, the parties shall be entitled to specific performance of the terms of the Merger Agreement, including an injunction or injunctions to prevent breaches of the Merger Agreement and to enforce specifically the terms and provisions of the Merger Agreement, this being in addition to any other remedy to which the parties are entitled at law or in equity. Each of the parties waived (i) any defense in any action for specific performance that a remedy at law would be adequate and (ii) any requirement under any law to post security as a prerequisite to obtaining equitable relief. The Company’s or Parent’s pursuit of specific performance will not be deemed an election of remedies or waiver of the right to pursue any other right or remedy to which such party may be entitled; provided, that in no event shall the Company be entitled to both the receipt of the Parent Termination Fee and specific performance.</w:t>
      </w:r>
    </w:p>
    <w:p>
      <w:pPr>
        <w:spacing w:after="0" w:line="80" w:lineRule="exact"/>
        <w:rPr>
          <w:sz w:val="20"/>
          <w:szCs w:val="20"/>
          <w:color w:val="auto"/>
        </w:rPr>
      </w:pPr>
    </w:p>
    <w:p>
      <w:pPr>
        <w:ind w:left="320" w:right="299" w:firstLine="36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 parties agreed that the Company shall only be entitled to injunctive relief, specific performance or other equitable relief to enforce specifically the obligations of Parent and Acquisition Sub to consummate the Closing and to cause Parent to enforce its right to cause the Equity Financing to be funded if (i) the parties’ mutual conditions to the Closing and all of the conditions to Parent’s and Acquisition Sub’s obligations to consummate the Merger have been satisfied or waived (other than those conditions which by their terms or nature are to be satisfied by performance at the Closing so long as such conditions will be satisfied at the Closing) and remain satisfied throughout the three-business-day period set forth in (v) below, (ii) the proceeds of the Debt Financing have been funded or will be funded at the Closing on the terms set forth in the Debt Commitment Letter if the Equity Financing is funded and the Closing will occur substantially concurrently with the Debt Financing being funded, (iii) Parent has failed to consummate the Merger on the date the Closing should have occurred pursuant to the terms of the Merger Agreement, (iv) the Company has given Parent written notice irrevocably confirming that, if Parent and Acquisition Sub specifically perform their respective obligations under the Merger Agreement and the Debt Financing is funded, the Closing will occur and the Company will consummate the Merger and the transactions contemplated by the Merger Agreement at the Closing and the Company remains ready, willing and able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99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3405" cy="78994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59"/>
        <w:spacing w:after="0" w:line="266" w:lineRule="auto"/>
        <w:rPr>
          <w:sz w:val="20"/>
          <w:szCs w:val="20"/>
          <w:color w:val="auto"/>
        </w:rPr>
      </w:pPr>
      <w:r>
        <w:rPr>
          <w:rFonts w:ascii="Times New Roman" w:cs="Times New Roman" w:eastAsia="Times New Roman" w:hAnsi="Times New Roman"/>
          <w:sz w:val="18"/>
          <w:szCs w:val="18"/>
          <w:color w:val="auto"/>
        </w:rPr>
        <w:t>consummate the Merger through the three-business-day period set forth in (v) below and (v) Parent fails to consummate the Merger within three business days following the date of delivery of written confirmation from the Company.</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Market Prices and Dividend Data (page </w:t>
      </w:r>
      <w:r>
        <w:rPr>
          <w:rFonts w:ascii="Times New Roman" w:cs="Times New Roman" w:eastAsia="Times New Roman" w:hAnsi="Times New Roman"/>
          <w:sz w:val="18"/>
          <w:szCs w:val="18"/>
          <w:b w:val="1"/>
          <w:bCs w:val="1"/>
          <w:u w:val="single" w:color="auto"/>
          <w:color w:val="0000EE"/>
        </w:rPr>
        <w:t>110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NYSE under the symbol “MG.” On September 17, 2026, the last trading day prior to the public announcement of the execution of the Merger Agreement, the closing price of Common Stock on the NYSE was $19.84 per share. On October 23, 2026, the latest practicable trading day before the printing of this proxy statement, the closing price of Common Stock on the NYSE was $21.53 per share. The Merger Consideration of $20.35 per share represents a premium of approximately 8% to the Company’s 30-day volume-weighted average share price and approximately 13% to the Company’s 90-day volume-weighted average share price, in each case for the period ended September 17, 2026, and also represents 61% price appreciation since December 31, 2025. You are encouraged to obtain current market prices of Common Stock in connection with voting your shares of Common Stock.</w:t>
      </w:r>
    </w:p>
    <w:p>
      <w:pPr>
        <w:spacing w:after="0" w:line="80" w:lineRule="exact"/>
        <w:rPr>
          <w:sz w:val="20"/>
          <w:szCs w:val="20"/>
          <w:color w:val="auto"/>
        </w:rPr>
      </w:pPr>
    </w:p>
    <w:p>
      <w:pPr>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Company has never declared a cash dividend on its Common Stock. Under the terms of the Merger Agreement, from the date of the Merger Agreement until the earlier of the Effective Time or the termination of the Merger Agreement, the Company may not declare or pay dividends to its holders of Common Stock without Parent’s prior written consent.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Delisting and Deregistration of Common Stock (page </w:t>
      </w:r>
      <w:r>
        <w:rPr>
          <w:rFonts w:ascii="Times New Roman" w:cs="Times New Roman" w:eastAsia="Times New Roman" w:hAnsi="Times New Roman"/>
          <w:sz w:val="18"/>
          <w:szCs w:val="18"/>
          <w:b w:val="1"/>
          <w:bCs w:val="1"/>
          <w:u w:val="single" w:color="auto"/>
          <w:color w:val="0000EE"/>
        </w:rPr>
        <w:t>71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79" w:firstLine="360"/>
        <w:spacing w:after="0" w:line="274" w:lineRule="auto"/>
        <w:rPr>
          <w:sz w:val="20"/>
          <w:szCs w:val="20"/>
          <w:color w:val="auto"/>
        </w:rPr>
      </w:pPr>
      <w:r>
        <w:rPr>
          <w:rFonts w:ascii="Times New Roman" w:cs="Times New Roman" w:eastAsia="Times New Roman" w:hAnsi="Times New Roman"/>
          <w:sz w:val="17"/>
          <w:szCs w:val="17"/>
          <w:color w:val="auto"/>
        </w:rPr>
        <w:t>Under the Merger Agreement, the Company has agreed to cooperate with Parent and to use its reasonable best efforts to take all actions necessary, proper or advisable under applicable law and the rules and regulations of the NYSE to cause the delisting of the Common Stock from the NYSE and the deregistration of the Common Stock under the Exchange Act as promptly as practicable after the Effective Time. As promptly as practicable following the completion of the Merger, Common Stock will be delisted from the NYSE and deregistered under the Exchange Act and we will no longer be required to file periodic reports with the SEC on account of Common Stock.</w:t>
      </w: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Litigation Relating to the Merger (page </w:t>
      </w:r>
      <w:r>
        <w:rPr>
          <w:rFonts w:ascii="Times New Roman" w:cs="Times New Roman" w:eastAsia="Times New Roman" w:hAnsi="Times New Roman"/>
          <w:sz w:val="18"/>
          <w:szCs w:val="18"/>
          <w:b w:val="1"/>
          <w:bCs w:val="1"/>
          <w:u w:val="single" w:color="auto"/>
          <w:color w:val="0000EE"/>
        </w:rPr>
        <w:t>72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419" w:firstLine="36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 the Company has received two demand letters on behalf of purported stockholders of the Company pursuant to Section 220 of the DGCL, requesting access to certain books and records of the Company for the stated purposes of, among other things, investigating the fairness of the Merger Consideration and the process leading to the Merger, the independence and disinterestedness of the members of the Board and management, potential breaches of fiduciary duty or other corporate wrongdoing in connection with the Merger, and the adequacy of the Company’s disclosures regarding the Merger. The Company believes the claims asserted in these demands are without merit. As of the date of this proxy statement, there are no pending lawsuits challenging the Merger.</w:t>
      </w:r>
    </w:p>
    <w:p>
      <w:pPr>
        <w:spacing w:after="0" w:line="84" w:lineRule="exact"/>
        <w:rPr>
          <w:sz w:val="20"/>
          <w:szCs w:val="20"/>
          <w:color w:val="auto"/>
        </w:rPr>
      </w:pPr>
    </w:p>
    <w:p>
      <w:pPr>
        <w:ind w:left="320" w:right="339" w:firstLine="360"/>
        <w:spacing w:after="0" w:line="261" w:lineRule="auto"/>
        <w:rPr>
          <w:sz w:val="20"/>
          <w:szCs w:val="20"/>
          <w:color w:val="auto"/>
        </w:rPr>
      </w:pPr>
      <w:r>
        <w:rPr>
          <w:rFonts w:ascii="Times New Roman" w:cs="Times New Roman" w:eastAsia="Times New Roman" w:hAnsi="Times New Roman"/>
          <w:sz w:val="18"/>
          <w:szCs w:val="18"/>
          <w:color w:val="auto"/>
        </w:rPr>
        <w:t>Potential plaintiffs may send additional demand letters or file lawsuits challenging the Merger between the date of this proxy statement and the Special Meeting. The outcome of any future litigation is uncertain. Such litigation, if not resolved, could prevent or delay consummation of the Merger and result in substantial costs to the Company, including any costs associated with the indemnification of directors and officers.</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Where Stockholders Can Find More Information (page </w:t>
      </w:r>
      <w:r>
        <w:rPr>
          <w:rFonts w:ascii="Times New Roman" w:cs="Times New Roman" w:eastAsia="Times New Roman" w:hAnsi="Times New Roman"/>
          <w:sz w:val="18"/>
          <w:szCs w:val="18"/>
          <w:b w:val="1"/>
          <w:bCs w:val="1"/>
          <w:u w:val="single" w:color="auto"/>
          <w:color w:val="0000EE"/>
        </w:rPr>
        <w:t>113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can find more information about us in the periodic reports and other information we file with the SEC. The information is available, free of charge, on the SEC’s website at www.sec.gov. In addition, you may obtain free copies of the documents we file with the SEC by going to our Internet website at www.mistrasgroup.com. Our Internet website address is provided as an inactive textual reference only. The information provided on our Internet website is not part of this proxy statement and, therefore, is not incorporated herein by reference. For a more detailed description of the additional information available, see “Where Stockholders Can Find More Information”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 xml:space="preserve"> of this proxy statement.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AND THE MERGER</w:t>
      </w:r>
    </w:p>
    <w:p>
      <w:pPr>
        <w:spacing w:after="0" w:line="119"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questions and answers are intended to address briefly some commonly asked questions regarding the Special Meeting, the Merger Agreement and the Merger. These questions and answers may not address all questions that may be important to you as a stockholder of the Company. Please refer to the preceding section of this proxy statement entitled “Summary” beginning on page </w:t>
      </w:r>
      <w:r>
        <w:rPr>
          <w:rFonts w:ascii="Times New Roman" w:cs="Times New Roman" w:eastAsia="Times New Roman" w:hAnsi="Times New Roman"/>
          <w:sz w:val="18"/>
          <w:szCs w:val="18"/>
          <w:i w:val="1"/>
          <w:iCs w:val="1"/>
          <w:u w:val="single" w:color="auto"/>
          <w:color w:val="0000EE"/>
        </w:rPr>
        <w:t>1</w:t>
      </w:r>
      <w:r>
        <w:rPr>
          <w:rFonts w:ascii="Times New Roman" w:cs="Times New Roman" w:eastAsia="Times New Roman" w:hAnsi="Times New Roman"/>
          <w:sz w:val="18"/>
          <w:szCs w:val="18"/>
          <w:i w:val="1"/>
          <w:iCs w:val="1"/>
          <w:color w:val="auto"/>
        </w:rPr>
        <w:t xml:space="preserve"> of this proxy statement and the more detailed information contained elsewhere in this proxy statement, its appendices, including the Merger Agreement, and the other documents incorporated by reference herein, which you should read carefully and in their entirety.</w:t>
      </w:r>
    </w:p>
    <w:p>
      <w:pPr>
        <w:spacing w:after="0" w:line="18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Why am I receiving this proxy statement?</w:t>
      </w:r>
    </w:p>
    <w:p>
      <w:pPr>
        <w:spacing w:after="0" w:line="121" w:lineRule="exact"/>
        <w:rPr>
          <w:sz w:val="20"/>
          <w:szCs w:val="20"/>
          <w:color w:val="auto"/>
        </w:rPr>
      </w:pPr>
    </w:p>
    <w:p>
      <w:pPr>
        <w:ind w:left="640" w:right="439" w:hanging="348"/>
        <w:spacing w:after="0" w:line="266" w:lineRule="auto"/>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receiving this proxy statement and the enclosed proxy card because you are a stockholder of record of the Company as of the Record Date for the Special Meeting, and the Board is soliciting your proxy to vote at the Special Meeting described in this proxy statement.</w:t>
      </w:r>
    </w:p>
    <w:p>
      <w:pPr>
        <w:spacing w:after="0" w:line="67" w:lineRule="exact"/>
        <w:rPr>
          <w:rFonts w:ascii="Times New Roman" w:cs="Times New Roman" w:eastAsia="Times New Roman" w:hAnsi="Times New Roman"/>
          <w:sz w:val="18"/>
          <w:szCs w:val="18"/>
          <w:b w:val="1"/>
          <w:bCs w:val="1"/>
          <w:color w:val="auto"/>
        </w:rPr>
      </w:pPr>
    </w:p>
    <w:p>
      <w:pPr>
        <w:ind w:left="660" w:right="4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17, 2026, the Company entered into the Merger Agreement with Parent and Acquisition Sub. Pursuant to the Merger Agreement, and subject to the satisfaction or waiver of the conditions set forth therein, Acquisition Sub will merge with and into the Company, with the Company continuing as the Surviving Corporation and becoming a wholly owned subsidiary of Parent.</w:t>
      </w:r>
    </w:p>
    <w:p>
      <w:pPr>
        <w:spacing w:after="0" w:line="71" w:lineRule="exact"/>
        <w:rPr>
          <w:rFonts w:ascii="Times New Roman" w:cs="Times New Roman" w:eastAsia="Times New Roman" w:hAnsi="Times New Roman"/>
          <w:sz w:val="18"/>
          <w:szCs w:val="18"/>
          <w:b w:val="1"/>
          <w:bCs w:val="1"/>
          <w:color w:val="auto"/>
        </w:rPr>
      </w:pPr>
    </w:p>
    <w:p>
      <w:pPr>
        <w:ind w:left="660" w:right="33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completed, each issued and outstanding share of Common Stock, other than certain excluded shares, will be converted into the right to receive the Merger Consideration of $20.35 per share in cash, without interest and subject to any applicable withholding taxes.</w:t>
      </w:r>
    </w:p>
    <w:p>
      <w:pPr>
        <w:spacing w:after="0" w:line="67" w:lineRule="exact"/>
        <w:rPr>
          <w:rFonts w:ascii="Times New Roman" w:cs="Times New Roman" w:eastAsia="Times New Roman" w:hAnsi="Times New Roman"/>
          <w:sz w:val="18"/>
          <w:szCs w:val="18"/>
          <w:b w:val="1"/>
          <w:bCs w:val="1"/>
          <w:color w:val="auto"/>
        </w:rPr>
      </w:pPr>
    </w:p>
    <w:p>
      <w:pPr>
        <w:ind w:left="660" w:right="3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 has been prepared by the Company to provide you with important information about the proposed Merger and the Special Meeting, and to assist you in deciding how to vote on the proposals to be considered and voted upon at the Special Meeting. We encourage you to read this proxy statement carefully and in its entirety, including its appendices.</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proposals will be voted on at the Special Meeting?</w:t>
      </w:r>
    </w:p>
    <w:p>
      <w:pPr>
        <w:spacing w:after="0" w:line="121" w:lineRule="exact"/>
        <w:rPr>
          <w:sz w:val="20"/>
          <w:szCs w:val="20"/>
          <w:color w:val="auto"/>
        </w:rPr>
      </w:pPr>
    </w:p>
    <w:p>
      <w:pPr>
        <w:ind w:left="640" w:hanging="348"/>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Stockholders will be asked to consider and vote upon three proposals at the Special Meeting:</w:t>
      </w:r>
    </w:p>
    <w:p>
      <w:pPr>
        <w:spacing w:after="0" w:line="113" w:lineRule="exact"/>
        <w:rPr>
          <w:rFonts w:ascii="Times New Roman" w:cs="Times New Roman" w:eastAsia="Times New Roman" w:hAnsi="Times New Roman"/>
          <w:sz w:val="18"/>
          <w:szCs w:val="18"/>
          <w:b w:val="1"/>
          <w:bCs w:val="1"/>
          <w:color w:val="auto"/>
        </w:rPr>
      </w:pPr>
    </w:p>
    <w:p>
      <w:pPr>
        <w:ind w:left="1000" w:right="539" w:hanging="348"/>
        <w:spacing w:after="0" w:line="286" w:lineRule="auto"/>
        <w:tabs>
          <w:tab w:leader="none" w:pos="10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 The Merger Proposal: </w:t>
      </w:r>
      <w:r>
        <w:rPr>
          <w:rFonts w:ascii="Times New Roman" w:cs="Times New Roman" w:eastAsia="Times New Roman" w:hAnsi="Times New Roman"/>
          <w:sz w:val="18"/>
          <w:szCs w:val="18"/>
          <w:color w:val="auto"/>
        </w:rPr>
        <w:t>A proposal to adopt the Merger Agreement, which we refer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Proposal.”</w:t>
      </w:r>
    </w:p>
    <w:p>
      <w:pPr>
        <w:spacing w:after="0" w:line="46" w:lineRule="exact"/>
        <w:rPr>
          <w:rFonts w:ascii="Times New Roman" w:cs="Times New Roman" w:eastAsia="Times New Roman" w:hAnsi="Times New Roman"/>
          <w:sz w:val="18"/>
          <w:szCs w:val="18"/>
          <w:color w:val="auto"/>
        </w:rPr>
      </w:pPr>
    </w:p>
    <w:p>
      <w:pPr>
        <w:ind w:left="1000" w:right="359" w:hanging="348"/>
        <w:spacing w:after="0" w:line="291" w:lineRule="auto"/>
        <w:tabs>
          <w:tab w:leader="none" w:pos="10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2 — The Adjournment Proposal: </w:t>
      </w:r>
      <w:r>
        <w:rPr>
          <w:rFonts w:ascii="Times New Roman" w:cs="Times New Roman" w:eastAsia="Times New Roman" w:hAnsi="Times New Roman"/>
          <w:sz w:val="17"/>
          <w:szCs w:val="17"/>
          <w:color w:val="auto"/>
        </w:rPr>
        <w:t>A proposal to approve the adjournment of the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if necessary or appropriate, to solicit additional proxies if there are insufficient votes to adopt the Merger Agreement at the time of the Special Meeting, which we refer to as the “Adjournment Proposal.”</w:t>
      </w:r>
    </w:p>
    <w:p>
      <w:pPr>
        <w:spacing w:after="0" w:line="44" w:lineRule="exact"/>
        <w:rPr>
          <w:rFonts w:ascii="Times New Roman" w:cs="Times New Roman" w:eastAsia="Times New Roman" w:hAnsi="Times New Roman"/>
          <w:sz w:val="17"/>
          <w:szCs w:val="17"/>
          <w:color w:val="auto"/>
        </w:rPr>
      </w:pPr>
    </w:p>
    <w:p>
      <w:pPr>
        <w:ind w:left="1000" w:right="359" w:hanging="348"/>
        <w:spacing w:after="0" w:line="262" w:lineRule="auto"/>
        <w:tabs>
          <w:tab w:leader="none" w:pos="10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 The Compensation Proposal: </w:t>
      </w:r>
      <w:r>
        <w:rPr>
          <w:rFonts w:ascii="Times New Roman" w:cs="Times New Roman" w:eastAsia="Times New Roman" w:hAnsi="Times New Roman"/>
          <w:sz w:val="18"/>
          <w:szCs w:val="18"/>
          <w:color w:val="auto"/>
        </w:rPr>
        <w:t>A proposal to approve, on a non-binding, advisory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compensation that may be paid or become payable to the Company’s named executive officers that is based on or otherwise relates to the Merger, as disclosed in this proxy statement pursuant to Item 402(t) of Regulation S-K, which we refer to as the “Compensation Proposal.”</w:t>
      </w:r>
    </w:p>
    <w:p>
      <w:pPr>
        <w:spacing w:after="0" w:line="72" w:lineRule="exact"/>
        <w:rPr>
          <w:sz w:val="20"/>
          <w:szCs w:val="20"/>
          <w:color w:val="auto"/>
        </w:rPr>
      </w:pPr>
    </w:p>
    <w:p>
      <w:pPr>
        <w:ind w:left="660" w:right="359"/>
        <w:spacing w:after="0" w:line="261" w:lineRule="auto"/>
        <w:rPr>
          <w:sz w:val="20"/>
          <w:szCs w:val="20"/>
          <w:color w:val="auto"/>
        </w:rPr>
      </w:pPr>
      <w:r>
        <w:rPr>
          <w:rFonts w:ascii="Times New Roman" w:cs="Times New Roman" w:eastAsia="Times New Roman" w:hAnsi="Times New Roman"/>
          <w:sz w:val="18"/>
          <w:szCs w:val="18"/>
          <w:color w:val="auto"/>
        </w:rPr>
        <w:t>Completion of the Merger is not conditioned upon approval of the Adjournment Proposal or the Compensation Proposal. The Compensation Proposal is advisory and non-binding, and approval or disapproval of the Compensation Proposal will not affect whether the Merger is completed or the amount of compensation paid to the named executive officers in connection with the Merger.</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What will I receive in the Merger?</w:t>
      </w:r>
    </w:p>
    <w:p>
      <w:pPr>
        <w:spacing w:after="0" w:line="121" w:lineRule="exact"/>
        <w:rPr>
          <w:sz w:val="20"/>
          <w:szCs w:val="20"/>
          <w:color w:val="auto"/>
        </w:rPr>
      </w:pPr>
    </w:p>
    <w:p>
      <w:pPr>
        <w:ind w:left="640" w:right="359" w:hanging="348"/>
        <w:spacing w:after="0" w:line="281" w:lineRule="auto"/>
        <w:tabs>
          <w:tab w:leader="none" w:pos="64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Merger is completed, each issued and outstanding share of Common Stock (other than (i) shares owned by the Company as treasury stock, (ii) shares owned by Parent, Acquisition Sub, or any other wholly owned subsidiary of Parent, and (iii) Dissenting Shares) will be automatically converted into the right to receive the Merger Consideration of $20.35 per share in cash, without interest, subject to any applicable withholding taxes.</w:t>
      </w:r>
    </w:p>
    <w:p>
      <w:pPr>
        <w:spacing w:after="0" w:line="56" w:lineRule="exact"/>
        <w:rPr>
          <w:rFonts w:ascii="Times New Roman" w:cs="Times New Roman" w:eastAsia="Times New Roman" w:hAnsi="Times New Roman"/>
          <w:sz w:val="17"/>
          <w:szCs w:val="17"/>
          <w:b w:val="1"/>
          <w:bCs w:val="1"/>
          <w:color w:val="auto"/>
        </w:rPr>
      </w:pPr>
    </w:p>
    <w:p>
      <w:pPr>
        <w:ind w:left="660" w:right="399"/>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You will not receive any fractional shares of any stock in the Merger. The Merger Consideration represents the total consideration you will receive for each share of Common Stock that you hold. After the Merger is completed, you will have no further ownership interest in the Company and will no longer participate in any future earnings or growth of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39"/>
        <w:spacing w:after="0" w:line="258" w:lineRule="auto"/>
        <w:rPr>
          <w:sz w:val="20"/>
          <w:szCs w:val="20"/>
          <w:color w:val="auto"/>
        </w:rPr>
      </w:pPr>
      <w:r>
        <w:rPr>
          <w:rFonts w:ascii="Times New Roman" w:cs="Times New Roman" w:eastAsia="Times New Roman" w:hAnsi="Times New Roman"/>
          <w:sz w:val="18"/>
          <w:szCs w:val="18"/>
          <w:color w:val="auto"/>
        </w:rPr>
        <w:t>The Merger Consideration of $20.35 per share represents a premium of approximately 2.6% over the closing price of Common Stock on the NYSE on September 17, 2026, the last trading day before the public announcement of the Merger Agreement, and a premium of approximately 8.0% over the 30-day volume-weighted average closing share price of Common Stock on the NYSE for the period ended on September 17, 2026.</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does the Board recommend?</w:t>
      </w:r>
    </w:p>
    <w:p>
      <w:pPr>
        <w:spacing w:after="0" w:line="121" w:lineRule="exact"/>
        <w:rPr>
          <w:sz w:val="20"/>
          <w:szCs w:val="20"/>
          <w:color w:val="auto"/>
        </w:rPr>
      </w:pPr>
    </w:p>
    <w:p>
      <w:pPr>
        <w:ind w:left="640" w:hanging="348"/>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unanimously recommends that you vote:</w:t>
      </w:r>
    </w:p>
    <w:p>
      <w:pPr>
        <w:spacing w:after="0" w:line="113"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Merger Proposal (Proposal 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 (Proposal 2);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Compensation Proposal (Proposal 3).</w:t>
      </w:r>
    </w:p>
    <w:p>
      <w:pPr>
        <w:spacing w:after="0" w:line="121" w:lineRule="exact"/>
        <w:rPr>
          <w:sz w:val="20"/>
          <w:szCs w:val="20"/>
          <w:color w:val="auto"/>
        </w:rPr>
      </w:pPr>
    </w:p>
    <w:p>
      <w:pPr>
        <w:jc w:val="both"/>
        <w:ind w:left="660" w:right="319"/>
        <w:spacing w:after="0" w:line="266" w:lineRule="auto"/>
        <w:rPr>
          <w:sz w:val="20"/>
          <w:szCs w:val="20"/>
          <w:color w:val="auto"/>
        </w:rPr>
      </w:pPr>
      <w:r>
        <w:rPr>
          <w:rFonts w:ascii="Times New Roman" w:cs="Times New Roman" w:eastAsia="Times New Roman" w:hAnsi="Times New Roman"/>
          <w:sz w:val="18"/>
          <w:szCs w:val="18"/>
          <w:color w:val="auto"/>
        </w:rPr>
        <w:t>In reaching its recommendation, the Board carefully considered a number of factors. For a full discussion of the factors considered by the Board in making its recommendation, see the sections of this proxy statement entitled “The Merger—Recommendation of the Board” and “The Merger—Reasons for the Merger.”</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When and where is the Special Meeting?</w:t>
      </w:r>
    </w:p>
    <w:p>
      <w:pPr>
        <w:spacing w:after="0" w:line="121" w:lineRule="exact"/>
        <w:rPr>
          <w:sz w:val="20"/>
          <w:szCs w:val="20"/>
          <w:color w:val="auto"/>
        </w:rPr>
      </w:pPr>
    </w:p>
    <w:p>
      <w:pPr>
        <w:ind w:left="640" w:right="419" w:hanging="348"/>
        <w:spacing w:after="0" w:line="273" w:lineRule="auto"/>
        <w:tabs>
          <w:tab w:leader="none" w:pos="64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Special Meeting will be held on November 24, 2026, at 9:00 a.m. Eastern Time. The Special Meeting will be conducted solely by means of remote communication as a virtual meeting via the Virtual Special Meeting Website. There will be no physical location for the Special Meeting. You will be able to attend the Special Meeting, submit your questions during the meeting and vote your shares electronically during the meeting by visiting the Virtual Special Meeting Website and using the control number included on your proxy card or on the instructions that accompanied your proxy materials (if you hold your shares in “street name,” you must obtain a legal proxy from your broker, bank or other nominee in order to vote at the Special Meeting).</w:t>
      </w:r>
    </w:p>
    <w:p>
      <w:pPr>
        <w:spacing w:after="0" w:line="167"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Who is entitled to vote at the Special Meeting?</w:t>
      </w:r>
    </w:p>
    <w:p>
      <w:pPr>
        <w:spacing w:after="0" w:line="121" w:lineRule="exact"/>
        <w:rPr>
          <w:sz w:val="20"/>
          <w:szCs w:val="20"/>
          <w:color w:val="auto"/>
        </w:rPr>
      </w:pPr>
    </w:p>
    <w:p>
      <w:pPr>
        <w:jc w:val="both"/>
        <w:ind w:left="640" w:right="439" w:hanging="348"/>
        <w:spacing w:after="0" w:line="266" w:lineRule="auto"/>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established October 19, 2026, as the Record Date. Only holders of record of Common Stock as of the close of business on the Record Date are entitled to notice of, and to vote at, the Special Meeting or any adjournments or postponements thereof.</w:t>
      </w:r>
    </w:p>
    <w:p>
      <w:pPr>
        <w:spacing w:after="0" w:line="67" w:lineRule="exact"/>
        <w:rPr>
          <w:rFonts w:ascii="Times New Roman" w:cs="Times New Roman" w:eastAsia="Times New Roman" w:hAnsi="Times New Roman"/>
          <w:sz w:val="18"/>
          <w:szCs w:val="18"/>
          <w:b w:val="1"/>
          <w:bCs w:val="1"/>
          <w:color w:val="auto"/>
        </w:rPr>
      </w:pPr>
    </w:p>
    <w:p>
      <w:pPr>
        <w:ind w:left="66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close of business on October 19, 2026, there were 31,867,074 shares of Common Stock issued and outstanding and entitled to vote. Each share of Common Stock entitles the holder to one vote on each proposal to be voted upon at the Special Meeting. There is no cumulative voting.</w:t>
      </w:r>
    </w:p>
    <w:p>
      <w:pPr>
        <w:spacing w:after="0" w:line="67" w:lineRule="exact"/>
        <w:rPr>
          <w:rFonts w:ascii="Times New Roman" w:cs="Times New Roman" w:eastAsia="Times New Roman" w:hAnsi="Times New Roman"/>
          <w:sz w:val="18"/>
          <w:szCs w:val="18"/>
          <w:b w:val="1"/>
          <w:bCs w:val="1"/>
          <w:color w:val="auto"/>
        </w:rPr>
      </w:pPr>
    </w:p>
    <w:p>
      <w:pPr>
        <w:ind w:left="660" w:right="3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in “street name” through a bank, broker, or other nominee, you are considered the “beneficial owner” of those shares, and this proxy statement is being forwarded to you by your bank, broker, or nominee. As the beneficial owner, you have the right to direct your bank, broker, or nominee on how to vote your shares, but your bank, broker, or nominee is the stockholder of record for purposes of voting at the Special Meeting.</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What constitutes a quorum at the Special Meeting?</w:t>
      </w:r>
    </w:p>
    <w:p>
      <w:pPr>
        <w:spacing w:after="0" w:line="121" w:lineRule="exact"/>
        <w:rPr>
          <w:sz w:val="20"/>
          <w:szCs w:val="20"/>
          <w:color w:val="auto"/>
        </w:rPr>
      </w:pPr>
    </w:p>
    <w:p>
      <w:pPr>
        <w:ind w:left="640" w:right="779" w:hanging="348"/>
        <w:spacing w:after="0" w:line="266" w:lineRule="auto"/>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w:t>
      </w:r>
    </w:p>
    <w:p>
      <w:pPr>
        <w:spacing w:after="0" w:line="67" w:lineRule="exact"/>
        <w:rPr>
          <w:rFonts w:ascii="Times New Roman" w:cs="Times New Roman" w:eastAsia="Times New Roman" w:hAnsi="Times New Roman"/>
          <w:sz w:val="18"/>
          <w:szCs w:val="18"/>
          <w:b w:val="1"/>
          <w:bCs w:val="1"/>
          <w:color w:val="auto"/>
        </w:rPr>
      </w:pPr>
    </w:p>
    <w:p>
      <w:pPr>
        <w:ind w:left="660" w:right="31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that abstain on one or more of the proposals to be considered at the Special Meeting will be counted as present for purposes of determining the existence of a quorum. Because each of the Merger Proposal, the Adjournment Proposal and the Compensation Proposal is a “non-routine” matter, a broker, bank or other nominee that does not receive voting instructions from the beneficial owner with respect to any of the proposals will have no discretionary authority to vote those shares on any matter, and those shares will not be counted as present at the Special Meeting for quorum purposes. Shares for which a broker, bank or other nominee receives voting instructions with respect to one or more, but not all, of the proposals will be counted as present at the Special Meeting for quorum purposes.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What if a quorum is not present at the Special Meeting?</w:t>
      </w:r>
    </w:p>
    <w:p>
      <w:pPr>
        <w:spacing w:after="0" w:line="121" w:lineRule="exact"/>
        <w:rPr>
          <w:sz w:val="20"/>
          <w:szCs w:val="20"/>
          <w:color w:val="auto"/>
        </w:rPr>
      </w:pPr>
    </w:p>
    <w:p>
      <w:pPr>
        <w:ind w:left="640" w:right="399" w:hanging="348"/>
        <w:spacing w:after="0" w:line="253"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under the Bylaws, the chairperson of the Special Meeting has the authority to recess and/or adjourn the Special Meeting, whether or not a quorum is present and whether or not the Adjournment Proposal is approved, subject to the limits in the Merger Agreement, under which the Company may not postpone or adjourn the Special Meeting more than two times for lack of a quorum, or by more than 10 business days for any event giving rise to such postponement or adjournment, without Parent’s prior written consent. See “The Merger Agreement—Stockholder Meeting; Proxy Statement.”</w:t>
      </w:r>
    </w:p>
    <w:p>
      <w:pPr>
        <w:spacing w:after="0" w:line="79" w:lineRule="exact"/>
        <w:rPr>
          <w:rFonts w:ascii="Times New Roman" w:cs="Times New Roman" w:eastAsia="Times New Roman" w:hAnsi="Times New Roman"/>
          <w:sz w:val="18"/>
          <w:szCs w:val="18"/>
          <w:color w:val="auto"/>
        </w:rPr>
      </w:pPr>
    </w:p>
    <w:p>
      <w:pPr>
        <w:ind w:left="660" w:right="29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Special Meeting is adjourned to another time or place, notice of the adjourned meeting need not be given if the time and place, if any, of the adjourned meeting, and the means of remote communication by which stockholders and proxy holders may be deemed present in person and vote at the adjourned meeting, are announced at the meeting at which the adjournment is taken. If the adjournment is for more than 30 days, or if after the adjournment a new record date is fixed for the adjourned meeting, notice of the adjourned meeting will be given to each stockholder of record entitled to vote at the adjourned meeting.</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What vote is required to approve each proposal?</w:t>
      </w:r>
    </w:p>
    <w:p>
      <w:pPr>
        <w:spacing w:after="0" w:line="121"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proposal has a different voting standard:</w:t>
      </w:r>
    </w:p>
    <w:p>
      <w:pPr>
        <w:spacing w:after="0" w:line="113" w:lineRule="exact"/>
        <w:rPr>
          <w:rFonts w:ascii="Times New Roman" w:cs="Times New Roman" w:eastAsia="Times New Roman" w:hAnsi="Times New Roman"/>
          <w:sz w:val="18"/>
          <w:szCs w:val="18"/>
          <w:b w:val="1"/>
          <w:bCs w:val="1"/>
          <w:color w:val="auto"/>
        </w:rPr>
      </w:pPr>
    </w:p>
    <w:p>
      <w:pPr>
        <w:ind w:left="1000" w:right="419" w:hanging="348"/>
        <w:spacing w:after="0" w:line="262"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 Proposal (Proposal 1): </w:t>
      </w:r>
      <w:r>
        <w:rPr>
          <w:rFonts w:ascii="Times New Roman" w:cs="Times New Roman" w:eastAsia="Times New Roman" w:hAnsi="Times New Roman"/>
          <w:sz w:val="18"/>
          <w:szCs w:val="18"/>
          <w:color w:val="auto"/>
        </w:rPr>
        <w:t>The adoption of the Merger Agreement requires the affirmative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a majority of all outstanding shares of Common Stock entitled to vote thereon. Failure to vote, abstentions, and broker non-votes will each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Merger Proposal.</w:t>
      </w:r>
    </w:p>
    <w:p>
      <w:pPr>
        <w:spacing w:after="0" w:line="68"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Adjournment Proposal (Proposal 2): </w:t>
      </w:r>
      <w:r>
        <w:rPr>
          <w:rFonts w:ascii="Times New Roman" w:cs="Times New Roman" w:eastAsia="Times New Roman" w:hAnsi="Times New Roman"/>
          <w:sz w:val="18"/>
          <w:szCs w:val="18"/>
          <w:color w:val="auto"/>
        </w:rPr>
        <w:t>Approval of the Adjournment Proposal requires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the holders of a majority of the voting power of the shares of Common Stock present, by attendance via the Virtual Special Meeting Website, or represented by proxy at the Special Meeting and entitled to vote on the proposal, at a meeting at which a quorum is present. An adjournment for lack of a quorum does not require approval of the Adjournment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If you fail to submit a proxy or to vote at the Special Meeting, or if your shares are held through a broker, bank or other nominee and you do not provide voting instructions, your shares will not be voted, but this will not have an effect on the outcome of the Adjournment Proposal.</w:t>
      </w:r>
    </w:p>
    <w:p>
      <w:pPr>
        <w:spacing w:after="0" w:line="80" w:lineRule="exact"/>
        <w:rPr>
          <w:rFonts w:ascii="Times New Roman" w:cs="Times New Roman" w:eastAsia="Times New Roman" w:hAnsi="Times New Roman"/>
          <w:sz w:val="18"/>
          <w:szCs w:val="18"/>
          <w:color w:val="auto"/>
        </w:rPr>
      </w:pPr>
    </w:p>
    <w:p>
      <w:pPr>
        <w:ind w:left="1000" w:right="359" w:hanging="348"/>
        <w:spacing w:after="0" w:line="254"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Proposal (Proposal 3): </w:t>
      </w:r>
      <w:r>
        <w:rPr>
          <w:rFonts w:ascii="Times New Roman" w:cs="Times New Roman" w:eastAsia="Times New Roman" w:hAnsi="Times New Roman"/>
          <w:sz w:val="18"/>
          <w:szCs w:val="18"/>
          <w:color w:val="auto"/>
        </w:rPr>
        <w:t>Approval of the Compensation Proposal requires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the holders of a majority of the voting power of the shares of Common Stock present, by attendance via the Virtual Special Meeting Website, or represented by proxy at the Special Meeting and entitled to vote on the proposal, at a meeting at which a quorum is present.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Compensation Proposal. If you fail to submit a proxy or to vote at the Special Meeting, or if your shares are held through a broker, bank or other nominee and you do not provide voting instructions, your shares will not be counted in respect of, and therefore will not have an effect on, the Compensation Proposal. The vote on the Compensation Proposal is advisory only and will not be binding on the Company or the Board.</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Are there any voting agreements with existing stockholders?</w:t>
      </w:r>
    </w:p>
    <w:p>
      <w:pPr>
        <w:spacing w:after="0" w:line="121" w:lineRule="exact"/>
        <w:rPr>
          <w:sz w:val="20"/>
          <w:szCs w:val="20"/>
          <w:color w:val="auto"/>
        </w:rPr>
      </w:pPr>
    </w:p>
    <w:p>
      <w:pPr>
        <w:ind w:left="640" w:right="539" w:hanging="348"/>
        <w:spacing w:after="0" w:line="256" w:lineRule="auto"/>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Immediately following the execution of the Merger Agreement, each of the Voting Agreement Stockholders, which include each of the Company’s directors and named executive officers and certain stockholders affiliated with the family of the Company’s late founder, entered into a Voting Agreement with Parent pursuant to which the Voting Agreement Stockholders have agreed, among other things and subject to certain conditions, to vote shares of Common Stock representing approximately 29.0% of the outstanding shares in favor of the Merger Proposal. For more information, see “The Merger—Voting Agreements.”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is the effect of abstentions on each proposal?</w:t>
      </w:r>
    </w:p>
    <w:p>
      <w:pPr>
        <w:spacing w:after="0" w:line="121" w:lineRule="exact"/>
        <w:rPr>
          <w:sz w:val="20"/>
          <w:szCs w:val="20"/>
          <w:color w:val="auto"/>
        </w:rPr>
      </w:pPr>
    </w:p>
    <w:p>
      <w:pPr>
        <w:ind w:left="640" w:hanging="348"/>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 of an abstention depends on the proposal:</w:t>
      </w:r>
    </w:p>
    <w:p>
      <w:pPr>
        <w:spacing w:after="0" w:line="113" w:lineRule="exact"/>
        <w:rPr>
          <w:rFonts w:ascii="Times New Roman" w:cs="Times New Roman" w:eastAsia="Times New Roman" w:hAnsi="Times New Roman"/>
          <w:sz w:val="18"/>
          <w:szCs w:val="18"/>
          <w:b w:val="1"/>
          <w:bCs w:val="1"/>
          <w:color w:val="auto"/>
        </w:rPr>
      </w:pPr>
    </w:p>
    <w:p>
      <w:pPr>
        <w:jc w:val="both"/>
        <w:ind w:left="1000" w:right="399" w:hanging="348"/>
        <w:spacing w:after="0" w:line="268"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 Proposal: </w:t>
      </w:r>
      <w:r>
        <w:rPr>
          <w:rFonts w:ascii="Times New Roman" w:cs="Times New Roman" w:eastAsia="Times New Roman" w:hAnsi="Times New Roman"/>
          <w:sz w:val="18"/>
          <w:szCs w:val="18"/>
          <w:color w:val="auto"/>
        </w:rPr>
        <w:t>Because adoption of the Merger Agreement requires the affirmative vote of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all outstanding shares of Common Stock entitled to vote thereon,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62" w:lineRule="exact"/>
        <w:rPr>
          <w:rFonts w:ascii="Times New Roman" w:cs="Times New Roman" w:eastAsia="Times New Roman" w:hAnsi="Times New Roman"/>
          <w:sz w:val="18"/>
          <w:szCs w:val="18"/>
          <w:color w:val="auto"/>
        </w:rPr>
      </w:pPr>
    </w:p>
    <w:p>
      <w:pPr>
        <w:ind w:left="1000" w:right="319" w:hanging="348"/>
        <w:spacing w:after="0" w:line="262"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Adjournment Proposal: </w:t>
      </w:r>
      <w:r>
        <w:rPr>
          <w:rFonts w:ascii="Times New Roman" w:cs="Times New Roman" w:eastAsia="Times New Roman" w:hAnsi="Times New Roman"/>
          <w:sz w:val="18"/>
          <w:szCs w:val="18"/>
          <w:color w:val="auto"/>
        </w:rPr>
        <w:t>Because approval of the Adjournment Proposal requires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voting power of the shares of Common Stock present by attendance via the Virtual Special Meeting Website or represented by proxy at the Special Meeting and entitled to vote on the proposal,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w:t>
      </w:r>
    </w:p>
    <w:p>
      <w:pPr>
        <w:spacing w:after="0" w:line="68" w:lineRule="exact"/>
        <w:rPr>
          <w:rFonts w:ascii="Times New Roman" w:cs="Times New Roman" w:eastAsia="Times New Roman" w:hAnsi="Times New Roman"/>
          <w:sz w:val="18"/>
          <w:szCs w:val="18"/>
          <w:color w:val="auto"/>
        </w:rPr>
      </w:pPr>
    </w:p>
    <w:p>
      <w:pPr>
        <w:ind w:left="1000" w:right="299" w:hanging="348"/>
        <w:spacing w:after="0" w:line="262" w:lineRule="auto"/>
        <w:tabs>
          <w:tab w:leader="none" w:pos="10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Proposal: </w:t>
      </w:r>
      <w:r>
        <w:rPr>
          <w:rFonts w:ascii="Times New Roman" w:cs="Times New Roman" w:eastAsia="Times New Roman" w:hAnsi="Times New Roman"/>
          <w:sz w:val="18"/>
          <w:szCs w:val="18"/>
          <w:color w:val="auto"/>
        </w:rPr>
        <w:t>Because approval of the Compensation Proposal requires the affirmative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the voting power of the shares of Common Stock present by attendance via the Virtual Special Meeting Website or represented by proxy at the Special Meeting and entitled to vote on the proposal,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Compensation Proposal.</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What is the effect of broker non-votes on each proposal?</w:t>
      </w:r>
    </w:p>
    <w:p>
      <w:pPr>
        <w:spacing w:after="0" w:line="121" w:lineRule="exact"/>
        <w:rPr>
          <w:sz w:val="20"/>
          <w:szCs w:val="20"/>
          <w:color w:val="auto"/>
        </w:rPr>
      </w:pPr>
    </w:p>
    <w:p>
      <w:pPr>
        <w:ind w:left="640" w:right="359" w:hanging="348"/>
        <w:spacing w:after="0" w:line="266" w:lineRule="auto"/>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“broker non-vote” occurs when a bank, broker, or other nominee holding shares for a beneficial owner does not vote on a particular proposal because the nominee does not have discretionary voting authority with respect to that proposal and has not received voting instructions from the beneficial owner.</w:t>
      </w:r>
    </w:p>
    <w:p>
      <w:pPr>
        <w:spacing w:after="0" w:line="67" w:lineRule="exact"/>
        <w:rPr>
          <w:rFonts w:ascii="Times New Roman" w:cs="Times New Roman" w:eastAsia="Times New Roman" w:hAnsi="Times New Roman"/>
          <w:sz w:val="18"/>
          <w:szCs w:val="18"/>
          <w:b w:val="1"/>
          <w:bCs w:val="1"/>
          <w:color w:val="auto"/>
        </w:rPr>
      </w:pPr>
    </w:p>
    <w:p>
      <w:pPr>
        <w:ind w:left="660" w:right="459"/>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Under the rules of the NYSE, each of the Merger Proposal, the Adjournment Proposal, and the Compensation Proposal is considered a “non-routine” matter. Accordingly, if you hold your shares in street name and you do not provide your bank, broker, or nominee with voting instructions with respect to any of the proposals, your bank, broker, or nominee will not be permitted to vote your shares on any of those proposals, and your shares will not be represented at the Special Meeting or counted for purposes of determining whether a quorum is present. Shares for which the applicable broker, bank or other nominee receives instructions regarding how to vote on at least one of the proposals before the Special Meeting will be counted as present at the Special Meeting for quorum purposes. The effect of broker non-votes on each proposal is as follows:</w:t>
      </w:r>
    </w:p>
    <w:p>
      <w:pPr>
        <w:spacing w:after="0" w:line="59" w:lineRule="exact"/>
        <w:rPr>
          <w:rFonts w:ascii="Times New Roman" w:cs="Times New Roman" w:eastAsia="Times New Roman" w:hAnsi="Times New Roman"/>
          <w:sz w:val="18"/>
          <w:szCs w:val="18"/>
          <w:b w:val="1"/>
          <w:bCs w:val="1"/>
          <w:color w:val="auto"/>
        </w:rPr>
      </w:pPr>
    </w:p>
    <w:p>
      <w:pPr>
        <w:ind w:left="1000" w:right="579" w:hanging="348"/>
        <w:spacing w:after="0" w:line="268"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 Proposal: </w:t>
      </w:r>
      <w:r>
        <w:rPr>
          <w:rFonts w:ascii="Times New Roman" w:cs="Times New Roman" w:eastAsia="Times New Roman" w:hAnsi="Times New Roman"/>
          <w:sz w:val="18"/>
          <w:szCs w:val="18"/>
          <w:color w:val="auto"/>
        </w:rPr>
        <w:t>Shares that are the subject of a broker non-vote will have the same effect as a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because adoption of the Merger Agreement requires the affirmative vote of holders of a majority of all outstanding shares entitled to vote thereon.</w:t>
      </w:r>
    </w:p>
    <w:p>
      <w:pPr>
        <w:spacing w:after="0" w:line="62" w:lineRule="exact"/>
        <w:rPr>
          <w:rFonts w:ascii="Times New Roman" w:cs="Times New Roman" w:eastAsia="Times New Roman" w:hAnsi="Times New Roman"/>
          <w:sz w:val="18"/>
          <w:szCs w:val="18"/>
          <w:color w:val="auto"/>
        </w:rPr>
      </w:pPr>
    </w:p>
    <w:p>
      <w:pPr>
        <w:ind w:left="1000" w:right="339" w:hanging="348"/>
        <w:spacing w:after="0" w:line="28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Adjournment Proposal: </w:t>
      </w:r>
      <w:r>
        <w:rPr>
          <w:rFonts w:ascii="Times New Roman" w:cs="Times New Roman" w:eastAsia="Times New Roman" w:hAnsi="Times New Roman"/>
          <w:sz w:val="18"/>
          <w:szCs w:val="18"/>
          <w:color w:val="auto"/>
        </w:rPr>
        <w:t>Shares that are the subject of a broker non-vote will not be considered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on the Adjournment Proposal and therefore will have no effect on its outcome.</w:t>
      </w:r>
    </w:p>
    <w:p>
      <w:pPr>
        <w:spacing w:after="0" w:line="46" w:lineRule="exact"/>
        <w:rPr>
          <w:rFonts w:ascii="Times New Roman" w:cs="Times New Roman" w:eastAsia="Times New Roman" w:hAnsi="Times New Roman"/>
          <w:sz w:val="18"/>
          <w:szCs w:val="18"/>
          <w:color w:val="auto"/>
        </w:rPr>
      </w:pPr>
    </w:p>
    <w:p>
      <w:pPr>
        <w:ind w:left="1000" w:right="459" w:hanging="348"/>
        <w:spacing w:after="0" w:line="286"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Proposal: </w:t>
      </w:r>
      <w:r>
        <w:rPr>
          <w:rFonts w:ascii="Times New Roman" w:cs="Times New Roman" w:eastAsia="Times New Roman" w:hAnsi="Times New Roman"/>
          <w:sz w:val="18"/>
          <w:szCs w:val="18"/>
          <w:color w:val="auto"/>
        </w:rPr>
        <w:t>Shares that are the subject of a broker non-vote will not be considered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on the Compensation Proposal and therefore will have no effect on its outcome.</w:t>
      </w:r>
    </w:p>
    <w:p>
      <w:pPr>
        <w:spacing w:after="0" w:line="51" w:lineRule="exact"/>
        <w:rPr>
          <w:sz w:val="20"/>
          <w:szCs w:val="20"/>
          <w:color w:val="auto"/>
        </w:rPr>
      </w:pPr>
    </w:p>
    <w:p>
      <w:pPr>
        <w:ind w:left="660" w:right="599"/>
        <w:spacing w:after="0" w:line="282" w:lineRule="auto"/>
        <w:rPr>
          <w:sz w:val="20"/>
          <w:szCs w:val="20"/>
          <w:color w:val="auto"/>
        </w:rPr>
      </w:pPr>
      <w:r>
        <w:rPr>
          <w:rFonts w:ascii="Times New Roman" w:cs="Times New Roman" w:eastAsia="Times New Roman" w:hAnsi="Times New Roman"/>
          <w:sz w:val="18"/>
          <w:szCs w:val="18"/>
          <w:color w:val="auto"/>
        </w:rPr>
        <w:t>We urge you to promptly provide your bank, broker, or nominee with voting instructions so that your shares may be voted on all proposals at the Special Meeting.</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How do I vote?</w:t>
      </w:r>
    </w:p>
    <w:p>
      <w:pPr>
        <w:spacing w:after="0" w:line="121" w:lineRule="exact"/>
        <w:rPr>
          <w:sz w:val="20"/>
          <w:szCs w:val="20"/>
          <w:color w:val="auto"/>
        </w:rPr>
      </w:pPr>
    </w:p>
    <w:p>
      <w:pPr>
        <w:ind w:left="640" w:hanging="348"/>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method for voting depends on how your shares are held.</w:t>
      </w:r>
    </w:p>
    <w:p>
      <w:pPr>
        <w:spacing w:after="0" w:line="115" w:lineRule="exact"/>
        <w:rPr>
          <w:rFonts w:ascii="Times New Roman" w:cs="Times New Roman" w:eastAsia="Times New Roman" w:hAnsi="Times New Roman"/>
          <w:sz w:val="18"/>
          <w:szCs w:val="18"/>
          <w:b w:val="1"/>
          <w:bCs w:val="1"/>
          <w:color w:val="auto"/>
        </w:rPr>
      </w:pPr>
    </w:p>
    <w:p>
      <w:pPr>
        <w:ind w:left="660" w:right="319"/>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If you are a stockholder of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your shares are registered directly in your name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transfer agent, Equiniti Trust Company, LLC), you may vote your shares using any of the following methods:</w:t>
      </w:r>
    </w:p>
    <w:p>
      <w:pPr>
        <w:spacing w:after="0" w:line="63" w:lineRule="exact"/>
        <w:rPr>
          <w:rFonts w:ascii="Times New Roman" w:cs="Times New Roman" w:eastAsia="Times New Roman" w:hAnsi="Times New Roman"/>
          <w:sz w:val="18"/>
          <w:szCs w:val="18"/>
          <w:b w:val="1"/>
          <w:bCs w:val="1"/>
          <w:color w:val="auto"/>
        </w:rPr>
      </w:pPr>
    </w:p>
    <w:p>
      <w:pPr>
        <w:ind w:left="1000" w:right="439" w:hanging="348"/>
        <w:spacing w:after="0" w:line="268" w:lineRule="auto"/>
        <w:tabs>
          <w:tab w:leader="none" w:pos="10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w:t>
      </w:r>
      <w:r>
        <w:rPr>
          <w:rFonts w:ascii="Times New Roman" w:cs="Times New Roman" w:eastAsia="Times New Roman" w:hAnsi="Times New Roman"/>
          <w:sz w:val="18"/>
          <w:szCs w:val="18"/>
          <w:color w:val="auto"/>
        </w:rPr>
        <w:t>Go to www.proxyvote.com and follow the on-screen instructions. You will need the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found on your proxy card. Votes submitted via the Internet must be received by 11:59 p.m. Eastern Time on November 23, 2026, the day before the Special Meeting.</w:t>
      </w:r>
    </w:p>
    <w:p>
      <w:pPr>
        <w:spacing w:after="0" w:line="62" w:lineRule="exact"/>
        <w:rPr>
          <w:rFonts w:ascii="Times New Roman" w:cs="Times New Roman" w:eastAsia="Times New Roman" w:hAnsi="Times New Roman"/>
          <w:sz w:val="18"/>
          <w:szCs w:val="18"/>
          <w:color w:val="auto"/>
        </w:rPr>
      </w:pPr>
    </w:p>
    <w:p>
      <w:pPr>
        <w:ind w:left="1000" w:right="519" w:hanging="348"/>
        <w:spacing w:after="0" w:line="268" w:lineRule="auto"/>
        <w:tabs>
          <w:tab w:leader="none" w:pos="10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Call 1-800-690-6903 (toll-free) and follow the voice instructions. You will need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number found on your proxy card. Votes submitted by telephone must be received by 11:59 p.m. Eastern Time on November 23, 2026, the day before the Special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499" w:hanging="348"/>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Complete, sign, and date the enclosed proxy card and return it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Your proxy card must be received by 11:59 p.m. Eastern Time on November 23, 2026, the day before the Special Meeting.</w:t>
      </w:r>
    </w:p>
    <w:p>
      <w:pPr>
        <w:spacing w:after="0" w:line="62" w:lineRule="exact"/>
        <w:rPr>
          <w:rFonts w:ascii="Times New Roman" w:cs="Times New Roman" w:eastAsia="Times New Roman" w:hAnsi="Times New Roman"/>
          <w:sz w:val="18"/>
          <w:szCs w:val="18"/>
          <w:color w:val="auto"/>
        </w:rPr>
      </w:pPr>
    </w:p>
    <w:p>
      <w:pPr>
        <w:ind w:left="1000" w:right="359" w:hanging="348"/>
        <w:spacing w:after="0" w:line="26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 the Virtual Meeting: </w:t>
      </w:r>
      <w:r>
        <w:rPr>
          <w:rFonts w:ascii="Times New Roman" w:cs="Times New Roman" w:eastAsia="Times New Roman" w:hAnsi="Times New Roman"/>
          <w:sz w:val="18"/>
          <w:szCs w:val="18"/>
          <w:color w:val="auto"/>
        </w:rPr>
        <w:t>Attend and vote during the Special Meeting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www.virtualshareholdermeeting.com/MG2026SM using your control number. Even if you plan to attend the Special Meeting virtually, we encourage you to vote in advance by one of the methods above to ensure your vote is counted.</w:t>
      </w:r>
    </w:p>
    <w:p>
      <w:pPr>
        <w:spacing w:after="0" w:line="72"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8"/>
          <w:szCs w:val="18"/>
          <w:u w:val="single" w:color="auto"/>
          <w:color w:val="auto"/>
        </w:rPr>
        <w:t>If you are a beneficial owner (street name holder</w:t>
      </w:r>
      <w:r>
        <w:rPr>
          <w:rFonts w:ascii="Times New Roman" w:cs="Times New Roman" w:eastAsia="Times New Roman" w:hAnsi="Times New Roman"/>
          <w:sz w:val="18"/>
          <w:szCs w:val="18"/>
          <w:color w:val="auto"/>
        </w:rPr>
        <w:t>), you should follow the voting instructions provided by your bank, broker, or nominee. Depending on your nominee, you may be able to vote over the Internet, by telephone, or by completing a voting instruction form. To vote at the Special Meeting, you must obtain a “legal proxy” from your bank, broker, or nominee and follow the registration instructions for the Special Meeting.</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Can I change or revoke my proxy after I have submitted it?</w:t>
      </w:r>
    </w:p>
    <w:p>
      <w:pPr>
        <w:spacing w:after="0" w:line="121" w:lineRule="exact"/>
        <w:rPr>
          <w:sz w:val="20"/>
          <w:szCs w:val="20"/>
          <w:color w:val="auto"/>
        </w:rPr>
      </w:pPr>
    </w:p>
    <w:p>
      <w:pPr>
        <w:ind w:left="640" w:right="399" w:hanging="348"/>
        <w:spacing w:after="0" w:line="282" w:lineRule="auto"/>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If you are a stockholder of record, you may change or revoke your proxy at any time before it is exercised at the Special Meeting by taking any of the following actions:</w:t>
      </w:r>
    </w:p>
    <w:p>
      <w:pPr>
        <w:spacing w:after="0" w:line="53" w:lineRule="exact"/>
        <w:rPr>
          <w:rFonts w:ascii="Times New Roman" w:cs="Times New Roman" w:eastAsia="Times New Roman" w:hAnsi="Times New Roman"/>
          <w:sz w:val="18"/>
          <w:szCs w:val="18"/>
          <w:b w:val="1"/>
          <w:bCs w:val="1"/>
          <w:color w:val="auto"/>
        </w:rPr>
      </w:pPr>
    </w:p>
    <w:p>
      <w:pPr>
        <w:ind w:left="1000" w:right="939" w:hanging="348"/>
        <w:spacing w:after="0" w:line="282" w:lineRule="auto"/>
        <w:tabs>
          <w:tab w:leader="none" w:pos="10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bearing a later date (which automatically revokes the earlier proxy) by Internet, telephone or mail, by 11:59 p.m. Eastern Time the day before the Special Meeting;</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written notice of revocation to the Company’s Secretary, Eileen Coggins, at Mistras Group, Inc., 195 Clarksville Road, Princeton Junction, New Jersey 08550, so that it is received by 11:59 p.m. Eastern Time on the day before the Special Meeting;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at the Special Meeting (attendance alone will not revoke your proxy).</w:t>
      </w:r>
    </w:p>
    <w:p>
      <w:pPr>
        <w:spacing w:after="0" w:line="117" w:lineRule="exact"/>
        <w:rPr>
          <w:sz w:val="20"/>
          <w:szCs w:val="20"/>
          <w:color w:val="auto"/>
        </w:rPr>
      </w:pPr>
    </w:p>
    <w:p>
      <w:pPr>
        <w:ind w:left="660" w:right="359"/>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should follow the instructions provided by your bank, broker, or nominee to change or revoke your previously submitted voting instructions. You should contact your bank, broker, or nominee directly if you have any questions about how to revoke or change your voting instructions.</w:t>
      </w:r>
    </w:p>
    <w:p>
      <w:pPr>
        <w:spacing w:after="0" w:line="72" w:lineRule="exact"/>
        <w:rPr>
          <w:sz w:val="20"/>
          <w:szCs w:val="20"/>
          <w:color w:val="auto"/>
        </w:rPr>
      </w:pPr>
    </w:p>
    <w:p>
      <w:pPr>
        <w:ind w:left="660" w:right="379"/>
        <w:spacing w:after="0" w:line="282" w:lineRule="auto"/>
        <w:rPr>
          <w:sz w:val="20"/>
          <w:szCs w:val="20"/>
          <w:color w:val="auto"/>
        </w:rPr>
      </w:pPr>
      <w:r>
        <w:rPr>
          <w:rFonts w:ascii="Times New Roman" w:cs="Times New Roman" w:eastAsia="Times New Roman" w:hAnsi="Times New Roman"/>
          <w:sz w:val="18"/>
          <w:szCs w:val="18"/>
          <w:color w:val="auto"/>
        </w:rPr>
        <w:t>Please note that if you wish to vote at the Special Meeting after having previously submitted a proxy, you must follow the appropriate procedures described above to revoke or supersede your prior proxy.</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What happens if I sign and return my proxy card without indicating how I wish to vote?</w:t>
      </w:r>
    </w:p>
    <w:p>
      <w:pPr>
        <w:spacing w:after="0" w:line="121" w:lineRule="exact"/>
        <w:rPr>
          <w:sz w:val="20"/>
          <w:szCs w:val="20"/>
          <w:color w:val="auto"/>
        </w:rPr>
      </w:pPr>
    </w:p>
    <w:p>
      <w:pPr>
        <w:ind w:left="640" w:right="399" w:hanging="348"/>
        <w:spacing w:after="0" w:line="289" w:lineRule="auto"/>
        <w:tabs>
          <w:tab w:leader="none" w:pos="64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sign and return your proxy card without indicating how you wish to vote with respect to a particular proposal, your shares will be voted in accordance with the Board’s recommendation with respect to that proposal. Accordingly, if you return a signed proxy card without voting instructions, your shares will be voted:</w:t>
      </w:r>
    </w:p>
    <w:p>
      <w:pPr>
        <w:spacing w:after="0" w:line="45" w:lineRule="exact"/>
        <w:rPr>
          <w:rFonts w:ascii="Times New Roman" w:cs="Times New Roman" w:eastAsia="Times New Roman" w:hAnsi="Times New Roman"/>
          <w:sz w:val="17"/>
          <w:szCs w:val="17"/>
          <w:b w:val="1"/>
          <w:bCs w:val="1"/>
          <w:color w:val="auto"/>
        </w:rPr>
      </w:pPr>
    </w:p>
    <w:p>
      <w:pPr>
        <w:ind w:left="1000" w:hanging="348"/>
        <w:spacing w:after="0"/>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(Proposal 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(Proposal 2);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(Proposal 3).</w:t>
      </w:r>
    </w:p>
    <w:p>
      <w:pPr>
        <w:spacing w:after="0" w:line="121" w:lineRule="exact"/>
        <w:rPr>
          <w:sz w:val="20"/>
          <w:szCs w:val="20"/>
          <w:color w:val="auto"/>
        </w:rPr>
      </w:pPr>
    </w:p>
    <w:p>
      <w:pPr>
        <w:ind w:left="660" w:right="499"/>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brought before the Special Meeting, the persons named as proxies in the enclosed proxy card will vote the shares represented by proxies in their discretion on such other matters in accordance with their judgment. As of the date of this proxy statement, we know of no other matters that will be presented for consideration at the Special Meeting.</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Do I have appraisal rights in connection with the Merger?</w:t>
      </w:r>
    </w:p>
    <w:p>
      <w:pPr>
        <w:spacing w:after="0" w:line="121" w:lineRule="exact"/>
        <w:rPr>
          <w:sz w:val="20"/>
          <w:szCs w:val="20"/>
          <w:color w:val="auto"/>
        </w:rPr>
      </w:pPr>
    </w:p>
    <w:p>
      <w:pPr>
        <w:ind w:left="640" w:right="339" w:hanging="348"/>
        <w:spacing w:after="0" w:line="258" w:lineRule="auto"/>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Under Section 262 of the DGCL, holders of shares of Common Stock who do not vote in favor of the adoption of the Merger Agreement and who otherwise comply with the applicable requirements and procedures of Section 262 of the DGCL are entitled to seek appraisal of the “fair value” of their shares as determined by the Delaware Court of Chancery. Beneficial owners may demand in their own name as well, as described in further detail in “Appraisal Rights—Demand Requirements.”</w:t>
      </w:r>
    </w:p>
    <w:p>
      <w:pPr>
        <w:spacing w:after="0" w:line="75" w:lineRule="exact"/>
        <w:rPr>
          <w:rFonts w:ascii="Times New Roman" w:cs="Times New Roman" w:eastAsia="Times New Roman" w:hAnsi="Times New Roman"/>
          <w:sz w:val="18"/>
          <w:szCs w:val="18"/>
          <w:b w:val="1"/>
          <w:bCs w:val="1"/>
          <w:color w:val="auto"/>
        </w:rPr>
      </w:pPr>
    </w:p>
    <w:p>
      <w:pPr>
        <w:ind w:left="660" w:right="899"/>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To exercise appraisal rights, you must: (i) not vote in favor of, or consent to, the adoption of the Merger Agreement; (ii) deliver to the Company a written demand for appraisal prior to the vote on the Merger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59"/>
        <w:spacing w:after="0" w:line="266" w:lineRule="auto"/>
        <w:rPr>
          <w:sz w:val="20"/>
          <w:szCs w:val="20"/>
          <w:color w:val="auto"/>
        </w:rPr>
      </w:pPr>
      <w:r>
        <w:rPr>
          <w:rFonts w:ascii="Times New Roman" w:cs="Times New Roman" w:eastAsia="Times New Roman" w:hAnsi="Times New Roman"/>
          <w:sz w:val="18"/>
          <w:szCs w:val="18"/>
          <w:color w:val="auto"/>
        </w:rPr>
        <w:t>Agreement at the Special Meeting; and (iii) continuously hold your shares of Common Stock through the Effective Time of the Merger. If you vote in favor of the Merger Agreement or consent thereto, you will lose your appraisal rights.</w:t>
      </w:r>
    </w:p>
    <w:p>
      <w:pPr>
        <w:spacing w:after="0" w:line="68"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8"/>
          <w:szCs w:val="18"/>
          <w:color w:val="auto"/>
        </w:rPr>
        <w:t>The “fair value” of shares as determined by the Delaware Court of Chancery in an appraisal proceeding could be more than, equal to, or less than the $20.35 per share Merger Consideration. The costs of any appraisal proceeding may be assessed against parties as the Delaware Court of Chancery deems equitable under the circumstances.</w:t>
      </w:r>
    </w:p>
    <w:p>
      <w:pPr>
        <w:spacing w:after="0" w:line="72" w:lineRule="exact"/>
        <w:rPr>
          <w:sz w:val="20"/>
          <w:szCs w:val="20"/>
          <w:color w:val="auto"/>
        </w:rPr>
      </w:pPr>
    </w:p>
    <w:p>
      <w:pPr>
        <w:ind w:left="660" w:right="419"/>
        <w:spacing w:after="0" w:line="258" w:lineRule="auto"/>
        <w:rPr>
          <w:sz w:val="20"/>
          <w:szCs w:val="20"/>
          <w:color w:val="auto"/>
        </w:rPr>
      </w:pPr>
      <w:r>
        <w:rPr>
          <w:rFonts w:ascii="Times New Roman" w:cs="Times New Roman" w:eastAsia="Times New Roman" w:hAnsi="Times New Roman"/>
          <w:sz w:val="18"/>
          <w:szCs w:val="18"/>
          <w:color w:val="auto"/>
        </w:rPr>
        <w:t xml:space="preserve">The requirements for exercising appraisal rights are complex and technical. Failure to comply fully with the applicable requirements may result in the loss of appraisal rights. Stockholders wishing to exercise their appraisal rights are strongly encouraged to read the section of this proxy statement entitled “Appraisal Rights” in its entirety, review the full text of Section 262 of the DGCL, which is attached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proxy statement, and consult with their legal counsel before electing to demand appraisal.</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happens if the Merger is not completed?</w:t>
      </w:r>
    </w:p>
    <w:p>
      <w:pPr>
        <w:spacing w:after="0" w:line="121" w:lineRule="exact"/>
        <w:rPr>
          <w:sz w:val="20"/>
          <w:szCs w:val="20"/>
          <w:color w:val="auto"/>
        </w:rPr>
      </w:pPr>
    </w:p>
    <w:p>
      <w:pPr>
        <w:ind w:left="640" w:right="359" w:hanging="348"/>
        <w:spacing w:after="0" w:line="266"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for any reason, the Company stockholders will not receive the $20.35 per share Merger Consideration. Instead, the Company will remain an independent publicly traded company listed on the NYSE under the symbol “MG,” and the Company’s Common Stock will continue to be traded on the NYSE.</w:t>
      </w:r>
    </w:p>
    <w:p>
      <w:pPr>
        <w:spacing w:after="0" w:line="67" w:lineRule="exact"/>
        <w:rPr>
          <w:rFonts w:ascii="Times New Roman" w:cs="Times New Roman" w:eastAsia="Times New Roman" w:hAnsi="Times New Roman"/>
          <w:sz w:val="18"/>
          <w:szCs w:val="18"/>
          <w:b w:val="1"/>
          <w:bCs w:val="1"/>
          <w:color w:val="auto"/>
        </w:rPr>
      </w:pPr>
    </w:p>
    <w:p>
      <w:pPr>
        <w:ind w:left="660" w:right="43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Agreement contains certain termination rights for both the Company and Parent. Under certain circumstances in connection with the termination of the Merger Agreement, the Company may be required to pay Parent a termination fee of approximately $27.5 million. In the event the Merger Agreement is terminated by the Company in order to enter into a definitive agreement providing for a Superior Proposal during the Go-Shop Period, the Company Termination Fee payable is reduced to 50% of the full Company Termination Fee, or approximately $13.8 million. However, if the Merger Agreement is terminated by the Company due to certain circumstances, then Parent will pay the Company approximately $49.9 million. For a more detailed discussion of the termination provisions and fees, please see the sections of this proxy statement entitled “The Merger Agreement—Termination” and “The Merger Agreement—Termination—Termination Fees and Expense Reimbursement.”</w:t>
      </w:r>
    </w:p>
    <w:p>
      <w:pPr>
        <w:spacing w:after="0" w:line="86" w:lineRule="exact"/>
        <w:rPr>
          <w:rFonts w:ascii="Times New Roman" w:cs="Times New Roman" w:eastAsia="Times New Roman" w:hAnsi="Times New Roman"/>
          <w:sz w:val="18"/>
          <w:szCs w:val="18"/>
          <w:b w:val="1"/>
          <w:bCs w:val="1"/>
          <w:color w:val="auto"/>
        </w:rPr>
      </w:pPr>
    </w:p>
    <w:p>
      <w:pPr>
        <w:ind w:left="660" w:right="5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Agreement is terminated and the Board determines to seek another business combination, there can be no assurance that the Company will be able to find a party willing to enter into a transaction on terms equivalent to or more favorable than the terms set forth in the Merger Agreement. The market price of Common Stock may be adversely affected if the Merger is not completed.</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When is the Merger expected to be completed?</w:t>
      </w:r>
    </w:p>
    <w:p>
      <w:pPr>
        <w:spacing w:after="0" w:line="121" w:lineRule="exact"/>
        <w:rPr>
          <w:sz w:val="20"/>
          <w:szCs w:val="20"/>
          <w:color w:val="auto"/>
        </w:rPr>
      </w:pPr>
    </w:p>
    <w:p>
      <w:pPr>
        <w:ind w:left="640" w:right="799" w:hanging="348"/>
        <w:spacing w:after="0" w:line="261" w:lineRule="auto"/>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currently expect the Merger to be completed as promptly as practicable after the conditions to the completion of the Merger are satisfied or waived, including receipt of required regulatory approvals and adoption of the Merger Agreement by the Company’s stockholders. We currently expect the Merger to be completed in late 2026 or early 2027.</w:t>
      </w:r>
    </w:p>
    <w:p>
      <w:pPr>
        <w:spacing w:after="0" w:line="71" w:lineRule="exact"/>
        <w:rPr>
          <w:rFonts w:ascii="Times New Roman" w:cs="Times New Roman" w:eastAsia="Times New Roman" w:hAnsi="Times New Roman"/>
          <w:sz w:val="18"/>
          <w:szCs w:val="18"/>
          <w:b w:val="1"/>
          <w:bCs w:val="1"/>
          <w:color w:val="auto"/>
        </w:rPr>
      </w:pPr>
    </w:p>
    <w:p>
      <w:pPr>
        <w:ind w:left="660" w:right="33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we cannot predict with certainty when, or whether, the Merger will be completed. Completion of the Merger is subject to a number of conditions, including: (i) adoption of the Merger Agreement by the holders of a majority of the outstanding shares of Common Stock entitled to vote thereon; (ii) the absence of any law or order that restrains, enjoins, or otherwise prohibits the consummation of the Merger; (iii) the receipt of required regulatory approvals, including any required approvals under the HSR Act; (iv) the accuracy of the parties’ representations and warranties, subject to applicable materiality qualifiers; and (v) material compliance by the parties with their respective obligations under the Merger Agreement.</w:t>
      </w:r>
    </w:p>
    <w:p>
      <w:pPr>
        <w:spacing w:after="0" w:line="80" w:lineRule="exact"/>
        <w:rPr>
          <w:rFonts w:ascii="Times New Roman" w:cs="Times New Roman" w:eastAsia="Times New Roman" w:hAnsi="Times New Roman"/>
          <w:sz w:val="18"/>
          <w:szCs w:val="18"/>
          <w:b w:val="1"/>
          <w:bCs w:val="1"/>
          <w:color w:val="auto"/>
        </w:rPr>
      </w:pPr>
    </w:p>
    <w:p>
      <w:pPr>
        <w:ind w:left="660" w:right="6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the section of this proxy statement entitled “The Merger Agreement—Conditions to the Closing of the Merger” for a detailed description of these conditions.</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Am I required to take any action with respect to the Merger?</w:t>
      </w:r>
    </w:p>
    <w:p>
      <w:pPr>
        <w:spacing w:after="0" w:line="121" w:lineRule="exact"/>
        <w:rPr>
          <w:sz w:val="20"/>
          <w:szCs w:val="20"/>
          <w:color w:val="auto"/>
        </w:rPr>
      </w:pPr>
    </w:p>
    <w:p>
      <w:pPr>
        <w:jc w:val="both"/>
        <w:ind w:left="640" w:right="419" w:hanging="348"/>
        <w:spacing w:after="0" w:line="258" w:lineRule="auto"/>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not required to take any action to complete the Merger itself. If the Merger is completed, your shares will automatically be converted into the right to receive the Merger Consideration of $20.35 per share in cash (subject to applicable withholding taxes), and instructions will be sent to you regarding how to surrender your stock certificates or uncertificated shares represented by book-entry (each, a “Book-Entry Share”) in exchange for the Merger Consideration.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8" w:lineRule="auto"/>
        <w:rPr>
          <w:sz w:val="20"/>
          <w:szCs w:val="20"/>
          <w:color w:val="auto"/>
        </w:rPr>
      </w:pPr>
      <w:r>
        <w:rPr>
          <w:rFonts w:ascii="Times New Roman" w:cs="Times New Roman" w:eastAsia="Times New Roman" w:hAnsi="Times New Roman"/>
          <w:sz w:val="18"/>
          <w:szCs w:val="18"/>
          <w:color w:val="auto"/>
        </w:rPr>
        <w:t>However, your vote is critically important. The adoption of the Merger Agreement by the holders of a majority of the outstanding shares of Common Stock entitled to vote thereon is a condition to the completion of the Merger. 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 A failure to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75" w:lineRule="exact"/>
        <w:rPr>
          <w:sz w:val="20"/>
          <w:szCs w:val="20"/>
          <w:color w:val="auto"/>
        </w:rPr>
      </w:pPr>
    </w:p>
    <w:p>
      <w:pPr>
        <w:ind w:left="660" w:right="459"/>
        <w:spacing w:after="0" w:line="266" w:lineRule="auto"/>
        <w:rPr>
          <w:sz w:val="20"/>
          <w:szCs w:val="20"/>
          <w:color w:val="auto"/>
        </w:rPr>
      </w:pPr>
      <w:r>
        <w:rPr>
          <w:rFonts w:ascii="Times New Roman" w:cs="Times New Roman" w:eastAsia="Times New Roman" w:hAnsi="Times New Roman"/>
          <w:sz w:val="18"/>
          <w:szCs w:val="18"/>
          <w:color w:val="auto"/>
        </w:rPr>
        <w:t>After the Merger is completed, you will receive a letter of transmittal from the Paying Agent with instructions regarding how to exchange your shares for the Merger Consideration. Please do not submit your stock certificates or transfer your Book-Entry Shares until you receive such instructions.</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happens to the Common Stock if the Merger is completed?</w:t>
      </w:r>
    </w:p>
    <w:p>
      <w:pPr>
        <w:spacing w:after="0" w:line="121" w:lineRule="exact"/>
        <w:rPr>
          <w:sz w:val="20"/>
          <w:szCs w:val="20"/>
          <w:color w:val="auto"/>
        </w:rPr>
      </w:pPr>
    </w:p>
    <w:p>
      <w:pPr>
        <w:ind w:left="640" w:right="339" w:hanging="348"/>
        <w:spacing w:after="0" w:line="256" w:lineRule="auto"/>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Common Stock is currently registered under the Exchange Act and listed on the NYSE under the symbol “MG.” If the Merger is completed, the Company will cease to be a publicly traded company and will become a wholly owned subsidiary of Parent, the Common Stock will be delisted from the NYSE and deregistered under the Exchange Act, and the Company will no longer be required to file periodic reports with the SEC on account of its Common Stock. See “The Merger—Delisting and Deregistration of Common Stock” beginning on page </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of this proxy statement.</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What are the material U.S. federal income tax consequences of the Merger to me?</w:t>
      </w:r>
    </w:p>
    <w:p>
      <w:pPr>
        <w:spacing w:after="0" w:line="121"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will generally be a taxable transaction for U.S. federal income tax purposes. If you are a</w:t>
      </w:r>
    </w:p>
    <w:p>
      <w:pPr>
        <w:spacing w:after="0" w:line="27" w:lineRule="exact"/>
        <w:rPr>
          <w:rFonts w:ascii="Times New Roman" w:cs="Times New Roman" w:eastAsia="Times New Roman" w:hAnsi="Times New Roman"/>
          <w:sz w:val="18"/>
          <w:szCs w:val="18"/>
          <w:b w:val="1"/>
          <w:bCs w:val="1"/>
          <w:color w:val="auto"/>
        </w:rPr>
      </w:pPr>
    </w:p>
    <w:p>
      <w:pPr>
        <w:ind w:left="640" w:right="399"/>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“U.S. holder” (as defined in the section of this proxy statement entitled “The Merger—Certain U.S. Federal Income Tax Consequences of the Merger”), you will generally recognize a capital gain or capital loss in an amount equal to the difference, if any, between the Merger Consideration you receive for your shares and your adjusted tax basis in those shares. Any such capital gain or loss will generally be treated as long-term capital gain or loss if you have held your shares for more than one year as of the date of the completion of the Merger.</w:t>
      </w:r>
    </w:p>
    <w:p>
      <w:pPr>
        <w:spacing w:after="0" w:line="65" w:lineRule="exact"/>
        <w:rPr>
          <w:rFonts w:ascii="Times New Roman" w:cs="Times New Roman" w:eastAsia="Times New Roman" w:hAnsi="Times New Roman"/>
          <w:sz w:val="18"/>
          <w:szCs w:val="18"/>
          <w:b w:val="1"/>
          <w:bCs w:val="1"/>
          <w:color w:val="auto"/>
        </w:rPr>
      </w:pPr>
    </w:p>
    <w:p>
      <w:pPr>
        <w:ind w:left="660" w:right="3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non-U.S. holder (as defined in the section of this proxy statement entitled “The Merger—Certain U.S. Federal Income Tax Consequences of the Merger”), you generally will not be subject to U.S. federal income tax on any gain recognized in the Merger unless certain conditions apply, as described more fully in the tax consequences section of this proxy statement.</w:t>
      </w:r>
    </w:p>
    <w:p>
      <w:pPr>
        <w:spacing w:after="0" w:line="71" w:lineRule="exact"/>
        <w:rPr>
          <w:rFonts w:ascii="Times New Roman" w:cs="Times New Roman" w:eastAsia="Times New Roman" w:hAnsi="Times New Roman"/>
          <w:sz w:val="18"/>
          <w:szCs w:val="18"/>
          <w:b w:val="1"/>
          <w:bCs w:val="1"/>
          <w:color w:val="auto"/>
        </w:rPr>
      </w:pPr>
    </w:p>
    <w:p>
      <w:pPr>
        <w:ind w:left="660" w:right="3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Backup withholding may apply to the Merger Consideration if you do not provide a valid taxpayer identification number on a properly completed Internal Revenue Service (“IRS”) Form W-9 (or applicable IRS Form W-8 for non-U.S. holders).</w:t>
      </w:r>
    </w:p>
    <w:p>
      <w:pPr>
        <w:spacing w:after="0" w:line="67" w:lineRule="exact"/>
        <w:rPr>
          <w:rFonts w:ascii="Times New Roman" w:cs="Times New Roman" w:eastAsia="Times New Roman" w:hAnsi="Times New Roman"/>
          <w:sz w:val="18"/>
          <w:szCs w:val="18"/>
          <w:b w:val="1"/>
          <w:bCs w:val="1"/>
          <w:color w:val="auto"/>
        </w:rPr>
      </w:pPr>
    </w:p>
    <w:p>
      <w:pPr>
        <w:ind w:left="660" w:right="3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income tax consequences described above may not apply to all holders of Common Stock. Tax matters can be complex, and the tax consequences of the Merger to you will depend on your specific circumstances. We urge you to consult your own tax advisor to determine the particular U.S. federal, state, local, and foreign income and other tax consequences of the Merger that are applicable to your specific situation. For additional information regarding the U.S. federal income tax consequences of the Merger, please see the section of this proxy statement entitled “The Merger—Certain U.S. Federal Income Tax Consequences of the Merger.”</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Who is paying for this proxy solicitation?</w:t>
      </w:r>
    </w:p>
    <w:p>
      <w:pPr>
        <w:spacing w:after="0" w:line="121" w:lineRule="exact"/>
        <w:rPr>
          <w:sz w:val="20"/>
          <w:szCs w:val="20"/>
          <w:color w:val="auto"/>
        </w:rPr>
      </w:pPr>
    </w:p>
    <w:p>
      <w:pPr>
        <w:ind w:left="640" w:right="419" w:hanging="348"/>
        <w:spacing w:after="0" w:line="258" w:lineRule="auto"/>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paying for the solicitation of proxies in connection with the Special Meeting. We have engaged D.F. King to assist in the solicitation of proxies for the Special Meeting, for which we will pay a one-time fee of $12,500 and a monthly fee of $3,500, plus reasonable and documented out-of-pocket expenses. We have also agreed to indemnify D.F. King against certain liabilities arising in connection with the proxy solicitation.</w:t>
      </w:r>
    </w:p>
    <w:p>
      <w:pPr>
        <w:spacing w:after="0" w:line="75" w:lineRule="exact"/>
        <w:rPr>
          <w:rFonts w:ascii="Times New Roman" w:cs="Times New Roman" w:eastAsia="Times New Roman" w:hAnsi="Times New Roman"/>
          <w:sz w:val="18"/>
          <w:szCs w:val="18"/>
          <w:b w:val="1"/>
          <w:bCs w:val="1"/>
          <w:color w:val="auto"/>
        </w:rPr>
      </w:pPr>
    </w:p>
    <w:p>
      <w:pPr>
        <w:ind w:left="660" w:right="33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our directors, officers, and employees may solicit proxies personally, by telephone, or by other electronic means without additional compensation (other than reimbursement for any out-of-pocket expenses incurred in connection with such solicitation). Arrangements will also be made with brokerage firms, banks, and other nominees or custodians to forward proxy materials to beneficial owners of shares held in their names. We will reimburse banks, brokers, and other nominees for their reasonable out-of-pocket expenses incurred in forwarding proxy materials to beneficial owners.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i w:val="1"/>
          <w:iCs w:val="1"/>
          <w:color w:val="auto"/>
        </w:rPr>
        <w:t>Q:</w:t>
        <w:tab/>
        <w:t>Who can I contact if I have additional questions about the Special Meeting or the Merger?</w:t>
      </w:r>
    </w:p>
    <w:p>
      <w:pPr>
        <w:spacing w:after="0" w:line="121" w:lineRule="exact"/>
        <w:rPr>
          <w:sz w:val="20"/>
          <w:szCs w:val="20"/>
          <w:color w:val="auto"/>
        </w:rPr>
      </w:pPr>
    </w:p>
    <w:p>
      <w:pPr>
        <w:ind w:left="640" w:right="319" w:hanging="348"/>
        <w:spacing w:after="0" w:line="282" w:lineRule="auto"/>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any questions about the Special Meeting or the proposed Merger, or if you need assistance in voting your shares, please contact D.F. King, our proxy solicitor, at the following address or telephone number: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D.F. King &amp; Co., Inc.</w:t>
      </w:r>
    </w:p>
    <w:p>
      <w:pPr>
        <w:jc w:val="center"/>
        <w:ind w:right="39"/>
        <w:spacing w:after="0" w:line="182" w:lineRule="auto"/>
        <w:rPr>
          <w:sz w:val="20"/>
          <w:szCs w:val="20"/>
          <w:color w:val="auto"/>
        </w:rPr>
      </w:pPr>
      <w:r>
        <w:rPr>
          <w:rFonts w:ascii="Times New Roman" w:cs="Times New Roman" w:eastAsia="Times New Roman" w:hAnsi="Times New Roman"/>
          <w:sz w:val="17"/>
          <w:szCs w:val="17"/>
          <w:color w:val="auto"/>
        </w:rPr>
        <w:t>28 Liberty Street, 53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Stockholders call toll-free: 888-605-1957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brokers call collect: 212-257-2468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MISTRAS@dfking.com</w:t>
      </w:r>
    </w:p>
    <w:p>
      <w:pPr>
        <w:spacing w:after="0" w:line="99" w:lineRule="exact"/>
        <w:rPr>
          <w:sz w:val="20"/>
          <w:szCs w:val="20"/>
          <w:color w:val="auto"/>
        </w:rPr>
      </w:pPr>
    </w:p>
    <w:p>
      <w:pPr>
        <w:ind w:left="660" w:right="459"/>
        <w:spacing w:after="0" w:line="282" w:lineRule="auto"/>
        <w:rPr>
          <w:sz w:val="20"/>
          <w:szCs w:val="20"/>
          <w:color w:val="auto"/>
        </w:rPr>
      </w:pPr>
      <w:r>
        <w:rPr>
          <w:rFonts w:ascii="Times New Roman" w:cs="Times New Roman" w:eastAsia="Times New Roman" w:hAnsi="Times New Roman"/>
          <w:sz w:val="18"/>
          <w:szCs w:val="18"/>
          <w:color w:val="auto"/>
        </w:rPr>
        <w:t>You may also contact the Company’s Investor Relations department with questions about the Special Meeting or the Merger at the following address or telephone number: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195 Clarksville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Princeton Junction, New Jersey 08550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(609) 716-4000</w:t>
      </w:r>
    </w:p>
    <w:p>
      <w:pPr>
        <w:spacing w:after="0" w:line="99" w:lineRule="exact"/>
        <w:rPr>
          <w:sz w:val="20"/>
          <w:szCs w:val="20"/>
          <w:color w:val="auto"/>
        </w:rPr>
      </w:pPr>
    </w:p>
    <w:p>
      <w:pPr>
        <w:ind w:left="660" w:right="319"/>
        <w:spacing w:after="0" w:line="256" w:lineRule="auto"/>
        <w:rPr>
          <w:sz w:val="20"/>
          <w:szCs w:val="20"/>
          <w:color w:val="auto"/>
        </w:rPr>
      </w:pPr>
      <w:r>
        <w:rPr>
          <w:rFonts w:ascii="Times New Roman" w:cs="Times New Roman" w:eastAsia="Times New Roman" w:hAnsi="Times New Roman"/>
          <w:sz w:val="18"/>
          <w:szCs w:val="18"/>
          <w:color w:val="auto"/>
        </w:rPr>
        <w:t>Additional information about the proposed Merger and the Special Meeting is contained in this proxy statement. Please review the entire proxy statement, including the appendices attached hereto, carefully before voting. This proxy statement, the proxy card, and other proxy materials may be obtained free of charge from the SEC’s website at www.sec.gov, from the Company’s investor relations website at investors.mistrasgroup.com, or by contacting the Company or D.F. King, our proxy solicitor, at the addresses or telephone numbers provided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enclosed proxy is solicited on behalf of the Board for use at the Special Meeting of stockholders or at any adjournments or postponements thereof.</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300" w:right="779" w:firstLine="360"/>
        <w:spacing w:after="0" w:line="289" w:lineRule="auto"/>
        <w:rPr>
          <w:sz w:val="20"/>
          <w:szCs w:val="20"/>
          <w:color w:val="auto"/>
        </w:rPr>
      </w:pPr>
      <w:r>
        <w:rPr>
          <w:rFonts w:ascii="Times New Roman" w:cs="Times New Roman" w:eastAsia="Times New Roman" w:hAnsi="Times New Roman"/>
          <w:sz w:val="17"/>
          <w:szCs w:val="17"/>
          <w:color w:val="auto"/>
        </w:rPr>
        <w:t>The Special Meeting will be held virtually on November 24, 2026, at 9:00 a.m. Eastern Time, unless the Special Meeting is postponed or adjourned. The Special Meeting will be conducted via live audio webcast at www.virtualshareholdermeeting.com/MG2026SM. There will be no physical location for the Special Meeting.</w:t>
      </w:r>
    </w:p>
    <w:p>
      <w:pPr>
        <w:spacing w:after="0" w:line="5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You will be able to attend and participate in the Special Meeting by visiting www.virtualshareholdermeeting.com/MG2026SM where you will be able to submit questions and, if you are a stockholder of record (or hold a legal proxy from your broker, bank or other nominee), vote electronically. You will be asked to provide the control number located on your proxy card or voting instruction form. Please be sure to follow the instructions on your proxy card and/or voting instruction form and subsequent instructions that will be delivered to you via email.</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stockholders will be asked to consider and vote upon the following proposals:</w:t>
      </w:r>
    </w:p>
    <w:p>
      <w:pPr>
        <w:spacing w:after="0" w:line="113"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 Proposal. </w:t>
      </w:r>
      <w:r>
        <w:rPr>
          <w:rFonts w:ascii="Times New Roman" w:cs="Times New Roman" w:eastAsia="Times New Roman" w:hAnsi="Times New Roman"/>
          <w:sz w:val="18"/>
          <w:szCs w:val="18"/>
          <w:color w:val="auto"/>
        </w:rPr>
        <w:t>To adopt the Merger Agreement.</w:t>
      </w:r>
    </w:p>
    <w:p>
      <w:pPr>
        <w:spacing w:after="0" w:line="117" w:lineRule="exact"/>
        <w:rPr>
          <w:rFonts w:ascii="Times New Roman" w:cs="Times New Roman" w:eastAsia="Times New Roman" w:hAnsi="Times New Roman"/>
          <w:sz w:val="18"/>
          <w:szCs w:val="18"/>
          <w:color w:val="auto"/>
        </w:rPr>
      </w:pPr>
    </w:p>
    <w:p>
      <w:pPr>
        <w:jc w:val="both"/>
        <w:ind w:left="1000" w:right="619" w:hanging="348"/>
        <w:spacing w:after="0" w:line="26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Adjournment Proposal. </w:t>
      </w:r>
      <w:r>
        <w:rPr>
          <w:rFonts w:ascii="Times New Roman" w:cs="Times New Roman" w:eastAsia="Times New Roman" w:hAnsi="Times New Roman"/>
          <w:sz w:val="18"/>
          <w:szCs w:val="18"/>
          <w:color w:val="auto"/>
        </w:rPr>
        <w:t>To approve the adjournment of the Special Meeting to a later date or dates,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to solicit additional proxies if there are insufficient votes to adopt the Merger Agreement at the time of the Special Meeting.</w:t>
      </w:r>
    </w:p>
    <w:p>
      <w:pPr>
        <w:spacing w:after="0" w:line="62" w:lineRule="exact"/>
        <w:rPr>
          <w:rFonts w:ascii="Times New Roman" w:cs="Times New Roman" w:eastAsia="Times New Roman" w:hAnsi="Times New Roman"/>
          <w:sz w:val="18"/>
          <w:szCs w:val="18"/>
          <w:color w:val="auto"/>
        </w:rPr>
      </w:pPr>
    </w:p>
    <w:p>
      <w:pPr>
        <w:ind w:left="1000" w:right="439" w:hanging="348"/>
        <w:spacing w:after="0" w:line="28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Proposal. </w:t>
      </w:r>
      <w:r>
        <w:rPr>
          <w:rFonts w:ascii="Times New Roman" w:cs="Times New Roman" w:eastAsia="Times New Roman" w:hAnsi="Times New Roman"/>
          <w:sz w:val="18"/>
          <w:szCs w:val="18"/>
          <w:color w:val="auto"/>
        </w:rPr>
        <w:t>To approve, on an advisory (non-binding) basis, the compensation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or become payable to our named executive officers in connection with the Merger.</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Shares Entitled to Vote</w:t>
      </w:r>
    </w:p>
    <w:p>
      <w:pPr>
        <w:spacing w:after="0" w:line="121"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Board has fixed October 19, 2026, as the Record Date for the determination of stockholders entitled to notice of, and to vote at, the Special Meeting.</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As of the Record Date, there were 31,867,074 shares of Common Stock issued and outstanding. Each share of Common Stock entitles the holder thereof to one vote on each matter properly brought before the Special Meeting. The Company has no other class of stock outstanding entitled to vote at the Special Meeting. There is no cumulative voting.</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the Record Date are entitled to notice of, and to vote at, the Special Meeting or at any adjournments or postponements thereof. Each holder of record of Common Stock on the Record Date will be entitled to one vote for each share of Common Stock held as of the Record Date on each proposal submitted to our stockholders for approval at the Special Meeting. If you sell or transfer your shares of Common Stock after the Record Date but before the Special Meeting, you will transfer the right to receive the Merger Consideration, if the Merger is completed, to the person to whom you sell or transfer your shares of Common Stock, but you will retain your right to vote those shares at the Special Meeting. A list of stockholders entitled to vote at the Special Meeting will be available in our offices located at 195 Clarksville Road, Princeton Junction, New Jersey 08550, during regular business hours for a period of at least 10 days before the Special Meeting and on the Virtual Special Meeting Website during the Special Meeting.</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voting power of the shares of Common Stock issued and outstanding and entitled to vote at the Special Meeting, present by attendance via the Virtual Special Meeting Website or represented by proxy, will constitute a quorum for the transaction of business at the Special Meeting. On the Record Date, there were 31,867,074 shares of Common Stock issued and outstanding and entitled to vote. As a result, 15,933,538 shares of Common Stock must be present by attendance via the Virtual Special Meeting Website or represented by proxy to constitute a quorum. Shares that abstain on one or more of the proposals to be considered at the Special Meeting will be counted as present for purposes of determining the existence of a quorum. Because each of the Merger Proposal, the Adjournment Proposal and the Compensation Proposal is a “non-routine” matter, a broker, bank or other nominee that does not receive voting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instructions from the beneficial owner with respect to any of the proposals will have no discretionary authority to vote those shares on any matter, and those shares will not be counted as present at the Special Meeting for quorum purposes. Shares for which a broker, bank or other nominee receives voting instructions with respect to one or more, but not all, of the proposals will be counted as present at the Special Meeting for quorum purposes.</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under the Bylaws, the chairperson of the Special Meeting has the authority to recess and/or adjourn the Special Meeting, whether or not a quorum is present and whether or not the Adjournment Proposal is approved, subject to the limits in the Merger Agreement, under which the Company may not postpone or adjourn the Special Meeting more than two times for lack of a quorum, or by more than 10 business days for any event giving rise to such postponement or adjournment, without Parent’s prior written consent. See “The Merger Agreement—Stockholder Meeting; Proxy Statement.”</w:t>
      </w:r>
    </w:p>
    <w:p>
      <w:pPr>
        <w:spacing w:after="0" w:line="8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When the Special Meeting is adjourned to another time or place, notice of the adjourned meeting need not be given if the time and place, if any, of the adjourned meeting, and the means of remote communication by which stockholders and proxy holders may be deemed present in person and vote at the adjourned meeting, are announced at the meeting at which the adjournment is taken. If the adjournment is for more than 30 days, or if after the adjournment a new record date is fixed for the adjourned meeting, notice of the adjourned meeting will be given to each stockholder of record entitled to vote at the adjourned meeting.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vote of the Company’s stockholders is required to approve each of the proposals:</w:t>
      </w:r>
    </w:p>
    <w:p>
      <w:pPr>
        <w:spacing w:after="0" w:line="113" w:lineRule="exact"/>
        <w:rPr>
          <w:sz w:val="20"/>
          <w:szCs w:val="20"/>
          <w:color w:val="auto"/>
        </w:rPr>
      </w:pPr>
    </w:p>
    <w:p>
      <w:pPr>
        <w:ind w:left="1000" w:right="359" w:hanging="348"/>
        <w:spacing w:after="0" w:line="26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 Proposal. </w:t>
      </w:r>
      <w:r>
        <w:rPr>
          <w:rFonts w:ascii="Times New Roman" w:cs="Times New Roman" w:eastAsia="Times New Roman" w:hAnsi="Times New Roman"/>
          <w:sz w:val="18"/>
          <w:szCs w:val="18"/>
          <w:color w:val="auto"/>
        </w:rPr>
        <w:t>Adoption of the Merger Agreement requires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outstanding shares of Common Stock entitled to vote thereon. Abstentions and broker non-votes will have the same effect as votes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because they represent shares entitled to vote that are not voted in favor of the proposal.</w:t>
      </w:r>
    </w:p>
    <w:p>
      <w:pPr>
        <w:spacing w:after="0" w:line="68" w:lineRule="exact"/>
        <w:rPr>
          <w:rFonts w:ascii="Times New Roman" w:cs="Times New Roman" w:eastAsia="Times New Roman" w:hAnsi="Times New Roman"/>
          <w:sz w:val="18"/>
          <w:szCs w:val="18"/>
          <w:color w:val="auto"/>
        </w:rPr>
      </w:pPr>
    </w:p>
    <w:p>
      <w:pPr>
        <w:ind w:left="1000" w:right="519" w:hanging="348"/>
        <w:spacing w:after="0" w:line="254"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Approval of the Adjournment Proposal requires the affirmative vote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a majority of the voting power of the shares of Common Stock present, by attendance via the Virtual Special Meeting Website, or represented by proxy at the Special Meeting and entitled to vote on the Adjournment Proposal, at a meeting at which a quorum is present. An adjournment for lack of a quorum does not require approval of the Adjournment Proposal. Because the required vote is measured against the number of shares present and entitled to vote rather than the number of votes cast,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 failure to vote will have no effect on the Adjournment Proposal, because those shares will not be present at the Special Meeting. A broker non-vote will have no effect on the Adjournment Proposal, because those shares will not be entitled to vote on that proposal.</w:t>
      </w:r>
    </w:p>
    <w:p>
      <w:pPr>
        <w:spacing w:after="0" w:line="77"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Proposal</w:t>
      </w:r>
      <w:r>
        <w:rPr>
          <w:rFonts w:ascii="Times New Roman" w:cs="Times New Roman" w:eastAsia="Times New Roman" w:hAnsi="Times New Roman"/>
          <w:sz w:val="18"/>
          <w:szCs w:val="18"/>
          <w:color w:val="auto"/>
        </w:rPr>
        <w:t>. Approval of the Compensation Proposal requires the affirmative vote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a majority of the voting power of the shares of Common Stock present, by attendance via the Virtual Special Meeting Website, or represented by proxy at the Special Meeting and entitled to vote on the Compensation Proposal, at a meeting at which a quorum is present. Because the required vote is measured against the number of shares present and entitled to vote rather than the number of votes cast,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Compensation Proposal. A failure to vote will have no effect on the Compensation Proposal, because those shares will not be present at the Special Meeting. A broker non-vote will have no effect on the Compensation Proposal, because those shares will not be entitled to vote on that proposal. The vote on the Compensation Proposal is advisory only and will not be binding on the Company, the Board or Parent.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Ownership and Interests of Certain Persons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As of the Record Date, the Company’s directors and executive officers may have interests in the Merger that are different from, or in addition to, the interests of the Company’s stockholders generally. For a description of these interests, see the section of this proxy statement entitled “The Merger—Interests of the Directors and Executive Officers of the Company in the Merger.”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Voting Agreement Stockholders, which include each of the Company’s directors and named executive officers and certain other stockholders, have entered into Voting Agreements with Parent pursuant to which they have agreed, among other things, to vote shares of Common Stock representing approximately 29.0% of the outstanding shares of Common Stock in favor of the adoption of the Merger Agreement. For additional information, see “The Merger—Voting Agreements.”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If your shares of Common Stock are registered in your name with our transfer agent, Equiniti Trust Company, LLC, you may submit your proxies by following the instructions on the proxy card:</w:t>
      </w:r>
    </w:p>
    <w:p>
      <w:pPr>
        <w:spacing w:after="0" w:line="54" w:lineRule="exact"/>
        <w:rPr>
          <w:sz w:val="20"/>
          <w:szCs w:val="20"/>
          <w:color w:val="auto"/>
        </w:rPr>
      </w:pPr>
    </w:p>
    <w:p>
      <w:pPr>
        <w:ind w:left="1000" w:right="119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Internet, by accessing the website listed on the enclosed proxy card and following the instructions provided;</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the toll-free number listed on the enclosed proxy card and following the instructions provided; or</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completing, signing, dating and returning the enclosed proxy card in the postage-paid envelope provided.</w:t>
      </w:r>
    </w:p>
    <w:p>
      <w:pPr>
        <w:spacing w:after="0" w:line="54" w:lineRule="exact"/>
        <w:rPr>
          <w:sz w:val="20"/>
          <w:szCs w:val="20"/>
          <w:color w:val="auto"/>
        </w:rPr>
      </w:pPr>
    </w:p>
    <w:p>
      <w:pPr>
        <w:ind w:left="300" w:right="779" w:firstLine="360"/>
        <w:spacing w:after="0" w:line="312" w:lineRule="auto"/>
        <w:rPr>
          <w:sz w:val="20"/>
          <w:szCs w:val="20"/>
          <w:color w:val="auto"/>
        </w:rPr>
      </w:pPr>
      <w:r>
        <w:rPr>
          <w:rFonts w:ascii="Times New Roman" w:cs="Times New Roman" w:eastAsia="Times New Roman" w:hAnsi="Times New Roman"/>
          <w:sz w:val="17"/>
          <w:szCs w:val="17"/>
          <w:color w:val="auto"/>
        </w:rPr>
        <w:t>If you sign and return your proxy card without indicating how you want to vote, your proxy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Merger Proposal,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Adjournment Proposal,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Compensation Proposal.</w:t>
      </w:r>
    </w:p>
    <w:p>
      <w:pPr>
        <w:spacing w:after="0" w:line="28"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 are encouraged to vote by proxy even if you plan to attend the Special Meeting via the Virtual Special Meeting Website. </w:t>
      </w:r>
      <w:r>
        <w:rPr>
          <w:rFonts w:ascii="Times New Roman" w:cs="Times New Roman" w:eastAsia="Times New Roman" w:hAnsi="Times New Roman"/>
          <w:sz w:val="18"/>
          <w:szCs w:val="18"/>
          <w:color w:val="auto"/>
        </w:rPr>
        <w:t>If you attend the Special Meeting and vote via the Virtual Special Meeting Website,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via the Virtual Special Meeting Website will revoke any proxy previously submitted.</w:t>
      </w:r>
    </w:p>
    <w:p>
      <w:pPr>
        <w:spacing w:after="0" w:line="6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If your shares of Common Stock are held in “street name” through a broker, bank or other nominee, you may provide voting instructions through your broker, bank or other nominee by completing and returning the voting form provided by your broker, bank or other nominee, or over the Internet or by telephone through your broker, bank or other nominee if such a service is provided. To provide voting instructions over the Internet or by telephone through your broker, bank or other nominee, you should follow the instructions on the voting form provided by your broker, bank or other nominee. Under the rules of the NYSE, each of the Merger Proposal, the Adjournment Proposal and the Compensation Proposal is a “non-routine” matter, and brokers, banks and other nominees therefore have no discretionary authority to vote on any matter to be considered at the Special Meeting. Accordingly, broker non-votes are expected to arise only in the limited circumstance in which a beneficial owner provides voting instructions with respect to one or more, but not all, of the proposals. If you hold your shares in “street name” and you do not provide voting instructions with respect to any of the proposals, your shares will not be represented at the Special Meeting and will not be counted for purposes of determining whether a quorum is present. Failure to provide instructions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and will have no effect on the Adjournment Proposal or the Compensation Proposal.</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You have the right to change or revoke your proxy at any time before the final vote at the Special Meeting. If you are a stockholder of record, you may revoke your proxy in any of the following ways:</w:t>
      </w:r>
    </w:p>
    <w:p>
      <w:pPr>
        <w:spacing w:after="0" w:line="54" w:lineRule="exact"/>
        <w:rPr>
          <w:sz w:val="20"/>
          <w:szCs w:val="20"/>
          <w:color w:val="auto"/>
        </w:rPr>
      </w:pPr>
    </w:p>
    <w:p>
      <w:pPr>
        <w:ind w:left="1000" w:right="93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new proxy bearing a later date (which automatically revokes the earlier proxy) by Internet, telephone or mail, by 11:59 p.m. Eastern Time the day before the Special Meeting;</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written notice of revocation to the Company’s Secretary, Eileen Coggins, at Mistras Group, Inc., 195 Clarksville Road, Princeton Junction, New Jersey 08550, so that it is received by 11:59 p.m. Eastern Time on the day before the Special Meeting; or</w:t>
      </w:r>
    </w:p>
    <w:p>
      <w:pPr>
        <w:spacing w:after="0" w:line="6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via the Virtual Special Meeting Website (attendance alone will not revoke your proxy).</w:t>
      </w:r>
    </w:p>
    <w:p>
      <w:pPr>
        <w:spacing w:after="0" w:line="54"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Please note that to be effective, a new proxy submitted by mail or a written notice of revocation must be received by our Secretary by 11:59 p.m. Eastern Time on the day before the Special Meeting, and a new proxy submitted over the Internet or by telephone must be submitted by the applicable deadline. If you have submitted a proxy and you attend the Special Meeting and vote via the Virtual Special Meeting Website, your vote via the Virtual Special Meeting Website will revoke any proxy previously submitted.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you hold your shares of Common Stock in “street name,” you should contact your broker, bank or other nominee for instructions regarding how to revoke your proxy. You may also vote via the Virtual Special Meeting Website at the Special Meeting if you obtain a valid proxy from your broker, bank or other nominee. Any adjournment of the Special Meeting for the purpose of soliciting additional proxies will allow stockholders of the Company who have already sent in their proxies to revoke them at any time prior to their use at the Special Meeting, as adjourned; however, any such proxies that are not revoked will be voted at the Special Meeting, as adjourned. Additionally, if the Special Meeting is postponed, any proxies that are not revoked prior to their use at the Special Meeting, as postponed, will be voted at the Special Meeting, as postponed.</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Board, after carefully considering various factors described in “The Merger—Reasons for the Merger,” unanimously (i) determined that the Merger Agreement and the transactions contemplated thereby, including the Merger, are fair to and in the best interests of the Company and its stockholders, (ii) approved and declared advisable the Merger Agreement and the transactions contemplated thereby, including the Merger, (iii) directed that the Merger Agreement be submitted to the stockholders of the Company for adoption at the Special Meeting, and (iv) recommended that Company stockholders adopt the Merger Agreement.</w:t>
      </w:r>
    </w:p>
    <w:p>
      <w:pPr>
        <w:spacing w:after="0" w:line="75" w:lineRule="exact"/>
        <w:rPr>
          <w:sz w:val="20"/>
          <w:szCs w:val="20"/>
          <w:color w:val="auto"/>
        </w:rPr>
      </w:pPr>
    </w:p>
    <w:p>
      <w:pPr>
        <w:ind w:left="300" w:right="1159" w:firstLine="360"/>
        <w:spacing w:after="0" w:line="286" w:lineRule="auto"/>
        <w:rPr>
          <w:sz w:val="20"/>
          <w:szCs w:val="20"/>
          <w:color w:val="auto"/>
        </w:rPr>
      </w:pPr>
      <w:r>
        <w:rPr>
          <w:rFonts w:ascii="Times New Roman" w:cs="Times New Roman" w:eastAsia="Times New Roman" w:hAnsi="Times New Roman"/>
          <w:sz w:val="18"/>
          <w:szCs w:val="18"/>
          <w:color w:val="auto"/>
        </w:rPr>
        <w:t>The Board unanimously recommends that you vote: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(iii)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 of Proxy Solicitation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Expenses incurred in connection with the printing and mailing of this proxy statement and in connection with notices or other filings with any governmental entities under any laws are our responsibility. The Company will bear the cost of soliciting proxies from stockholders. The Company has engaged D.F. King to act as the proxy solicitor in connection with the Special Meeting for a one-time fee of $12,500 and a monthly fee of $3,500, plus reasonable and documented out-of-pocket expenses for its services, and the Company will indemnify D.F. King for certain losses arising out of its proxy solicitation services. The Company will also reimburse brokerage firms, banks and other custodians, nominees and fiduciaries for reasonable expenses incurred in forwarding proxy materials to beneficial owners of shares.</w:t>
      </w:r>
    </w:p>
    <w:p>
      <w:pPr>
        <w:spacing w:after="0" w:line="80"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to solicitation by mail, the Company’s directors, officers and employees may solicit proxies from stockholders by telephone, facsimile, email, or in person. These directors, officers and employees will not receive any additional compensation for their solicitation efforts. The Company will request that brokers, banks and other nominees forward this proxy statement and related materials to the beneficial owners of shares held of record by them, and the Company will reimburse them for their reasonable out-of-pocket expenses in doing so.</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Date of Completion of the Merger</w:t>
      </w:r>
    </w:p>
    <w:p>
      <w:pPr>
        <w:spacing w:after="0" w:line="12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We currently anticipate that the Merger will be completed in late 2026 or early 2027, subject to the satisfaction or waiver of the conditions to the completion of the Merger set forth in the Merger Agreement, including the receipt of the Company Stockholder Approval and required regulatory approvals. However, there can be no assurance that the Merger will be completed on such schedule or at all. See “The Merger Agreement—Conditions to the Closing of the Merger” for a description of the conditions that must be satisfied or waived before the Merger can be completed.</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 Board does not know of any matters that will be presented for consideration at the Special Meeting other than those described in this proxy statement. If any other matters properly come before the Special Meeting, or any adjournment or postponement thereof, the persons named as proxy holders intend to vote the shares for which they act as proxy in their discretion on any such matter. Under the Bylaws, only such business as is brought before the Special Meeting pursuant to the Company’s notice of meeting may be conducted at the Special Meeting.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If the Merger is approved and becomes effective, holders of Dissenting Shares will be entitled to statutory appraisal rights pursuant to Section 262 of the DGCL. This means that such stockholders are entitled to seek appraisal of their Dissenting Shares and to receive payment in cash for the “fair value” of such Dissenting Shares,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 xml:space="preserve">exclusive of any element of value arising from the accomplishment or expectation of the Merger, as determined by the Delaware Court of Chancery, together with interest, if any, to be paid upon the amount determined to be the fair value. The ultimate amount holders receive in an appraisal proceeding may be less than, equal to or more than the amount such holders would have received under the Merger Agreement. For a description of the rights of holders of Dissenting Shares and of the procedures to be followed in order to assert such rights and obtain payment of the fair value of such Dissenting Shares, see Section 262 of the DGCL, which is attached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proxy statement and incorporated by reference herein, as well as the information set forth below.</w:t>
      </w:r>
    </w:p>
    <w:p>
      <w:pPr>
        <w:spacing w:after="0" w:line="81"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IN ORDER TO PROPERLY EXERCISE YOUR APPRAISAL RIGHTS IN CONNECTION WITH THE MERGER, YOU MUST DELIVER A WRITTEN DEMAND FOR APPRAISAL IN ACCORDANCE WITH THE REQUIREMENTS OF SECTION 262 OF THE DGCL TO THE COMPANY BEFORE THE VOTE IS TAKEN ON THE ADOPTION OF THE MERGER AGREEMENT AT THE SPECIAL MEETING, AND MUST NOT VOTE, VIA THE VIRTUAL SPECIAL MEETING WEBSITE OR BY PROXY, IN FAVOR OF THE MERGER PROPOSAL AND MUST CONTINUE TO HOLD (OF RECORD OR BENEFICIALLY) YOUR SHARES FROM THE DATE OF MAKING THE DEMAND FOR APPRAISAL THROUGH THE EFFECTIVE TIME AND MUST COMPLY WITH THE OTHER REQUIREMENTS OF SECTION 262 OF THE DGCL. MERELY VOTING AGAINST THE MERGER PROPOSAL WILL NOT PRESERVE YOUR RIGHT TO APPRAISAL UNDER SECTION 262 OF THE DGCL. BECAUSE A PROXY THAT IS SIGNED AND SUBMITTED BUT DOES NOT OTHERWISE CONTAIN VOTING INSTRUCTIONS WILL, UNLESS REVOKED, BE VOTED IN FAVOR OF THE ADOPTION OF THE MERGER AGREEMENT, IF YOU SUBMIT A PROXY AND WISH TO EXERCISE YOUR APPRAISAL RIGHTS, YOU MUST INCLUDE VOTING INSTRUCTIONS TO VOTE YOUR SHARES OF COMMON STOCK AGAINST, OR ABSTAIN WITH RESPECT TO, THE ADOPTION OF THE MERGER AGREEMENT. NEITHER VOTING AGAINST THE ADOPTION OF THE MERGER AGREEMENT, NOR ABSTAINING FROM VOTING OR FAILING TO VOTE ON THE MERGER PROPOSAL, WILL IN AND OF ITSELF CONSTITUTE A WRITTEN DEMAND FOR APPRAISAL SATISFYING THE REQUIREMENTS OF SECTION 262 OF THE DGCL. THE WRITTEN DEMAND FOR APPRAISAL MUST BE IN ADDITION TO AND SEPARATE FROM ANY PROXY OR VOTE ON THE ADOPTION OF THE MERGER AGREEMENT. IF YOU HOLD YOUR SHARES OF COMMON STOCK THROUGH A BROKER, BANK OR OTHER NOMINEE AND YOU WISH TO EXERCISE APPRAISAL RIGHTS, YOU SHOULD CONSULT WITH YOUR BROKER, BANK OR OTHER NOMINEE TO DETERMINE THE APPROPRIATE PROCEDURES FOR THE MAKING OF A DEMAND FOR APPRAISAL BY SUCH BROKER, BANK OR OTHER NOMINEE. IN VIEW OF THE COMPLEXITY OF THE DGCL, STOCKHOLDERS WHO MAY WISH TO PURSUE APPRAISAL RIGHTS SHOULD PROMPTLY CONSULT THEIR LEGAL AND FINANCIAL ADVISORS.</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Section 219 of the DGCL, at least 10 calendar days before the Special Meeting, a complete list of the stockholders entitled to vote at the Special Meeting will be open to the examination of any stockholder for any purpose germane to the Special Meeting during ordinary business hours for a period of at least 10 calendar days prior to the Special Meeting at the Company’s principal executive offices at 195 Clarksville Road, Princeton Junction, New Jersey 08550. This list will also be available for examination by any stockholder during the Special Meeting at www.virtualshareholdermeeting.com/MG2026SM.</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If you have questions about the Special Meeting or the proposals to be voted upon at the Special Meeting, or if you need additional copies of this proxy statement or the enclosed proxy card, you should contact:</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D.F. King &amp; Co., Inc.</w:t>
      </w:r>
    </w:p>
    <w:p>
      <w:pPr>
        <w:jc w:val="center"/>
        <w:ind w:right="39"/>
        <w:spacing w:after="0" w:line="182" w:lineRule="auto"/>
        <w:rPr>
          <w:sz w:val="20"/>
          <w:szCs w:val="20"/>
          <w:color w:val="auto"/>
        </w:rPr>
      </w:pPr>
      <w:r>
        <w:rPr>
          <w:rFonts w:ascii="Times New Roman" w:cs="Times New Roman" w:eastAsia="Times New Roman" w:hAnsi="Times New Roman"/>
          <w:sz w:val="17"/>
          <w:szCs w:val="17"/>
          <w:color w:val="auto"/>
        </w:rPr>
        <w:t>28 Liberty Street, 53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Stockholders call toll-free: 888-605-1957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brokers call collect: 212-257-2468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MISTRAS@dfking.com</w:t>
      </w:r>
    </w:p>
    <w:p>
      <w:pPr>
        <w:spacing w:after="0" w:line="9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You may also contact the Company directly at Mistras Group, Inc., 195 Clarksville Road, Princeton Junction, New Jersey 08550, or by visiting the Company’s investor relations website.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27A of the Securities Act of 1933, as amended, and Section 21E of the Exchange Act, and such statements are intended to qualify for the safe harbor from liability established by the Private Securities Litigation Reform Act of 1995. These forward-looking statements include all statements other than statements of historical facts contained in this proxy statement, including statements regarding the anticipated timing and completion of the Merger, the anticipated benefits of the Merger, the consideration to be received by the Company’s stockholders in connection with the Merger, and other statements about the future plans, objectives, expectations and intentions of the Company. Forward-looking statements generally include statements that are predictive in nature and depend upon or refer to future events or conditions and include words such as “anticipate,” “believe,” “contemplate,” “continue,” “could,” “estimate,” “expect,” “intend,” “may,” “might,” “plan,” “potential,” “predict,” “project,” “seek,” “should,” “target,” “will,” “would,” and other similar expressions and the negatives of those terms. Forward-looking statements are inherently subject to risks and uncertainties, many of which are beyond the Company’s control. These risks and uncertainties include, but are not limited to, the following:</w:t>
      </w:r>
    </w:p>
    <w:p>
      <w:pPr>
        <w:spacing w:after="0" w:line="79" w:lineRule="exact"/>
        <w:rPr>
          <w:sz w:val="20"/>
          <w:szCs w:val="20"/>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complete the Merger on the anticipated timeline, or at all;</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waiver of the conditions to the completion of the Merger, including the receipt of the Company Stockholder Approval and required regulatory approvals;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required regulatory approvals on the terms anticipated or at all, or the imposition of conditions on such approvals that could reduce the anticipated benefits of the Merger or cause the parties to abandon the Merger;</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involve unexpected costs, liabilities or delays, including the payment of the Company Termination Fee to Parent by the Company;</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adversely affected by other economic, business, legislative, regulatory and/or competitive factors;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 and others relating to the Merger Agreement or the Merger;</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to the business of the Company as a result of the announcement and pendency of the Merger;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attention from the Company’s ongoing business operations as a result of the Merger;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Company’s ability to retain and hire key personnel as a result of the announcement or pendency of the Merger;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industries in which the Company competes, general economic conditions, or conditions in the financial markets or capital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Company’s stock price prior to the completion of the Merger;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 Company’s filings with the SEC.</w:t>
      </w:r>
    </w:p>
    <w:p>
      <w:pPr>
        <w:spacing w:after="0" w:line="117"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Many of the factors that will determine the outcome of the subject matter of this proxy statement are beyond the Company’s ability to control or predict. In light of these significant uncertainties, you should not place undue reliance on any forward-looking statements.</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All forward-looking statements in this proxy statement speak only as of the date of this proxy statement or as of the date as of which they are made. Except as required by law, the Company expressly disclaims any obligation or undertaking to update or revise any forward-looking statements to reflect any change in expectations with regard thereto or any change in events, conditions or circumstances on which any such statement is based.</w:t>
      </w:r>
    </w:p>
    <w:p>
      <w:pPr>
        <w:spacing w:after="0" w:line="72"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proxy statement exclusively concerning Parent, Acquisition Sub and their affiliates has been supplied by Parent and Acquisition Sub and has not been independently verified by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the risks and uncertainties that may affect the Company’s forward-looking statements, see the sections entitled “Risk Factors” and “Forward-Looking Statements” in the Company’s Annual Report on Form 10-K for the fiscal year ended December 31, 2025, and subsequent Quarterly Reports on Form 10-Q filed with the SEC, all of which are incorporated by reference into this proxy statement to the extent described herein. See “Where Stockholders Can Find More Information” for additional information.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Involved in the Merger</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MISTRAS Group,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195 Clarksville Road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Princeton Junction, New Jersey 08550</w:t>
      </w:r>
    </w:p>
    <w:p>
      <w:pPr>
        <w:spacing w:after="0" w:line="9" w:lineRule="exact"/>
        <w:rPr>
          <w:sz w:val="20"/>
          <w:szCs w:val="20"/>
          <w:color w:val="auto"/>
        </w:rPr>
      </w:pPr>
    </w:p>
    <w:p>
      <w:pPr>
        <w:ind w:left="300" w:right="7019" w:hanging="8"/>
        <w:spacing w:after="0" w:line="290" w:lineRule="auto"/>
        <w:tabs>
          <w:tab w:leader="none" w:pos="7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716-4000 www.mistrasgroup.com</w:t>
      </w:r>
    </w:p>
    <w:p>
      <w:pPr>
        <w:spacing w:after="0" w:line="49"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MISTRAS Group, Inc., a Delaware corporation, is a global leader in technology-enabled industrial asset integrity and laboratory testing solutions, serving critical industries including oil and gas, aerospace and defense, power and utilities, manufacturing, and civil infrastructure. We provide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Our core capabilities include non-destructive testing field inspections enhanced by advanced robotics, laboratory quality control, laboratory materials services, in-house laboratory assurance testing, sensing technologies and non-destructive testing equipment, asset and mechanical integrity engineering services, and light mechanical maintenance and access services. We operate through three reportable segments: North America, International, and Products and Systems.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“MG.”</w:t>
      </w:r>
    </w:p>
    <w:p>
      <w:pPr>
        <w:spacing w:after="0" w:line="11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195 Clarksville Road, Princeton Junction, New Jersey 08550, and our telephone number is (609) 716-4000. For more information about the Company, please visit our website, www.mistrasgroup.com. Our website address is provided as an inactive textual reference only. The information contained on our website is not incorporated into, and does not form a part of, this proxy statement or any other report or document on file with, or furnished to, the SEC. See “Where Stockholders Can Find More Information”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 xml:space="preserve"> of this proxy statement.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Athena Purchaser, LLC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H.I.G. Capital, LLC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1450 Brickell Avenue, 31st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(305) 379-2322</w:t>
      </w:r>
    </w:p>
    <w:p>
      <w:pPr>
        <w:spacing w:after="0" w:line="99"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Parent is a Delaware limited liability company and was formed solely for the purpose of entering into the Merger Agreement by and among the Company, Parent and Acquisition Sub, and, subject to the terms and conditions thereof, completing the transactions contemplated by the Merger Agreement and the related financing transactions.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is controlled by funds affiliated with H.I.G.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H.I.G. is a leading global alternative investment firm with $75 billion of capital under management.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H.I.G. specializes in providing both debt and equity capital to companies across a broad range of industries.</w:t>
      </w:r>
    </w:p>
    <w:p>
      <w:pPr>
        <w:spacing w:after="0" w:line="99"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the Company, as the Surviving Corporation, will be indirectly owned by funds affiliated with H.I.G.</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Athena Merger Sub,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H.I.G. Capital, LLC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1450 Brickell Avenue, 31st Floor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(305) 379-2322</w:t>
      </w:r>
    </w:p>
    <w:p>
      <w:pPr>
        <w:spacing w:after="0" w:line="9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Acquisition Sub is a Delaware corporation and a wholly owned subsidiary of Parent that was formed solely for the purpose of entering into the Merger Agreement and completing the transactions contemplated thereby and the related Financing. Upon consummation of the Merger, Acquisition Sub will cease to exist, and the Company will survive the Merger as a wholly owned subsidiary of Parent.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Merger on the Company</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Effective Time, Acquisition Sub will merge with and into the Company, and the Company will survive the Merger as the Surviving Corporation and a wholly owned subsidiary of Parent.</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each share of Common Stock issued and outstanding immediately prior to the Effective Time, other than shares of Common Stock held by the Company as treasury stock or held directly by Parent or Acquisition Sub (or any direct or indirect wholly owned subsidiaries of Parent or Acquisition Sub) immediately prior to the Effective Time (“Cancelled Shares”) and Dissenting Shares (each as described below), will be automatically converted into the right to receive $20.35 per share in cash, without interest, with the aggregate amount of such payment to each holder to be rounded to the nearest cent, and less any applicable withholding taxes. Following the Effective Time, all such shares will no longer be outstanding, will be automatically cancelled and will cease to exist. Each holder of a certificate or Book-Entry Share that immediately prior to the Effective Time represented any such shares will cease to have any rights other than the right to receive the Merger Consideration.</w:t>
      </w:r>
    </w:p>
    <w:p>
      <w:pPr>
        <w:spacing w:after="0" w:line="80"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All Cancelled Shares will be automatically cancelled and will cease to exist, and no consideration will be delivered in exchange for such shares.</w:t>
      </w:r>
    </w:p>
    <w:p>
      <w:pPr>
        <w:spacing w:after="0" w:line="5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Dissenting Shares will not be converted into the right to receive the Merger Consideration and will instead be entitled only to the rights granted under Section 262 of the DGCL. See “Appraisal Rights” beginning on page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 xml:space="preserve"> of this proxy statement.</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the certificate of incorporation of the Company will be amended and restated as set forth in Exhibit A to the Merger Agreement, and the bylaws of the Surviving Corporation will be the bylaws of Acquisition Sub as in effect immediately prior to the Effective Time, except that references to the name of Acquisition Sub will be replaced by references to the name of the Company. The directors of Acquisition Sub immediately prior to the Effective Time (or such other persons designated by Parent) will become the directors of the Surviving Corporation, and the officers of the Company immediately prior to the Effective Time will be the officers of the Surviving Corporation, in each case from and after the Effective Time, each to hold office in accordance with the certificate of incorporation and bylaws of the Surviving Corporation. Prior to the Closing, the Company is required to deliver to Parent evidence reasonably satisfactory to Parent of the resignation of all of the directors of the Company and each of its subsidiaries, effective as of the Effective Time.</w:t>
      </w:r>
    </w:p>
    <w:p>
      <w:pPr>
        <w:spacing w:after="0" w:line="86"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If the Merger is completed, the Common Stock will be delisted from the NYSE and deregistered under the Exchange Act, and we will no longer file periodic reports with the SEC on account of our Common Stock. See “— Delisting and Deregistration of Common Stock” below, beginning on page </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of this proxy statement.</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Following the Merger, our current stockholders will no longer have any equity interest in, and will not participate in any future earnings or growth of, the Company, and will not benefit from any appreciation in the value of the Company. Correspondingly, our current stockholders will not bear the risk of any decrease in the value of the Company following the Merger.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on the Company if the Merger is Not Completed</w:t>
      </w:r>
    </w:p>
    <w:p>
      <w:pPr>
        <w:spacing w:after="0" w:line="12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If the Merger Agreement is not adopted by our stockholders, or if the Merger is not completed for any other reason, our stockholders will not receive any payment for their shares of Common Stock in connection with the Merger. Instead:</w:t>
      </w:r>
    </w:p>
    <w:p>
      <w:pPr>
        <w:spacing w:after="0" w:line="68" w:lineRule="exact"/>
        <w:rPr>
          <w:sz w:val="20"/>
          <w:szCs w:val="20"/>
          <w:color w:val="auto"/>
        </w:rPr>
      </w:pPr>
    </w:p>
    <w:p>
      <w:pPr>
        <w:ind w:left="1000" w:right="479" w:hanging="348"/>
        <w:spacing w:after="0" w:line="312" w:lineRule="auto"/>
        <w:tabs>
          <w:tab w:leader="none" w:pos="10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remain a public company, our Common Stock will continue to be listed and traded on the NYSE and registered under the Exchange Act, and we will continue to file periodic reports with the SEC.</w:t>
      </w:r>
    </w:p>
    <w:p>
      <w:pPr>
        <w:spacing w:after="0" w:line="31" w:lineRule="exact"/>
        <w:rPr>
          <w:rFonts w:ascii="Times New Roman" w:cs="Times New Roman" w:eastAsia="Times New Roman" w:hAnsi="Times New Roman"/>
          <w:sz w:val="17"/>
          <w:szCs w:val="17"/>
          <w:color w:val="auto"/>
        </w:rPr>
      </w:pPr>
    </w:p>
    <w:p>
      <w:pPr>
        <w:ind w:left="1000" w:right="439" w:hanging="348"/>
        <w:spacing w:after="0" w:line="25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continue to be subject to the same risks and opportunities to which they are currently subject, including risks relating to our business, industry and financial condition, and to general industry, economic, regulatory and market conditions. These risks include those described in Part I, Item 1A of our Annual Report on Form 10-K for the fiscal year ended December 31, 2025, and in our subsequent Quarterly Reports on Form 10-Q, each of which is incorporated by reference into this proxy statement.</w:t>
      </w:r>
    </w:p>
    <w:p>
      <w:pPr>
        <w:spacing w:after="0" w:line="79"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the price of our Common Stock will decline to the extent that the current market price reflects an assumption that the Merger will be completed. There can be no assurance as to the effect of the failure to complete the Merger on the future value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circumstances, we may be required to pay Parent a termination fee of approximately</w:t>
      </w:r>
    </w:p>
    <w:p>
      <w:pPr>
        <w:spacing w:after="0" w:line="27" w:lineRule="exact"/>
        <w:rPr>
          <w:rFonts w:ascii="Times New Roman" w:cs="Times New Roman" w:eastAsia="Times New Roman" w:hAnsi="Times New Roman"/>
          <w:sz w:val="18"/>
          <w:szCs w:val="18"/>
          <w:color w:val="auto"/>
        </w:rPr>
      </w:pPr>
    </w:p>
    <w:p>
      <w:pPr>
        <w:ind w:left="1000" w:right="3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$27.5 million or, if the Merger Agreement is terminated by us during the Go-Shop Period in order to enter into a definitive agreement providing for a Superior Proposal, a reduced termination fee equal to 50% of that amount, or approximately $13.8 million. Under other specified circumstances, we may be required to reimburse Parent’s out-of-pocket fees and expenses up to $7.0 million. See “The Merger Agreement— Termination—Termination Fees and Expense Reimbursement”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incurred significant transaction costs, including legal, financial advisory, accounting, printing, filing and proxy solicitation costs, substantially all of which must be paid whether or not the Merger is completed.</w:t>
      </w:r>
    </w:p>
    <w:p>
      <w:pPr>
        <w:spacing w:after="0" w:line="67"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management and employees will have been diverted to the Merger instead of being directed solely to our operations and the pursuit of other opportunities that could have been beneficial to us, and our relationships with customers, suppliers, employees and other third parties may have been adversely affected.</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interim operating restrictions in the Merger Agreement will have constrained our ability, among other things, to make capital expenditures above specified thresholds, incur indebtedness, make acquisitions and dispositions, and adjust compensation and benefits, in each case during the period from the date of the Merger Agreement through the termination of the Merger Agreement. See “The Merger Agreement— Conduct of Business Pending the Merger” beginning on page </w:t>
      </w:r>
      <w:r>
        <w:rPr>
          <w:rFonts w:ascii="Times New Roman" w:cs="Times New Roman" w:eastAsia="Times New Roman" w:hAnsi="Times New Roman"/>
          <w:sz w:val="18"/>
          <w:szCs w:val="18"/>
          <w:u w:val="single" w:color="auto"/>
          <w:color w:val="0000EE"/>
        </w:rPr>
        <w:t>84</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Under certain circumstances, if the Merger Agreement is terminated, Parent may be required to pay us a termination fee of approximately $49.9 million. See “The Merger Agreement—Termination—Termination Fees and Expense Reimbursement” beginning on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xml:space="preserve"> and “—Limited Guarantee” below,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If the Merger is not completed, our Board will continue to evaluate and review our business operations, strategic direction and capitalization, and will make such changes as it deems appropriate. If the Merger Agreement is not adopted by our stockholders, or if the Merger is not completed for any other reason, there can be no assurance that any other transaction acceptable to us will be offered or that our business, prospects or results of operations will not be adversely affected.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each share of Common Stock issued and outstanding immediately prior to the Effective Time, other than Cancelled Shares and Dissenting Shares, will be automatically converted into the right to receive the Merger Consideration of $20.35 in cash, without interest and less any applicable withholding taxes.</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After the Merger is completed, you will have the right to receive the Merger Consideration for each share of Common Stock that you own, subject to the terms of the Merger Agreement, but you will no longer have any rights as a stockholder of the Company (except that stockholders who hold Dissenting Shares will not have the right to receive the Merger Consideration but will instead have the right to receive a payment for the “fair value” of their Dissenting Shares as determined by the Delaware Court of Chancery pursuant to an appraisal proceeding as contemplated by Delaware law, as described in “Appraisal Rights”). If the Merger is completed, subject to the terms of the Merger Agreement, you will receive the Merger Consideration, without interest and less any applicable withholding taxes, regardless of when, after the completion of the Merger, you surrender your certificate or transfer your Book-Entry Shares, together with the required documentation.</w:t>
      </w:r>
    </w:p>
    <w:p>
      <w:pPr>
        <w:spacing w:after="0" w:line="80"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between the date of the Merger Agreement and the Effective Time, any change in the outstanding shares of Common Stock occurs as a result of any stock split, reverse stock split, stock dividend (including any dividend or distribution of equity interests convertible into or exchangeable for shares of Common Stock), recapitalization, reclassification, combination, exchange of shares or other similar event, the Merger Consideration will be equitably adjusted to reflect such event and to provide to holders of shares of Common Stock (as well as holders of Company Options, Company RSUs, Company PRSUs and other equity interests in the Company) the same economic effect as contemplated by the Merger Agreement prior to such event.</w:t>
      </w:r>
    </w:p>
    <w:p>
      <w:pPr>
        <w:spacing w:after="0" w:line="81" w:lineRule="exact"/>
        <w:rPr>
          <w:sz w:val="20"/>
          <w:szCs w:val="20"/>
          <w:color w:val="auto"/>
        </w:rPr>
      </w:pPr>
    </w:p>
    <w:p>
      <w:pPr>
        <w:ind w:left="300" w:right="599" w:firstLine="360"/>
        <w:spacing w:after="0" w:line="281" w:lineRule="auto"/>
        <w:rPr>
          <w:sz w:val="20"/>
          <w:szCs w:val="20"/>
          <w:color w:val="auto"/>
        </w:rPr>
      </w:pPr>
      <w:r>
        <w:rPr>
          <w:rFonts w:ascii="Times New Roman" w:cs="Times New Roman" w:eastAsia="Times New Roman" w:hAnsi="Times New Roman"/>
          <w:sz w:val="17"/>
          <w:szCs w:val="17"/>
          <w:color w:val="auto"/>
        </w:rPr>
        <w:t>As of September 16, 2026, the reference date under the Merger Agreement, there were 31,860,352 shares of Common Stock issued and outstanding (with no shares held by the Company in treasury or by its subsidiaries), 685,000 shares of Common Stock subject to outstanding Company Options, 1,192,908 shares of Common Stock subject to outstanding Company RSUs and 324,065 shares of Common Stock subject to outstanding Company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PRSUs assuming target performance is achieved, and no shares of preferred stock issued and outstanding. As of the Record Date, there were 31,867,074 shares of Common Stock issued and outstanding.</w:t>
      </w:r>
    </w:p>
    <w:p>
      <w:pPr>
        <w:spacing w:after="0" w:line="5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Since each Company PRSU will be settled based on the greater of target performance and actual performance measured as of immediately prior to the Effective Time, the aggregate number of shares of Common Stock in respect of which consideration will be paid, and therefore the aggregate amount payable in connection with the Merger, may exceed the amounts calculated on the basis of target performance. See “—Interests of the Directors and Executive Officers of the Company in the Merger—Treatment of Company Equity Awards” below, beginning on page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 xml:space="preserve"> of this proxy statement.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of Merger Consideration and Surrender of Stock Certificates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Prior to the Effective Time, Parent will designate a bank or trust company reasonably acceptable to the Company to act as the Paying Agent and, at the Closing and substantially concurrently with the Effective Time, Parent will deposit, or cause to be deposited, with the Paying Agent the funds necessary to pay the aggregate Merger Consideration. Parent will pay the fees and expenses of the Paying Agent.</w:t>
      </w:r>
    </w:p>
    <w:p>
      <w:pPr>
        <w:spacing w:after="0" w:line="7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As soon as practicable after the Effective Time, and in no event later than three business days thereafter, the Paying Agent will mail to each holder of record of certificated shares a letter of transmittal and instructions for surrendering the stock certificates (or an affidavit of loss in lieu thereof) in exchange for payment of the Merger Consideration. Upon surrender of a certificate, together with a duly completed and properly executed letter of transmittal, the holder will be entitled to receive the Merger Consideration for each share formerly represented by the certificate, less any required tax withholding. </w:t>
      </w:r>
      <w:r>
        <w:rPr>
          <w:rFonts w:ascii="Times New Roman" w:cs="Times New Roman" w:eastAsia="Times New Roman" w:hAnsi="Times New Roman"/>
          <w:sz w:val="18"/>
          <w:szCs w:val="18"/>
          <w:b w:val="1"/>
          <w:bCs w:val="1"/>
          <w:color w:val="auto"/>
        </w:rPr>
        <w:t>You should not return your stock certificates with the enclosed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card, and you should not forward your stock certificates to the Paying Agent without a letter of transmittal.</w:t>
      </w:r>
    </w:p>
    <w:p>
      <w:pPr>
        <w:spacing w:after="0" w:line="8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certificate has been lost, stolen or destroyed, the holder may receive the Merger Consideration upon making an affidavit of that fact. The Surviving Corporation or the Paying Agent may, in their reasonable discretion and as a condition to payment, require the holder to post a bond in such reasonable amount as the Surviving Corporation or the Paying Agent may direct as indemnity against claims relating to the certificate.</w:t>
      </w:r>
    </w:p>
    <w:p>
      <w:pPr>
        <w:spacing w:after="0" w:line="72"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Each holder of Book-Entry Shares will automatically be entitled at the Effective Time to receive the Merger Consideration, and Parent will cause payment to be made promptly following the Effective Time, but in no event more than three business days thereafter, without any action on the part of the registered holder.</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Any portion of the funds made available to the Paying Agent (including any interest received with respect thereto) that remains unclaimed by holders of stock certificates or Book-Entry Shares on the first anniversary of the Effective Time will be returned to the Surviving Corporation or an affiliate thereof designated by the Surviving Corporation, upon demand, and any holder who has not surrendered its certificate or Book-Entry Share before that time will thereafter look only to the Surviving Corporation for payment of the Merger Consideration, without interest and subject to applicable withholding taxes and abandoned property, escheat or similar laws. Any portion of the Merger Consideration remaining unclaimed immediately prior to the earlier of (i) the date five years from the Closing Date and (ii) such time as such amounts would otherwise escheat to, or become the property of, any governmental entity will, to the extent permitted by applicable law, become the property of the Surviving Corporation or an affiliate thereof designated by the Surviving Corporation, free and clear of any claim or interest of any person previously entitled thereto.</w:t>
      </w:r>
    </w:p>
    <w:p>
      <w:pPr>
        <w:spacing w:after="0" w:line="84"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No interest will be paid or accrue on any portion of the Merger Consideration, including amounts payable upon surrender of a certificate or in respect of a Book-Entry Share.</w:t>
      </w:r>
    </w:p>
    <w:p>
      <w:pPr>
        <w:spacing w:after="0" w:line="5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Parent, the Surviving Corporation and the Paying Agent, as applicable, may deduct and withhold from any amounts otherwise payable under the Merger Agreement such amounts as are required to be deducted and withheld under the Code or any other applicable law. Any amounts so deducted and withheld will be paid to the appropriate governmental entity and treated as having been paid to the person in respect of whom the deduction or withholding was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principal events, meetings, negotiations and actions among the parties leading to the execution and public announcement of the Merger Agreement as well as principal events related to the execution of the Voting Agreements.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with assistance from the management of the Company (or “management”), reviews and assesses the Company’s business and operations, performance, future growth prospects, business strategies, opportunities, competitive position and challenges on a regular basis as part of its evaluation of potential prospects and strategies for enhancing stockholder value. As part of that review process, the Board, with assistance from management as well as the Company’s financial and legal advisors, has regularly reviewed and considered the Company’s strategic direction and business objectives, including various strategic alternatives such as potential strategic acquisitions and investments and a possible sale of the Company to, or a combination of the Company with, a third party, as well as continued execution of the Company’s strategy as a standalone public company. These reviews have included consideration of, among other things, the then-current business and economic environments, as well as opportunities available to and challenges facing companies in the industries in which the Company operates. As part of this ordinary course engagement, members of management developed an informal relationship with Texas Capital Securities (“Texas Capital”), a financial advisory firm, prior to any discussions between Texas Capital and H.I.G. regarding a potential transaction involving the Company.</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members of management have regularly engaged with the investment community, including in connection with the Company’s quarterly earnings calls and through discussions with research analysts covering the Company’s securities. In addition, the Company has regularly participated in investor and industry conferences, at which members of management regularly interact with members of the investment community, including current and prospective investors, research analysts and other industry participants. In the course of these interactions, members of management have regularly discussed, among other things, the Company’s business and prospects, industry trends and developments, and potential strategic opportunities within the industries in which the Company operates.</w:t>
      </w:r>
    </w:p>
    <w:p>
      <w:pPr>
        <w:spacing w:after="0" w:line="84"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since 2020, representatives of H.I.G. have had periodic contact with members of Company management and the Board in connection with H.I.G.’s ordinary course practice of having discussions with participants in industries in which H.I.G. invests. During certain of these interactions, the parties discussed the Company and its business and industry, and H.I.G.’s views regarding the same. Prior to the April 24 letter, as described below, no specific potential transactions were discussed, and no non-public information regarding the Company was shared.</w:t>
      </w:r>
    </w:p>
    <w:p>
      <w:pPr>
        <w:spacing w:after="0" w:line="7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Beginning in 2024, Party A, a publicly traded company that has lines of business similar or complementary to the Company’s, on multiple occasions expressed interest to Manuel N. Stamatakis, Executive Chairman of the Company, in pursuing a strategic business combination with the Company. Mr. Stamatakis, with the support of the Board, had multiple preliminary conversations during late 2024 and 2025 with the executive leadership of Party A regarding a potential transaction. In June 2025, the Company and Party A entered into a nondisclosure agreement in connection with continuing conversations regarding a potential transaction.</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Following the passing in February 2025 of the Company’s founder and former Chairman and Chief Executive Officer, Dr. Sotirios J. Vahaviolos, Mr. Stamatakis, with the knowledge of the Board, has periodically discussed with members of Dr. Vahaviolos’s family their continued investment in the Common Stock, as well as the then-current trading prices and limitations on the liquidity of shares of the Common Stock. Separately, in response to a general inquiry from representatives of Texas Capital, members of management provided Texas Capital with contact information for Ms. Stephanie Foglia, a daughter of Dr. Vahaviolos and a significant stockholder of the Company, and Texas Capital subsequently had general and educational conversations with Ms. Foglia regarding potential liquidity alternatives, all of which occurred prior to any discussions between Texas Capital and H.I.G. regarding a potential transaction involving the Company.</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June and July 2025, the Board and management began a strategic planning process referred to as “Vision2030.” In commencing Vision2030, the Board acted on its view that there was an opportunity to improve stockholder value in light of the Company’s stock price of $8.01 as of June 30, 2025, which represented a market capitalization of approximately $250 million and a multiple of approximately 5.5 times the Company’s EBITDA for the prior 12 months. As part of Vision2030, management prepared and the Board reviewed a strategic plan that included a set of financial projections for the years ending December 31, 2025 through December 31, 2030, and these projections included expected financial impacts and synergies of potential Company acquisition activity during those fiscal years, though no specific acquisition targets had been identified.</w:t>
      </w:r>
    </w:p>
    <w:p>
      <w:pPr>
        <w:spacing w:after="0" w:line="84"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In August 2025, the Company engaged Baird to advise regarding the interest expressed by Party A and advise regarding the Company’s strategic alternatives and other potential strategic transactions. During October 2025, at a</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special meeting of the Board at which representatives of Baird and the Company’s legal counsel at Troutman Pepper Locke LLP (“Troutman”) were present, representatives of Baird advised the Board regarding potential strategic alternatives, including remaining independent, potential opportunities for the Company to complete one or more acquisitions, and other potential strategic transactions including a strategic merger or a sale of the Company. At this same meeting of the Board, the Board and management discussed the Vision2030 strategic plan and the financial projections contained therein and evaluated how achievement of those financial projections could impact the Company’s valuation.</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December 2025, Party A delivered to the Company a proposed non-binding letter of intent regarding a strategic combination of Party A and the Company. This proposal contemplated a mix of stock and cash as merger consideration and expressed a preliminary purchase price of between $13.00 and $13.75 per share of the Common Stock, which would have approximated a premium of between 8% and 14% compared to the Company’s volume-weighted average price since November 5, 2025. On December 16, 2025, at a regularly scheduled meeting of the Board at which representatives of Baird and Troutman were present, the Board discussed the proposed non-binding letter of intent received from Party A. Troutman reviewed with the Board its fiduciary duties under Delaware law for considering the proposal from Party A, and representatives of Baird discussed their preliminary financial analysis of the proposal in light of the Company’s and Party A’s trading histories, precedent transaction multiples, and other strategic alternatives potentially available to the Company, as well as the financial projections that were prepared by management in connection with Vision2030.</w:t>
      </w:r>
    </w:p>
    <w:p>
      <w:pPr>
        <w:spacing w:after="0" w:line="84"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Board again considered the proposal from Party A at a meeting of the Board convened on January 9, 2026. At the direction of the Board, during January 2026 representatives of Baird communicated to Party A that the consideration reflected in the initial offer was not sufficient, but that the Board remained willing to explore a potential strategic combination with a higher offer price. No such higher priced offer was received from Party A. On April 3, 2026, Mr. Stamatakis met with executive leadership of Party A and, after discussing the relative stock price performance of Party A and the Company, the parties jointly determined to conclude any further discussions regarding a strategic combination of Party A and the Company.</w:t>
      </w:r>
    </w:p>
    <w:p>
      <w:pPr>
        <w:spacing w:after="0" w:line="8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In March 2026, representatives of Texas Capital, who were familiar with both the Company and H.I.G., contacted representatives of H.I.G. regarding the Company as a potential investment opportunity, and subsequently provided Ms. Natalia Shuman, the Company’s Chief Executive Officer, with general background information regarding H.I.G. On April 8, 2026, representatives of H.I.G. met with Ms. Shuman, with representatives of Texas Capital also present, as an introductory meeting for H.I.G. to introduce itself to Ms. Shuman and to discuss the Company’s business and industry generally. No specific potential transactions were discussed, and no non-public information regarding the Company was shared, at this meeting.</w:t>
      </w:r>
    </w:p>
    <w:p>
      <w:pPr>
        <w:spacing w:after="0" w:line="81" w:lineRule="exact"/>
        <w:rPr>
          <w:sz w:val="20"/>
          <w:szCs w:val="20"/>
          <w:color w:val="auto"/>
        </w:rPr>
      </w:pPr>
    </w:p>
    <w:p>
      <w:pPr>
        <w:ind w:left="300" w:right="479" w:firstLine="360"/>
        <w:spacing w:after="0" w:line="281" w:lineRule="auto"/>
        <w:rPr>
          <w:sz w:val="20"/>
          <w:szCs w:val="20"/>
          <w:color w:val="auto"/>
        </w:rPr>
      </w:pPr>
      <w:r>
        <w:rPr>
          <w:rFonts w:ascii="Times New Roman" w:cs="Times New Roman" w:eastAsia="Times New Roman" w:hAnsi="Times New Roman"/>
          <w:sz w:val="17"/>
          <w:szCs w:val="17"/>
          <w:color w:val="auto"/>
        </w:rPr>
        <w:t>On April 14, 2026, following an introduction made by Texas Capital, representatives of H.I.G. met with Ms. Stephanie Foglia, with representatives of Texas Capital also present, as an introductory meeting for H.I.G. to introduce itself to Ms. Foglia and to learn Ms. Foglia’s general perspectives on the Company. No specific potential transactions were discussed, and no non-public information regarding the Company was shared, at this meeting.</w:t>
      </w:r>
    </w:p>
    <w:p>
      <w:pPr>
        <w:spacing w:after="0" w:line="56"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On April 23, 2026, H.I.G. engaged Texas Capital to act as its financial advisor in connection with a potential transaction involving the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24, 2026, the Company received an unsolicited written indication of interest from H.I.G.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“April 24 letter”), expressing an interest in an all-cash acquisition of the Company at between $19.00 and $19.75 per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of Common Stock. Among other things, the April 24 letter stated certain reasons why H.I.G. was interested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acquiring the Company, and H.I.G.’s belief that it is uniquely qualified to deliver an attractive valuation with speed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certainty to the Company’s stockholders. The April 24 letter outlined H.I.G.’s proposed due diligence approach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financing plans, as well as H.I.G.’s recent experience in acquiring publicly traded companies, and requested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response by May 1, 2026.</w:t>
      </w:r>
    </w:p>
    <w:p>
      <w:pPr>
        <w:spacing w:after="0" w:line="99"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On April 30, 2026, at a special meeting of the Board, the Board discussed the April 24 letter. Representatives of Troutman reviewed the Board’s fiduciary duties and options for responding to the April 24 letter. Representatives of Baird then joined the meeting and reviewed with the Board the unsolicited offer received from H.I.G., an overview of H.I.G., its leadership team, its strategy and its prior acquisitions, the value represented by that offer including as compared to the Company’s financial projections contained in the Company’s Vision2030 strategic plan, the Company’s stock price history and trading summary including the fact that the Company’s stock had reached a seven-year high of $18.91 on April 24, 2026, and strategies that the Board may consider for maximizing stockholder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89" w:lineRule="auto"/>
        <w:rPr>
          <w:sz w:val="20"/>
          <w:szCs w:val="20"/>
          <w:color w:val="auto"/>
        </w:rPr>
      </w:pPr>
      <w:r>
        <w:rPr>
          <w:rFonts w:ascii="Times New Roman" w:cs="Times New Roman" w:eastAsia="Times New Roman" w:hAnsi="Times New Roman"/>
          <w:sz w:val="17"/>
          <w:szCs w:val="17"/>
          <w:color w:val="auto"/>
        </w:rPr>
        <w:t>value including through pre-signing and post-signing marketing processes. Also at the April 30, 2026 meeting of the Board, the Board reviewed recent initiatives to update the Company’s Vision2030 strategic plan and the financial projections contained therein, in light of current market conditions and the Company’s recent financial performance.</w:t>
      </w:r>
    </w:p>
    <w:p>
      <w:pPr>
        <w:spacing w:after="0" w:line="50"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On May 1, 2026, at the direction of the Board, representatives of Baird communicated to H.I.G. that the range of value contained in the April 24 letter was not sufficient for the Board to pursue a transaction with H.I.G., but that the Company was willing to provide select confidential diligence material to H.I.G. for the purpose of further exploring a potential transaction at a higher price.</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From May 1 to May 4, 2026, legal counsel to the Company and H.I.G. negotiated a nondisclosure agreement in connection with continuing conversations regarding a potential transaction, with a focus on the scope and length of certain protective provisions contained in the agreement. Effective on May 4, 2026, the Company and H.I.G. entered into a nondisclosure agreement regarding a potential transaction.</w:t>
      </w:r>
    </w:p>
    <w:p>
      <w:pPr>
        <w:spacing w:after="0" w:line="72"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During May 2026, the Company received from H.I.G. a request for certain information, including financial information, of the Company. The Company provided information to H.I.G. in response to such request and continued to provide responses to H.I.G.’s supplemental diligence inquiries. During May 2026, Company management prepared, and the Board subsequently reviewed, certain non-public, unaudited prospective financial information for the fiscal years ending December 31, 2026 through December 31, 2030 (the “Projections”). The Projections differed from the Vision2030 Forecasts (as defined in “—Certain Unaudited Prospective Financial Information”) in two respects. First, in light of industry and market conditions observed by management during early 2026, the Projections updated the Vision2030 Forecasts by lowering projected revenues during the projected periods by approximately 1%, and reducing adjusted EBITDA on an annual basis in a range from approximately 1% to approximately 6%, in each case compared to the corresponding measure in the Vision2030 Forecasts. Second, the Projections did not reflect the impact of potential acquisitions by the Company, whereas the Vision2030 Forecasts did; this change was made in light of the speculative nature of the potential acquisitions (none of which had been specifically identified at the time the Projections were prepared) and the fact that the Company had not completed an acquisition since 2018. On May 15, 2026, Baird, at the direction of management, shared the Projections with H.I.G. and its affiliates and representatives in connection with its due diligence review and its evaluation of the proposed transaction. At the direction of management, the Projections were later used by Baird in connection with its financial analyses and opinion (as further discussed and set forth in the section of this proxy statement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 On May 25, 2026, representatives of H.I.G. had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introductory dinner with Mr. Stamatakis to provide Mr. Stamatakis with additional background on H.I.G. and learn more about the Company’s business. On May 26, 2026, Mr. Stamatakis and members of management met with representatives of H.I.G. to discuss the Company’s strategic plan and provided certain additional financial information regarding the Company. On June 1, 2026, members of management telephonically met again with representatives of H.I.G. to further discuss the Company’s strategic plan, operations and financial results.</w:t>
      </w:r>
    </w:p>
    <w:p>
      <w:pPr>
        <w:spacing w:after="0" w:line="97"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On June 11, 2026, following a telephone call between representatives of H.I.G. and Mr. Stamatakis during which the H.I.G. representatives indicated that they were intending to deliver a revised proposal, H.I.G. delivered a letter of intent (the “June 11 letter”) that proposed a price of $19.50 per share of Common Stock, which fell within the range expressed in the April 24 letter, and requested a period of exclusive negotiations regarding a potential transaction, under which the Company could not deliver notice terminating exclusivity earlier than 30 days after its acceptance of the June 11 letter, subject to two automatic successive seven-day extensions if the parties were working in good faith to pursue a transaction. On June 15, 2026, at a special meeting of the Board, at which representatives of each of Troutman and Baird were present, the Board discussed the June 11 letter. During this meeting, Mr. Stamatakis summarized for the Board recent conversations held by management with H.I.G. regarding the Company’s strategic plan, operations and financial results, as well as a potential transaction involving the Company and H.I.G. Troutman reviewed with the Board various options for responding to the June 11 letter and the Board’s fiduciary duties. Representatives of Baird reviewed with the Board the June 11 letter, the relative value represented by that offer including as compared to the Projections, and strategies for responding to H.I.G. Following the June 15, 2026 meeting of the Board, representatives of Baird, at the direction of the Board, communicated to H.I.G. that while the Board was open to considering a potential transaction with H.I.G., the consideration offered to the Company’s stockholders would need to be increased. Also, at the direction of the Board, Mr. Stamatakis indicated to representatives of H.I.G. that a “go-shop” provision designed to allow the Company to conduct a robust post-signing market check would be required in any definitive agreement that was the product of exclusive discussions by the Company with H.I.G.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23, 2026, H.I.G. delivered a revised letter of intent (the “June 23 letter”) that increased its offer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$20.25 in cash for each share of Common Stock, reiterated H.I.G.’s request for a period of exclusive negotiations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same terms as the June 11 letter, stated H.I.G.’s belief that the proposed price represented full and fair value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its best and highest offer, and stated that H.I.G. would be willing to negotiate in good faith a reasonable post-signing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“go-shop” provision. On June 25, 2026, the directors discussed the June 23 letter and confirmed their support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positions communicated to H.I.G. following the June 15, 2026 meeting of the Board. Thereafter, on June 25,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representatives of Baird, at the direction of the Board, communicated to H.I.G. that while the Board was open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considering a potential transaction with H.I.G., the consideration offered to the Company’s stockholders would need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be further improved in order for the Company to grant exclusivity to H.I.G. H.I.G. responded that it would not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proceed without exclusivity, but reiterated it would be willing to agree to a post-signing market check.</w:t>
      </w:r>
    </w:p>
    <w:p>
      <w:pPr>
        <w:spacing w:after="0" w:line="99"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On June 26, 2026, H.I.G. delivered a further revised letter of intent (the “June 26 letter”) that increased its offer to $20.35 in cash for each share of Common Stock and requested a period of exclusive negotiations regarding a potential transaction. The June 26 letter stated that the proposed price reflected H.I.G.’s best and highest offer and reiterated H.I.G.’s willingness to negotiate in good faith a reasonable post-signing “go-shop” provision. At a special meeting of the Board held on June 28, 2026, at which representatives of each of Troutman and Baird were present, the Board discussed the June 26 letter and the increased consideration offered thereby, as well as options for responding to the June 26 letter and strategies for maximizing stockholder value in the context of a potential transaction. On June 29, 2026, at the direction of the Board, Mr. Stamatakis delivered to H.I.G. a letter accepting the proposed purchase price of $20.35 per share, together with a markup of the June 26 letter proposing, among other things, that (i) the proposed purchase price be a firm offer, subject to adjustment only in the event H.I.G.’s confirmatory due diligence findings differed materially from information provided to date, (ii) all outstanding equity awards (including unvested employee equity awards) vest and be paid out at closing at the per share purchase price,</w:t>
      </w:r>
    </w:p>
    <w:p>
      <w:pPr>
        <w:spacing w:after="0" w:line="1" w:lineRule="exact"/>
        <w:rPr>
          <w:sz w:val="20"/>
          <w:szCs w:val="20"/>
          <w:color w:val="auto"/>
        </w:rPr>
      </w:pPr>
    </w:p>
    <w:p>
      <w:pPr>
        <w:ind w:left="300" w:right="339" w:hanging="8"/>
        <w:spacing w:after="0" w:line="252" w:lineRule="auto"/>
        <w:tabs>
          <w:tab w:leader="none" w:pos="6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be made to the exclusivity covenant and (iv) H.I.G. provide a comprehensive due diligence request list within 48 hours of the Company’s acceptance, and indicating that the Company was willing to prepare the initial draft of the definitive agreement within 14 days of acceptance. From June 29, 2026 to July 2, 2026, the Company, advised by representatives of Baird and representatives of Troutman and Morgan, Lewis &amp; Bockius LLP (“Morgan Lewis”) as co-legal counsel to the Company, and H.I.G., advised by representatives of Kirkland &amp; Ellis LLP (“Kirkland”), as legal counsel to H.I.G., negotiated a revised letter of intent and in particular the exclusivity period and treatment of the Company’s outstanding equity awards.</w:t>
      </w:r>
    </w:p>
    <w:p>
      <w:pPr>
        <w:spacing w:after="0" w:line="80"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On June 30, 2026, H.I.G. delivered to the Company a revised letter of intent (the “LOI”) reflecting the parties’ negotiations. On July 2, 2026, at a special meeting of the Board at which representatives of Troutman were present, the Board discussed the LOI, the offer of $20.35, the requested exclusivity period and the treatment of the Company’s outstanding equity awards. The Board considered, among other factors, that the per share price of $20.35 represented an approximately 20.3% premium to the volume-weighted average price of Common Stock for the 90 trading days ending on June 26, 2026, and an approximately 8.1% premium to the Common Stock’s closing price of $18.82 on June 26, 2026, as well as the updated enterprise values and multiples implied by the improved offer. The Board also considered the requested exclusivity period, and how that exclusivity period may impact the Board’s ability to pursue alternative transactions that might provide greater value to the Company’s stockholders, as well as potential strategies for mitigating that impact, such as the post-signing “go-shop” provision contemplated by the LOI. The Board determined to grant exclusivity to H.I.G. and to not conduct a pre-signing market check prior to granting such exclusivity in consideration of the Company’s recent discussions with Party A regarding a potential strategic merger, the risk that H.I.G. would withdraw its offer, statements by H.I.G. that it would not proceed without exclusivity, risks inherent with confidentially conducting a broadly marketed transaction or other pre-signing market check, and the availability of a post-signing “go-shop” process. At that meeting, and following discussion of the LOI, the Board authorized Mr. Stamatakis to execute and deliver the LOI to H.I.G. Later on July 2, 2026,</w:t>
      </w:r>
    </w:p>
    <w:p>
      <w:pPr>
        <w:spacing w:after="0" w:line="8" w:lineRule="exact"/>
        <w:rPr>
          <w:sz w:val="20"/>
          <w:szCs w:val="20"/>
          <w:color w:val="auto"/>
        </w:rPr>
      </w:pPr>
    </w:p>
    <w:p>
      <w:pPr>
        <w:ind w:left="300" w:right="439"/>
        <w:spacing w:after="0" w:line="251" w:lineRule="auto"/>
        <w:rPr>
          <w:sz w:val="20"/>
          <w:szCs w:val="20"/>
          <w:color w:val="auto"/>
        </w:rPr>
      </w:pPr>
      <w:r>
        <w:rPr>
          <w:rFonts w:ascii="Times New Roman" w:cs="Times New Roman" w:eastAsia="Times New Roman" w:hAnsi="Times New Roman"/>
          <w:sz w:val="18"/>
          <w:szCs w:val="18"/>
          <w:color w:val="auto"/>
        </w:rPr>
        <w:t>Mr. Stamatakis countersigned the LOI on behalf of the Company, in connection with the proposed all-cash acquisition of the Company by H.I.G. at a per share price of $20.35. With respect to the Company’s outstanding equity awards, the LOI provided that H.I.G. was open to discussing their treatment in connection with further due diligence, including vesting and payout of outstanding equity awards (including unvested employee equity awards) at closing at the per share purchase price. The LOI contemplated that the parties would negotiate in good faith a reasonable post-signing “go-shop” provision designed to allow the Company to conduct a post-signing market check. Under the exclusivity provisions of the LOI, the Company agreed not to solicit, discuss or negotiate any alternative proposal through August 1, 2026, which period was subject to two automatic successive seven-day extensions if H.I.G. and the Company continued to negotiate in good faith.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Thereafter, and until the Merger Agreement was executed, H.I.G. performed due diligence reviews on the Company, including through documents provided in electronic data rooms and through a series of due diligence meetings covering relevant topics. H.I.G.’s due diligence review was assisted by representatives of H.I.G.’s third-party advisors.</w:t>
      </w:r>
    </w:p>
    <w:p>
      <w:pPr>
        <w:spacing w:after="0" w:line="7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Between July 2, 2026, and September 17, 2026, the Company’s management and financial and legal advisors had numerous communications, including in-person meetings, with H.I.G. and its advisors regarding business, financial, legal, tax, human resources, intellectual property, environmental, commercial operations, employee benefits, government contracting and other matters. H.I.G. and its legal counsel additionally held due diligence calls with members of management and with Troutman and Morgan Lewis. During this period, and in consideration of the continued investment of time and resources by H.I.G. and the Company in pursuing a potential transaction, the Company entered into five exclusivity extension agreements with H.I.G. to extend the earliest date on which the Company could deliver notice to terminate the exclusivity period until August 21, 2026, August 28, 2026, September 4, 2026, September 11, 2026 and September 18, 2026, respectively.</w:t>
      </w:r>
    </w:p>
    <w:p>
      <w:pPr>
        <w:spacing w:after="0" w:line="80" w:lineRule="exact"/>
        <w:rPr>
          <w:sz w:val="20"/>
          <w:szCs w:val="20"/>
          <w:color w:val="auto"/>
        </w:rPr>
      </w:pPr>
    </w:p>
    <w:p>
      <w:pPr>
        <w:jc w:val="both"/>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On July 7, 2026, representatives of H.I.G. had dinner with the Company’s Chief Executive Officer, Chief Operating Officer and Chief Financial Officer, and on July 15, 2026, representatives of H.I.G. had dinner with members of the Company’s management team, in each case for the purpose of becoming better acquainted and learning more about the Company’s business.</w:t>
      </w:r>
    </w:p>
    <w:p>
      <w:pPr>
        <w:spacing w:after="0" w:line="72"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On July 8, 2026, Company management and representatives of H.I.G. held an in-person meeting to discuss certain of H.I.G.’s high-priority due diligence requests.</w:t>
      </w:r>
    </w:p>
    <w:p>
      <w:pPr>
        <w:spacing w:after="0" w:line="54" w:lineRule="exact"/>
        <w:rPr>
          <w:sz w:val="20"/>
          <w:szCs w:val="20"/>
          <w:color w:val="auto"/>
        </w:rPr>
      </w:pPr>
    </w:p>
    <w:p>
      <w:pPr>
        <w:ind w:left="300" w:right="439" w:firstLine="360"/>
        <w:spacing w:after="0" w:line="270" w:lineRule="auto"/>
        <w:rPr>
          <w:sz w:val="20"/>
          <w:szCs w:val="20"/>
          <w:color w:val="auto"/>
        </w:rPr>
      </w:pPr>
      <w:r>
        <w:rPr>
          <w:rFonts w:ascii="Times New Roman" w:cs="Times New Roman" w:eastAsia="Times New Roman" w:hAnsi="Times New Roman"/>
          <w:sz w:val="17"/>
          <w:szCs w:val="17"/>
          <w:color w:val="auto"/>
        </w:rPr>
        <w:t>On July 16, 2026, Company management and representatives of H.I.G. held another in-person meeting to discuss certain of H.I.G.’s high-priority due diligence requests. On the same date, representatives of Troutman delivered a proposed Merger Agreement regarding H.I.G.’s potential acquisition of the Company to representatives of Kirkland. The draft Merger Agreement, among other things, included a 45-day “go-shop” provision as well as</w:t>
      </w:r>
    </w:p>
    <w:p>
      <w:pPr>
        <w:spacing w:after="0" w:line="3" w:lineRule="exact"/>
        <w:rPr>
          <w:sz w:val="20"/>
          <w:szCs w:val="20"/>
          <w:color w:val="auto"/>
        </w:rPr>
      </w:pPr>
    </w:p>
    <w:p>
      <w:pPr>
        <w:ind w:left="300" w:right="319" w:hanging="8"/>
        <w:spacing w:after="0" w:line="266" w:lineRule="auto"/>
        <w:tabs>
          <w:tab w:leader="none" w:pos="5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broad representations and warranties of the Company; (ii) interim operating covenants with which the Company would be obligated to comply between the signing of the Merger Agreement and the closing of the merger; (iii) the right of the Company, following the expiration of the “go-shop” period, to accept a Superior Proposal, with a “Superior Proposal” defined as a bona fide proposal to acquire more than 50% of the stock or assets of the Company that is deemed in good faith by the Board to be more favorable to the Company’s stockholders than the merger contemplated by the Merger Agreement; (iv) provisions obligating the parties to take certain actions in connection with obtaining antitrust clearance for the potential transaction; (v) the right for the Board to change its recommendation with respect to the merger in certain limited circumstances, including the occurrence of certain events following the execution of the Merger Agreement; (vi) terms on which the parties would have the right to terminate the Merger Agreement under certain conditions, including upon certain breaches by the other party; (vii) a requirement that the Company pay a termination fee in certain circumstances, with a proposal that such fee be equal to 2.5% of the transaction’s equity value; (viii) a requirement that H.I.G. pay a termination fee in certain circumstances related to the failure to obtain financing, with a proposal that such fee be equal to 5.5% of the transaction’s equity value; and (ix) a requirement that, if all or any portion of H.I.G.’s committed debt financing became unavailable, H.I.G. use its reasonable best efforts to obtain replacement financing from alternative sources on terms not less favorable to H.I.G. than those of its committed debt financing. The proposed Merger Agreement also addressed certain employee compensation and benefits matters, including continuation of benefits for a period following closing and an exception to the interim operating covenants that would permit the Company to award transaction bonus, retention bonus or similar incentive arrangements to Company employees in connection with the proposed transaction, subject to an aggregate amount to be agreed. The transaction bonus concept was first proposed by the Company in this draft, after the parties had agreed on the $20.35 per share purchase price in the LOI, and the proposed Merger Agreement did not address any post-closing equity or compensation terms for any officer or employee of the Company. From July 16, 2026 until the execution of the Merger Agreement, Mr. Stamatakis along with members of management communicated frequently with Troutman and Morgan Lewis on transaction issues and status, H.I.G.’s ongoing due diligence review of the Company, draft transaction documents and revisions thereto, and negotiation of open transaction issues, and provided updates to the Board on such matters.</w:t>
      </w:r>
    </w:p>
    <w:p>
      <w:pPr>
        <w:spacing w:after="0" w:line="28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On July 26, 2026, representatives of Kirkland delivered a revised version of the Merger Agreement to representatives of Troutman. The revised draft of the Merger Agreement, among other things, (i) reduced the “go-shop” period to 30 days from 45 days, and removed an “excluded person” concept that would have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discussions regarding an alternative transaction to continue past the termination of the “go-shop” period;</w:t>
      </w:r>
    </w:p>
    <w:p>
      <w:pPr>
        <w:spacing w:after="0" w:line="27" w:lineRule="exact"/>
        <w:rPr>
          <w:sz w:val="20"/>
          <w:szCs w:val="20"/>
          <w:color w:val="auto"/>
        </w:rPr>
      </w:pPr>
    </w:p>
    <w:p>
      <w:pPr>
        <w:ind w:left="560" w:hanging="268"/>
        <w:spacing w:after="0"/>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the terms on which H.I.G. must seek replacement financing in connection with the transaction; and</w:t>
      </w:r>
    </w:p>
    <w:p>
      <w:pPr>
        <w:spacing w:after="0" w:line="9" w:lineRule="exact"/>
        <w:rPr>
          <w:rFonts w:ascii="Times New Roman" w:cs="Times New Roman" w:eastAsia="Times New Roman" w:hAnsi="Times New Roman"/>
          <w:sz w:val="18"/>
          <w:szCs w:val="18"/>
          <w:color w:val="auto"/>
        </w:rPr>
      </w:pPr>
    </w:p>
    <w:p>
      <w:pPr>
        <w:ind w:left="300" w:right="719" w:hanging="8"/>
        <w:spacing w:after="0" w:line="265" w:lineRule="auto"/>
        <w:tabs>
          <w:tab w:leader="none" w:pos="6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modified the circumstances under which a termination fee may be payable by the Company, and in what amounts. In particular, this revised version of the Merger Agreement increased the Company termination fee to</w:t>
      </w:r>
    </w:p>
    <w:p>
      <w:pPr>
        <w:ind w:left="300" w:right="29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3.70% of the transaction’s equity value from an initial proposal of 2.50% of the transaction’s equity value, and added a requirement that the Company reimburse H.I.G.’s expenses, up to 1.00% of the transaction’s equity value, in certain circumstances. Also in connection with this revised version of the Merger Agreement, H.I.G., through representatives of Kirkland, indicated that H.I.G. would desire that certain members of the family of Dr. Vahaviolos enter into voting agreements with H.I.G. with respect to the proposed transaction.</w:t>
      </w:r>
    </w:p>
    <w:p>
      <w:pPr>
        <w:spacing w:after="0" w:line="79"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On July 27, 2026, to facilitate H.I.G.’s due diligence review of the Company, the Company entered into a confidentiality agreement regarding the proposed transaction with Ms. Foglia, who is also an employee of the Company in the human resources department. Between July 27, 2026 and the execution of the Merger Agreement, Ms. Foglia was involved in H.I.G.’s due diligence review of the Company solely in connection with her role as a human resources employee of the Company.</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On July 31, 2026, certain representatives of H.I.G. visited the Company’s in-lab facility in Ellabell, Georgia, and on August 20, 2026, certain representatives of H.I.G. visited the Company’s in-lab facility in Heath, Ohio and had dinner with the Company’s Chief Operating Officer and the head of the Company’s in-lab business. In addition, between August 14, 2026 and August 19, 2026, representatives of Ramboll, H.I.G.’s environmental consultant, visited several Company facilities to conduct environmental health and safety due diligence, although no representatives of H.I.G. attended such visits.</w:t>
      </w:r>
    </w:p>
    <w:p>
      <w:pPr>
        <w:spacing w:after="0" w:line="79"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Between August 1, 2026 and August 31, 2026, representatives of Troutman and Morgan Lewis and representatives of Kirkland exchanged multiple revised versions of the Merger Agreement, in light of ongoing negotiations regarding the transaction and the ongoing due diligence review process. These multiple revised versions of the Merger Agreement reflected continued negotiations of (i) the length of the “go-shop” period, with the Company continuing to propose a period of up to 45 days and H.I.G. a period of 30 days, and whether discussions with an “excluded person” could continue after the end of the “go-shop” period; (ii) the size of the Company termination fee, in a range of between 3.00% and 4.00% of the transaction’s equity value; (iii) the size of the reverse termination fee, discussed by the parties in a range between 7.00% and 7.50% of the transaction’s equity value;</w:t>
      </w:r>
    </w:p>
    <w:p>
      <w:pPr>
        <w:ind w:left="300" w:right="319" w:hanging="8"/>
        <w:spacing w:after="0" w:line="251" w:lineRule="auto"/>
        <w:tabs>
          <w:tab w:leader="none" w:pos="60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in which H.I.G. would not be required to obtain alternative financing to consummate the Merger; (v) the definition of material adverse effect applicable to certain of the Company’s representations, warranties and covenants; (vi) the period of time in which the Company must file the preliminary proxy statement, in a range of between 10 business days and 30 calendar days after the date on which the Merger Agreement is executed; and (vii) whether the Company would implement a transaction bonus program, or a retention bonus program, to incentivize and reward extraordinary efforts by certain members of management between signing the Merger Agreement and closing the transaction. Also during this period, representatives of Troutman, Morgan Lewis and Kirkland exchanged multiple drafts of the proposed equity commitment letter and limited guarantee with respect to the proposed transaction.</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10, 2026, the Company issued its earnings release for the second quarter and six months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2026. In the earnings release, the Company increased its full-year guidance to $740.0 million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$755.0 million in revenue and $92.0 million to $95.0 million in Adjusted EBITDA. The Company indicated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earnings release that the adjustment reflected continued strength in the Company’s strategic growth markets,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partially offset by a lower level of activity in the volatile Oil &amp; Gas end market, attributable to ongoing macro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environment factors including higher crude oil prices, and further that the Company continued to see favorable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demand trends, particularly in its Aerospace &amp; Defense and Infrastructure end markets, which it expected to support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growth throughout the remainder of 2026. The Company did not make any adjustments to the Projections, as it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concluded that the dynamics that supported the increase in guidance for full-year 2026, many of which had already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been reflected in the Company’s financial results through the second quarter of the year, could not be reliably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extrapolated over the additional years included in the Projections.</w:t>
      </w:r>
    </w:p>
    <w:p>
      <w:pPr>
        <w:spacing w:after="0" w:line="99" w:lineRule="exact"/>
        <w:rPr>
          <w:sz w:val="20"/>
          <w:szCs w:val="20"/>
          <w:color w:val="auto"/>
        </w:rPr>
      </w:pPr>
    </w:p>
    <w:p>
      <w:pPr>
        <w:jc w:val="both"/>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On August 14, 2026, Mr. Stamatakis and a representative of H.I.G. met telephonically to discuss the status of H.I.G.’s due diligence reviews, the ongoing negotiations related to the transaction documents, and related matters.</w:t>
      </w:r>
    </w:p>
    <w:p>
      <w:pPr>
        <w:spacing w:after="0" w:line="32"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Between August 18, 2026 and August 30, 2026, representatives of Troutman, Morgan Lewis and Kirkland exchanged multiple drafts of a proposed voting agreement that H.I.G. requested be executed in connection with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Merger by the directors, named executive officers and Family Stockholders (defined below) of the Company. These multiple revised versions of the voting agreement negotiated the scope of shares of Common Stock covered by the agreement, the nature of the “permitted transactions” that would be exempt from the transfer restrictions contained in the voting agreement, certain exceptions to the obligations to vote for and otherwise support the Merger, and which stockholders would execute voting agreements and, accordingly, how many shares of Common Stock would be subject to voting agreements. Representatives of Troutman prepared for the Board and management a summary of the material terms and conditions of, and obligations under, the proposed voting agreements, and also summarized fiduciary duty considerations related to the voting agreements and the number of shares of Common Stock subject thereto.</w:t>
      </w:r>
    </w:p>
    <w:p>
      <w:pPr>
        <w:spacing w:after="0" w:line="80"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On August 25, 2026, to facilitate discussions regarding the proposed transaction and in anticipation of the voting agreement that was being requested by H.I.G., the Company entered into a confidentiality agreement regarding the transaction with Ms. Aspasia Vahaviolos, the widow of Dr. Vahaviolos and a significant stockholder of the Company. Later on August 25, 2026, Mr. Stamatakis met with Ms. Vahaviolos and Ms. Foglia to generally discuss the transaction and the agreed purchase price per share of $20.35, but did not discuss any voting agreement that may be requested by H.I.G. from Ms. Vahaviolos or Ms. Foglia in connection with the transaction.</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 August 28, 2026, at a special meeting of the Board, the Board discussed the proposed transaction and progress on the due diligence review and draft transaction documents. At this meeting, the Board approved (including for purposes of Section 203 of the DGCL) discussions between H.I.G. and its representatives and the directors, named executive officers and Family Stockholders of the Company regarding the proposed transaction and a voting agreement in connection therewith.</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September 1, 2026, representatives of Troutman and Kirkland met telephonically with a representative of Faegre Drinker Biddle &amp; Reath LLP (“Faegre”) as counsel to Ms. Aspasia Vahaviolos, Ms. Stephanie Foglia and the grantor retained annuity trust of Ms. Vahaviolos of which Ms. Foglia serves as trustee (collectively, the “Family Stockholders”), to generally summarize the proposed transaction and for a representative of Kirkland to request a voting agreement from each Family Stockholder. On September 6, 2026, representatives of Troutman and Kirkland provided the then-current version of the draft voting agreement to a representative of Faegre and, between September 6 and September 11, 2026, representatives of Kirkland and Faegre negotiated the terms of the voting agreements to be executed by the Family Stockholders, as representatives of Troutman were kept apprised of such negotiations.</w:t>
      </w:r>
    </w:p>
    <w:p>
      <w:pPr>
        <w:spacing w:after="0" w:line="80"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September 10, 2026, representatives of Troutman delivered an updated version of the Merger Agreement to representatives of Kirkland that, among other matters, (i) increased the length of the “go-shop” period to 40 days from H.I.G.’s most recent proposal of 30 days, but removed the ability to extend “go-shop” discussions with an “excluded person” past the “go-shop” termination date; (ii) maintained the Company termination fee at 3.75% of the transaction’s equity value, as had been presented in H.I.G.’s most recent proposal; (iii) maintained the reverse termination fee at 7.25% of the transaction’s equity value, as had been presented in H.I.G.’s most recent proposal; and (iv) reduced the expense reimbursement that the Company would pay to Parent under certain circumstances from $10.0 million to $5.0 million. On September 10, 2026, representatives of Kirkland, Morgan Lewis and Troutman met telephonically to discuss the Merger Agreement and open issues under the Merger Agreement, including related to the “go-shop” period, deal protection mechanisms, and applicable termination fees and expense reimbursements.</w:t>
      </w:r>
    </w:p>
    <w:p>
      <w:pPr>
        <w:spacing w:after="0" w:line="8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On September 11, 2026, representatives of Kirkland delivered an updated version of the Merger Agreement that, among other matters, (i) reduced the length of the “go-shop” period to 30 days from 40 days; (ii) agreed to mutual control of certain regulatory filing processes; and (iii) increased the requested expense reimbursement that the Company would pay to Parent under certain circumstances from $5.0 million to $10.0 million. On September 12 and 13, 2026, Mr. Stamatakis and other members of management had multiple meetings with representatives of Troutman and Morgan Lewis regarding this updated version of the Merger Agreement.</w:t>
      </w:r>
    </w:p>
    <w:p>
      <w:pPr>
        <w:spacing w:after="0" w:line="7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On September 12, 2026, representatives of Kirkland provided representatives of Troutman and Morgan Lewis with a proposed debt commitment letter in connection with the debt financing to be utilized for the proposed transaction.</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September 13, 2026, Mr. Stamatakis and a representative of H.I.G. met telephonically to discuss the status of H.I.G.’s due diligence reviews, the ongoing negotiations related to the transaction documents, and related matters. During the call, Mr. Stamatakis and the H.I.G. representative agreed to hold a separate call among the parties and their respective outside counsel to discuss the remaining open issues in the transaction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September 14, 2026, representatives of the Company, H.I.G., Kirkland, Morgan Lewis and Troutman met telephonically to discuss the remaining open issues in the transaction documents, including (i) the parameters of the “go-shop” process; (ii) the outside date; (iii) the amount of the termination fee and expense reimbursement payable by the Company to Parent in certain circumstances; (iv) the scope of the interim operating covenants; and (v) certain employee compensation matters, including the treatment of the Company’s 2026 incentive compensation program and the size and payment terms of a retention bonus program (which would replace any transaction bonus program), as to which the Company proposed an aggregate amount of $2.75 million, an increase from the $2.5 million most recently proposed by H.I.G., with 50% payable at closing and 50% payable one year after closing subject to continued employment of the recipient.</w:t>
      </w:r>
    </w:p>
    <w:p>
      <w:pPr>
        <w:spacing w:after="0" w:line="8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September 15, 2026, representatives from Troutman and Kirkland met telephonically to discuss the revised draft of the Merger Agreement delivered by representatives of Kirkland on September 11, 2026 and in particular certain deal protection provisions contained therein. On September 16, 2026, representatives of Troutman delivered an updated version of the Merger Agreement to representatives of Kirkland to reflect such discussion. This revised draft, among other matters, (i) increased the length of the “go-shop” period from 30 days to 40 days; (ii) increased the termination fees that would be paid by the Company to Parent in certain circumstances from 3.75% to 4.00% of the transaction’s equity value; and (iii) shortened the preliminary proxy statement filing requirement from 30 days to 25 days following execution of the Merger Agreement.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September 16, 2026, representatives of the Company, including Mr. Stamatakis, H.I.G., Troutman, Morgan Lewis and Kirkland met telephonically to discuss the transaction, the current draft of the Merger Agreement, and outstanding issues related thereto. The parties discussed, among other items, certain employee matters and the impact of the Merger on the Company’s restricted stock units. Following this meeting, representatives from Troutman, Morgan Lewis and Kirkland negotiated a revised and final version of the Merger Agreement, which provided for a 40-day “go-shop” period, a Company termination fee of 4.00% of the transaction’s equity value (reduced by 50% for a termination to accept a Superior Proposal during the “go-shop” period), a reverse termination fee of 7.25% of the transaction’s equity value, an expense reimbursement payable by the Company to Parent in certain circumstances of up to $7.0 million, and a requirement that the Company file the preliminary proxy statement within 25 days following execution of the Merger Agreement.</w:t>
      </w:r>
    </w:p>
    <w:p>
      <w:pPr>
        <w:spacing w:after="0" w:line="86"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 xml:space="preserve">On September 17, 2026, the Board held a special meeting, with representatives from each of Troutman, Morgan Lewis and Baird also attending. Mr. Stamatakis provided a summary of negotiations regarding the Merger Agreement since the last meeting of the Board and confirmed that material provisions of the Merger Agreement had been successfully negotiated in accordance with prior discussions of the Board. Representatives of Troutman and Morgan Lewis then provided presentations summarizing the Board’s fiduciary duties, the material terms of the Merger Agreement and other transaction documents, including the contemplated consideration, closing conditions, representations and warranties, interim operating covenants, certain deal-protection terms, termination provisions and fees, and terms related to employment matters, and the material terms of the Voting Agreements and the number of shares obligated to vote in favor of the Merger under such Voting Agreements. The Board asked questions of Troutman and Morgan Lewis, and representatives from Troutman and Morgan Lewis provided responses to such inquiries. The representatives of Baird presented their financial analysis with respect to the Merger Consideration in the Merger pursuant to the Merger Agreement and rendered the oral opinion of Baird to the Board (in its capacity as such), subsequently confirmed by delivery of its written opinion dated September 17, 2026, to the effect that, as of September 17, 2026, and based upon and subject to the various assumptions made, procedures followed, matters considered, and qualifications and limitations on the scope of the review undertaken by Baird as set forth in its written opinion, the Merger Consideration to be received by the holders of Common Stock (other than the Excluded Holders) in the Merger pursuant to the Merger Agreement was fair, from a financial point of view, to such holders. See “—Opinion of the Company’s Financial Advisor” beginning on page </w:t>
      </w:r>
      <w:r>
        <w:rPr>
          <w:rFonts w:ascii="Times New Roman" w:cs="Times New Roman" w:eastAsia="Times New Roman" w:hAnsi="Times New Roman"/>
          <w:sz w:val="17"/>
          <w:szCs w:val="17"/>
          <w:u w:val="single" w:color="auto"/>
          <w:color w:val="0000EE"/>
        </w:rPr>
        <w:t>49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Appendix C</w:t>
      </w:r>
      <w:r>
        <w:rPr>
          <w:rFonts w:ascii="Times New Roman" w:cs="Times New Roman" w:eastAsia="Times New Roman" w:hAnsi="Times New Roman"/>
          <w:sz w:val="17"/>
          <w:szCs w:val="17"/>
          <w:color w:val="auto"/>
        </w:rPr>
        <w:t xml:space="preserve"> to this proxy statement. Following this presentation, the Board discussed and considered various factors that impacted its evaluation and decision regarding the proposed transaction, including the material factors set forth in the section entitled “—Reasons for the Merger” beginning on page </w:t>
      </w:r>
      <w:r>
        <w:rPr>
          <w:rFonts w:ascii="Times New Roman" w:cs="Times New Roman" w:eastAsia="Times New Roman" w:hAnsi="Times New Roman"/>
          <w:sz w:val="17"/>
          <w:szCs w:val="17"/>
          <w:u w:val="single" w:color="auto"/>
          <w:color w:val="0000EE"/>
        </w:rPr>
        <w:t>44</w:t>
      </w:r>
      <w:r>
        <w:rPr>
          <w:rFonts w:ascii="Times New Roman" w:cs="Times New Roman" w:eastAsia="Times New Roman" w:hAnsi="Times New Roman"/>
          <w:sz w:val="17"/>
          <w:szCs w:val="17"/>
          <w:color w:val="auto"/>
        </w:rPr>
        <w:t>. Further, at the request of the Board, a representative from Baird discussed with the Board the “go-shop” process. As part of this discussion, the representative from Baird explained the proposed timing and process for contacting potential buyers (and the approximate number of potential buyers to be contacted), entering into acceptable confidentiality agreements with any interested parties, and providing such parties access to confidential information of the Company. After discussion among the directors, the Board temporarily adjourned the meeting, to be reconvened following the closing of the financial markets in the United States on September 17, 2026, at which time the Board reconvened the meeting. After further discussion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 xml:space="preserve">among the directors, the Board unanimously (i) determined that the Merger Agreement and the transactions contemplated thereby are advisable and in the best interests of the Company’s stockholders; (ii) approved and declared advisable the Merger Agreement and the transactions contemplated thereby; (iii) directed that the Merger Agreement be submitted to the Company’s stockholders to be adopted and approved; and (iv) resolved, subject to certain provisions of the Merger Agreement, to recommend the adoption and approval of the Merger Agreement by the Company’s stockholders. The Board also unanimously authorized Baird to proceed with the go-shop process immediately following execution of the Merger Agreement and announcement of the Merger. At this meeting, the Compensation Committee of the Board, composed of Michelle Lohmeier and Nicholas DeBenedictis, unanimously approved the retention bonus program in the aggregate amount of approximately $2.75 million, under which certain executive officers, Ms. Shuman, Edward J. Prajzner, Gennaro D’Alterio and Hani Hammad, are eligible to receive bonuses pursuant to the Retention Agreements (as defined in “—Interests of the Directors and Executive Officers of the Company in the Merger—Retention Bonus Arrangements” beginning on page </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 xml:space="preserve"> of this proxy statement). The program is described in more detail in the section entitled “—Interests of the Directors and Executive Officers of the Company in the Merger—Retention Bonus Arrangements” beginning on page </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Following the closing of the financial markets in the United States on September 17, 2026, the Company, Parent and Acquisition Sub entered into the Merger Agreement and, immediately thereafter, Parent entered into Voting Agreements with each of the Family Stockholders and with each of the Company’s directors and executive officers who hold shares of Common Stock, and the Company issued a press release announcing the Merger prior to the opening of the financial markets in the United States on September 18, 2026.</w:t>
      </w:r>
    </w:p>
    <w:p>
      <w:pPr>
        <w:spacing w:after="0" w:line="75" w:lineRule="exact"/>
        <w:rPr>
          <w:sz w:val="20"/>
          <w:szCs w:val="20"/>
          <w:color w:val="auto"/>
        </w:rPr>
      </w:pPr>
    </w:p>
    <w:p>
      <w:pPr>
        <w:ind w:left="300" w:right="59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the “go-shop” process, beginning on September 18, 2026, and continuing through October 27, 2026, representatives of Baird contacted, or were contacted by, 122 third parties, consisting of 24 strategic companies including Party A, and 98 financial sponsors. The Company entered into confidentiality agreements, all of which contained customary standstill and non-solicit provisions, with 40 of those third parties. The “go-shop” period will expire at 11:59 p.m. Eastern Time on October 27, 2026. As of the date of this proxy statement, the Company has not received any Acquisition Proposals during the “go-shop” period.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Merger</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Board regularly receives and discusses advice and opinions from management, consultants and financial advisors regarding trends in the industries we serve as part of its consideration of ways in which to execute on the Company’s growth plans to meet customer needs and enhance its earnings and value. The Board concluded that the Merger was in the best interests of the Company’s stockholders and other stakeholders, including customers and the industries we serve.</w:t>
      </w:r>
    </w:p>
    <w:p>
      <w:pPr>
        <w:spacing w:after="0" w:line="75"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After careful consideration, at a meeting held on September 17, 2026, the Board unanimously (i) determined that the Merger Agreement and the transactions contemplated thereby, including the Merger, are fair to and in the best interests of the Company and its stockholders, (ii) approved, adopted and declared advisable the Merger Agreement and the transactions contemplated thereby, including the Merger, (iii) directed that the Merger Agreement be submitted to the stockholders of the Company for adoption at the Special Meeting, and (iv) recommended that stockholders of the Company adopt the Merger Agreement.</w:t>
      </w:r>
    </w:p>
    <w:p>
      <w:pPr>
        <w:spacing w:after="0" w:line="7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In evaluating the Merger Agreement and the transactions contemplated thereby, including the Merger, the Board consulted with our management and our legal and financial advisors and, in reaching its determination and recommendation, carefully considered a number of factors, including the following material factors (which are not presented in any relative order of importance):</w:t>
      </w:r>
    </w:p>
    <w:p>
      <w:pPr>
        <w:spacing w:after="0" w:line="72" w:lineRule="exact"/>
        <w:rPr>
          <w:sz w:val="20"/>
          <w:szCs w:val="20"/>
          <w:color w:val="auto"/>
        </w:rPr>
      </w:pPr>
    </w:p>
    <w:p>
      <w:pPr>
        <w:ind w:left="1000" w:right="339" w:hanging="348"/>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of $20.35 per share in cash represents a premium of approximately 2.6% over the closing price of our Common Stock on the NYSE of $19.84 on September 17, 2026, the last trading day prior to the public announcement of the Merger Agreement, approximately 8% over the 30-day volume-weighted average closing price of the Common Stock for the period ended September 17, 2026, and approximately 13% over the 90-day volume-weighted average closing price of the Common Stock for the period ended September 17, 2026;</w:t>
      </w:r>
    </w:p>
    <w:p>
      <w:pPr>
        <w:spacing w:after="0" w:line="79"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represents approximately 61% appreciation over the closing price of our Common Stock on December 31, 2025 of $12.65, and the Board’s consideration that this appreciation reflected, among other things, progress on the Company’s Vision2030 transformation and operational execution, such that a substantial portion of the value created by management’s plan had already been realized by stockholders in the trading price;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639"/>
        <w:spacing w:after="0" w:line="261" w:lineRule="auto"/>
        <w:rPr>
          <w:sz w:val="20"/>
          <w:szCs w:val="20"/>
          <w:color w:val="auto"/>
        </w:rPr>
      </w:pPr>
      <w:r>
        <w:rPr>
          <w:rFonts w:ascii="Times New Roman" w:cs="Times New Roman" w:eastAsia="Times New Roman" w:hAnsi="Times New Roman"/>
          <w:sz w:val="18"/>
          <w:szCs w:val="18"/>
          <w:color w:val="auto"/>
        </w:rPr>
        <w:t>the fact that the Merger Consideration will be paid entirely in cash, providing our stockholders with immediate liquidity and certainty of value for their shares, particularly in light of the relatively limited trading volume of the Common Stock, without exposure to the risks and uncertainties inherent in the Company’s continued operation as a standalone public company;</w:t>
      </w:r>
    </w:p>
    <w:p>
      <w:pPr>
        <w:spacing w:after="0" w:line="72" w:lineRule="exact"/>
        <w:rPr>
          <w:sz w:val="20"/>
          <w:szCs w:val="20"/>
          <w:color w:val="auto"/>
        </w:rPr>
      </w:pPr>
    </w:p>
    <w:p>
      <w:pPr>
        <w:ind w:left="1000" w:right="35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of $20.35 per share represents an increase from H.I.G.’s initial proposed range of $19.00 to $19.75 per share and from each of H.I.G.’s subsequent proposals of $19.50 per share and $20.25 per share, and the Board’s belief, based on these negotiations, that $20.35 per share was the highest price H.I.G. was willing to pay;</w:t>
      </w:r>
    </w:p>
    <w:p>
      <w:pPr>
        <w:spacing w:after="0" w:line="71"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Consideration represents a premium of approximately 20.3% to the volume-weighted average price of the Common Stock for the 90 trading days ending on June 26, 2026, the date of H.I.G.’s final proposal, as considered by the Board at its July 2, 2026 meeting, and the Board’s view that the significant increase in the trading price of the Common Stock during 2026 occurred on limited trading volume;</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Board, after a thorough review of our business, market trends, operations, competitive landscape, execution risks and financial condition, and discussions with our management and advisors, that the value offered to stockholders pursuant to the Merger is more favorable to our stockholders than the potential long-term and sustainable value that might have resulted from remaining an independent public company, considering:</w:t>
      </w:r>
    </w:p>
    <w:p>
      <w:pPr>
        <w:sectPr>
          <w:pgSz w:w="11900" w:h="16838" w:orient="portrait"/>
          <w:cols w:equalWidth="0" w:num="1">
            <w:col w:w="9019"/>
          </w:cols>
          <w:pgMar w:left="1440" w:top="263" w:right="1440" w:bottom="1440" w:gutter="0" w:footer="0" w:header="0"/>
        </w:sectPr>
      </w:pP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319"/>
        <w:spacing w:after="0" w:line="261" w:lineRule="auto"/>
        <w:rPr>
          <w:sz w:val="20"/>
          <w:szCs w:val="20"/>
          <w:color w:val="auto"/>
        </w:rPr>
      </w:pPr>
      <w:r>
        <w:rPr>
          <w:rFonts w:ascii="Times New Roman" w:cs="Times New Roman" w:eastAsia="Times New Roman" w:hAnsi="Times New Roman"/>
          <w:sz w:val="18"/>
          <w:szCs w:val="18"/>
          <w:color w:val="auto"/>
        </w:rPr>
        <w:t>the Board’s knowledge and understanding of the Company’s business, operations, financial condition, earnings, strategy and prospects, including the risks of executing the Company’s standalone business plan and achieving the financial forecasts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Certain Unaudited Prospective Financial Information” below, beginning on page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the concentration of the Company’s revenues in the North America segment, which accounted for 81% of revenues in each of 2025 and 2024, and the concentration of that segment’s customer base in the oil and gas sector, together with the absence of purchase obligations on the part of many of those customers;</w:t>
      </w:r>
    </w:p>
    <w:p>
      <w:pPr>
        <w:spacing w:after="0" w:line="72" w:lineRule="exact"/>
        <w:rPr>
          <w:sz w:val="20"/>
          <w:szCs w:val="20"/>
          <w:color w:val="auto"/>
        </w:rPr>
      </w:pPr>
    </w:p>
    <w:p>
      <w:pPr>
        <w:jc w:val="both"/>
        <w:ind w:right="719"/>
        <w:spacing w:after="0" w:line="266" w:lineRule="auto"/>
        <w:rPr>
          <w:sz w:val="20"/>
          <w:szCs w:val="20"/>
          <w:color w:val="auto"/>
        </w:rPr>
      </w:pPr>
      <w:r>
        <w:rPr>
          <w:rFonts w:ascii="Times New Roman" w:cs="Times New Roman" w:eastAsia="Times New Roman" w:hAnsi="Times New Roman"/>
          <w:sz w:val="18"/>
          <w:szCs w:val="18"/>
          <w:color w:val="auto"/>
        </w:rPr>
        <w:t>the volatility in crude oil prices in recent periods and its adverse impact on the Company’s field-related services provided to the oil and gas sector, and continued instability in global oil markets arising from geopolitical conditions;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360" w:right="1019" w:hanging="348"/>
        <w:spacing w:after="0" w:line="234" w:lineRule="auto"/>
        <w:tabs>
          <w:tab w:leader="none" w:pos="1360"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uncertainty relating to tariffs and trade barriers and their potential effect on global economic conditions, inflation, global trade and the Company’s supply chain costs;</w:t>
      </w:r>
    </w:p>
    <w:p>
      <w:pPr>
        <w:sectPr>
          <w:pgSz w:w="11900" w:h="16838" w:orient="portrait"/>
          <w:cols w:equalWidth="0" w:num="1">
            <w:col w:w="9019"/>
          </w:cols>
          <w:pgMar w:left="1440" w:top="263" w:right="1440" w:bottom="1440" w:gutter="0" w:footer="0" w:header="0"/>
          <w:type w:val="continuous"/>
        </w:sectPr>
      </w:pPr>
    </w:p>
    <w:p>
      <w:pPr>
        <w:spacing w:after="0" w:line="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and risks of other strategic alternatives; 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ratings pressure.</w:t>
      </w:r>
    </w:p>
    <w:p>
      <w:pPr>
        <w:spacing w:after="0" w:line="117"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9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assessment of the alternatives reasonably available to the Company, including continuing as a standalone public company and pursuing the Company’s strategic plan, and the timing, likelihood and risks of achieving the benefits of those alternatives relative to the Merger;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presentation and oral opinion, rendered on September 17, 2026 (subsequently confirmed by delivery of its written opinion dated September 17, 2026), of Baird to the Board as to the fairness, from a financial point of view and as of such date, to the holders of Common Stock (other than the Excluded Holders) of the Merger Consideration to be received by such holders in the Merger pursuant to the Merger Agreement, based upon and subject to the assumptions made, procedures followed, qualifications and limitations on the review undertaken, and the other matters described in its written opinion as more fully described below in the section titled “—Opinion of the Company’s Financial Advisor”;</w:t>
      </w:r>
    </w:p>
    <w:p>
      <w:pPr>
        <w:spacing w:after="0" w:line="80"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process conducted by the Company, with the assistance of Baird and our outside legal counsel, as described under “Background of the Merger” above, beginning on page </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including (i) the Company’s prior discussions with Party A regarding a potential strategic combination, which did not result in a proposal at a price the Board was willing to pursue, (ii) the Board’s consideration, at its April 30, 2026 meeting, of strategies for maximizing stockholder value, including pre-signing and post-signing marketing processes, (iii) the Company’s requirement, communicated to H.I.G. following the June 15, 2026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meeting, that any transaction include a “go-shop” provision permitting a post-signing market check, and</w:t>
      </w:r>
    </w:p>
    <w:p>
      <w:pPr>
        <w:spacing w:after="0" w:line="27" w:lineRule="exact"/>
        <w:rPr>
          <w:sz w:val="20"/>
          <w:szCs w:val="20"/>
          <w:color w:val="auto"/>
        </w:rPr>
      </w:pPr>
    </w:p>
    <w:p>
      <w:pPr>
        <w:ind w:left="1020" w:right="499"/>
        <w:spacing w:after="0" w:line="252" w:lineRule="auto"/>
        <w:rPr>
          <w:sz w:val="20"/>
          <w:szCs w:val="20"/>
          <w:color w:val="auto"/>
        </w:rPr>
      </w:pPr>
      <w:r>
        <w:rPr>
          <w:rFonts w:ascii="Times New Roman" w:cs="Times New Roman" w:eastAsia="Times New Roman" w:hAnsi="Times New Roman"/>
          <w:sz w:val="18"/>
          <w:szCs w:val="18"/>
          <w:color w:val="auto"/>
        </w:rPr>
        <w:t>(iv) the Board’s determination, at its July 2, 2026 meeting, to grant exclusivity to H.I.G. and not to conduct a pre-signing market check in light of a desire to work in earnest toward a transaction with H.I.G. while its proposal remained active and the availability of the post-signing “go-shop” process, and the Board’s belief that such process, together with the opportunity provided by the Go-Shop Period to solicit and evaluate Acquisition Proposals from third parties, was reasonably designed to obtain the best value reasonably available to our stockholders;</w:t>
      </w:r>
    </w:p>
    <w:p>
      <w:pPr>
        <w:spacing w:after="0" w:line="81" w:lineRule="exact"/>
        <w:rPr>
          <w:sz w:val="20"/>
          <w:szCs w:val="20"/>
          <w:color w:val="auto"/>
        </w:rPr>
      </w:pPr>
    </w:p>
    <w:p>
      <w:pPr>
        <w:ind w:left="1000" w:right="459" w:hanging="348"/>
        <w:spacing w:after="0" w:line="258"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in the Merger Agreement of a 40-calendar-day “go-shop” period expiring at 11:59 p.m. Eastern Time on October 27, 2026, during which the Company and its representatives are permitted to solicit, initiate, facilitate and encourage alternative acquisition proposals, furnish non-public information to, and engage in discussions and negotiations with, third parties, including through the waiver or release of any standstill or similar agreement;</w:t>
      </w:r>
    </w:p>
    <w:p>
      <w:pPr>
        <w:spacing w:after="0" w:line="75"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Company terminates the Merger Agreement during the Go-Shop Period in order to enter into a definitive agreement providing for a Superior Proposal, the termination fee payable to Parent is reduced by 50.0%, to approximately $13.8 million, which the Board believed meaningfully enhanced the effectiveness of the go-shop process;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ability, following the Go-Shop Period and subject to the terms and conditions of the Merger Agreement, to furnish information to and engage in discussions and negotiations with a third party that makes an unsolicited written Acquisition Proposal, and to effect a Change of Board Recommendation and terminate the Merger Agreement in order to enter into a definitive agreement providing for a Superior Proposal, subject to payment of the Company Termination Fee of approximately $27.5 million, which the Board believed was reasonable under the circumstances and would not preclude or substantially impede a competing proposal;</w:t>
      </w:r>
    </w:p>
    <w:p>
      <w:pPr>
        <w:spacing w:after="0" w:line="80"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ability, subject to the terms and conditions of the Merger Agreement, to effect a Change of Board Recommendation in response to an Intervening Event;</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was the product of arm’s-length negotiations and, in the Board’s view, contained terms and conditions advisable and favorable to the Company and its stockholders, as well as the Board’s belief, based on these negotiations, that these were the most favorable terms available to the Company and its stockholders on which Parent was willing to transact;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is not subject to any financing condition;</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Equity Commitment Letter delivered by H.I.G. Fund in an amount of $395.0 million, and the Debt Commitment Letter delivered by the Committed Lenders, in each case subject to the terms and conditions set forth therein, as described under “—Financing of the Merger” below, beginning on page </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Limited Guarantee delivered by H.I.G. Fund, pursuant to which H.I.G. Fund has guaranteed, subject to the terms, conditions and limitations set forth in the Limited Guarantee, including an aggregate cap of $51.4 million, the payment of the Parent Termination Fee, the Reimbursement Obligations and the Costs of Collection, as described under “—Limited Guarantee” below,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right to specific performance to cause Parent and Acquisition Sub to consummate the Merger, and to cause the Equity Financing to be funded, in each case subject to the terms and conditions of the Merger Agreement and the Equity Commitment Letter;</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Parent is obligated to pay the Company a Parent Termination Fee of $49.9 million in specified circumstances;</w:t>
      </w:r>
    </w:p>
    <w:p>
      <w:pPr>
        <w:spacing w:after="0" w:line="53"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and nature of the conditions to Parent’s and Acquisition Sub’s obligations to consummate the Merger, and the Board’s assessment of the likelihood that those conditions would be satisfied;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respective obligations under the Merger Agreement to use reasonable best efforts to obtain the expiration or termination of the waiting period under the HSR Act and to obtain the Other Required Regulatory Approvals, and the fact that Parent is required to pay all filing fees under the HSR Act and with respect to the Other Required Regulatory Approvals;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1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Date of June 17, 2027, which is automatically extended to September 15, 2027 if, as of the third business day prior to the Initial Outside Date, the only conditions not satisfied or waived relate to regulatory matters, which the Board believed allowed sufficient time to obtain the required regulatory approvals;</w:t>
      </w:r>
    </w:p>
    <w:p>
      <w:pPr>
        <w:spacing w:after="0" w:line="71"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reputation, experience and financial capability of H.I.G. and its affiliates, and the Board’s belief as to Parent’s ability to complete the Merger;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leverage and the restrictive covenants under the Credit Agreement, dated as of August 1, 2022, by and among the Company, JPMorgan Chase Bank, N.A. and Bank of America, N.A., as amended by Amendment No. 1 to Credit Agreement, dated as of February 27, 2024, and Amendment No. 2 to Credit Agreement, dated as of August 5, 2026 (the “Credit Agreement”), including the requirement to maintain a total consolidated debt leverage ratio of no more than 3.75 to 1.0 and a fixed charge coverage ratio of 1.25 to 1.0, and the fact that, due in part to constraints under existing debt covenants, the Company did not expect to complete acquisitions in 2026 other than limited transactions subject to lender approval;</w:t>
      </w:r>
    </w:p>
    <w:p>
      <w:pPr>
        <w:spacing w:after="0" w:line="80"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and conditions of the Merger Agreement and other transaction agreements, including the following related factors:</w:t>
      </w:r>
    </w:p>
    <w:p>
      <w:pPr>
        <w:spacing w:after="0" w:line="53" w:lineRule="exact"/>
        <w:rPr>
          <w:rFonts w:ascii="Times New Roman" w:cs="Times New Roman" w:eastAsia="Times New Roman" w:hAnsi="Times New Roman"/>
          <w:sz w:val="18"/>
          <w:szCs w:val="18"/>
          <w:color w:val="auto"/>
        </w:rPr>
      </w:pPr>
    </w:p>
    <w:p>
      <w:pPr>
        <w:ind w:left="1360" w:right="539" w:hanging="348"/>
        <w:spacing w:after="0" w:line="243" w:lineRule="auto"/>
        <w:tabs>
          <w:tab w:leader="none" w:pos="1360" w:val="left"/>
        </w:tabs>
        <w:numPr>
          <w:ilvl w:val="1"/>
          <w:numId w:val="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the fact that our stockholders who do not vote in favor of adopting the Merger Agreement and who properly demand, and do not effectively withdraw or lose, appraisal and otherwise comply with Section 262 of the DGCL are entitled to appraisal rights as described under “Appraisal Rights” beginning on page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 xml:space="preserve"> of this proxy statement;</w:t>
      </w:r>
    </w:p>
    <w:p>
      <w:pPr>
        <w:spacing w:after="0" w:line="87" w:lineRule="exact"/>
        <w:rPr>
          <w:rFonts w:ascii="Times New Roman" w:cs="Times New Roman" w:eastAsia="Times New Roman" w:hAnsi="Times New Roman"/>
          <w:sz w:val="22"/>
          <w:szCs w:val="22"/>
          <w:color w:val="auto"/>
          <w:vertAlign w:val="superscript"/>
        </w:rPr>
      </w:pPr>
    </w:p>
    <w:p>
      <w:pPr>
        <w:ind w:left="1360" w:right="579" w:hanging="348"/>
        <w:spacing w:after="0" w:line="239" w:lineRule="auto"/>
        <w:tabs>
          <w:tab w:leader="none" w:pos="1360" w:val="left"/>
        </w:tabs>
        <w:numPr>
          <w:ilvl w:val="1"/>
          <w:numId w:val="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the terms of the Voting Agreements, which do not by themselves assure receipt of the Company Stockholder Approval and which terminate in specified circumstances, as described under “Voting Agreements” below, beginning on page </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and</w:t>
      </w:r>
    </w:p>
    <w:p>
      <w:pPr>
        <w:spacing w:after="0" w:line="91" w:lineRule="exact"/>
        <w:rPr>
          <w:rFonts w:ascii="Times New Roman" w:cs="Times New Roman" w:eastAsia="Times New Roman" w:hAnsi="Times New Roman"/>
          <w:sz w:val="22"/>
          <w:szCs w:val="22"/>
          <w:color w:val="auto"/>
          <w:vertAlign w:val="superscript"/>
        </w:rPr>
      </w:pPr>
    </w:p>
    <w:p>
      <w:pPr>
        <w:ind w:left="1360" w:right="499" w:hanging="348"/>
        <w:spacing w:after="0" w:line="243" w:lineRule="auto"/>
        <w:tabs>
          <w:tab w:leader="none" w:pos="1360" w:val="left"/>
        </w:tabs>
        <w:numPr>
          <w:ilvl w:val="1"/>
          <w:numId w:val="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the fact that the Merger Agreement provides for covenants requiring Parent to provide specified compensation and benefit protections to Continuing Employees (as defined in “The Merger Agreement—Continuing Employees” beginning on page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 xml:space="preserve"> of this proxy statement) for a period of 12 months following the Closing.</w:t>
      </w:r>
    </w:p>
    <w:p>
      <w:pPr>
        <w:spacing w:after="0" w:line="87"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The Board also considered a variety of risks and other potentially negative factors with respect to the Merger Agreement and the Merger, including the following (which are not listed in any relative order of importance):</w:t>
      </w:r>
    </w:p>
    <w:p>
      <w:pPr>
        <w:spacing w:after="0" w:line="32" w:lineRule="exact"/>
        <w:rPr>
          <w:sz w:val="20"/>
          <w:szCs w:val="20"/>
          <w:color w:val="auto"/>
        </w:rPr>
      </w:pPr>
    </w:p>
    <w:p>
      <w:pPr>
        <w:ind w:left="1000" w:right="31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stockholders will not participate in any future earnings or growth of the Company and will not benefit from any future appreciation in the value of the Company, including any value that might be realized as a result of the Company’s Vision2030 transformation or improvements in the markets the Company serves;</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the Merger Agreement on the Company’s ability to terminate the Merger Agreement in connection with the receipt of a Superior Proposal, including the fact that the Board must (i) provide four business days’ written notice to Parent of its intention to effect a Change of Board Recommendation or terminate the Merger Agreement in order to provide Parent with an opportunity to match a Superior Proposal (and a further two business days’ written notice with respect to any subsequent material revisions to any such Superior Proposal) and (ii) negotiate in good faith with Parent during such period, and the discouraging effect such restrictions may have on other potential bidders;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certain circumstances in connection with the termination of the Merger Agreement, including if the Board effects a Change of Board Recommendation (including in light of a Superior Proposal or Intervening Event) and Parent terminates the Merger Agreement, or if the Company terminates the Merger Agreement to enter into a definitive agreement with respect to a Superior Proposal, we will be required to pay Parent the Company Termination Fee of approximately $27.5 million (or, in the case of such a termination by the Company during the Go-Shop Period, approximately $13.8 million), and the potential effect of such Company Termination Fee to deter other potential bidders from making an Acquisition Proposal for the Company;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Company reimburse Parent’s reasonable and documented out-of-pocket fees and expenses incurred in connection with the Merger Agreement and the transactions contemplated thereby, including the Merger, up to $7.0 million in the aggregate, if the Merger Agreement is terminated by Parent as a result of a willful and material breach by the Company;</w:t>
      </w:r>
    </w:p>
    <w:p>
      <w:pPr>
        <w:spacing w:after="0" w:line="71"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receipt of cash in exchange for shares of Common Stock pursuant to the Merger will generally be a taxable transaction for U.S. federal income tax purposes for our stockholders;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might not be completed in a timely manner or at all, including as a result of the failure to obtain the Company Stockholder Approval or the failure to obtain the required regulatory approvals, and the effect of a failure to complete the Merger on our business, operating results, employees, customers and stock price;</w:t>
      </w:r>
    </w:p>
    <w:p>
      <w:pPr>
        <w:spacing w:after="0" w:line="71" w:lineRule="exact"/>
        <w:rPr>
          <w:rFonts w:ascii="Times New Roman" w:cs="Times New Roman" w:eastAsia="Times New Roman" w:hAnsi="Times New Roman"/>
          <w:sz w:val="18"/>
          <w:szCs w:val="18"/>
          <w:color w:val="auto"/>
        </w:rPr>
      </w:pPr>
    </w:p>
    <w:p>
      <w:pPr>
        <w:jc w:val="both"/>
        <w:ind w:left="1000" w:right="49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regulatory approvals required for the Merger, including the consents required to transfer control of the Company’s NRC and Agreement State licenses, may not be obtained, may not be obtained on a timely basis, or may be obtained only subject to conditions;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our business during the period between the execution of the Merger Agreement and the Effective Time, which may delay or prevent us from pursuing business opportunities that arise or taking actions that we might otherwise take;</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 Termination Fee and the Parent Expense Reimbursement, and the circumstances in which they may become payable, could discourage other potential acquirors from making a competing proposal;</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in circumstances in which the Parent Termination Fee is payable, the Company’s receipt of that fee, together with the Reimbursement Obligations and Costs of Collection, is the Company’s sole and exclusive remedy, in each case subject to the parties’ respective rights to specific performance;</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H.I.G. Fund’s aggregate liability under the Limited Guarantee is capped at $51.4 million, and that the Limited Guarantee terminates in specified circumstances, including 90 days after a qualifying termination if no qualifying suit has been filed;</w:t>
      </w:r>
    </w:p>
    <w:p>
      <w:pPr>
        <w:spacing w:after="0" w:line="6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Merger, including the costs of the go-shop process and of obtaining regulatory approvals, regardless of whether the Merger is completed;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diversion of management and employee attention and for disruption of relationships with customers, suppliers and employees during the pendency of the Merger; and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directors and executive officers may have interests in the Merger that are different from, or in addition to, the interests of our stockholders generally, as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Interests of the Directors and Executive Officers of the Company in the Merger” below, beginning on page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After taking into account the factors set forth above, as well as others, the Board concluded that the potential benefits of the Merger to stockholders of the Company outweighed the potentially negative factors associated with the Merger. Accordingly, the Board unanimously determined that the Merger Agreement and the Merger are advisable, fair to, and in the best interests of, the Company and its stockholders and unanimously recommends that the stockholders of the Company adopt the Merger Agreement.</w:t>
      </w:r>
    </w:p>
    <w:p>
      <w:pPr>
        <w:spacing w:after="0" w:line="73"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foregoing discussion is not intended to be exhaustive, but rather is intended to address the material information and principal factors considered by our Board in considering the Merger. In view of the number and variety of factors and the amount of information considered, our Board did not find it practicable to, and did not attempt to, rank, quantify or otherwise assign relative weights to the specific factors it considered in reaching its determination and recommendation. In addition, individual members of our Board may have given different weights to different factors. Our Board did not reach any specific conclusion with respect to any of the factors considered, but instead conducted an overall analysis of these factors and determined, in its business judgment, that the potential benefits of the Merger outweighed the potential negative factors. The explanation of the reasoning of our Board and other information in this section is forward-looking in nature and should be read in light of the section entitled “Cautionary Note Regarding Forward-Looking Statements” beginning on page </w:t>
      </w:r>
      <w:r>
        <w:rPr>
          <w:rFonts w:ascii="Times New Roman" w:cs="Times New Roman" w:eastAsia="Times New Roman" w:hAnsi="Times New Roman"/>
          <w:sz w:val="18"/>
          <w:szCs w:val="18"/>
          <w:i w:val="1"/>
          <w:iCs w:val="1"/>
          <w:u w:val="single" w:color="auto"/>
          <w:color w:val="0000EE"/>
        </w:rPr>
        <w:t>30</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00" w:right="579" w:firstLine="360"/>
        <w:spacing w:after="0" w:line="255" w:lineRule="auto"/>
        <w:rPr>
          <w:sz w:val="20"/>
          <w:szCs w:val="20"/>
          <w:color w:val="auto"/>
        </w:rPr>
      </w:pPr>
      <w:r>
        <w:rPr>
          <w:rFonts w:ascii="Times New Roman" w:cs="Times New Roman" w:eastAsia="Times New Roman" w:hAnsi="Times New Roman"/>
          <w:sz w:val="18"/>
          <w:szCs w:val="18"/>
          <w:color w:val="auto"/>
        </w:rPr>
        <w:t>The Board, after consulting with its financial advisor and outside legal counsel and carefully reviewing and considering various factors described in “—Reasons for the Merger” above, unanimously (i) determined that the Merger Agreement and the transactions contemplated by the Merger Agreement, including the Merger, are fair to and in the best interests of the Company and its stockholders, (ii) approved and declared advisable the Merger Agreement and the transactions contemplated thereby, including the Merger, (iii) directed that the Merger Agreement be submitted to the stockholders of the Company for adoption at the Special Meeting, and (iv) recommended that stockholders of the Company vote to adopt the Merger Agreement.</w:t>
      </w:r>
    </w:p>
    <w:p>
      <w:pPr>
        <w:spacing w:after="0" w:line="77" w:lineRule="exact"/>
        <w:rPr>
          <w:sz w:val="20"/>
          <w:szCs w:val="20"/>
          <w:color w:val="auto"/>
        </w:rPr>
      </w:pPr>
    </w:p>
    <w:p>
      <w:pPr>
        <w:ind w:left="300" w:right="679" w:firstLine="360"/>
        <w:spacing w:after="0" w:line="286" w:lineRule="auto"/>
        <w:rPr>
          <w:sz w:val="20"/>
          <w:szCs w:val="20"/>
          <w:color w:val="auto"/>
        </w:rPr>
      </w:pPr>
      <w:r>
        <w:rPr>
          <w:rFonts w:ascii="Times New Roman" w:cs="Times New Roman" w:eastAsia="Times New Roman" w:hAnsi="Times New Roman"/>
          <w:sz w:val="18"/>
          <w:szCs w:val="18"/>
          <w:color w:val="auto"/>
        </w:rPr>
        <w:t>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the Company’s Financial Advisor</w:t>
      </w:r>
    </w:p>
    <w:p>
      <w:pPr>
        <w:spacing w:after="0" w:line="121"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The Board retained Baird in connection with the Merger and to render an opinion as to the fairness, from a financial point of view, to the holders of Common Stock (other than the Excluded Holders) of the Merger Consideration to be received by such holders provided for in the Merger pursuant to the Merger Agreement.</w:t>
      </w:r>
    </w:p>
    <w:p>
      <w:pPr>
        <w:spacing w:after="0" w:line="68"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On September 17, 2026, Baird delivered its oral opinion (which opinion was subsequently confirmed in writing on September 17, 2026) as to whether, as of the date of its opinion and based upon and subject to the assumptions made, procedures followed, qualifications and limitations on the review undertaken, and the other matters set forth therein, Baird was of the opinion that the Merger Consideration to be received by the holders of Common Stock (other than the Excluded Holders) provided for in the Merger pursuant to the Merger Agreement was fair, from a financial point of view, to such holders. Baird’s opinion was approved by Baird’s internal fairness committee.</w:t>
      </w:r>
    </w:p>
    <w:p>
      <w:pPr>
        <w:spacing w:after="0" w:line="6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full text of Baird’s written opinion, dated September 17, 2026, which sets forth the assumptions made, procedures followed, qualifications and limitations on the review undertaken, and other matters considered by Baird in rendering its opinion, is attached as </w:t>
      </w:r>
      <w:r>
        <w:rPr>
          <w:rFonts w:ascii="Times New Roman" w:cs="Times New Roman" w:eastAsia="Times New Roman" w:hAnsi="Times New Roman"/>
          <w:sz w:val="18"/>
          <w:szCs w:val="18"/>
          <w:b w:val="1"/>
          <w:bCs w:val="1"/>
          <w:u w:val="single" w:color="auto"/>
          <w:color w:val="auto"/>
        </w:rPr>
        <w:t>Appendix C</w:t>
      </w:r>
      <w:r>
        <w:rPr>
          <w:rFonts w:ascii="Times New Roman" w:cs="Times New Roman" w:eastAsia="Times New Roman" w:hAnsi="Times New Roman"/>
          <w:sz w:val="18"/>
          <w:szCs w:val="18"/>
          <w:b w:val="1"/>
          <w:bCs w:val="1"/>
          <w:color w:val="auto"/>
        </w:rPr>
        <w:t xml:space="preserve"> to this proxy statement and is incorporated herein by reference. Baird’s opinion is limited only to the fairness, as of the date of the opinion and from a financial point of view, to the holders of Common Stock (other than the Excluded Holders) of the Merger Consideration to be received by such holders and does not constitute a recommendation to any stockholder as to how any stockholder should act or vote with respect to the Merger. The summary of Baird’s opinion set forth below is qualified in its entirety by reference to the full text of its opinion attached as </w:t>
      </w:r>
      <w:r>
        <w:rPr>
          <w:rFonts w:ascii="Times New Roman" w:cs="Times New Roman" w:eastAsia="Times New Roman" w:hAnsi="Times New Roman"/>
          <w:sz w:val="18"/>
          <w:szCs w:val="18"/>
          <w:b w:val="1"/>
          <w:bCs w:val="1"/>
          <w:u w:val="single" w:color="auto"/>
          <w:color w:val="auto"/>
        </w:rPr>
        <w:t>Appendix C</w:t>
      </w:r>
      <w:r>
        <w:rPr>
          <w:rFonts w:ascii="Times New Roman" w:cs="Times New Roman" w:eastAsia="Times New Roman" w:hAnsi="Times New Roman"/>
          <w:sz w:val="18"/>
          <w:szCs w:val="18"/>
          <w:b w:val="1"/>
          <w:bCs w:val="1"/>
          <w:color w:val="auto"/>
        </w:rPr>
        <w:t xml:space="preserve"> to this proxy statement. The Company’s stockholders are urged to read the opinion carefully in its entirety.</w:t>
      </w:r>
    </w:p>
    <w:p>
      <w:pPr>
        <w:spacing w:after="0" w:line="8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In conducting its financial analyses and in arriving at its opinion, Baird reviewed information and took into account financial and economic factors, investment banking procedures and considerations as Baird deemed relevant under the circumstances. In connection therewith, and subject to the various assumptions, qualifications and limitations set forth therein, Baird, among other things: (i) reviewed certain internal information, primarily financial in nature, including (A) the Projections, as furnished to Baird, and prepared and certified, by the Company’s management for purposes of Baird’s analysis, and (B) financial statements of the Company for the fiscal years ended December 31, 2022 through December 31, 2025 and for the six-month period ended June 30, 2026, which the Company’s management prepared and identified as being the most current financial statements for the Company available; (ii) reviewed certain publicly available information, including, but not limited to, the Company’s recent filings with the SEC; (iii) reviewed the principal financial terms of the draft dated September 16, 2026 of the Merger Agreement as they related to Baird’s analysis; (iv) compared the financial position and operating results of the Company with those of certain other publicly traded companies Baird deemed relevant; (v) compared the market trading multiples of Common Stock with those of certain other publicly traded companies Baird deemed relevant;</w:t>
      </w:r>
    </w:p>
    <w:p>
      <w:pPr>
        <w:spacing w:after="0" w:line="10" w:lineRule="exact"/>
        <w:rPr>
          <w:sz w:val="20"/>
          <w:szCs w:val="20"/>
          <w:color w:val="auto"/>
        </w:rPr>
      </w:pPr>
    </w:p>
    <w:p>
      <w:pPr>
        <w:ind w:left="300" w:right="399" w:hanging="8"/>
        <w:spacing w:after="0" w:line="251" w:lineRule="auto"/>
        <w:tabs>
          <w:tab w:leader="none" w:pos="6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enterprise value of the Company based on the aggregate Merger Consideration with the reported implied enterprise values of certain other transactions Baird deemed relevant; and (vii) reviewed the Company’s certificate regarding information, financial statements and projections addressed to Baird. Baird also held discussions with members of the Company’s senior management concerning the Company’s historical and current financial condition and operating results, as well as the future prospects of the Company. Although Baird was not engaged or requested to, and Baird did not, solicit third-party indications of interest in acquiring all or any part of the Company prior to the date of its opinion, Baird was requested to solicit third-party indications of interest in acquiring the Company during the Go-Shop Period following the execution of the Merger Agreement, as described under “—Background of the Merger.” Baird was not involved in assisting Parent in obtaining any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879"/>
        <w:spacing w:after="0" w:line="266" w:lineRule="auto"/>
        <w:rPr>
          <w:sz w:val="20"/>
          <w:szCs w:val="20"/>
          <w:color w:val="auto"/>
        </w:rPr>
      </w:pPr>
      <w:r>
        <w:rPr>
          <w:rFonts w:ascii="Times New Roman" w:cs="Times New Roman" w:eastAsia="Times New Roman" w:hAnsi="Times New Roman"/>
          <w:sz w:val="18"/>
          <w:szCs w:val="18"/>
          <w:color w:val="auto"/>
        </w:rPr>
        <w:t>financing in connection with the Merger. Baird also considered other information, financial studies, analyses, investigations and financial, economic and market criteria which it deemed relevant for the preparation of its opinion.</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In arriving at its opinion, Baird assumed and relied upon, without independent verification, the accuracy and completeness of all of the financial and other information that was publicly available or provided to Baird by or on behalf of the Company. Baird did not independently verify any publicly available information or information supplied to it by the Company or Parent. Baird was not engaged to independently verify, did not assume any responsibility to verify, assumed no liability for, and expressed no opinion on, any of this information, and Baird assumed and relied upon, without independent verification, that the Company was not aware of any information that might be material to Baird’s opinion that had not been provided to Baird. Baird assumed and relied upon, without independent verification, that: (i) all material assets and liabilities (contingent or otherwise, known or unknown) of the Company were as set forth in its most recent financial statements provided to Baird, and there were no information or facts that would make any of the information reviewed by Baird incomplete or misleading; (ii) the financial statements of the Company provided to Baird presented fairly, in all material respects, the results of operations, cash flows and financial condition of the Company for the periods, and as of the dates, indicated and were prepared in conformity with U.S. generally accepted accounting principles consistently applied; (iii) the Projections were reasonably prepared on bases reflecting the best available estimates and good faith judgments of the Company’s senior management as to the future performance of the Company, and Baird relied, without independent verification, upon the Projections in the preparation of its opinion, although Baird expressed no opinion with respect to the Projections or any judgments, estimates, assumptions or basis on which they were based, and Baird assumed, without independent verification, that the Projections would be realized in the amounts and on the time schedule then-contemplated; (iv) in all respects material to Baird’s analysis, the Merger would be consummated in accordance with the terms and conditions of the Merger Agreement without any amendment or modification thereto and without waiver by any party of any of the conditions to their respective obligations thereunder; (v) in all respects material to Baird’s analysis, the representations and warranties contained in the Merger Agreement were true and correct and that each party would perform all of the covenants and agreements required to be performed by it under the Merger Agreement; and (vi) all corporate, governmental, regulatory or other consents and approvals (contractual or otherwise) required to consummate the Merger had been, or would be, obtained without the need for any material changes to the Merger Consideration or other material financial terms or conditions of the Merger or that would otherwise materially affect the Company or Baird’s analysis. Baird relied upon and assumed, without independent verification, that the final form of any draft documents referred to above would not differ in any material respect from such draft documents. Baird relied, without independent verification, on the fact that the Company had been counseled by professional advisors with respect to all legal, regulatory, accounting, insurance and tax matters regarding the Merger, and Baird assumed without independent verification that all of this advice was correct, and Baird did not express an opinion on these matters as they related to the Merger. In conducting Baird’s review, Baird did not undertake or obtain an independent evaluation or appraisal of any of the assets or liabilities (contingent or otherwise, known or unknown) or solvency of the Company or Parent nor did Baird make a physical inspection of the properties or facilities of the Company or Parent. In each case above, Baird made the assumptions and took the actions or inactions described above with the Company’s knowledge and consent.</w:t>
      </w:r>
    </w:p>
    <w:p>
      <w:pPr>
        <w:spacing w:after="0" w:line="200" w:lineRule="exact"/>
        <w:rPr>
          <w:sz w:val="20"/>
          <w:szCs w:val="20"/>
          <w:color w:val="auto"/>
        </w:rPr>
      </w:pPr>
    </w:p>
    <w:p>
      <w:pPr>
        <w:spacing w:after="0" w:line="31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Baird’s opinion necessarily was based upon economic, monetary and market conditions as they existed and could be evaluated on the date of its opinion, and its opinion did not predict or take into account any changes which may have occurred, or information which may have become available, after the date of its opinion. Baird was under no obligation to update, revise, reaffirm or withdraw its opinion, or otherwise comment on or consider events occurring after the date of its opinion. Furthermore, Baird expressed no opinion as to the prices or trading ranges at which any of the Company’s securities (including Common Stock) would trade following the date of its opinion or as to the effect of the Merger on the price or trading range. The price and trading range may have been affected by a number of factors, including but not limited to (i) dispositions of Common Stock by stockholders within a short period of time after, or other market effects resulting from, the announcement of the Merger; (ii) changes in prevailing interest rates and other factors which generally influence the price of securities; (iii) adverse changes in the current capital markets; (iv) the occurrence of adverse changes in the financial condition, business, assets, results of operations or prospects of the Company or in the Company’s industry; (v) any necessary actions by, or restrictions of, federal, state or other governmental agencies or regulatory authorities; and (vi) timely completion of the Merger on terms and conditions that are acceptable to all parties at interest.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Baird’s opinion was prepared at the request and for the information of the Board for its use in connection with its evaluation of the Merger, and may not be used for any other purpose or disclosed to any other party without Baird’s prior written consent; provided, however, that its opinion may be reproduced in full in this proxy statement provided to the Company’s stockholders in connection with the Merger. Baird’s opinion did not address the relative merits or risks of: (i) the Merger, the Merger Agreement or any other agreements or other matters provided for, or contemplated by, the Merger Agreement; (ii) any other transactions that may be, or might have been, available as an alternative to the Merger; or (iii) the Merger compared to any other potential alternative transactions or business strategies considered by the Board and, accordingly, Baird relied upon its discussions with the senior management of the Company with respect to the availability and consequences of any alternatives to the Merger. Baird’s opinion did not and does not constitute a recommendation to the Board, any security holder or any other person as to how any person should vote or act with respect to the Merger, or whether to enter into a voting agreement with Parent.</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following is a summary of the material financial analyses performed by Baird in connection with rendering its opinion, which is qualified in its entirety by reference to the full text of its opinion attached as </w:t>
      </w:r>
      <w:r>
        <w:rPr>
          <w:rFonts w:ascii="Times New Roman" w:cs="Times New Roman" w:eastAsia="Times New Roman" w:hAnsi="Times New Roman"/>
          <w:sz w:val="18"/>
          <w:szCs w:val="18"/>
          <w:b w:val="1"/>
          <w:bCs w:val="1"/>
          <w:u w:val="single" w:color="auto"/>
          <w:color w:val="auto"/>
        </w:rPr>
        <w:t>Appendix C</w:t>
      </w:r>
      <w:r>
        <w:rPr>
          <w:rFonts w:ascii="Times New Roman" w:cs="Times New Roman" w:eastAsia="Times New Roman" w:hAnsi="Times New Roman"/>
          <w:sz w:val="18"/>
          <w:szCs w:val="18"/>
          <w:b w:val="1"/>
          <w:bCs w:val="1"/>
          <w:color w:val="auto"/>
        </w:rPr>
        <w:t xml:space="preserve"> and to the other disclosures contained in this section. The following summary, however, does not purport to be a complete description of the financial analyses performed by Baird. The order of analyses described does not represent relative importance or weight given to the analyses performed by Baird. Some of the summaries of the financial analyses include information presented in a tabular format. These tables must be read together with the full text of each summary and alone are not a complete description of Baird’s financial analyses. Except as otherwise noted, the following quantitative information is based on market and financial data as it existed on or before September 16, 2026, and is not necessarily indicative of current market conditions.</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Implied Valuation and Transaction Multiples</w:t>
      </w:r>
      <w:r>
        <w:rPr>
          <w:rFonts w:ascii="Times New Roman" w:cs="Times New Roman" w:eastAsia="Times New Roman" w:hAnsi="Times New Roman"/>
          <w:sz w:val="18"/>
          <w:szCs w:val="18"/>
          <w:color w:val="auto"/>
        </w:rPr>
        <w:t>. Baird calculated the implied equity value of the shares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fully-diluted outstanding Common Stock using the Merger Consideration of $20.35 per share of Common Stock, which (based on 33.8 million shares outstanding on a fully-diluted basis) resulted in an implied equity value of approximately $688.1 million. Baird calculated the implied enterprise value of the Company to be approximately $866.5 million by adding the Company’s net debt of approximately $178.4 million to the implied equity value of the Company’s fully-diluted outstanding Common Stock. Baird then calculated the multiples of the implied enterprise value of the Company compared to the Company’s last twelve months as of June 30, 2026 (which is referred to as LTM for purposes of this section) earnings before interest, taxes, depreciation and amortization (which is referred to as EBITDA for purposes of this section) and earnings before interest, taxes and amortization (which is referred to as EBITA for purposes of this section), and projected 2026 EBITDA and EBITA, as provided by the senior management of the Company, which resulted in implied multiples of approximately 9.1x LTM Adjusted EBITDA, 12.3x LTM Adjusted EBITA, 9.4x projected 2026 Adjusted EBITDA and 13.1x projected 2026 Adjusted EBITA.</w:t>
      </w:r>
    </w:p>
    <w:p>
      <w:pPr>
        <w:spacing w:after="0" w:line="79"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Selected Publicly Traded Company Analysis</w:t>
      </w:r>
      <w:r>
        <w:rPr>
          <w:rFonts w:ascii="Times New Roman" w:cs="Times New Roman" w:eastAsia="Times New Roman" w:hAnsi="Times New Roman"/>
          <w:sz w:val="18"/>
          <w:szCs w:val="18"/>
          <w:color w:val="auto"/>
        </w:rPr>
        <w:t>. In order to assess the valuation of the Company, Baird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publicly available financial information for five publicly traded companies that operate in the testing, inspection and certification sector, with a focus on field-based operating activities and similar end markets that Baird deemed relevant. For each of these companies, Baird calculated and compared the enterprise value (which is referred to as EV for purposes of this section) of each such company to its EBITDA and EBITA for each of LTM and projected 2026. The group of selected publicly traded companies reviewed is listed below.</w:t>
      </w:r>
    </w:p>
    <w:p>
      <w:pPr>
        <w:spacing w:after="0" w:line="76" w:lineRule="exact"/>
        <w:rPr>
          <w:sz w:val="20"/>
          <w:szCs w:val="20"/>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SGS SA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Bureau Veritas SA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 Solutions,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Onterris,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 Inc.</w:t>
      </w:r>
    </w:p>
    <w:p>
      <w:pPr>
        <w:spacing w:after="0" w:line="117"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Baird chose these companies based on a review of publicly traded companies that possessed general business, operating and financial characteristics representative of companies in the industry sector in which the Company operates. Baird excluded Intertek because that company is currently the subject of a pending take-private transaction. Baird noted that none of the companies reviewed was identical to the Company and that, accordingly, the analysis of these companies necessarily involves complex considerations and judgments concerning differences in the business, operating and financial characteristics of each company and other factors that affect the public market values of these companies.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For each company, Baird calculated the “market capitalization” (calculated as the market price per share of each company’s common stock multiplied by the total number of fully-diluted common shares outstanding of each company, including net shares issuable upon the exercise of outstanding stock options and warrants), and enterprise value. Baird calculated the enterprise value of each selected public company by adding such company’s preferred stock outstanding, debt, tax-affected pension and other post-employment liabilities and minority interest to and subtracting such company’s cash from such company’s market capitalization. Bureau Veritas SA and SGS SA report earnings under IFRS. Under IFRS 16, a single lessee model requires substantially all leases to be capitalized on balance sheet as a right-of-use asset with an offsetting lease liability, and the annual lease cost is recognized below the EBITDA line as depreciation of the right-of-use asset plus interest on the lease liability rather than as an operating expense, overstating reported EBITDA by the full amount of the lease cost and EBITA by the full amount of the lease cost and depreciation of the right-of-use asset. This compares to U.S. GAAP (ASC 842), which retains a dual-classification model under which leases classified as operating are recognized as a single straight-line lease cost within operating expenses. First half 2026 reported results for Bureau Veritas SA and SGS SA do not disclose right-of-use depreciation separately, and first half 2026 reported results for SGS SA do not disclose lease interests separately, either. As such, Baird estimated these using fiscal year 2025 on a straight-line basis for LTM and projected 2026. In addition, Bureau Veritas SA and SGS SA 2026E figures do not adjust for stock-based compensation. Bureau Veritas SA and SGS SA first half 2026 reported results do not disclose total amortization of intangible assets, only amortization of acquired intangibles. Baird adjusted LTM EBITA for full intangible amortization by adding (i) LTM amortization of acquired intangibles, as disclosed, and (ii) non-acquisition amortization, estimated on a straight-line basis using fiscal year 2025 total amortization of intangibles less</w:t>
      </w:r>
    </w:p>
    <w:p>
      <w:pPr>
        <w:spacing w:after="0" w:line="9" w:lineRule="exact"/>
        <w:rPr>
          <w:sz w:val="20"/>
          <w:szCs w:val="20"/>
          <w:color w:val="auto"/>
        </w:rPr>
      </w:pPr>
    </w:p>
    <w:p>
      <w:pPr>
        <w:ind w:left="300" w:right="539"/>
        <w:spacing w:after="0" w:line="268" w:lineRule="auto"/>
        <w:rPr>
          <w:sz w:val="20"/>
          <w:szCs w:val="20"/>
          <w:color w:val="auto"/>
        </w:rPr>
      </w:pPr>
      <w:r>
        <w:rPr>
          <w:rFonts w:ascii="Times New Roman" w:cs="Times New Roman" w:eastAsia="Times New Roman" w:hAnsi="Times New Roman"/>
          <w:sz w:val="17"/>
          <w:szCs w:val="17"/>
          <w:color w:val="auto"/>
        </w:rPr>
        <w:t>fiscal year 2025 amortization of acquired intangibles. Baird calculated the multiples of each company’s enterprise value to its Adjusted EBITDA and Adjusted EBITA for LTM and projected 2026. Baird then compared the enterprise value multiples for the Company implied in the Merger based on its Adjusted EBITDA and Adjusted EBITA with the corresponding trading multiples for the selected companies. Stock market and historical financial information for the selected companies was based on publicly available information as of September 16, 2026 (including the closing market price per share of each company’s common stock as of such date), and projected financial information was based on consensus equity analyst research estimates available as of such date. A summary of the range of valuation multiples for the selected companies is provided in the table below.</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Selected Valuation Multiples</w:t>
            </w:r>
          </w:p>
        </w:tc>
        <w:tc>
          <w:tcPr>
            <w:tcW w:w="440" w:type="dxa"/>
            <w:vAlign w:val="bottom"/>
          </w:tcPr>
          <w:p>
            <w:pPr>
              <w:spacing w:after="0"/>
              <w:rPr>
                <w:sz w:val="16"/>
                <w:szCs w:val="16"/>
                <w:color w:val="auto"/>
              </w:rPr>
            </w:pPr>
          </w:p>
        </w:tc>
      </w:tr>
      <w:tr>
        <w:trPr>
          <w:trHeight w:val="23"/>
        </w:trPr>
        <w:tc>
          <w:tcPr>
            <w:tcW w:w="36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30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3"/>
        </w:trPr>
        <w:tc>
          <w:tcPr>
            <w:tcW w:w="36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3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LTM</w:t>
            </w:r>
          </w:p>
        </w:tc>
        <w:tc>
          <w:tcPr>
            <w:tcW w:w="208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9.6x</w:t>
            </w:r>
          </w:p>
        </w:tc>
        <w:tc>
          <w:tcPr>
            <w:tcW w:w="300" w:type="dxa"/>
            <w:vAlign w:val="bottom"/>
          </w:tcPr>
          <w:p>
            <w:pPr>
              <w:spacing w:after="0"/>
              <w:rPr>
                <w:sz w:val="20"/>
                <w:szCs w:val="20"/>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11.4x</w:t>
            </w:r>
          </w:p>
        </w:tc>
        <w:tc>
          <w:tcPr>
            <w:tcW w:w="30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9.9x</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15.5x</w:t>
            </w:r>
          </w:p>
        </w:tc>
      </w:tr>
      <w:tr>
        <w:trPr>
          <w:trHeight w:val="247"/>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CY projected 2026</w:t>
            </w:r>
          </w:p>
        </w:tc>
        <w:tc>
          <w:tcPr>
            <w:tcW w:w="248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8.8</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14.7</w:t>
            </w:r>
          </w:p>
        </w:tc>
      </w:tr>
      <w:tr>
        <w:trPr>
          <w:trHeight w:val="241"/>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EBITA</w:t>
            </w: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5"/>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LTM</w:t>
            </w:r>
          </w:p>
        </w:tc>
        <w:tc>
          <w:tcPr>
            <w:tcW w:w="2480" w:type="dxa"/>
            <w:vAlign w:val="bottom"/>
            <w:gridSpan w:val="2"/>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w w:val="93"/>
              </w:rPr>
              <w:t>12.2x</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14.5x</w:t>
            </w: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13.8x</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18.4x</w:t>
            </w: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CY projected 2026</w:t>
            </w:r>
          </w:p>
        </w:tc>
        <w:tc>
          <w:tcPr>
            <w:tcW w:w="2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11.2</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13.6</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17.9</w:t>
            </w:r>
          </w:p>
        </w:tc>
      </w:tr>
    </w:tbl>
    <w:p>
      <w:pPr>
        <w:spacing w:after="0" w:line="13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In addition, Baird calculated the implied enterprise values of the Company by multiplying the Company’s Adjusted EBITDA and Adjusted EBITA by the trading multiples of the selected public companies. The implied enterprise values, based on the multiples set forth above, as well as the implied equity values (calculated by subtracting debt of the Company (net of cash) of $178.4 million from the implied enterprise values of the Company, and dividing by 33.8 million shares outstanding on a fully-diluted basis to derive the implied share price values) are summarized in the table below ($ in millions, except implied share prices).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840" w:type="dxa"/>
            <w:vAlign w:val="bottom"/>
            <w:gridSpan w:val="9"/>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Implied Company Enterprise Value</w:t>
            </w:r>
          </w:p>
        </w:tc>
      </w:tr>
      <w:tr>
        <w:trPr>
          <w:trHeight w:val="23"/>
        </w:trPr>
        <w:tc>
          <w:tcPr>
            <w:tcW w:w="5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558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3"/>
        </w:trPr>
        <w:tc>
          <w:tcPr>
            <w:tcW w:w="5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LTM</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$911.9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$1,470.9</w:t>
            </w:r>
          </w:p>
        </w:tc>
      </w:tr>
      <w:tr>
        <w:trPr>
          <w:trHeight w:val="247"/>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CY projected 2026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w:t>
            </w:r>
          </w:p>
        </w:tc>
      </w:tr>
      <w:tr>
        <w:trPr>
          <w:trHeight w:val="243"/>
        </w:trPr>
        <w:tc>
          <w:tcPr>
            <w:tcW w:w="5580" w:type="dxa"/>
            <w:vAlign w:val="bottom"/>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Implied Enterprise Value</w:t>
            </w:r>
            <w:r>
              <w:rPr>
                <w:rFonts w:ascii="Times New Roman" w:cs="Times New Roman" w:eastAsia="Times New Roman" w:hAnsi="Times New Roman"/>
                <w:sz w:val="28"/>
                <w:szCs w:val="28"/>
                <w:b w:val="1"/>
                <w:bCs w:val="1"/>
                <w:color w:val="auto"/>
                <w:vertAlign w:val="superscript"/>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$860.3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$1,055.4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$959.0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$1,410.6</w:t>
            </w: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Implied Equity Value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$780.7</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$1,232.3</w:t>
            </w:r>
          </w:p>
        </w:tc>
      </w:t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Implied Share Price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$23.09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174625</wp:posOffset>
            </wp:positionV>
            <wp:extent cx="822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Calculated as the median of each column.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tbl>
      <w:tblPr>
        <w:tblLayout w:type="fixed"/>
        <w:tblInd w:w="1300" w:type="dxa"/>
        <w:tblCellMar>
          <w:top w:w="0" w:type="dxa"/>
          <w:left w:w="0" w:type="dxa"/>
          <w:bottom w:w="0" w:type="dxa"/>
          <w:right w:w="0" w:type="dxa"/>
        </w:tblCellMar>
      </w:tblPr>
      <w:tr>
        <w:trPr>
          <w:trHeight w:val="161"/>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338"/>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EBITA</w:t>
            </w: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9"/>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LTM</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$858.0</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$1,020.6</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$973.0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r>
      <w:tr>
        <w:trPr>
          <w:trHeight w:val="247"/>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CY projected 2026</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741.0</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899.9</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r>
      <w:tr>
        <w:trPr>
          <w:trHeight w:val="243"/>
        </w:trPr>
        <w:tc>
          <w:tcPr>
            <w:tcW w:w="540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Implied Enterprise Value</w:t>
            </w:r>
            <w:r>
              <w:rPr>
                <w:rFonts w:ascii="Times New Roman" w:cs="Times New Roman" w:eastAsia="Times New Roman" w:hAnsi="Times New Roman"/>
                <w:sz w:val="28"/>
                <w:szCs w:val="28"/>
                <w:b w:val="1"/>
                <w:bCs w:val="1"/>
                <w:color w:val="auto"/>
                <w:vertAlign w:val="superscript"/>
              </w:rPr>
              <w:t>(1)</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$799.5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960.3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$905.3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$1,242.0</w:t>
            </w:r>
          </w:p>
        </w:tc>
      </w:tr>
      <w:tr>
        <w:trPr>
          <w:trHeight w:val="24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Implied Equity Value</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781.9</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$727.0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$1,063.7</w:t>
            </w:r>
          </w:p>
        </w:tc>
      </w:t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Implied Share Price</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23.12</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200025</wp:posOffset>
            </wp:positionV>
            <wp:extent cx="822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0" w:lineRule="exact"/>
        <w:rPr>
          <w:sz w:val="20"/>
          <w:szCs w:val="20"/>
          <w:color w:val="auto"/>
        </w:rPr>
      </w:pPr>
    </w:p>
    <w:p>
      <w:pPr>
        <w:ind w:left="1640" w:hanging="348"/>
        <w:spacing w:after="0"/>
        <w:tabs>
          <w:tab w:leader="none" w:pos="1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median of each column.</w:t>
      </w:r>
    </w:p>
    <w:p>
      <w:pPr>
        <w:spacing w:after="0" w:line="100" w:lineRule="exact"/>
        <w:rPr>
          <w:sz w:val="20"/>
          <w:szCs w:val="20"/>
          <w:color w:val="auto"/>
        </w:rPr>
      </w:pPr>
    </w:p>
    <w:p>
      <w:pPr>
        <w:ind w:left="1300" w:right="1440" w:firstLine="360"/>
        <w:spacing w:after="0" w:line="282" w:lineRule="auto"/>
        <w:rPr>
          <w:sz w:val="20"/>
          <w:szCs w:val="20"/>
          <w:color w:val="auto"/>
        </w:rPr>
      </w:pPr>
      <w:r>
        <w:rPr>
          <w:rFonts w:ascii="Times New Roman" w:cs="Times New Roman" w:eastAsia="Times New Roman" w:hAnsi="Times New Roman"/>
          <w:sz w:val="18"/>
          <w:szCs w:val="18"/>
          <w:color w:val="auto"/>
        </w:rPr>
        <w:t>Baird compared the implied share prices in the table above with the Merger Consideration of $20.35 per share in the Merger.</w:t>
      </w:r>
    </w:p>
    <w:p>
      <w:pPr>
        <w:spacing w:after="0" w:line="52" w:lineRule="exact"/>
        <w:rPr>
          <w:sz w:val="20"/>
          <w:szCs w:val="20"/>
          <w:color w:val="auto"/>
        </w:rPr>
      </w:pPr>
    </w:p>
    <w:p>
      <w:pPr>
        <w:ind w:left="1300" w:right="158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Selected Transaction Analysis</w:t>
      </w:r>
      <w:r>
        <w:rPr>
          <w:rFonts w:ascii="Times New Roman" w:cs="Times New Roman" w:eastAsia="Times New Roman" w:hAnsi="Times New Roman"/>
          <w:sz w:val="18"/>
          <w:szCs w:val="18"/>
          <w:color w:val="auto"/>
        </w:rPr>
        <w:t>. Baird reviewed certain publicly available financial information concerning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acquisition transactions that Baird deemed relevant. The selected acquisition transactions and relevant financial multiples are listed below.</w:t>
      </w:r>
    </w:p>
    <w:p>
      <w:pPr>
        <w:spacing w:after="0" w:line="10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120" w:type="dxa"/>
            <w:vAlign w:val="bottom"/>
          </w:tcPr>
          <w:p>
            <w:pPr>
              <w:spacing w:after="0"/>
              <w:rPr>
                <w:sz w:val="16"/>
                <w:szCs w:val="16"/>
                <w:color w:val="auto"/>
              </w:rPr>
            </w:pPr>
          </w:p>
        </w:tc>
        <w:tc>
          <w:tcPr>
            <w:tcW w:w="17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tcPr>
          <w:p>
            <w:pPr>
              <w:spacing w:after="0"/>
              <w:rPr>
                <w:sz w:val="16"/>
                <w:szCs w:val="16"/>
                <w:color w:val="auto"/>
              </w:rPr>
            </w:pPr>
          </w:p>
        </w:tc>
        <w:tc>
          <w:tcPr>
            <w:tcW w:w="23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Buyer</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EV/LTM EBITDA</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EV/LTM EBITA</w:t>
            </w:r>
          </w:p>
        </w:tc>
      </w:tr>
      <w:tr>
        <w:trPr>
          <w:trHeight w:val="2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2025</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NV5</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Acuren</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11.6x</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13.1x</w:t>
            </w:r>
          </w:p>
        </w:tc>
      </w:tr>
      <w:tr>
        <w:trPr>
          <w:trHeight w:val="23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May 22, 2024</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Acuren</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Admiral Acquisition Ltd.</w:t>
            </w:r>
          </w:p>
        </w:tc>
        <w:tc>
          <w:tcPr>
            <w:tcW w:w="120" w:type="dxa"/>
            <w:vAlign w:val="bottom"/>
          </w:tcPr>
          <w:p>
            <w:pPr>
              <w:spacing w:after="0"/>
              <w:rPr>
                <w:sz w:val="20"/>
                <w:szCs w:val="20"/>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10.7x</w:t>
            </w:r>
          </w:p>
        </w:tc>
        <w:tc>
          <w:tcPr>
            <w:tcW w:w="120" w:type="dxa"/>
            <w:vAlign w:val="bottom"/>
          </w:tcPr>
          <w:p>
            <w:pPr>
              <w:spacing w:after="0"/>
              <w:rPr>
                <w:sz w:val="20"/>
                <w:szCs w:val="20"/>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14.3x</w:t>
            </w:r>
          </w:p>
        </w:tc>
      </w:tr>
      <w:tr>
        <w:trPr>
          <w:trHeight w:val="21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2024</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Applus Services</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TDR Capital and</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8"/>
        </w:trPr>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Squared Capital</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7.6x</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11.5x</w:t>
            </w:r>
          </w:p>
        </w:tc>
      </w:tr>
      <w:tr>
        <w:trPr>
          <w:trHeight w:val="21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July 25, 2022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w w:val="98"/>
              </w:rPr>
              <w:t>Infrastructure &amp; Energy</w:t>
            </w:r>
          </w:p>
        </w:tc>
        <w:tc>
          <w:tcPr>
            <w:tcW w:w="1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MasTec</w:t>
            </w:r>
          </w:p>
        </w:tc>
        <w:tc>
          <w:tcPr>
            <w:tcW w:w="120" w:type="dxa"/>
            <w:vAlign w:val="bottom"/>
          </w:tcPr>
          <w:p>
            <w:pPr>
              <w:spacing w:after="0"/>
              <w:rPr>
                <w:sz w:val="18"/>
                <w:szCs w:val="18"/>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9.3x</w:t>
            </w:r>
          </w:p>
        </w:tc>
        <w:tc>
          <w:tcPr>
            <w:tcW w:w="120" w:type="dxa"/>
            <w:vAlign w:val="bottom"/>
          </w:tcPr>
          <w:p>
            <w:pPr>
              <w:spacing w:after="0"/>
              <w:rPr>
                <w:sz w:val="18"/>
                <w:szCs w:val="18"/>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14.3x</w:t>
            </w:r>
          </w:p>
        </w:tc>
      </w:tr>
      <w:tr>
        <w:trPr>
          <w:trHeight w:val="241"/>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Alternatives</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27, 2022</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PLH Group</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Primoris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7.3x</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December 20, 2021</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Henkels &amp; McCoy</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MasTec</w:t>
            </w:r>
          </w:p>
        </w:tc>
        <w:tc>
          <w:tcPr>
            <w:tcW w:w="120" w:type="dxa"/>
            <w:vAlign w:val="bottom"/>
          </w:tcPr>
          <w:p>
            <w:pPr>
              <w:spacing w:after="0"/>
              <w:rPr>
                <w:sz w:val="20"/>
                <w:szCs w:val="20"/>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8.6x</w:t>
            </w:r>
          </w:p>
        </w:tc>
        <w:tc>
          <w:tcPr>
            <w:tcW w:w="120" w:type="dxa"/>
            <w:vAlign w:val="bottom"/>
          </w:tcPr>
          <w:p>
            <w:pPr>
              <w:spacing w:after="0"/>
              <w:rPr>
                <w:sz w:val="20"/>
                <w:szCs w:val="20"/>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N/A</w:t>
            </w:r>
          </w:p>
        </w:tc>
      </w:tr>
      <w:tr>
        <w:trPr>
          <w:trHeight w:val="247"/>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2021</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Aegion Corporation</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Mountain Capital</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11.8x</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14.9x</w:t>
            </w:r>
          </w:p>
        </w:tc>
      </w:tr>
      <w:tr>
        <w:trPr>
          <w:trHeight w:val="39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September 3, 2019</w:t>
            </w: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APi Group</w:t>
            </w:r>
          </w:p>
        </w:tc>
        <w:tc>
          <w:tcPr>
            <w:tcW w:w="1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J2 Acquisition Limited</w:t>
            </w:r>
          </w:p>
        </w:tc>
        <w:tc>
          <w:tcPr>
            <w:tcW w:w="120" w:type="dxa"/>
            <w:vAlign w:val="bottom"/>
          </w:tcPr>
          <w:p>
            <w:pPr>
              <w:spacing w:after="0"/>
              <w:rPr>
                <w:sz w:val="24"/>
                <w:szCs w:val="24"/>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7.6x</w:t>
            </w:r>
          </w:p>
        </w:tc>
        <w:tc>
          <w:tcPr>
            <w:tcW w:w="12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9.2x</w:t>
            </w:r>
            <w:r>
              <w:rPr>
                <w:rFonts w:ascii="Times New Roman" w:cs="Times New Roman" w:eastAsia="Times New Roman" w:hAnsi="Times New Roman"/>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32385</wp:posOffset>
            </wp:positionV>
            <wp:extent cx="822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N/A  indicates not publicly available.</w:t>
      </w:r>
    </w:p>
    <w:p>
      <w:pPr>
        <w:spacing w:after="0" w:line="42" w:lineRule="exact"/>
        <w:rPr>
          <w:sz w:val="20"/>
          <w:szCs w:val="20"/>
          <w:color w:val="auto"/>
        </w:rPr>
      </w:pPr>
    </w:p>
    <w:p>
      <w:pPr>
        <w:ind w:left="1640" w:hanging="348"/>
        <w:spacing w:after="0"/>
        <w:tabs>
          <w:tab w:leader="none" w:pos="1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LTM EBITA estimated using reported first half 2019 depreciation plus half of reported full year 2018 depreciation on a straight-line basis.</w:t>
      </w:r>
    </w:p>
    <w:p>
      <w:pPr>
        <w:spacing w:after="0" w:line="100" w:lineRule="exact"/>
        <w:rPr>
          <w:sz w:val="20"/>
          <w:szCs w:val="20"/>
          <w:color w:val="auto"/>
        </w:rPr>
      </w:pPr>
    </w:p>
    <w:p>
      <w:pPr>
        <w:ind w:left="1300" w:right="1380" w:firstLine="360"/>
        <w:spacing w:after="0" w:line="254" w:lineRule="auto"/>
        <w:rPr>
          <w:sz w:val="20"/>
          <w:szCs w:val="20"/>
          <w:color w:val="auto"/>
        </w:rPr>
      </w:pPr>
      <w:r>
        <w:rPr>
          <w:rFonts w:ascii="Times New Roman" w:cs="Times New Roman" w:eastAsia="Times New Roman" w:hAnsi="Times New Roman"/>
          <w:sz w:val="18"/>
          <w:szCs w:val="18"/>
          <w:color w:val="auto"/>
        </w:rPr>
        <w:t>Baird chose these acquisition transactions, which were selected in its professional judgment, based on a review of completed acquisition transactions involving target companies that are primarily field-based technical services serving industrial end markets with exposure to oil and gas that possessed general business, operating and financial characteristics relevant to the Company. Baird noted that none of the acquisition transactions or subject target companies reviewed was identical to the Merger or the Company, respectively, and that, accordingly, the analysis of such acquisition transactions necessarily involves complex considerations and judgments concerning differences in the business, operating and financial characteristics of each subject target company and each acquisition transaction and other factors that affect the values implied in such acquisition transactions.</w:t>
      </w:r>
    </w:p>
    <w:p>
      <w:pPr>
        <w:spacing w:after="0" w:line="84" w:lineRule="exact"/>
        <w:rPr>
          <w:sz w:val="20"/>
          <w:szCs w:val="20"/>
          <w:color w:val="auto"/>
        </w:rPr>
      </w:pPr>
    </w:p>
    <w:p>
      <w:pPr>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For each transaction, Baird calculated the implied “equity purchase price” (defined as the purchase price per share of each target company’s common stock multiplied by the total number of diluted common shares outstanding of such company, including gross shares issuable upon the exercise of outstanding stock options and warrants (if any), less assumed option and warrant proceeds (to the extent applicable), and including, where relevant, the value of equity awards accelerated in connection with the transaction, or alternatively defined as the value attributable to the equity of a target company). In addition, Baird calculated the implied “enterprise value” (defined as the equity purchase price plus the book value of each target company’s total debt and preferred stock, less cash, cash equivalents and marketable securities). Baird calculated the multiples of each target company’s implied enterprise value to its LTM EBITDA and to its LTM EBITA. Stock market and historical financial information for the selected transactions was based on publicly available information as of the announcement date of each respective transaction. EBITDA and EBITA for the selected transactions were adjusted for publicly disclosed one-time, non-recurring items, but were not adjusted for stock-based compensation add-backs due to lack of public information. A summary of the implied multiples is provided in the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Low</w:t>
            </w: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Median</w:t>
            </w:r>
          </w:p>
        </w:tc>
        <w:tc>
          <w:tcPr>
            <w:tcW w:w="2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LTM Adjusted EBITDA</w:t>
            </w:r>
          </w:p>
        </w:tc>
        <w:tc>
          <w:tcPr>
            <w:tcW w:w="2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7.3x</w:t>
            </w: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9.3x</w:t>
            </w: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8.9x</w:t>
            </w:r>
          </w:p>
        </w:tc>
        <w:tc>
          <w:tcPr>
            <w:tcW w:w="7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11.8x</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LTM Adjusted EBITA</w:t>
            </w:r>
          </w:p>
        </w:tc>
        <w:tc>
          <w:tcPr>
            <w:tcW w:w="29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9.2x</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12.9x</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13.7x</w:t>
            </w:r>
          </w:p>
        </w:tc>
        <w:tc>
          <w:tcPr>
            <w:tcW w:w="7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14.9x</w:t>
            </w:r>
          </w:p>
        </w:tc>
        <w:tc>
          <w:tcPr>
            <w:tcW w:w="1300" w:type="dxa"/>
            <w:vAlign w:val="bottom"/>
          </w:tcPr>
          <w:p>
            <w:pPr>
              <w:spacing w:after="0"/>
              <w:rPr>
                <w:sz w:val="20"/>
                <w:szCs w:val="20"/>
                <w:color w:val="auto"/>
              </w:rPr>
            </w:pPr>
          </w:p>
        </w:tc>
      </w:tr>
      <w:tr>
        <w:trPr>
          <w:trHeight w:val="481"/>
        </w:trPr>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2" w:right="439"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Baird calculated the implied enterprise value of the Company by applying the multiple ranges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selected transactions to the Company’s LTM Adjusted EBITDA and Adjusted EBITA of $95.0 million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$70.6 million, respectively, each as provided by the Company’s management. Baird then took the resulting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enterprise values and calculated implied equity values by subtracting the Company’s net debt position as of June 30,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2026, of approximately $178.4 million, and divided these implied values by the fully-diluted shares outstanding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as applicable, in-the-money options, restricted stock units and performance stock units, using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treasury stock method) of 33.8 million to calculate the implied per share values of Common Stock. The implied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ranges of per share equity values, based on the implied low, high, average, and median values, were $15.37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$27.92, with average and median being $20.90 and $19.75, respectively, based on Adjusted EBITDA, and $13.82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$25.85, with average and median being $21.63 and $23.33, respectively, based on Adjusted EBITA, in each case,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compared to the Merger Consideration of $20.35 per share of Common Stock in the Merger.</w:t>
      </w:r>
    </w:p>
    <w:p>
      <w:pPr>
        <w:spacing w:after="0" w:line="97"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Discounted Cash Flow Analysis. </w:t>
      </w:r>
      <w:r>
        <w:rPr>
          <w:rFonts w:ascii="Times New Roman" w:cs="Times New Roman" w:eastAsia="Times New Roman" w:hAnsi="Times New Roman"/>
          <w:sz w:val="17"/>
          <w:szCs w:val="17"/>
          <w:color w:val="auto"/>
        </w:rPr>
        <w:t>Baird performed a discounted cash flow analysis utilizing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projected unlevered free cash flows (defined as net income excluding after-tax net interest, plus depreciation and amortization, less capital expenditures and increases in net working capital) from June 30, 2026 to 2030, as provided by the Company’s senior management in the Projections, which unlevered free cash flows are set forth under “— Certain Unaudited Prospective Financial Information” beginning on page </w:t>
      </w:r>
      <w:r>
        <w:rPr>
          <w:rFonts w:ascii="Times New Roman" w:cs="Times New Roman" w:eastAsia="Times New Roman" w:hAnsi="Times New Roman"/>
          <w:sz w:val="17"/>
          <w:szCs w:val="17"/>
          <w:u w:val="single" w:color="auto"/>
          <w:color w:val="0000EE"/>
        </w:rPr>
        <w:t>55</w:t>
      </w:r>
      <w:r>
        <w:rPr>
          <w:rFonts w:ascii="Times New Roman" w:cs="Times New Roman" w:eastAsia="Times New Roman" w:hAnsi="Times New Roman"/>
          <w:sz w:val="17"/>
          <w:szCs w:val="17"/>
          <w:color w:val="auto"/>
        </w:rPr>
        <w:t>. In this analysis, Baird calculated the present values of the unlevered free cash flows from June 30, 2026 to 2030 by discounting these amounts at rates ranging from 13.0% to 14.0%, which were chosen based on the capital asset pricing model. Baird calculated the present values of the free cash flows beyond 2030 by assuming exit EBITDA multiples ranging from 8.0x to 10.0x, which were chosen based on Baird’s professional judgment. The summation of the present values of the unlevered free cash flows and the present values of the terminal values implied enterprise values ranging from approximately $804.5 million to approximately $995.2 million, which, after subtracting net debt of approximately $178.4 million and then dividing by 33.8 million shares outstanding on a fully-diluted basis, implies a range of equity values</w:t>
      </w:r>
    </w:p>
    <w:p>
      <w:pPr>
        <w:spacing w:after="0" w:line="3" w:lineRule="exact"/>
        <w:rPr>
          <w:sz w:val="20"/>
          <w:szCs w:val="20"/>
          <w:color w:val="auto"/>
        </w:rPr>
      </w:pPr>
    </w:p>
    <w:p>
      <w:pPr>
        <w:ind w:left="300" w:right="799"/>
        <w:spacing w:after="0" w:line="260" w:lineRule="auto"/>
        <w:rPr>
          <w:sz w:val="20"/>
          <w:szCs w:val="20"/>
          <w:color w:val="auto"/>
        </w:rPr>
      </w:pPr>
      <w:r>
        <w:rPr>
          <w:rFonts w:ascii="Times New Roman" w:cs="Times New Roman" w:eastAsia="Times New Roman" w:hAnsi="Times New Roman"/>
          <w:sz w:val="18"/>
          <w:szCs w:val="18"/>
          <w:color w:val="auto"/>
        </w:rPr>
        <w:t>per share of $18.52 to $24.16. Baird compared these equity values per share with the Merger Consideration of $20.35 per share in the Merger.</w:t>
      </w:r>
    </w:p>
    <w:p>
      <w:pPr>
        <w:spacing w:after="0" w:line="7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foregoing summary does not purport to be a complete description of the analyses performed by Baird or its presentation to the Board. The preparation of financial analyses and a fairness opinion is a complex process and is not necessarily susceptible to partial analyses or summary description. Baird believes that its analyses (and the summary set forth above) must be considered as a whole and that selecting portions of these analyses and factors considered by Baird, without considering all of these analyses and factors, could create an incomplete view of the processes and judgments underlying the analyses performed by Baird and its opinion. Baird did not attempt to assign specific weights to particular analyses. Any estimates contained in Baird’s analyses are not necessarily indicative of actual values, which may be significantly more or less favorable than as set forth therein. Estimates of values of companies do not purport to be appraisals or necessarily to reflect the prices at which companies may actually be sold. Because these estimates are inherently subject to uncertainty, Baird does not assume responsibility for their accuracy.</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Additional Information about Baird and Its Engagement</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Pursuant to its engagement, Baird will receive a transaction fee of approximately $13 million for its services, all of which is contingent upon the consummation of the Merger. The Company has also agreed to pay Baird a fee of $1 million payable upon delivery of its opinion, regardless of the conclusion reached in its opinion, which fee is creditable against the transaction fee described above. In addition, the Company has agreed to reimburse Baird for certain of its expenses and to indemnify Baird against certain liabilities that may arise out of its engagement. Baird will not receive any other significant payment or compensation contingent upon the successful completion of the Merger. As part of its investment banking business, Baird is engaged in the evaluation of businesses and their securities in connection with mergers and acquisitions, negotiated underwritings, competitive biddings, secondary distributions of listed and unlisted securities, private placements and valuations for estate, corporate and other purposes.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two years prior to the date of its opinion, Baird was engaged to provide financial advisory and/or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investment banking services to H.I.G., for which Baird received aggregate fees of between $10 million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 million. Specifically, (i) in October 2024, Baird represented H.I.G. in its acquisition of ITH Pharma; (ii)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and August 2025, Baird represented H.I.G. in its sale of each of Koozie Group and EBI, LLC, respectively;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(iii) in July 2026, Baird represented H.I.G. in its sale of ECI. Except as provided above, during the two years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prior to the date of its opinion, neither Baird nor any of its affiliates provided investment banking or financial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advisory services to the Company, Parent or H.I.G. for which Baird received any compensation. In addition, as of the date of its opinion, no material relationship between the Company, Parent, or any affiliate of the Company or Parent, or any other party to the Merger (including H.I.G.), on the one hand, and Baird, on the other hand, was mutually understood to be contemplated in which any compensation was intended to be received by Baird, other than the transaction fee and opinion fee described in the preceding paragraph and other than as follows: as of the date of its opinion, Baird was engaged on four separate mandates, each unrelated to the Merger, to provide sell-side financial advisory services to H.I.G. in connection with the potential sale of four of H.I.G.’s portfolio companies. Since the date of its opinion, one of those mandates has become inactive. If each such mandate is successful, Baird expects the aggregate fees payable to it in connection with such mandates to exceed the fees payable to Baird in connection with the Merger by $1 million to $5 million. Baird disclosed the foregoing relationships to the Board, and the Board considered such relationships in its evaluation of Baird’s opinion, as described under “—Background of the Merger.”</w:t>
      </w:r>
    </w:p>
    <w:p>
      <w:pPr>
        <w:spacing w:after="0" w:line="8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Baird is a full-service securities firm and, in the ordinary course of its business, Baird may from time to time provide investment banking, advisory, brokerage and other services to clients that may be competitors or suppliers to, or customers or security holders of, the Company or Parent or any other party that may be involved in the Merger and their respective affiliates or that may otherwise participate or be involved in the same or a similar business or industries as the Company or Parent. In addition, Baird and certain of its employees and affiliates, as well as investment funds in which they may have financial interests or with which they may co-invest, may from time to time hold or trade the securities of the Company and/or Parent (including Common Stock) for their own account or the accounts of Baird’s customers and, accordingly, may at any time hold long or short positions or effect transactions in such securities. In addition, Baird and certain of its affiliates and certain of its and their respective employees may have committed to invest in private equity or other investment funds managed or advised by H.I.G. or certain of its affiliates, and in portfolio companies of such funds, and may have co-invested with Parent, other equityholders of Parent or certain of their respective affiliates, and may do so in the future. Baird also serves as a market maker in the publicly traded securities of the Company.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Although the Company has publicly issued short-term guidance regarding certain aspects of its expected financial performance, the Company does not, as a matter of course, publicly disclose long-term forecasts or internal projections as to future performance, revenues, earnings, financial condition or other results, due to, among other reasons, the inherent unpredictability and subjectivity of the underlying assumptions, estimates and projections.</w:t>
      </w:r>
    </w:p>
    <w:p>
      <w:pPr>
        <w:spacing w:after="0" w:line="5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However, the Company is including in this proxy statement certain non-public, unaudited prospective financial information for the fiscal years ending December 31, 2026 through December 31, 2030 (collectively, the “Prospective Information”). The Prospective Information includes financial projections for the fiscal years ending December 31, 2026 through December 31, 2030 that were prepared by management, and reviewed by the Board, during 2025 in the ordinary course of business as part of the Company’s strategic planning, specifically as part of the Company’s Vision2030 strategic plan (the “Vision2030 Forecasts”). The Vision2030 Forecasts were made available to Baird but were not approved by the Company for use and reliance by Baird in connection with performing its financial analyses and opinion described under “—Opinion of the Company’s Financial Advisor” above. The Vision2030 Forecasts were not made available to H.I.G. and its affiliates and representatives.</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Prospective Information also includes financial projections for the fiscal years ending December 31, 2026 through December 31, 2030 that were prepared by management during May 2026 as an update to the Vision2030 Forecasts (the “Projections”). The Projections were prepared by the Company’s management and furnished to the Board in connection with its evaluation of the Merger. The Projections differed from the Vision2030 Forecasts in two respects. First, in light of industry and market conditions observed by management during early 2026, the Projections updated the Vision2030 Forecasts by lowering projected revenues during the projected periods by approximately 1% and reducing adjusted EBITDA on an annual basis in a range from approximately 1% to approximately 6%, in each case compared to the corresponding measure in the Vision2030 Forecasts. Second, the Projections did not reflect the impact of potential acquisitions by the Company, whereas the Vision2030 Forecasts did; this change was made in light of the speculative nature of the potential acquisitions (none of which had been specifically identified at the time the Projections were prepared) and the fact that the Company had not completed an acquisition since 2018.</w:t>
      </w:r>
    </w:p>
    <w:p>
      <w:pPr>
        <w:spacing w:after="0" w:line="82" w:lineRule="exact"/>
        <w:rPr>
          <w:sz w:val="20"/>
          <w:szCs w:val="20"/>
          <w:color w:val="auto"/>
        </w:rPr>
      </w:pPr>
    </w:p>
    <w:p>
      <w:pPr>
        <w:ind w:left="300" w:right="659" w:firstLine="360"/>
        <w:spacing w:after="0" w:line="312" w:lineRule="auto"/>
        <w:rPr>
          <w:sz w:val="20"/>
          <w:szCs w:val="20"/>
          <w:color w:val="auto"/>
        </w:rPr>
      </w:pPr>
      <w:r>
        <w:rPr>
          <w:rFonts w:ascii="Times New Roman" w:cs="Times New Roman" w:eastAsia="Times New Roman" w:hAnsi="Times New Roman"/>
          <w:sz w:val="17"/>
          <w:szCs w:val="17"/>
          <w:color w:val="auto"/>
        </w:rPr>
        <w:t>The Projections were provided to Baird, and approved by the Company for Baird’s use and reliance, in connection with Baird’s financial analyses and opinion described under “—Opinion of the Company’s Financial</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Advisor” above. On May 15, 2026, the Projections were also made available to H.I.G. and its affiliates and representatives in connection with their due diligence review and evaluation of a potential transaction, as described under “—Background of the Merger” above. In addition, as part of the “go-shop” process, the Projections have been made available, and will continue to be made available, to parties that have expressed interest in a potential acquisition of the Company and have entered into a confidentiality agreement with the Company.</w:t>
      </w:r>
    </w:p>
    <w:p>
      <w:pPr>
        <w:spacing w:after="0" w:line="75"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 summary of the Prospective Information is set forth below. The Prospective Information is included in this proxy statement solely to provide the Company’s stockholders access to certain non-public information that was made available to our Board and Baird in connection with the Merger, and is not included in this proxy statement in order to influence any stockholder’s decision as to how to vote on the proposal to adopt the Merger Agreement or for any other purpose.</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Prospective Information was not prepared with a view toward public disclosure or toward compliance with published guidelines of the SEC, the guidelines established by the American Institute of Certified Public Accountants for the preparation and presentation of prospective financial information, GAAP, or prevailing practices in the industries in which the Company operates. Neither the Company’s independent registered public accounting firm nor any other independent accountants have compiled, examined or performed any procedures with respect to the Prospective Information, and none of them has expressed any opinion or any other form of assurance on the Prospective Information or its achievability. The report of the Company’s independent registered public accounting firm contained in the Company’s Annual Report on Form 10-K for the fiscal year ended December 31, 2025, relates solely to our historical financial statements and does not extend to the Prospective Information and should not be read to do so.</w:t>
      </w:r>
    </w:p>
    <w:p>
      <w:pPr>
        <w:spacing w:after="0" w:line="8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Certain of the measures included in the Prospective Information may be considered non-GAAP financial measures. Non-GAAP financial measures should not be considered in isolation from, or as a substitute for, financial information presented in accordance with GAAP, and may not be comparable to similarly titled amounts used by other companies. Financial measures included in forecasts provided to a financial advisor and a board of directors in connection with a business combination transaction are excluded from the definition of “non-GAAP financial measures” under SEC rules and, accordingly, are not subject to SEC rules regarding disclosures of non-GAAP financial measures, which would otherwise require a reconciliation of a non-GAAP financial measure to a GAAP financial measure. Reconciliations of the non-GAAP financial measures included in the Prospective Information were not relied upon by Baird for purposes of its financial analyses or opinion or by our Board in connection with its consideration of the Merger. Accordingly, no reconciliation is provided in this proxy statement.</w:t>
      </w:r>
    </w:p>
    <w:p>
      <w:pPr>
        <w:spacing w:after="0" w:line="86"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measures contained in the Prospective Information, while presented with numerical specificity, are estimates of future performance and not historical facts. The Prospective Information is based on numerous variables and assumptions that were deemed to be reasonable as of the respective dates when such Prospective Information was finalized, but that are inherently uncertain and many of which are beyond the control of the Company. Important factors that may affect actual results and cause the Prospective Information not to be achieved include, but are not limited to, general economic and industry conditions, crude oil prices and levels of capital expenditure in the oil and gas industry, customer concentration, tariffs and trade barriers, the Company’s leverage and the restrictive covenants under its Credit Agreement, the Company’s ability to execute on its strategic initiatives, and the other risks and uncertainties described in this proxy statement and in the Company’s filings with the SEC, including in Part I, Item 1A of the Company’s Annual Report on Form 10-K for the fiscal year ended December 31, 2025. The Prospective Information also reflects assumptions as to certain business decisions that are subject to change. In addition, except to the extent that the Vision2030 Forecasts give effect to potential acquisition activity, the Prospective Information does not take into account any circumstances, transactions or events occurring after the date on which such Prospective Information was prepared, including the announcement or effect of the Merger, and was prepared assuming the Company would continue to operate as a standalone public company.</w:t>
      </w:r>
    </w:p>
    <w:p>
      <w:pPr>
        <w:spacing w:after="0" w:line="88"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In the view of the Company’s management, the Prospective Information had been reasonably prepared on a basis reflecting the best estimates then available and judgments of management of the future financial performance of the Company and other matters covered thereby. In addition, the assumptions underlying the Prospective Information remain subject to change and have not been updated or revised since their preparation to reflect any changes in the Company’s business, industry performance, the legal or regulatory environment, general business or economic conditions, or any other transaction or event that has occurred or that may occur and that was not anticipated as the Prospective Information was prepared.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Accordingly, there can be no assurance that the Prospective Information will be realized, and actual results may differ materially from those reflected in the Prospective Information, whether or not the Merger is completed. Our stockholders are cautioned not to place undue reliance, if any, on the Prospective Information. The inclusion of the Prospective Information in this proxy statement should not be regarded as an indication that any of the Company, Parent, Acquisition Sub, Baird or any of their respective affiliates, officers, directors, advisors or other representatives considered, or now considers, the Prospective Information to be necessarily predictive of actual future results or that the Prospective Information should be construed as financial guidance, and they should not be relied upon as such.</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Vision2030 Forecasts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5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r>
              <w:rPr>
                <w:rFonts w:ascii="Times New Roman" w:cs="Times New Roman" w:eastAsia="Times New Roman" w:hAnsi="Times New Roman"/>
                <w:sz w:val="23"/>
                <w:szCs w:val="23"/>
                <w:b w:val="1"/>
                <w:bCs w:val="1"/>
                <w:color w:val="auto"/>
                <w:vertAlign w:val="superscript"/>
              </w:rPr>
              <w:t>(1)</w:t>
            </w:r>
          </w:p>
        </w:tc>
      </w:tr>
      <w:tr>
        <w:trPr>
          <w:trHeight w:val="186"/>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2028</w:t>
            </w:r>
          </w:p>
        </w:tc>
        <w:tc>
          <w:tcPr>
            <w:tcW w:w="640" w:type="dxa"/>
            <w:vAlign w:val="bottom"/>
            <w:gridSpan w:val="2"/>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w w:val="99"/>
              </w:rPr>
              <w:t>2029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2030</w:t>
            </w:r>
          </w:p>
        </w:tc>
      </w:tr>
      <w:tr>
        <w:trPr>
          <w:trHeight w:val="23"/>
        </w:trPr>
        <w:tc>
          <w:tcPr>
            <w:tcW w:w="5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c>
          <w:tcPr>
            <w:tcW w:w="64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937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39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640" w:type="dxa"/>
            <w:vAlign w:val="bottom"/>
            <w:gridSpan w:val="2"/>
          </w:tcPr>
          <w:p>
            <w:pPr>
              <w:jc w:val="center"/>
              <w:ind w:left="236"/>
              <w:spacing w:after="0"/>
              <w:rPr>
                <w:sz w:val="20"/>
                <w:szCs w:val="20"/>
                <w:color w:val="auto"/>
              </w:rPr>
            </w:pPr>
            <w:r>
              <w:rPr>
                <w:rFonts w:ascii="Times New Roman" w:cs="Times New Roman" w:eastAsia="Times New Roman" w:hAnsi="Times New Roman"/>
                <w:sz w:val="18"/>
                <w:szCs w:val="18"/>
                <w:color w:val="auto"/>
              </w:rPr>
              <w:t>151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7" w:lineRule="exact"/>
        <w:rPr>
          <w:sz w:val="20"/>
          <w:szCs w:val="20"/>
          <w:color w:val="auto"/>
        </w:rPr>
      </w:pPr>
    </w:p>
    <w:p>
      <w:pPr>
        <w:ind w:left="640"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rate assumed at 25.0%.</w:t>
      </w:r>
    </w:p>
    <w:p>
      <w:pPr>
        <w:spacing w:after="0" w:line="42" w:lineRule="exact"/>
        <w:rPr>
          <w:sz w:val="20"/>
          <w:szCs w:val="20"/>
          <w:color w:val="auto"/>
        </w:rPr>
      </w:pPr>
    </w:p>
    <w:p>
      <w:pPr>
        <w:ind w:left="640" w:right="33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Vision2030 Forecasts include benefits to Total Revenue and Adjusted EBITDA, respectively, from potential acquisition activity for the following years ($ in millions): 2026 ($6; $2); 2027 ($15; $5); 2028 ($36; $10); 2029 ($69; $17); 2030 ($75; $19).</w:t>
      </w:r>
    </w:p>
    <w:p>
      <w:pPr>
        <w:ind w:left="640" w:right="359" w:hanging="348"/>
        <w:spacing w:after="0" w:line="236"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net income attributable to the Company plus interest expense, provision for income taxes, depreciation and amortization, share-based compensation expense, certain acquisition-related costs (including transaction due diligence costs and adjustments to the fair value of contingent consideration), foreign exchange (gain) loss, other income, non-cash impairment charges, reorganization and other costs and, if applicable, certain additional special items.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Projections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2027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2029</w:t>
            </w:r>
          </w:p>
        </w:tc>
        <w:tc>
          <w:tcPr>
            <w:tcW w:w="26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2030</w:t>
            </w:r>
          </w:p>
        </w:tc>
        <w:tc>
          <w:tcPr>
            <w:tcW w:w="0" w:type="dxa"/>
            <w:vAlign w:val="bottom"/>
          </w:tcPr>
          <w:p>
            <w:pPr>
              <w:spacing w:after="0"/>
              <w:rPr>
                <w:sz w:val="1"/>
                <w:szCs w:val="1"/>
                <w:color w:val="auto"/>
              </w:rPr>
            </w:pPr>
          </w:p>
        </w:tc>
      </w:tr>
      <w:tr>
        <w:trPr>
          <w:trHeight w:val="23"/>
        </w:trPr>
        <w:tc>
          <w:tcPr>
            <w:tcW w:w="50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680" w:type="dxa"/>
            <w:vAlign w:val="bottom"/>
            <w:gridSpan w:val="2"/>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771.5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854.5</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910.5</w:t>
            </w:r>
          </w:p>
        </w:tc>
        <w:tc>
          <w:tcPr>
            <w:tcW w:w="0" w:type="dxa"/>
            <w:vAlign w:val="bottom"/>
          </w:tcPr>
          <w:p>
            <w:pPr>
              <w:spacing w:after="0"/>
              <w:rPr>
                <w:sz w:val="1"/>
                <w:szCs w:val="1"/>
                <w:color w:val="auto"/>
              </w:rPr>
            </w:pPr>
          </w:p>
        </w:tc>
      </w:tr>
      <w:tr>
        <w:trPr>
          <w:trHeight w:val="243"/>
        </w:trPr>
        <w:tc>
          <w:tcPr>
            <w:tcW w:w="50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68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rPr>
              <w:t>100.4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124.2</w:t>
            </w:r>
          </w:p>
        </w:tc>
        <w:tc>
          <w:tcPr>
            <w:tcW w:w="26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140.2</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Adjusted EBITA</w:t>
            </w:r>
            <w:r>
              <w:rPr>
                <w:rFonts w:ascii="Times New Roman" w:cs="Times New Roman" w:eastAsia="Times New Roman" w:hAnsi="Times New Roman"/>
                <w:sz w:val="28"/>
                <w:szCs w:val="28"/>
                <w:color w:val="auto"/>
                <w:vertAlign w:val="superscript"/>
              </w:rPr>
              <w:t>(2)</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105.5</w:t>
            </w:r>
          </w:p>
        </w:tc>
        <w:tc>
          <w:tcPr>
            <w:tcW w:w="0" w:type="dxa"/>
            <w:vAlign w:val="bottom"/>
          </w:tcPr>
          <w:p>
            <w:pPr>
              <w:spacing w:after="0"/>
              <w:rPr>
                <w:sz w:val="1"/>
                <w:szCs w:val="1"/>
                <w:color w:val="auto"/>
              </w:rPr>
            </w:pPr>
          </w:p>
        </w:tc>
      </w:tr>
      <w:tr>
        <w:trPr>
          <w:trHeight w:val="23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EBIT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100.5</w:t>
            </w: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Unlevered Free Cash Flow</w:t>
            </w:r>
            <w:r>
              <w:rPr>
                <w:rFonts w:ascii="Times New Roman" w:cs="Times New Roman" w:eastAsia="Times New Roman" w:hAnsi="Times New Roman"/>
                <w:sz w:val="27"/>
                <w:szCs w:val="27"/>
                <w:color w:val="auto"/>
                <w:vertAlign w:val="superscript"/>
              </w:rPr>
              <w:t>(3)</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54"/>
        </w:trPr>
        <w:tc>
          <w:tcPr>
            <w:tcW w:w="50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rate assumed at 25.0%.</w:t>
      </w:r>
    </w:p>
    <w:p>
      <w:pPr>
        <w:spacing w:after="0" w:line="42" w:lineRule="exact"/>
        <w:rPr>
          <w:sz w:val="20"/>
          <w:szCs w:val="20"/>
          <w:color w:val="auto"/>
        </w:rPr>
      </w:pPr>
    </w:p>
    <w:p>
      <w:pPr>
        <w:ind w:left="640" w:right="359" w:hanging="348"/>
        <w:spacing w:after="0" w:line="236"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defined as net income attributable to the Company plus interest expense, provision for income taxes, depreciation and amortization, share-based compensation expense, certain acquisition-related costs (including transaction due diligence costs and adjustments to the fair value of contingent consideration), foreign exchange (gain) loss, other income, non-cash impairment charges, reorganization and other costs and, if applicable, certain additional special items.</w:t>
      </w:r>
    </w:p>
    <w:p>
      <w:pPr>
        <w:spacing w:after="0" w:line="14"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EBITA is defined as net income attributable to the Company plus interest expense, provision for income taxes and amortization, share-based compensation expense, certain acquisition related costs (including transaction due diligence costs and adjustments to the fair value of contingent consideration), foreign exchange (gain) loss, other income, non-cash impairment charges, reorganization and other costs and, if applicable, certain additional special items.</w:t>
      </w:r>
    </w:p>
    <w:p>
      <w:pPr>
        <w:spacing w:after="0" w:line="14" w:lineRule="exact"/>
        <w:rPr>
          <w:rFonts w:ascii="Times New Roman" w:cs="Times New Roman" w:eastAsia="Times New Roman" w:hAnsi="Times New Roman"/>
          <w:sz w:val="14"/>
          <w:szCs w:val="14"/>
          <w:color w:val="auto"/>
        </w:rPr>
      </w:pPr>
    </w:p>
    <w:p>
      <w:pPr>
        <w:ind w:left="640" w:right="919" w:hanging="348"/>
        <w:spacing w:after="0" w:line="261"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calculated as EBIT less tax expenses, capital expenditures and net increases in working capital, plus depreciation and amortization and net decreases in working capital.</w:t>
      </w:r>
    </w:p>
    <w:p>
      <w:pPr>
        <w:spacing w:after="0" w:line="59"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 xml:space="preserve">The Projections are forward-looking statements. See “Cautionary Note Regarding Forward-Looking Statements” beginning on page </w:t>
      </w:r>
      <w:r>
        <w:rPr>
          <w:rFonts w:ascii="Times New Roman" w:cs="Times New Roman" w:eastAsia="Times New Roman" w:hAnsi="Times New Roman"/>
          <w:sz w:val="17"/>
          <w:szCs w:val="17"/>
          <w:u w:val="single" w:color="auto"/>
          <w:color w:val="0000EE"/>
        </w:rPr>
        <w:t>30</w:t>
      </w:r>
      <w:r>
        <w:rPr>
          <w:rFonts w:ascii="Times New Roman" w:cs="Times New Roman" w:eastAsia="Times New Roman" w:hAnsi="Times New Roman"/>
          <w:sz w:val="17"/>
          <w:szCs w:val="17"/>
          <w:color w:val="auto"/>
        </w:rPr>
        <w:t xml:space="preserve"> of this proxy statement. Except to the extent required by applicable law, the Company does not intend to, and expressly disclaims any obligation to, update, revise or correct the Projections to reflect circumstances existing or arising after the date on which they were prepared or to reflect the occurrence of future events, even in the event that any or all of the assumptions underlying the Projections are shown to be in error.</w:t>
      </w:r>
    </w:p>
    <w:p>
      <w:pPr>
        <w:spacing w:after="0" w:line="60"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In light of the foregoing factors and the uncertainties inherent in the Projections, and the fact that the special meeting of the Company’s stockholders will be held many months after the Projections were prepared, stockholders are cautioned not to unduly rely on the Projections included herein. The Company urges stockholders to review the Company’s financial statements and other information contained elsewhere in or incorporated by reference into this proxy statement.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the Directors and Executive Officers of the Company in the Merger</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You should be aware that the Company’s directors and executive officers may have certain interests in the Merger that may be different from, or in addition to, the interests of the Company’s stockholders more generally, including: (a) the cancellation and cash-out of Company Options, Company RSUs, and Company PRSUs in connection with the Merger, as described in more detail in the section titled “Interests of the Directors and Executive Officers of the Company in the Merger—Treatment of Company Equity Awards” below; (b) the entitlement of executive officers to receive severance payments and other benefits pursuant to the Employment Agreements (as defined below) in the event of certain terminations of employment in connection with, or following, the Merger, which for purposes of such Employment Agreements constitutes a “change in control,” as described in more detail in the section titled “Interests of the Directors and Executive Officers of the Company in the Merger—Potential Change in Control and Severance Entitlements to the Company’s Executive Officers” below; and (c) the entitlement of certain executive officers to a payment of a retention bonus in connection with the Merger, as described in more detail in the section titled “Interests of the Directors and Executive Officers of the Company in the Merger— Retention Bonus Arrangements” below.</w:t>
      </w:r>
    </w:p>
    <w:p>
      <w:pPr>
        <w:spacing w:after="0" w:line="79"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was aware of these interests and considered them, among other matters, in (1) evaluating and negotiating the Merger Agreement, (2) approving the Merger Agreement and the Merger, and (3) recommending that the Merger Proposal be approved by the Company’s stockholders. These interests are described in more detail below.</w:t>
      </w:r>
    </w:p>
    <w:p>
      <w:pPr>
        <w:spacing w:after="0" w:line="7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For the purposes of this disclosure (as to which applicable SEC disclosure rules require the Company to list all persons who have served as an executive officer of the Company since January 1, 2025, the beginning of the Company’s last completed fiscal year), the Company’s executive officers are:</w:t>
      </w:r>
    </w:p>
    <w:p>
      <w:pPr>
        <w:spacing w:after="0" w:line="68" w:lineRule="exact"/>
        <w:rPr>
          <w:sz w:val="20"/>
          <w:szCs w:val="20"/>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Natalia Shuman, President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J. Prajzner, Sr. Executive Vice President and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Manuel Stamatakis, Executive Chairman;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Gennaro D’Alterio, Executive Vice President and Chief Commercial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Hani Hammad, Executive Vice President and Chief Operating Officer.</w:t>
      </w:r>
    </w:p>
    <w:p>
      <w:pPr>
        <w:spacing w:after="0" w:line="117"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this disclosure, the Company’s non-employee directors as of the date hereof are Nicholas DeBenedictis, James Forese, Michelle Lohmeier, and Charles Pizzi.</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Shares of Common Stock</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Company’s directors and executive officers who own shares of Common Stock will be entitled to receive, for each share of Common Stock held by such individual, the Merger Consideration on the same terms and conditions as other Company stockholders. For information regarding the treatment of shares of Common Stock held by each of the Company’s directors and executive officers, see the section titled “The Merger Agreement— Merger Consideration,” beginning on page </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of Common Stock owned, as of the close of business on October 19, 2026, by each of the Company’s executive officers and non-employee directors (which, for this purpose, excludes shares subject to outstanding and unvested Company RSUs, Company PRSUs and Company Options, which are, in each case, described further below).</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6"/>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w:t>
            </w:r>
          </w:p>
        </w:tc>
        <w:tc>
          <w:tcPr>
            <w:tcW w:w="30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90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212"/>
              <w:spacing w:after="0" w:line="202"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300" w:type="dxa"/>
            <w:vAlign w:val="bottom"/>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Natalia Shuman</w:t>
            </w:r>
            <w:r>
              <w:rPr>
                <w:rFonts w:ascii="Times New Roman" w:cs="Times New Roman" w:eastAsia="Times New Roman" w:hAnsi="Times New Roman"/>
                <w:sz w:val="25"/>
                <w:szCs w:val="25"/>
                <w:color w:val="auto"/>
                <w:vertAlign w:val="superscript"/>
              </w:rPr>
              <w:t>(2)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120,533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J. Prajzner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1,710,682</w:t>
            </w:r>
          </w:p>
        </w:tc>
        <w:tc>
          <w:tcPr>
            <w:tcW w:w="0" w:type="dxa"/>
            <w:vAlign w:val="bottom"/>
          </w:tcPr>
          <w:p>
            <w:pPr>
              <w:spacing w:after="0"/>
              <w:rPr>
                <w:sz w:val="1"/>
                <w:szCs w:val="1"/>
                <w:color w:val="auto"/>
              </w:rPr>
            </w:pPr>
          </w:p>
        </w:tc>
      </w:tr>
      <w:tr>
        <w:trPr>
          <w:trHeight w:val="216"/>
        </w:trPr>
        <w:tc>
          <w:tcPr>
            <w:tcW w:w="64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Manuel Stamatakis</w:t>
            </w:r>
            <w:r>
              <w:rPr>
                <w:rFonts w:ascii="Times New Roman" w:cs="Times New Roman" w:eastAsia="Times New Roman" w:hAnsi="Times New Roman"/>
                <w:sz w:val="25"/>
                <w:szCs w:val="25"/>
                <w:color w:val="auto"/>
                <w:vertAlign w:val="superscript"/>
              </w:rPr>
              <w:t>(2)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384,299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7,820,485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Gennaro D’Alterio</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330,688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Hani Hammad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648,209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Nicholas DeBenedictis</w:t>
            </w:r>
            <w:r>
              <w:rPr>
                <w:rFonts w:ascii="Times New Roman" w:cs="Times New Roman" w:eastAsia="Times New Roman" w:hAnsi="Times New Roman"/>
                <w:sz w:val="25"/>
                <w:szCs w:val="25"/>
                <w:color w:val="auto"/>
                <w:vertAlign w:val="superscript"/>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273,820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5,572,237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Forese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3,602,825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Michelle Lohmeier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2,019,188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Pizzi</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1,495,318</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in the table above have been determined based on the Merger Consideration of $20.35 per share of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Shuman and Mr. Stamatakis also serve as directors on the Board.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25,000 shares held indirectly by Mr. DeBenedictis’s spouse and 93,607 shares held jointly with Mr. DeBenedictis’s spouse.</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Equity Awards</w:t>
      </w:r>
    </w:p>
    <w:p>
      <w:pPr>
        <w:spacing w:after="0" w:line="12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at the Effective Time, outstanding Company equity awards held by the Company’s employees and other service providers, including those held by the Company’s executive officers and non-employee directors, will be treated as follows:</w:t>
      </w:r>
    </w:p>
    <w:p>
      <w:pPr>
        <w:spacing w:after="0" w:line="68" w:lineRule="exact"/>
        <w:rPr>
          <w:sz w:val="20"/>
          <w:szCs w:val="20"/>
          <w:color w:val="auto"/>
        </w:rPr>
      </w:pPr>
    </w:p>
    <w:p>
      <w:pPr>
        <w:ind w:left="1000" w:right="419" w:hanging="348"/>
        <w:spacing w:after="0" w:line="255"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whether or not vested, that is outstanding immediately prior to the Effective Time will be cancelled and converted automatically into the right to receive an amount in cash equal to the product of (i) the total number of shares of Common Stock underlying such Company Option and (ii) the excess, if any, of the Merger Consideration over the applicable exercise price per share of the Common Stock subject to such Company Option; provided, that any Company Option with an exercise price that is equal to or greater than the Merger Consideration will be cancelled as of the Effective Time for no consideration;</w:t>
      </w:r>
    </w:p>
    <w:p>
      <w:pPr>
        <w:spacing w:after="0" w:line="80"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RSU, whether or not vested, that is outstanding immediately prior to the Effective Time will be cancelled and converted automatically into the right to receive an amount in cash equal to the product of (i) the total number of shares of Common Stock underlying such Company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w:t>
      </w:r>
    </w:p>
    <w:p>
      <w:pPr>
        <w:spacing w:after="0" w:line="71" w:lineRule="exact"/>
        <w:rPr>
          <w:rFonts w:ascii="Times New Roman" w:cs="Times New Roman" w:eastAsia="Times New Roman" w:hAnsi="Times New Roman"/>
          <w:sz w:val="18"/>
          <w:szCs w:val="18"/>
          <w:color w:val="auto"/>
        </w:rPr>
      </w:pPr>
    </w:p>
    <w:p>
      <w:pPr>
        <w:ind w:left="1000" w:right="439" w:hanging="348"/>
        <w:spacing w:after="0" w:line="255"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PRSU, whether or not vested, that is outstanding immediately prior to the Effective Time will be cancelled and converted into a right to receive an amount in cash equal to the product of (i) the total number of shares of Common Stock underlying such Company PRSU (with the applicable performance metrics deemed achieved immediately prior to the Effective Time at the greater of (a) target performance and (b) actual performance as of immediately prior to the Effective Time – as may be amended by a PRSU Waiver Agreement as described in more detail below), multiplied by (ii) the Merger Consideration; and</w:t>
      </w:r>
    </w:p>
    <w:p>
      <w:pPr>
        <w:spacing w:after="0" w:line="80" w:lineRule="exact"/>
        <w:rPr>
          <w:rFonts w:ascii="Times New Roman" w:cs="Times New Roman" w:eastAsia="Times New Roman" w:hAnsi="Times New Roman"/>
          <w:sz w:val="18"/>
          <w:szCs w:val="18"/>
          <w:color w:val="auto"/>
        </w:rPr>
      </w:pPr>
    </w:p>
    <w:p>
      <w:pPr>
        <w:ind w:left="1000" w:right="479" w:hanging="348"/>
        <w:spacing w:after="0" w:line="25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respect of such Company Options, Company RSUs, and Company PRSUs will be made to each holder thereof no later than the next regularly scheduled payroll date (and subject to applicable withholding) that is at least three business days following the Effective Time; provided, that with respect to the Company RSUs or Company PRSUs, such payments shall be made at such other time or times following the Effective Time to the extent necessary to avoid the imposition of additional income tax under Section 409A of the Code.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5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subject to the Company’s timely receipt of a duly executed PRSU Waiver Agreement from each Company PRSU Holder, such Company PRSU Holder will be entitled to elect to have such Company PRSUs either (i) paid at the Closing based on target performance, subject to the terms of the Merger Agreement, or (ii) paid following the Closing, after actual performance has been finally determined and consistent with Section 409A of the Code, based on such actual performance and otherwise subject to the terms of the Merger Agreement.</w:t>
      </w:r>
    </w:p>
    <w:p>
      <w:pPr>
        <w:spacing w:after="0" w:line="7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treatment of Company equity awards described above was first proposed by the Company in the June 29, 2026 letter delivered by Mr. Stamatakis, at the direction of the Board, accepting H.I.G.’s proposed price of</w:t>
      </w:r>
    </w:p>
    <w:p>
      <w:pPr>
        <w:ind w:left="300" w:right="519"/>
        <w:spacing w:after="0" w:line="252" w:lineRule="auto"/>
        <w:rPr>
          <w:sz w:val="20"/>
          <w:szCs w:val="20"/>
          <w:color w:val="auto"/>
        </w:rPr>
      </w:pPr>
      <w:r>
        <w:rPr>
          <w:rFonts w:ascii="Times New Roman" w:cs="Times New Roman" w:eastAsia="Times New Roman" w:hAnsi="Times New Roman"/>
          <w:sz w:val="18"/>
          <w:szCs w:val="18"/>
          <w:color w:val="auto"/>
        </w:rPr>
        <w:t>$20.35 per share, which proposed that all outstanding equity awards, including unvested employee equity awards, vest and be paid out at closing at the per share purchase price. The treatment was negotiated between June 29 and July 2, 2026 in connection with the revised letter of intent, was discussed by the Board at its July 2, 2026 meeting and is consistent with the treatment of equity awards under the terms of the LTIP and the applicable award agreements. Mr. Stamatakis, who holds Company equity awards that will be treated in this manner, delivered that proposal on behalf of the Company. The Board considered the accelerated vesting of awards held by directors and executive officers in approving the Merger Agreement. See “—Background of the Merger.”</w:t>
      </w:r>
    </w:p>
    <w:p>
      <w:pPr>
        <w:spacing w:after="0" w:line="80" w:lineRule="exact"/>
        <w:rPr>
          <w:sz w:val="20"/>
          <w:szCs w:val="20"/>
          <w:color w:val="auto"/>
        </w:rPr>
      </w:pPr>
    </w:p>
    <w:p>
      <w:pPr>
        <w:ind w:left="300" w:right="339" w:firstLine="360"/>
        <w:spacing w:after="0" w:line="273" w:lineRule="auto"/>
        <w:rPr>
          <w:sz w:val="20"/>
          <w:szCs w:val="20"/>
          <w:color w:val="auto"/>
        </w:rPr>
      </w:pPr>
      <w:r>
        <w:rPr>
          <w:rFonts w:ascii="Times New Roman" w:cs="Times New Roman" w:eastAsia="Times New Roman" w:hAnsi="Times New Roman"/>
          <w:sz w:val="17"/>
          <w:szCs w:val="17"/>
          <w:color w:val="auto"/>
        </w:rPr>
        <w:t>The following tables set forth, for each of the Company’s executive officers and non-employee directors, the aggregate number of Company Options, unvested Company RSUs and Company PRSUs, respectively, in each case that were held and outstanding as of the close of business on October 19, 2026, together with the estimated value the executive officers and non-employee directors will receive in respect of such applicable equity awards in connection with the Merger assuming, solely for the purposes of this disclosure, that the closing of the Merger occurs on October 19, 2026. The treatment of the Company Options, Company RSUs, and Company PRSUs set forth in the Merger Agreement is considered to be “single trigger” (i.e., amounts triggered solely by a change in control).</w:t>
      </w:r>
    </w:p>
    <w:p>
      <w:pPr>
        <w:spacing w:after="0" w:line="63"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values in the table below have been determined based on the Merger Consideration of $20.35 per share of Common Stock and assume a performance level for each Company PRSU as noted below. For the purposes of the following table, Company PRSUs (rather than Company RSUs) include performance-based restricted stock unit awards for prior years that are no longer subject to performance-based vesting conditions. Actual amounts may differ from the amounts set forth below.</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Company</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of Company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PRSUs</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RSUs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ind w:right="195"/>
              <w:spacing w:after="0" w:line="146" w:lineRule="exact"/>
              <w:rPr>
                <w:sz w:val="20"/>
                <w:szCs w:val="20"/>
                <w:color w:val="auto"/>
              </w:rPr>
            </w:pPr>
            <w:r>
              <w:rPr>
                <w:rFonts w:ascii="Times New Roman" w:cs="Times New Roman" w:eastAsia="Times New Roman" w:hAnsi="Times New Roman"/>
                <w:sz w:val="14"/>
                <w:szCs w:val="14"/>
                <w:b w:val="1"/>
                <w:bCs w:val="1"/>
                <w:color w:val="auto"/>
              </w:rPr>
              <w:t>RSUs</w:t>
            </w:r>
          </w:p>
        </w:tc>
        <w:tc>
          <w:tcPr>
            <w:tcW w:w="2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PRSUs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PRSUs</w:t>
            </w:r>
          </w:p>
        </w:tc>
        <w:tc>
          <w:tcPr>
            <w:tcW w:w="22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the Merger</w:t>
            </w: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82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left="133"/>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118"/>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41"/>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0" w:type="dxa"/>
            <w:vAlign w:val="bottom"/>
          </w:tcPr>
          <w:p>
            <w:pPr>
              <w:spacing w:after="0"/>
              <w:rPr>
                <w:sz w:val="1"/>
                <w:szCs w:val="1"/>
                <w:color w:val="auto"/>
              </w:rPr>
            </w:pPr>
          </w:p>
        </w:tc>
      </w:tr>
      <w:tr>
        <w:trPr>
          <w:trHeight w:val="250"/>
        </w:trPr>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20" w:type="dxa"/>
            <w:vAlign w:val="bottom"/>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Nicholas DeBenedictis</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Forese</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Michelle Lohmeier</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Pizzi</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Natalia Shuman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2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$339,173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211,938</w:t>
            </w:r>
          </w:p>
        </w:tc>
        <w:tc>
          <w:tcPr>
            <w:tcW w:w="1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$4,312,938</w:t>
            </w:r>
          </w:p>
        </w:tc>
        <w:tc>
          <w:tcPr>
            <w:tcW w:w="11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$4,652,111</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Edward J. Prajzner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$178,063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94,935</w:t>
            </w:r>
          </w:p>
        </w:tc>
        <w:tc>
          <w:tcPr>
            <w:tcW w:w="122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$1,931,927</w:t>
            </w:r>
          </w:p>
        </w:tc>
        <w:tc>
          <w:tcPr>
            <w:tcW w:w="1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$2,109,990</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Manuel Stamatakis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$814,000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180,773</w:t>
            </w:r>
          </w:p>
        </w:tc>
        <w:tc>
          <w:tcPr>
            <w:tcW w:w="1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$3,678,731</w:t>
            </w:r>
          </w:p>
        </w:tc>
        <w:tc>
          <w:tcPr>
            <w:tcW w:w="11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$4,492,731</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Gennaro D’Alterio</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81,400​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47,208</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960,683​</w:t>
            </w:r>
          </w:p>
        </w:tc>
        <w:tc>
          <w:tcPr>
            <w:tcW w:w="1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$1,042,083</w:t>
            </w: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Hani Hammad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2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$239,397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69,969</w:t>
            </w:r>
          </w:p>
        </w:tc>
        <w:tc>
          <w:tcPr>
            <w:tcW w:w="12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$1,423,869</w:t>
            </w:r>
          </w:p>
        </w:tc>
        <w:tc>
          <w:tcPr>
            <w:tcW w:w="11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$1,663,266</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79" w:hanging="348"/>
        <w:spacing w:after="0" w:line="26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table reflect the unvested shares of Common Stock underlying the Company RSUs and Company PRSUs held by such individuals as of the close of business on October 19, 2026.</w:t>
      </w:r>
    </w:p>
    <w:p>
      <w:pPr>
        <w:ind w:left="640" w:right="359" w:hanging="348"/>
        <w:spacing w:after="0" w:line="26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shares, the following amounts were based on performance in years prior to 2026 and are now subject solely to time-based vesting: Ms. Shuman, 101,190; Mr. Prajzner, 54,218; Mr. Stamatakis, 86,310; Mr. D'Alterio, 25,423; and Mr. Hammad, 40,653.</w:t>
      </w:r>
    </w:p>
    <w:p>
      <w:pPr>
        <w:ind w:left="640" w:right="419" w:hanging="348"/>
        <w:spacing w:after="0" w:line="26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2026 performance year, the presented value assumes performance at target and for any prior performance year, the presented value is based on actual, measured performance.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659" w:hanging="348"/>
        <w:spacing w:after="0" w:line="241"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more detail above, all Company RSUs and Company PRSUs outstanding as of the Effective Time will be cancelled in connection with the Merger and each holder thereof will be entitled to receive a cash payment in respect of the intrinsic value of such Company RSUs and Company PRSUs.</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Cancelled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Prices per</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of</w:t>
            </w:r>
          </w:p>
        </w:tc>
        <w:tc>
          <w:tcPr>
            <w:tcW w:w="2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Merger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Share of All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All</w:t>
            </w:r>
          </w:p>
        </w:tc>
        <w:tc>
          <w:tcPr>
            <w:tcW w:w="2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Options</w:t>
            </w:r>
          </w:p>
        </w:tc>
        <w:tc>
          <w:tcPr>
            <w:tcW w:w="0" w:type="dxa"/>
            <w:vAlign w:val="bottom"/>
          </w:tcPr>
          <w:p>
            <w:pPr>
              <w:spacing w:after="0"/>
              <w:rPr>
                <w:sz w:val="1"/>
                <w:szCs w:val="1"/>
                <w:color w:val="auto"/>
              </w:rPr>
            </w:pPr>
          </w:p>
        </w:tc>
      </w:tr>
      <w:tr>
        <w:trPr>
          <w:trHeight w:val="148"/>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the Merger</w:t>
            </w:r>
          </w:p>
        </w:tc>
        <w:tc>
          <w:tcPr>
            <w:tcW w:w="0" w:type="dxa"/>
            <w:vAlign w:val="bottom"/>
          </w:tcPr>
          <w:p>
            <w:pPr>
              <w:spacing w:after="0"/>
              <w:rPr>
                <w:sz w:val="1"/>
                <w:szCs w:val="1"/>
                <w:color w:val="auto"/>
              </w:rPr>
            </w:pPr>
          </w:p>
        </w:tc>
      </w:tr>
      <w:tr>
        <w:trPr>
          <w:trHeight w:val="187"/>
        </w:trPr>
        <w:tc>
          <w:tcPr>
            <w:tcW w:w="3920" w:type="dxa"/>
            <w:vAlign w:val="bottom"/>
            <w:vMerge w:val="continue"/>
          </w:tcPr>
          <w:p>
            <w:pPr>
              <w:spacing w:after="0"/>
              <w:rPr>
                <w:sz w:val="16"/>
                <w:szCs w:val="16"/>
                <w:color w:val="auto"/>
              </w:rPr>
            </w:pPr>
          </w:p>
        </w:tc>
        <w:tc>
          <w:tcPr>
            <w:tcW w:w="112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Nicholas DeBenedictis</w:t>
            </w:r>
          </w:p>
        </w:tc>
        <w:tc>
          <w:tcPr>
            <w:tcW w:w="240" w:type="dxa"/>
            <w:vAlign w:val="bottom"/>
          </w:tcPr>
          <w:p>
            <w:pPr>
              <w:spacing w:after="0"/>
              <w:rPr>
                <w:sz w:val="18"/>
                <w:szCs w:val="18"/>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Forese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Michelle Lohmeier</w:t>
            </w:r>
          </w:p>
        </w:tc>
        <w:tc>
          <w:tcPr>
            <w:tcW w:w="240" w:type="dxa"/>
            <w:vAlign w:val="bottom"/>
          </w:tcPr>
          <w:p>
            <w:pPr>
              <w:spacing w:after="0"/>
              <w:rPr>
                <w:sz w:val="18"/>
                <w:szCs w:val="18"/>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Pizzi</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Natalia Shuman</w:t>
            </w: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35,000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96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$9.71</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372,400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Edward J. Prajzner</w:t>
            </w:r>
          </w:p>
        </w:tc>
        <w:tc>
          <w:tcPr>
            <w:tcW w:w="240" w:type="dxa"/>
            <w:vAlign w:val="bottom"/>
          </w:tcPr>
          <w:p>
            <w:pPr>
              <w:spacing w:after="0"/>
              <w:rPr>
                <w:sz w:val="18"/>
                <w:szCs w:val="18"/>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Manuel Stamatakis</w:t>
            </w:r>
          </w:p>
        </w:tc>
        <w:tc>
          <w:tcPr>
            <w:tcW w:w="11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$5.36  –  9.06</w:t>
            </w:r>
          </w:p>
        </w:tc>
        <w:tc>
          <w:tcPr>
            <w:tcW w:w="96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$7.58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$7,981,250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Gennaro D’Alterio</w:t>
            </w:r>
          </w:p>
        </w:tc>
        <w:tc>
          <w:tcPr>
            <w:tcW w:w="240" w:type="dxa"/>
            <w:vAlign w:val="bottom"/>
          </w:tcPr>
          <w:p>
            <w:pPr>
              <w:spacing w:after="0"/>
              <w:rPr>
                <w:sz w:val="18"/>
                <w:szCs w:val="18"/>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Hani Hammad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Change in Control and Severance Entitlements to the Company’s Executive Officers</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of the executive officers of the Company has an employment agreement with the Company (each, an “Employment Agreement” and, collectively, the “Employment Agreements”) that provides for, among other things, the eligibility of the executive officers to receive the following benefits (collectively, the “Severance Benefits”) (with the exception of Mr. Stamatakis, whose Severance Benefits are described separately below) upon a termination of employment by the Company without “cause” or a voluntary resignation by the executive for “good reason,” as such terms are defined in the Employment Agreements, occurring either (1) within 12 months following the occurrence of a change in control (as defined in the Company’s Amended and Restated 2016 Long-Term Incentive Plan (the “LTIP”)), which includes the Merger, or (2) within 90 days prior to the occurrence of a change in control (each, a “Qualifying Termination”), subject to the executive officer executing and not revoking a general release of claims in favor of the Company and its affiliates:</w:t>
      </w:r>
    </w:p>
    <w:p>
      <w:pPr>
        <w:spacing w:after="0" w:line="86" w:lineRule="exact"/>
        <w:rPr>
          <w:sz w:val="20"/>
          <w:szCs w:val="20"/>
          <w:color w:val="auto"/>
        </w:rPr>
      </w:pPr>
    </w:p>
    <w:p>
      <w:pPr>
        <w:ind w:left="1000" w:right="95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executive officer’s base salary for 24 months (18 months for Mr. Hammad and Mr. D’Alterio);</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two times the executive’s target annual bonus opportunity (1.5 times for Mr. Hammad and Mr. D’Alterio); and</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continuation coverage for the executive and their spouse, as applicable, at the Company’s expense for 12 months.</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the event of a Qualifying Termination, Mr. Stamatakis’s Employment Agreement provides for Severance Benefits in the form of a lump sum cash payment equal to the pro rata annual incentive award for the year of his cessation of employment, based on the greater of target or actual performance for the year of termination. Because it is not yet known whether actual performance for the relevant portion of 2026 will surpass target, the Company is assuming for purposes of the information contained in this proxy statement that target performance will apply.</w:t>
      </w:r>
    </w:p>
    <w:p>
      <w:pPr>
        <w:spacing w:after="0" w:line="75"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In addition to the above Severance Benefits, in the event of an executive’s Qualifying Termination, the Employment Agreements provide for acceleration of some or all of the executive’s outstanding equity or incentive awards. The executive will receive payment of any accrued but unpaid amounts (including base salary and, to the extent earned and unpaid, annual incentive awards) and reimbursements for business expenses. Note that although the Employment Agreements provide for the acceleration of some or all of the executive’s equity awards, all outstanding Company Options, Company RSUs, and Company PRSUs will be cancelled and converted into a right to receive a cash payment as described above.</w:t>
      </w:r>
    </w:p>
    <w:p>
      <w:pPr>
        <w:spacing w:after="0" w:line="81"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The Severance Benefits described above are subject to, among other things, the executive officer’s timely execution and non-revocation of a general release of claims in favor of the Company and its affiliates, and compliance with post-employment restrictive covenants (with the exception of Mr. Stamatakis, whose Employment Agreement sets forth that the post-employment restrictive covenants do not apply if Mr. Stamatakis’s employment is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340"/>
        <w:spacing w:after="0" w:line="258" w:lineRule="auto"/>
        <w:rPr>
          <w:sz w:val="20"/>
          <w:szCs w:val="20"/>
          <w:color w:val="auto"/>
        </w:rPr>
      </w:pPr>
      <w:r>
        <w:rPr>
          <w:rFonts w:ascii="Times New Roman" w:cs="Times New Roman" w:eastAsia="Times New Roman" w:hAnsi="Times New Roman"/>
          <w:sz w:val="18"/>
          <w:szCs w:val="18"/>
          <w:color w:val="auto"/>
        </w:rPr>
        <w:t>terminated by the Board without cause or Mr. Stamatakis resigns for good reason) including a perpetual restriction on disclosing Company trade secrets, a perpetual confidentiality obligation, a 12-month post-employment restriction against competition (a period of 18 months post-employment for Ms. Shuman) and a 24-month post-employment restriction against (a) solicitation of Company non-clerical employees, customers, and clients and (b) interference with the Company’s business relationships.</w:t>
      </w:r>
    </w:p>
    <w:p>
      <w:pPr>
        <w:spacing w:after="0" w:line="75" w:lineRule="exact"/>
        <w:rPr>
          <w:sz w:val="20"/>
          <w:szCs w:val="20"/>
          <w:color w:val="auto"/>
        </w:rPr>
      </w:pPr>
    </w:p>
    <w:p>
      <w:pPr>
        <w:ind w:left="1300" w:right="1340" w:firstLine="360"/>
        <w:spacing w:after="0" w:line="266" w:lineRule="auto"/>
        <w:rPr>
          <w:sz w:val="20"/>
          <w:szCs w:val="20"/>
          <w:color w:val="auto"/>
        </w:rPr>
      </w:pPr>
      <w:r>
        <w:rPr>
          <w:rFonts w:ascii="Times New Roman" w:cs="Times New Roman" w:eastAsia="Times New Roman" w:hAnsi="Times New Roman"/>
          <w:sz w:val="18"/>
          <w:szCs w:val="18"/>
          <w:color w:val="auto"/>
        </w:rPr>
        <w:t>It is currently estimated that the executive officers would be entitled to receive, in the aggregate, approximately $8,873,172 in cash severance benefits under the Employment Agreements, assuming each of the executive officers experiences a Qualifying Termination on October 19, 2026.</w:t>
      </w:r>
    </w:p>
    <w:p>
      <w:pPr>
        <w:spacing w:after="0" w:line="68" w:lineRule="exact"/>
        <w:rPr>
          <w:sz w:val="20"/>
          <w:szCs w:val="20"/>
          <w:color w:val="auto"/>
        </w:rPr>
      </w:pPr>
    </w:p>
    <w:p>
      <w:pPr>
        <w:ind w:left="1300" w:right="1480" w:firstLine="360"/>
        <w:spacing w:after="0" w:line="261" w:lineRule="auto"/>
        <w:rPr>
          <w:sz w:val="20"/>
          <w:szCs w:val="20"/>
          <w:color w:val="auto"/>
        </w:rPr>
      </w:pPr>
      <w:r>
        <w:rPr>
          <w:rFonts w:ascii="Times New Roman" w:cs="Times New Roman" w:eastAsia="Times New Roman" w:hAnsi="Times New Roman"/>
          <w:sz w:val="18"/>
          <w:szCs w:val="18"/>
          <w:color w:val="auto"/>
        </w:rPr>
        <w:t>For a more detailed estimate of the value of the severance payments to each named executive officer upon a Qualifying Termination under the Employment Agreements in connection with the Merger, see the section titled “Interests of the Directors and Executive Officers of the Company in the Merger—Quantification of Payments and Benefits” below.</w:t>
      </w:r>
    </w:p>
    <w:p>
      <w:pPr>
        <w:spacing w:after="0" w:line="3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Section 280G Mitigation Actions</w:t>
      </w:r>
    </w:p>
    <w:p>
      <w:pPr>
        <w:spacing w:after="0" w:line="121" w:lineRule="exact"/>
        <w:rPr>
          <w:sz w:val="20"/>
          <w:szCs w:val="20"/>
          <w:color w:val="auto"/>
        </w:rPr>
      </w:pPr>
    </w:p>
    <w:p>
      <w:pPr>
        <w:ind w:left="1300" w:right="1340"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Merger, certain employees of the Company (including its executive officers) may become entitled to payments and benefits that may be treated as “excess parachute payments” within the meaning of Section 280G of the Code. If the Effective Time is not expected to occur until after January 1, 2027, the Company, in consultation with Parent, may engage in certain mitigation strategies prior to December 31, 2026 to reduce the potential impact of Section 280G and Section 4999 of the Code, including accelerating vesting of the portion of an executive’s equity awards that would otherwise vest in 2026 and paying any portion of the annual bonus that is expected to be payable to the executive in 2027 in respect of 2026. No executive officer is entitled to a tax gross-up for any “golden parachute” excise tax under Section 4999 of the Code. In the event that the Severance Benefits under the Employment Agreements would be subject to the “golden parachute” excise tax under Section 4999 of the Code, the executive’s payments will be either: (1) the full amount of the payments or (2) the lesser amount that would ensure that no portion of the payments would be subject to the excise tax, whichever would put the executive in the best net position after tax, as determined by an independent auditor.</w:t>
      </w: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Retention Bonus Arrangements</w:t>
      </w:r>
    </w:p>
    <w:p>
      <w:pPr>
        <w:spacing w:after="0" w:line="121" w:lineRule="exact"/>
        <w:rPr>
          <w:sz w:val="20"/>
          <w:szCs w:val="20"/>
          <w:color w:val="auto"/>
        </w:rPr>
      </w:pPr>
    </w:p>
    <w:p>
      <w:pPr>
        <w:ind w:left="1300" w:right="1480" w:firstLine="360"/>
        <w:spacing w:after="0" w:line="267" w:lineRule="auto"/>
        <w:rPr>
          <w:sz w:val="20"/>
          <w:szCs w:val="20"/>
          <w:color w:val="auto"/>
        </w:rPr>
      </w:pPr>
      <w:r>
        <w:rPr>
          <w:rFonts w:ascii="Times New Roman" w:cs="Times New Roman" w:eastAsia="Times New Roman" w:hAnsi="Times New Roman"/>
          <w:sz w:val="17"/>
          <w:szCs w:val="17"/>
          <w:color w:val="auto"/>
        </w:rPr>
        <w:t>In connection with the Merger, the Compensation Committee of the Board approved a cash transaction and retention bonus program in an aggregate amount of approximately $2.75 million, under which Ms. Shuman, Mr. Prajzner, Mr. D’Alterio and Mr. Hammad are eligible to receive bonuses pursuant to bonus letter agreements expected to be entered into prior to the Closing between the Company and each named executive officer (each, a “Retention Agreement”). The program was permitted under an exception to the interim operating covenants of the Merger Agreement. The bonus concept was first proposed by the Company in its July 16, 2026 draft of the Merger Agreement, after the parties had agreed on the $20.35 per share Merger Consideration in the letter of intent countersigned on July 2, 2026, and the aggregate amount and payment terms of the program were subsequently negotiated between the Company and H.I.G., with the parties ultimately agreeing to an aggregate amount of</w:t>
      </w:r>
    </w:p>
    <w:p>
      <w:pPr>
        <w:spacing w:after="0" w:line="5" w:lineRule="exact"/>
        <w:rPr>
          <w:sz w:val="20"/>
          <w:szCs w:val="20"/>
          <w:color w:val="auto"/>
        </w:rPr>
      </w:pPr>
    </w:p>
    <w:p>
      <w:pPr>
        <w:ind w:left="1300" w:right="1340"/>
        <w:spacing w:after="0" w:line="268" w:lineRule="auto"/>
        <w:rPr>
          <w:sz w:val="20"/>
          <w:szCs w:val="20"/>
          <w:color w:val="auto"/>
        </w:rPr>
      </w:pPr>
      <w:r>
        <w:rPr>
          <w:rFonts w:ascii="Times New Roman" w:cs="Times New Roman" w:eastAsia="Times New Roman" w:hAnsi="Times New Roman"/>
          <w:sz w:val="17"/>
          <w:szCs w:val="17"/>
          <w:color w:val="auto"/>
        </w:rPr>
        <w:t>$2.75 million. The program was designed to recognize contributions in connection with the Merger and to retain key employees through the Closing and transition period. The awards granted under the Retention Agreements will vest and become payable as follows: (i) 50.0% at the Effective Time; and (ii) 50.0% on the 12-month anniversary of the Effective Time, in each case, subject to the recipient’s continued employment through the applicable vesting date. Upon a termination of employment by the Company without “cause” or a voluntary resignation by the executive for “good reason,” as such terms are defined in the applicable Employment Agreement, following the Effective Time, the unvested portion of such recipient’s award will vest and become payable in full, subject to the recipient’s timely execution and non-revocation of a general release of claims in favor of the Company and its affiliates.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 Aggregate</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3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jc w:val="center"/>
              <w:ind w:right="493"/>
              <w:spacing w:after="0" w:line="149" w:lineRule="exact"/>
              <w:rPr>
                <w:sz w:val="20"/>
                <w:szCs w:val="20"/>
                <w:color w:val="auto"/>
              </w:rPr>
            </w:pPr>
            <w:r>
              <w:rPr>
                <w:rFonts w:ascii="Times New Roman" w:cs="Times New Roman" w:eastAsia="Times New Roman" w:hAnsi="Times New Roman"/>
                <w:sz w:val="14"/>
                <w:szCs w:val="14"/>
                <w:b w:val="1"/>
                <w:bCs w:val="1"/>
                <w:color w:val="auto"/>
              </w:rPr>
              <w:t>Retention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3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Bonus Payment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Natalia Shuman</w:t>
            </w:r>
          </w:p>
        </w:tc>
        <w:tc>
          <w:tcPr>
            <w:tcW w:w="4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6"/>
              </w:rPr>
              <w:t>   750,000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Edward J. Prajzner</w:t>
            </w:r>
          </w:p>
        </w:tc>
        <w:tc>
          <w:tcPr>
            <w:tcW w:w="4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425,000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Manuel Stamatakis</w:t>
            </w:r>
          </w:p>
        </w:tc>
        <w:tc>
          <w:tcPr>
            <w:tcW w:w="4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Hani Hammad</w:t>
            </w:r>
          </w:p>
        </w:tc>
        <w:tc>
          <w:tcPr>
            <w:tcW w:w="4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425,000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Gennaro D’Alterio</w:t>
            </w:r>
          </w:p>
        </w:tc>
        <w:tc>
          <w:tcPr>
            <w:tcW w:w="3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245,000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0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Insurance</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 xml:space="preserve">Pursuant to the terms of the Merger Agreement, each of the Company’s current or former directors and executive officers will be entitled to certain ongoing indemnification and insurance coverage for a period of not less than six years following the Effective Time, as further described in the section titled, “The Merger Agreement— Directors’ and Officers’ Indemnification and Insurance” beginning on page </w:t>
      </w:r>
      <w:r>
        <w:rPr>
          <w:rFonts w:ascii="Times New Roman" w:cs="Times New Roman" w:eastAsia="Times New Roman" w:hAnsi="Times New Roman"/>
          <w:sz w:val="17"/>
          <w:szCs w:val="17"/>
          <w:u w:val="single" w:color="auto"/>
          <w:color w:val="0000EE"/>
        </w:rPr>
        <w:t>93</w:t>
      </w:r>
      <w:r>
        <w:rPr>
          <w:rFonts w:ascii="Times New Roman" w:cs="Times New Roman" w:eastAsia="Times New Roman" w:hAnsi="Times New Roman"/>
          <w:sz w:val="17"/>
          <w:szCs w:val="17"/>
          <w:color w:val="auto"/>
        </w:rPr>
        <w:t xml:space="preserve"> of this proxy statement.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of each of the Company’s named executive officers that is based on or otherwise relates to the Merger and that will or may become payable to the named executive officers at the completion of the Merger or on a Qualifying Termination following the consummation of the Merger. Applicable SEC disclosure rules refer to this compensation as “golden parachute” compensation, and in this section, we use such term to describe the Merger-related compensation payable to the Company’s named executive officers.</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amounts shown in the table below are estimates based on various assumptions that may or may not actually occur or be accurate on the relevant date, including the assumptions described below and in the footnotes to the table, and do not reflect certain compensation actions that may occur before the completion of the Merger. As a result, the actual amounts, if any, that a named executive officer receives may materially differ from the amounts set forth in the table.</w:t>
      </w:r>
    </w:p>
    <w:p>
      <w:pPr>
        <w:spacing w:after="0" w:line="75" w:lineRule="exact"/>
        <w:rPr>
          <w:sz w:val="20"/>
          <w:szCs w:val="20"/>
          <w:color w:val="auto"/>
        </w:rPr>
      </w:pPr>
    </w:p>
    <w:p>
      <w:pPr>
        <w:ind w:left="300" w:right="135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disclosure, the Company’s named executive officers as of the date hereof are Natalia Shuman, Edward J. Prajzner, Manuel Stamatakis, Gennaro D’Alterio and Hani Hammad.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assumes that:</w:t>
      </w:r>
    </w:p>
    <w:p>
      <w:pPr>
        <w:spacing w:after="0" w:line="117" w:lineRule="exact"/>
        <w:rPr>
          <w:sz w:val="20"/>
          <w:szCs w:val="20"/>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of a share of Common Stock is $20.35 (which is the Merger Consideration);</w:t>
      </w:r>
    </w:p>
    <w:p>
      <w:pPr>
        <w:spacing w:after="0" w:line="117"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is assumed, solely for the purposes of this disclosure, to have occurred on October 19, 2026 (which is the latest practicable date to determine the amounts set forth in the table below before the filing of this proxy statement);</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named executive officer will receive any additional, or forfeit any, equity or equity-based awards prior to the Effective Time;</w:t>
      </w:r>
    </w:p>
    <w:p>
      <w:pPr>
        <w:spacing w:after="0" w:line="53" w:lineRule="exact"/>
        <w:rPr>
          <w:rFonts w:ascii="Times New Roman" w:cs="Times New Roman" w:eastAsia="Times New Roman" w:hAnsi="Times New Roman"/>
          <w:sz w:val="18"/>
          <w:szCs w:val="18"/>
          <w:color w:val="auto"/>
        </w:rPr>
      </w:pPr>
    </w:p>
    <w:p>
      <w:pPr>
        <w:ind w:left="1000" w:right="479" w:hanging="348"/>
        <w:spacing w:after="0" w:line="312" w:lineRule="auto"/>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executive officer experiences a Qualifying Termination immediately following the Effective Time and receives severance payments and benefits as described in the Employment Agreements;</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have each timely executed and not revoked a release of claims; and</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base salaries and target annual bonus opportunities will remain unchanged from those in place as of the close of business on October 19, 2026.</w:t>
      </w:r>
    </w:p>
    <w:p>
      <w:pPr>
        <w:spacing w:after="0" w:line="54"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The table below excludes any payments or benefits that would have been earned, or any amounts associated with Company Options, Company RSUs or Company PRSUs that would vest according to their terms on or prior to the Effective Time and irrespective of the Merger. The values and descriptions also (1) do not reflect amounts under contracts, agreements, plans, or arrangements to the extent that they do not discriminate in scope, terms, or operation in favor of the named executive officers and that are generally available to all salaried employees of the Company,</w:t>
      </w:r>
    </w:p>
    <w:p>
      <w:pPr>
        <w:spacing w:after="0" w:line="3" w:lineRule="exact"/>
        <w:rPr>
          <w:sz w:val="20"/>
          <w:szCs w:val="20"/>
          <w:color w:val="auto"/>
        </w:rPr>
      </w:pPr>
    </w:p>
    <w:p>
      <w:pPr>
        <w:ind w:left="540" w:hanging="248"/>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applicable tax withholdings that are applicable to any of the payments set forth in the table, and</w:t>
      </w:r>
    </w:p>
    <w:p>
      <w:pPr>
        <w:spacing w:after="0" w:line="9" w:lineRule="exact"/>
        <w:rPr>
          <w:rFonts w:ascii="Times New Roman" w:cs="Times New Roman" w:eastAsia="Times New Roman" w:hAnsi="Times New Roman"/>
          <w:sz w:val="18"/>
          <w:szCs w:val="18"/>
          <w:color w:val="auto"/>
        </w:rPr>
      </w:pPr>
    </w:p>
    <w:p>
      <w:pPr>
        <w:ind w:left="300" w:right="379" w:hanging="8"/>
        <w:spacing w:after="0" w:line="260" w:lineRule="auto"/>
        <w:tabs>
          <w:tab w:leader="none" w:pos="5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no payments are subject to reduction to the extent required by the terms of the applicable agreement to account for the application of Sections 280G and 4999 of the Code to such payments.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tbl>
      <w:tblPr>
        <w:tblLayout w:type="fixed"/>
        <w:tblInd w:w="30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140" w:type="dxa"/>
            <w:vAlign w:val="bottom"/>
          </w:tcPr>
          <w:p>
            <w:pPr>
              <w:spacing w:after="0"/>
              <w:rPr>
                <w:sz w:val="24"/>
                <w:szCs w:val="24"/>
                <w:color w:val="auto"/>
              </w:rPr>
            </w:pP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Tax</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Retention</w:t>
            </w:r>
          </w:p>
        </w:tc>
        <w:tc>
          <w:tcPr>
            <w:tcW w:w="140" w:type="dxa"/>
            <w:vAlign w:val="bottom"/>
          </w:tcPr>
          <w:p>
            <w:pPr>
              <w:spacing w:after="0"/>
              <w:rPr>
                <w:sz w:val="12"/>
                <w:szCs w:val="12"/>
                <w:color w:val="auto"/>
              </w:rPr>
            </w:pPr>
          </w:p>
        </w:tc>
        <w:tc>
          <w:tcPr>
            <w:tcW w:w="8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960" w:type="dxa"/>
            <w:vAlign w:val="bottom"/>
            <w:gridSpan w:val="2"/>
          </w:tcPr>
          <w:p>
            <w:pPr>
              <w:jc w:val="right"/>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&amp;</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4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NQDC</w:t>
            </w:r>
          </w:p>
        </w:tc>
        <w:tc>
          <w:tcPr>
            <w:tcW w:w="140" w:type="dxa"/>
            <w:vAlign w:val="bottom"/>
          </w:tcPr>
          <w:p>
            <w:pPr>
              <w:spacing w:after="0"/>
              <w:rPr>
                <w:sz w:val="12"/>
                <w:szCs w:val="12"/>
                <w:color w:val="auto"/>
              </w:rPr>
            </w:pPr>
          </w:p>
        </w:tc>
        <w:tc>
          <w:tcPr>
            <w:tcW w:w="820" w:type="dxa"/>
            <w:vAlign w:val="bottom"/>
          </w:tcPr>
          <w:p>
            <w:pPr>
              <w:jc w:val="right"/>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4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80" w:type="dxa"/>
            <w:vAlign w:val="bottom"/>
            <w:gridSpan w:val="2"/>
            <w:vMerge w:val="continue"/>
          </w:tcPr>
          <w:p>
            <w:pPr>
              <w:spacing w:after="0"/>
              <w:rPr>
                <w:sz w:val="16"/>
                <w:szCs w:val="16"/>
                <w:color w:val="auto"/>
              </w:rPr>
            </w:pPr>
          </w:p>
        </w:tc>
        <w:tc>
          <w:tcPr>
            <w:tcW w:w="1100" w:type="dxa"/>
            <w:vAlign w:val="bottom"/>
            <w:gridSpan w:val="2"/>
          </w:tcPr>
          <w:p>
            <w:pPr>
              <w:jc w:val="center"/>
              <w:ind w:left="55"/>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(1)</w:t>
            </w:r>
          </w:p>
        </w:tc>
        <w:tc>
          <w:tcPr>
            <w:tcW w:w="1080" w:type="dxa"/>
            <w:vAlign w:val="bottom"/>
            <w:gridSpan w:val="2"/>
          </w:tcPr>
          <w:p>
            <w:pPr>
              <w:jc w:val="center"/>
              <w:ind w:left="56"/>
              <w:spacing w:after="0" w:line="189"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21"/>
                <w:szCs w:val="21"/>
                <w:b w:val="1"/>
                <w:bCs w:val="1"/>
                <w:color w:val="auto"/>
                <w:w w:val="95"/>
                <w:vertAlign w:val="superscript"/>
              </w:rPr>
              <w:t>(2)</w:t>
            </w:r>
          </w:p>
        </w:tc>
        <w:tc>
          <w:tcPr>
            <w:tcW w:w="940" w:type="dxa"/>
            <w:vAlign w:val="bottom"/>
            <w:gridSpan w:val="2"/>
          </w:tcPr>
          <w:p>
            <w:pPr>
              <w:jc w:val="right"/>
              <w:ind w:right="159"/>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(3)</w:t>
            </w:r>
          </w:p>
        </w:tc>
        <w:tc>
          <w:tcPr>
            <w:tcW w:w="660" w:type="dxa"/>
            <w:vAlign w:val="bottom"/>
            <w:gridSpan w:val="2"/>
          </w:tcPr>
          <w:p>
            <w:pPr>
              <w:jc w:val="center"/>
              <w:ind w:left="73"/>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(4)</w:t>
            </w:r>
          </w:p>
        </w:tc>
        <w:tc>
          <w:tcPr>
            <w:tcW w:w="960" w:type="dxa"/>
            <w:vAlign w:val="bottom"/>
            <w:gridSpan w:val="2"/>
          </w:tcPr>
          <w:p>
            <w:pPr>
              <w:jc w:val="center"/>
              <w:ind w:right="162"/>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(5)</w:t>
            </w:r>
          </w:p>
        </w:tc>
        <w:tc>
          <w:tcPr>
            <w:tcW w:w="1140" w:type="dxa"/>
            <w:vAlign w:val="bottom"/>
            <w:gridSpan w:val="2"/>
          </w:tcPr>
          <w:p>
            <w:pPr>
              <w:jc w:val="center"/>
              <w:ind w:left="73"/>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(6)</w:t>
            </w:r>
          </w:p>
        </w:tc>
        <w:tc>
          <w:tcPr>
            <w:tcW w:w="960" w:type="dxa"/>
            <w:vAlign w:val="bottom"/>
            <w:gridSpan w:val="2"/>
          </w:tcPr>
          <w:p>
            <w:pPr>
              <w:jc w:val="right"/>
              <w:ind w:right="179"/>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(6)</w:t>
            </w:r>
          </w:p>
        </w:tc>
        <w:tc>
          <w:tcPr>
            <w:tcW w:w="0" w:type="dxa"/>
            <w:vAlign w:val="bottom"/>
          </w:tcPr>
          <w:p>
            <w:pPr>
              <w:spacing w:after="0"/>
              <w:rPr>
                <w:sz w:val="1"/>
                <w:szCs w:val="1"/>
                <w:color w:val="auto"/>
              </w:rPr>
            </w:pPr>
          </w:p>
        </w:tc>
      </w:tr>
      <w:tr>
        <w:trPr>
          <w:trHeight w:val="223"/>
        </w:trPr>
        <w:tc>
          <w:tcPr>
            <w:tcW w:w="1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Natalia Shuman</w:t>
            </w:r>
          </w:p>
        </w:tc>
        <w:tc>
          <w:tcPr>
            <w:tcW w:w="14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3,604,000</w:t>
            </w:r>
          </w:p>
        </w:tc>
        <w:tc>
          <w:tcPr>
            <w:tcW w:w="140" w:type="dxa"/>
            <w:vAlign w:val="bottom"/>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5,024,511</w:t>
            </w:r>
          </w:p>
        </w:tc>
        <w:tc>
          <w:tcPr>
            <w:tcW w:w="14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18,824</w:t>
            </w:r>
          </w:p>
        </w:tc>
        <w:tc>
          <w:tcPr>
            <w:tcW w:w="140" w:type="dxa"/>
            <w:vAlign w:val="bottom"/>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9,397,335</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Prajzner</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2,080,000</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425,000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2,109,990</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31,507</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4,646,497</w:t>
            </w: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Manuel Stamatakis</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580,000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12,473,981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13,054,878</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Gennaro D’Alterio</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1,151,172</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245,000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1,042,083</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35,163</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2,473,418</w:t>
            </w: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Hani Hammad</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1,458,000</w:t>
            </w: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425,000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1,663,266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35,163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3,581,429</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39" w:hanging="348"/>
        <w:spacing w:after="0" w:line="225"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severance represents the amount payable pursuant to the Employment Agreements, which are described above in the section titled “Interests of the Directors and Executive Officers of the Company in the Merger—Potential Change in Control and Severance Entitlements to the Company’s Executive Officers.” The amounts included in this column are considered to be “double trigger” (i.e., amounts triggered by a change in control for which payment is conditioned upon a Qualifying Termination). A Qualifying Termination is a termination of employment by the Company without “cause” or a voluntary resignation by the named executive officer for “good reason,” as such terms are defined in the Employment Agreements, occurring either (1) within 12 months following the occurrence of a change in control (as defined in the LTIP), which includes the Merger, or (2) within 90 days prior to the occurrence of a change in control. The estimated amount of each such payment included in the “Cash Severance” column above is set forth in the table below. Note that the cash severance, bonus target and prorated bonus amounts included in the table below were determined based on the executives’ base salary and target annual bonus for the 2026 fiscal year, prorated, if applicable, as of the close of business on October 19, 2026. An executive’s receipt of severance is contingent on the executive’s execution and non-revocation of a general release of claims in favor of the Company and related parties. Executives, other than Mr. Stamatakis, must also comply with post-employment restrictive covenants including a perpetual restriction on disclosing Company trade secrets, a perpetual confidentiality obligation, a 12-month post-employment restriction against competition (a period of 18 months post-employment for Ms. Shuman) and a 24-month post-employment restriction against solicitation of employees and interference with the Company’s business relationships.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22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Total Cash</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8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Natalia Shuman</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1,802,000</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3,604,000</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Edward J. Prajzner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1,040,000</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2,080,000</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Manuel Stamatakis</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580,000</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Gennaro D’Alterio</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639,540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511,632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1,151,172</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Hani Hammad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729,000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1,458,000</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19" w:hanging="348"/>
        <w:spacing w:after="0" w:line="231"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value of the cash retention bonus awards the executive officers are eligible to receive in connection with the Merger and assume that the executive officer satisfies the terms of the applicable Retention Agreement, as described in more detail above in the section titled “Interests of the Directors and Executive Officers of the Company in the Merger—Retention Bonus Arrangements.” The 50% of each award payable at the Effective Time is considered to be “single trigger,” and the remaining 50%, which would otherwise vest on the 12-month anniversary of the Effective Time and is included in this column on the assumption of a Qualifying Termination immediately following the Effective Time, is considered to be “double trigger.”</w:t>
      </w:r>
    </w:p>
    <w:p>
      <w:pPr>
        <w:spacing w:after="0" w:line="15" w:lineRule="exact"/>
        <w:rPr>
          <w:rFonts w:ascii="Times New Roman" w:cs="Times New Roman" w:eastAsia="Times New Roman" w:hAnsi="Times New Roman"/>
          <w:sz w:val="14"/>
          <w:szCs w:val="14"/>
          <w:color w:val="auto"/>
        </w:rPr>
      </w:pPr>
    </w:p>
    <w:p>
      <w:pPr>
        <w:ind w:left="640" w:right="379" w:hanging="348"/>
        <w:spacing w:after="0" w:line="228"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shown reflect the potential value that each named executive officer could receive in respect of their outstanding Company Options, unvested Company RSUs and Company PRSUs in connection with the Merger. See the section titled “Summary—Treatment of Outstanding Equity-Based Awards” beginning on page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of this proxy statement. The treatment of the outstanding Company Options, Company RSUs, and Company PRSUs is considered to be “single trigger” (i.e., amounts triggered solely by a change in control) because the treatment is provided for under the Merger Agreement for all equity awards and does not require a subsequent termination of employment. The estimated amount of each such payment included in the “Equity” column above is set forth in the table below. For the purposes of the following table, Company PRSUs (rather than Company RSUs) include performance-based restricted stock unit awards for prior years that are no longer subject to performance-based vesting conditions.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PRSUs</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8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Natalia Shuman</w:t>
            </w: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339,173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4,312,938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5,024,511</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Edward J. Prajzner</w:t>
            </w: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178,063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1,931,927</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2,109,990</w:t>
            </w: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Manuel Stamatakis</w:t>
            </w: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814,000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3,678,731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7,981,250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12,473,981</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Gennaro D’Alterio</w:t>
            </w: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81,400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960,683</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1,042,083</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Hani Hammad</w:t>
            </w:r>
          </w:p>
        </w:tc>
        <w:tc>
          <w:tcPr>
            <w:tcW w:w="8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239,397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1,423,869</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1,663,266</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60" w:right="939"/>
        <w:spacing w:after="0" w:line="261" w:lineRule="auto"/>
        <w:rPr>
          <w:sz w:val="20"/>
          <w:szCs w:val="20"/>
          <w:color w:val="auto"/>
        </w:rPr>
      </w:pPr>
      <w:r>
        <w:rPr>
          <w:rFonts w:ascii="Times New Roman" w:cs="Times New Roman" w:eastAsia="Times New Roman" w:hAnsi="Times New Roman"/>
          <w:sz w:val="14"/>
          <w:szCs w:val="14"/>
          <w:color w:val="auto"/>
        </w:rPr>
        <w:t>The value of Company PRSUs reflected in the tables above assumes, with respect to any Company PRSU that remains subject to performance-based vesting, performance achievement at target.</w:t>
      </w:r>
    </w:p>
    <w:p>
      <w:pPr>
        <w:spacing w:after="0" w:line="1" w:lineRule="exact"/>
        <w:rPr>
          <w:sz w:val="20"/>
          <w:szCs w:val="20"/>
          <w:color w:val="auto"/>
        </w:rPr>
      </w:pPr>
    </w:p>
    <w:p>
      <w:pPr>
        <w:ind w:left="640" w:right="559" w:hanging="348"/>
        <w:spacing w:after="0" w:line="26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named executive officers will be entitled to pension or non-qualified deferred compensation benefits in connection with the Merger.</w:t>
      </w:r>
    </w:p>
    <w:p>
      <w:pPr>
        <w:ind w:left="640" w:right="339" w:hanging="348"/>
        <w:spacing w:after="0" w:line="236"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aggregate costs of providing continued health and welfare benefits for a period of 12 months, as described in more detail above in the section titled “Potential Change in Control and Severance Entitlements to the Company’s Executive Officers.” The amounts included in this column are considered to be “double trigger.” The estimated amount of each component included in this column is set forth in the table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5" w:name="page76"/>
    <w:bookmarkEnd w:id="75"/>
    <w:tbl>
      <w:tblPr>
        <w:tblLayout w:type="fixed"/>
        <w:tblInd w:w="300" w:type="dxa"/>
        <w:tblCellMar>
          <w:top w:w="0" w:type="dxa"/>
          <w:left w:w="0" w:type="dxa"/>
          <w:bottom w:w="0" w:type="dxa"/>
          <w:right w:w="0" w:type="dxa"/>
        </w:tblCellMar>
      </w:tblPr>
      <w:tr>
        <w:trPr>
          <w:trHeight w:val="161"/>
        </w:trPr>
        <w:tc>
          <w:tcPr>
            <w:tcW w:w="5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Health</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Medical</w:t>
            </w: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Dental</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Vision</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Welfare</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Natalia Shuman</w:t>
            </w:r>
          </w:p>
        </w:tc>
        <w:tc>
          <w:tcPr>
            <w:tcW w:w="82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17,804</w:t>
            </w:r>
          </w:p>
        </w:tc>
        <w:tc>
          <w:tcPr>
            <w:tcW w:w="82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5"/>
              </w:rPr>
              <w:t>897</w:t>
            </w:r>
          </w:p>
        </w:tc>
        <w:tc>
          <w:tcPr>
            <w:tcW w:w="8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123</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18,824</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Edward J. Prajzner</w:t>
            </w: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30,487</w:t>
            </w: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5"/>
              </w:rPr>
              <w:t>897</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123</w:t>
            </w: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31,507</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Manuel Stamatakis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5"/>
              </w:rPr>
              <w:t>897</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Gennaro D’Alterio</w:t>
            </w: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34,043</w:t>
            </w:r>
          </w:p>
        </w:tc>
        <w:tc>
          <w:tcPr>
            <w:tcW w:w="8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5"/>
              </w:rPr>
              <w:t>997</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123</w:t>
            </w: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35,163</w:t>
            </w: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Hani Hammad</w:t>
            </w:r>
          </w:p>
        </w:tc>
        <w:tc>
          <w:tcPr>
            <w:tcW w:w="82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34,043</w:t>
            </w:r>
          </w:p>
        </w:tc>
        <w:tc>
          <w:tcPr>
            <w:tcW w:w="82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95"/>
              </w:rPr>
              <w:t>997</w:t>
            </w:r>
          </w:p>
        </w:tc>
        <w:tc>
          <w:tcPr>
            <w:tcW w:w="8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123</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35,163</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35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39" w:hanging="348"/>
        <w:spacing w:after="0"/>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named executive officers are, or will be, entitled to a tax reimbursement in connection with the Merger or a tax gross-up for any “golden parachute” excise tax under Section 4999 of the Code. In the event that the Severance Benefits would be subject to the “golden parachute” excise tax under Section 4999 of the Code, the executive’s payments will be either: (1) the full amount of the payments or (2) the lesser amount that would ensure that no portion of the payments would be subject to the excise tax, whichever would put the executive in the best net position after tax, as determined by an independent auditor. The amounts shown in this table do not reflect any such reduction.</w:t>
      </w: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Prior to the Effective Time, the Company, Parent, or their respective affiliates may, in their discretion, continue or initiate, as applicable, discussions regarding agreements, arrangements, and understandings with one or more of the Company’s executive officers regarding their employment or other future services, compensation or benefits, or co-investment opportunities and may enter into definitive agreements with such individuals regarding the foregoing (including the terms of any participation in a post-closing equity compensation program), subject to the interim operating covenants set forth in the Merger Agreement and applicable restrictions therein.</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121"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7"/>
          <w:szCs w:val="17"/>
          <w:color w:val="auto"/>
        </w:rPr>
        <w:t>The Merger is not subject to any financing condition. Parent has represented in the Merger Agreement that, as of the Closing Date, subject to the terms and conditions set forth in the Commitment Letters and in the Merger Agreement and assuming the satisfaction of the conditions to the obligations of Parent and Acquisition Sub to consummate the Merger set forth in the Merger Agreement and the conditions set forth in the Commitment Letters, the aggregate proceeds of the Financing, both before and after giving effect to the exercise of any or all “market flex” provisions related thereto, will be sufficient for the payment by or on behalf of Parent of all amounts required to be paid by it on the Closing Date pursuant to the Merger Agreement, including the payment of the Merger Consideration and all related fees and expenses and the prepayment of debt under (i) the Credit Agreement,</w:t>
      </w:r>
    </w:p>
    <w:p>
      <w:pPr>
        <w:ind w:left="300" w:right="459" w:hanging="8"/>
        <w:spacing w:after="0" w:line="250" w:lineRule="auto"/>
        <w:tabs>
          <w:tab w:leader="none" w:pos="5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Cédula de Crédito Bancário (Bank Credit Note) No. 2023004390, dated September 26, 2023, issued by Mistras South America Ltda. in favor of Banco Daycoval S.A. and (iii) the BPI France credit agreement, Loan</w:t>
      </w:r>
    </w:p>
    <w:p>
      <w:pPr>
        <w:ind w:left="300" w:right="5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08680894, dated as of May 28, 2020 (collectively, the “Credit Facilities”) on the Closing Date (the aggregate amount owed in such circumstance being the “Required Amount”). Parent has further acknowledged that its obtaining of any financing, or the availability, grant, provision or extension of any financing to Parent, is not a condition to its obligations under the Merger Agreement.</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total amount of funds necessary to complete the Merger and the related transactions, including payment of the Merger Consideration, amounts payable in respect of Company Options, Company RSUs and Company PRSUs, and the repayment of outstanding indebtedness under the Credit Facilities, but excluding transaction fees and expenses, will be approximately $866 million.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w:t>
      </w:r>
    </w:p>
    <w:p>
      <w:pPr>
        <w:spacing w:after="0" w:line="121"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Pursuant to the Equity Commitment Letter, and subject to the terms and conditions set forth therein, H.I.G. Fund has committed to contribute, directly or indirectly, to Parent at the Closing an aggregate amount of $395.0 million, which we refer to as the “Commitment Amount,” to purchase equity securities of Parent or its affiliates.</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amount to be funded under the Equity Commitment Letter is subject to reduction (i) to the extent the full Commitment Amount is not necessary to pay the Required Amount and (ii) on a dollar-for-dollar basis for purchases in cash actually made by co-investors (including affiliates of H.I.G. Fund) of equity securities of, or contributions to, Parent, the net proceeds of which are used solely to fund the Required Amount.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obligation of H.I.G. Fund to fund the Commitment Amount is subject solely to (i) the satisfaction or waiver, at the time the Closing would have occurred, of all conditions to Parent’s and Acquisition Sub’s obligations to consummate the Merger set forth in the Merger Agreement, other than conditions that by their nature cannot be satisfied until the Closing but which are capable of being satisfied at the Closing, (ii) the prior or substantially simultaneous funding of the Debt Financing in accordance with the Debt Commitment Letter, and (iii) the substantially concurrent consummation of the Closing in accordance with the terms of the Merger Agreement (assuming the funding of the Commitment Amount).</w:t>
      </w:r>
    </w:p>
    <w:p>
      <w:pPr>
        <w:spacing w:after="0" w:line="8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7"/>
          <w:szCs w:val="17"/>
          <w:color w:val="auto"/>
        </w:rPr>
        <w:t>The Equity Commitment Letter provides that, if the Company is entitled to specific performance of Parent’s obligations under the Merger Agreement, the Company is an express third-party beneficiary thereof solely for the purpose of seeking specific performance of Parent’s right to cause the Commitment Amount to be funded, in accordance with the Equity Commitment Letter, and for no other purpose, including any claim for monetary damages. The Equity Commitment Letter contains customary provisions limiting recourse against H.I.G. Fund’s former, current or future directors, officers, employees, direct or indirect equityholders, controlling persons, general or limited partners, managers, members, affiliates, successors and assigns (collectively, the “Investor Related Parties”) and, by reference to the Limited Guarantee, provides that (i) claims against Parent and the Guarantor under the Equity Commitment Letter prior to the valid termination of the Merger Agreement and the Equity Commitment Letter, seeking specific performance of the Equity Commitment Letter, (ii) claims against the Guarantor under the Limited Guarantee following termination of the Merger Agreement, (iii) any claim by the Company against Parent to the extent expressly permitted under the Merger Agreement or (iv) any claim against H.I.G. Middle Market, LLC to the extent expressly permitted under the mutual non-disclosure agreement to which the Company is a party (collectively, the “Permitted Claims”), in each case subject to the limitations set forth therein, are the sole and exclusive remedies available to the Company against H.I.G. Fund and any Parent Related Party (as defined in Section 7.4(d) of the Merger Agreement). The Equity Commitment Letter terminates automatically and immediately upon the earliest to occur of (i) the funding of the Commitment Amount, (ii) the consummation of the Closing,</w:t>
      </w:r>
    </w:p>
    <w:p>
      <w:pPr>
        <w:spacing w:after="0" w:line="7" w:lineRule="exact"/>
        <w:rPr>
          <w:sz w:val="20"/>
          <w:szCs w:val="20"/>
          <w:color w:val="auto"/>
        </w:rPr>
      </w:pPr>
    </w:p>
    <w:p>
      <w:pPr>
        <w:ind w:left="300" w:right="439" w:hanging="8"/>
        <w:spacing w:after="0" w:line="253" w:lineRule="auto"/>
        <w:tabs>
          <w:tab w:leader="none" w:pos="6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Merger Agreement in accordance with its terms and (iv) the Company or any of its affiliates asserting any claim against H.I.G. Fund or any Parent Related Party in connection with the Equity Commitment Letter, the Limited Guarantee, the Merger Agreement or the transactions contemplated thereby, other than a Permitted Claim.</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121" w:lineRule="exact"/>
        <w:rPr>
          <w:sz w:val="20"/>
          <w:szCs w:val="20"/>
          <w:color w:val="auto"/>
        </w:rPr>
      </w:pPr>
    </w:p>
    <w:p>
      <w:pPr>
        <w:ind w:left="300" w:right="399" w:firstLine="360"/>
        <w:spacing w:after="0" w:line="276" w:lineRule="auto"/>
        <w:rPr>
          <w:sz w:val="20"/>
          <w:szCs w:val="20"/>
          <w:color w:val="auto"/>
        </w:rPr>
      </w:pPr>
      <w:r>
        <w:rPr>
          <w:rFonts w:ascii="Times New Roman" w:cs="Times New Roman" w:eastAsia="Times New Roman" w:hAnsi="Times New Roman"/>
          <w:sz w:val="17"/>
          <w:szCs w:val="17"/>
          <w:color w:val="auto"/>
        </w:rPr>
        <w:t>Pursuant to the Debt Commitment Letter, the Committed Lenders have committed to provide debt financing to Acquisition Sub in connection with the Merger, consisting of (i) a $500.0 million senior secured term loan facility,</w:t>
      </w:r>
    </w:p>
    <w:p>
      <w:pPr>
        <w:spacing w:after="0" w:line="1" w:lineRule="exact"/>
        <w:rPr>
          <w:sz w:val="20"/>
          <w:szCs w:val="20"/>
          <w:color w:val="auto"/>
        </w:rPr>
      </w:pPr>
    </w:p>
    <w:p>
      <w:pPr>
        <w:ind w:left="300" w:right="599" w:hanging="8"/>
        <w:spacing w:after="0" w:line="260" w:lineRule="auto"/>
        <w:tabs>
          <w:tab w:leader="none" w:pos="5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$55.0 million senior secured revolving credit facility, of which up to $8.5 million is available in the form of letters of credit, and (iii) a $100.0 million senior secured delayed draw term loan facility.</w:t>
      </w:r>
    </w:p>
    <w:p>
      <w:pPr>
        <w:spacing w:after="0" w:line="73"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funding of the Debt Financing is subject to the satisfaction or waiver of the conditions set forth in the Debt Commitment Letter. Parent has represented in the Merger Agreement that upon satisfaction of the conditions set forth in the Debt Commitment Letter as of the date of the Merger Agreement, the aggregate proceeds of the Debt Financing will be sufficient for payment of the Required Amount.</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obligations of the Committed Lenders to provide the Debt Financing are subject to a limited number of conditions, including (i) the consummation of the Merger substantially concurrently with the initial funding of the Debt Financing in accordance with the Merger Agreement, (ii) the funding of the Equity Financing, (iii) the repayment of the Company’s existing indebtedness under the Credit Agreement, (iv) the accuracy of certain specified representations and warranties, (v) the absence of a Company Material Adverse Effect (as defined in the Merger Agreement) since the date of the Merger Agreement and (vi) the execution and delivery of definitive documentation and other customary closing conditions. The commitments under the Debt Commitment Letter will terminate upon the earliest of (a) the fifth business day after the Outside Date if the Debt Financing has not been funded, (b) the termination of the Merger Agreement and (c) the consummation of the Merger without the use of the Debt Financing.</w:t>
      </w:r>
    </w:p>
    <w:p>
      <w:pPr>
        <w:spacing w:after="0" w:line="86"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Under the Merger Agreement, Parent is required to use its reasonable best efforts to take all actions and do all things necessary or advisable to obtain the Debt Financing, including using reasonable best efforts to maintain the Debt Commitment Letter in effect and not to permit, without the Company’s prior written consent (not to be unreasonably withheld, delayed or conditioned), any amendment, modification, waiver or replacement that would</w:t>
      </w:r>
    </w:p>
    <w:p>
      <w:pPr>
        <w:spacing w:after="0" w:line="3" w:lineRule="exact"/>
        <w:rPr>
          <w:sz w:val="20"/>
          <w:szCs w:val="20"/>
          <w:color w:val="auto"/>
        </w:rPr>
      </w:pPr>
    </w:p>
    <w:p>
      <w:pPr>
        <w:ind w:left="500" w:hanging="208"/>
        <w:spacing w:after="0"/>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aggregate amount of the Debt Financing to an amount less than the Required Amount, when taken</w:t>
      </w:r>
    </w:p>
    <w:p>
      <w:pPr>
        <w:spacing w:after="0" w:line="206"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together with the Equity Financing and cash and other immediately available sources of funds held by or available to Parent, Acquisition Sub and the Company and its subsidiaries, or (ii) impose new or additional conditions, or otherwise expand, amend or modify any of the conditions to receipt of the Debt Financing, in a manner that would reasonably be expected to materially delay or prevent the Closing, make the funding of the Debt Financing less likely to occur, or adversely impact Parent’s ability to enforce its rights under the Debt Commitment Letter. Parent may, however, amend the Debt Commitment Letter to add lenders, lead arrangers, bookrunners, syndication agents or similar entities, or to increase the aggregate amount of the Financing.</w:t>
      </w:r>
    </w:p>
    <w:p>
      <w:pPr>
        <w:spacing w:after="0" w:line="81"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Parent is required to consult with and keep the Company informed in reasonable detail of the status of its efforts to arrange the Financing, and to give the Company prompt notice of any written notice or communication from any person with respect to any actual or alleged breach or repudiation of the Commitment Letters. The Company has agreed to provide customary cooperation in connection with the arrangement of the Debt Financing, subject to specified limitations, and Parent has agreed to reimburse the Company for certain costs incurred in connection with that cooperation. See “The Merger Agreement—Financing Efforts” beginning on page </w:t>
      </w:r>
      <w:r>
        <w:rPr>
          <w:rFonts w:ascii="Times New Roman" w:cs="Times New Roman" w:eastAsia="Times New Roman" w:hAnsi="Times New Roman"/>
          <w:sz w:val="18"/>
          <w:szCs w:val="18"/>
          <w:u w:val="single" w:color="auto"/>
          <w:color w:val="0000EE"/>
        </w:rPr>
        <w:t>94</w:t>
      </w:r>
      <w:r>
        <w:rPr>
          <w:rFonts w:ascii="Times New Roman" w:cs="Times New Roman" w:eastAsia="Times New Roman" w:hAnsi="Times New Roman"/>
          <w:sz w:val="18"/>
          <w:szCs w:val="18"/>
          <w:color w:val="auto"/>
        </w:rPr>
        <w:t xml:space="preserve"> of this proxy statement.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Closing, all outstanding indebtedness under the Credit Facilities is expected to be repaid, and the Company is required to deliver customary payoff letters to Parent no later than two business days prior to the Closing Date. As of September 30, 2026, the Company had borrowings of $172.3 million and $3.3 million of letters of credit outstanding under the Credit Agreement, and no unused commitments.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Limited Guarantee</w:t>
      </w:r>
    </w:p>
    <w:p>
      <w:pPr>
        <w:spacing w:after="0" w:line="121" w:lineRule="exact"/>
        <w:rPr>
          <w:sz w:val="20"/>
          <w:szCs w:val="20"/>
          <w:color w:val="auto"/>
        </w:rPr>
      </w:pPr>
    </w:p>
    <w:p>
      <w:pPr>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Concurrently with the execution of the Merger Agreement, H.I.G. Fund, as guarantor, delivered the Limited Guarantee to the Company. Pursuant to the Limited Guarantee, and subject to the terms, conditions and limitations set forth therein, H.I.G. Fund has unconditionally and irrevocably guaranteed to the Company, as the guaranteed party, the payment of (i) the Parent Termination Fee if and when due and payable pursuant to the Merger Agreement,</w:t>
      </w:r>
    </w:p>
    <w:p>
      <w:pPr>
        <w:spacing w:after="0" w:line="3" w:lineRule="exact"/>
        <w:rPr>
          <w:sz w:val="20"/>
          <w:szCs w:val="20"/>
          <w:color w:val="auto"/>
        </w:rPr>
      </w:pPr>
    </w:p>
    <w:p>
      <w:pPr>
        <w:ind w:left="300" w:right="819" w:hanging="8"/>
        <w:spacing w:after="0" w:line="277" w:lineRule="auto"/>
        <w:tabs>
          <w:tab w:leader="none" w:pos="56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Collection if and when due and payable pursuant to the Merger Agreement and (iii) the Reimbursement Obligations if and when due and payable pursuant to the Merger Agreement (collectively, the “Obligations”). The aggregate liability of H.I.G. Fund under the Limited Guarantee is capped at $51,369,322.</w:t>
      </w:r>
    </w:p>
    <w:p>
      <w:pPr>
        <w:spacing w:after="0" w:line="61" w:lineRule="exact"/>
        <w:rPr>
          <w:sz w:val="20"/>
          <w:szCs w:val="20"/>
          <w:color w:val="auto"/>
        </w:rPr>
      </w:pPr>
    </w:p>
    <w:p>
      <w:pPr>
        <w:ind w:left="300" w:right="379" w:firstLine="360"/>
        <w:spacing w:after="0" w:line="267" w:lineRule="auto"/>
        <w:rPr>
          <w:sz w:val="20"/>
          <w:szCs w:val="20"/>
          <w:color w:val="auto"/>
        </w:rPr>
      </w:pPr>
      <w:r>
        <w:rPr>
          <w:rFonts w:ascii="Times New Roman" w:cs="Times New Roman" w:eastAsia="Times New Roman" w:hAnsi="Times New Roman"/>
          <w:sz w:val="17"/>
          <w:szCs w:val="17"/>
          <w:color w:val="auto"/>
        </w:rPr>
        <w:t>The Limited Guarantee is an unconditional guarantee of payment and not of collection. H.I.G. Fund may assert any claim, set-off, deduction, defense or release that Parent could assert against the Company under the Merger Agreement, and if the underlying Obligation ceases to be due and payable by Parent, H.I.G. Fund is automatically relieved of its corresponding obligations in respect thereof. The Limited Guarantee provides that no person other than H.I.G. Fund has any obligation under the Limited Guarantee, and that the Company has no right of recovery against, and no personal liability attaches to, any of H.I.G. Fund’s former, current or future directors, officers, employees, direct or indirect equityholders, controlling persons, general or limited partners, managers, members, stockholders, affiliates, agents, successors or assigns (other than Parent) (collectively, the “H.I.G. Fund Affiliates”). Other than the Company’s right to seek specific performance of Parent’s obligation to cause the Equity Financing to be funded in accordance with the Merger Agreement and the Equity Commitment Letter, recourse against</w:t>
      </w:r>
    </w:p>
    <w:p>
      <w:pPr>
        <w:spacing w:after="0" w:line="4"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H.I.G. Fund under the Limited Guarantee is the sole and exclusive remedy of the Company against H.I.G. Fund in respect of any liabilities or obligations arising under or in connection with the Merger Agreement and the transactions contemplated thereby. In addition, the Company may not receive both (i) specific performance or other equitable relief resulting in the Closing occurring and (ii) payment of the Parent Termination Fee.</w:t>
      </w:r>
    </w:p>
    <w:p>
      <w:pPr>
        <w:spacing w:after="0" w:line="8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Limited Guarantee terminates automatically upon the earliest to occur of (i) the consummation of the Closing, (ii) payment of the Obligations to the Company or its affiliates, (iii) the termination of the Merger Agreement in accordance with its terms in circumstances other than a qualifying termination and (iv) 90 days after a qualifying termination, unless a qualifying suit has been filed within that 90-day period, in which case the Limited Guarantee will continue until the earliest of the Closing, a final, non-appealable resolution of such suit determining that no amount is owed, a written agreement between H.I.G. Fund and the Company terminating the Obligation and satisfaction of the Obligation. In addition, if the Company or any of its affiliates asserts that the liability cap or the termination or no-recourse provisions of the Limited Guarantee are illegal, invalid or unenforceable, or brings any claim against H.I.G. Fund or any H.I.G. Fund Affiliate other than a Permitted Claim, the Limited Guarantee terminates ab initio, all prior payments made by H.I.G. Fund are recoverable, and neither H.I.G. Fund nor any H.I.G. Fund Affiliate has any liability thereunder.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Agreements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following describes the material provisions of the Voting Agreements, the forms of which are attached as </w:t>
      </w:r>
      <w:r>
        <w:rPr>
          <w:rFonts w:ascii="Times New Roman" w:cs="Times New Roman" w:eastAsia="Times New Roman" w:hAnsi="Times New Roman"/>
          <w:sz w:val="18"/>
          <w:szCs w:val="18"/>
          <w:u w:val="single" w:color="auto"/>
          <w:color w:val="auto"/>
        </w:rPr>
        <w:t>Appendix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B-2</w:t>
      </w:r>
      <w:r>
        <w:rPr>
          <w:rFonts w:ascii="Times New Roman" w:cs="Times New Roman" w:eastAsia="Times New Roman" w:hAnsi="Times New Roman"/>
          <w:sz w:val="18"/>
          <w:szCs w:val="18"/>
          <w:color w:val="auto"/>
        </w:rPr>
        <w:t xml:space="preserve"> to this proxy statement and are incorporated by reference herein. This summary does not purport to be complete and may not contain all of the information about the Voting Agreements that is important to you. The Voting Agreements entered into by the Family Stockholders differ from the forms in certain respects, including the expense reimbursement described below. The Company encourages you to read carefully the forms of Voting Agreement in their entirety.</w:t>
      </w:r>
    </w:p>
    <w:p>
      <w:pPr>
        <w:spacing w:after="0" w:line="7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On September 17, 2026, concurrently with the execution of the Merger Agreement, each of the Company’s directors and named executive officers and the other Voting Agreement Stockholders entered into Voting Agreements with Parent. The Voting Agreements were entered into solely in each Voting Agreement Stockholder’s capacity as a stockholder of the Company and not in such person’s capacity as a director, officer or employee of the Company.</w:t>
      </w:r>
    </w:p>
    <w:p>
      <w:pPr>
        <w:spacing w:after="0" w:line="75" w:lineRule="exact"/>
        <w:rPr>
          <w:sz w:val="20"/>
          <w:szCs w:val="20"/>
          <w:color w:val="auto"/>
        </w:rPr>
      </w:pPr>
    </w:p>
    <w:p>
      <w:pPr>
        <w:ind w:left="300" w:right="379" w:firstLine="360"/>
        <w:spacing w:after="0" w:line="267" w:lineRule="auto"/>
        <w:rPr>
          <w:sz w:val="20"/>
          <w:szCs w:val="20"/>
          <w:color w:val="auto"/>
        </w:rPr>
      </w:pPr>
      <w:r>
        <w:rPr>
          <w:rFonts w:ascii="Times New Roman" w:cs="Times New Roman" w:eastAsia="Times New Roman" w:hAnsi="Times New Roman"/>
          <w:sz w:val="17"/>
          <w:szCs w:val="17"/>
          <w:color w:val="auto"/>
        </w:rPr>
        <w:t>The Voting Agreement Stockholders who are directors and executive officers (the “D&amp;O Voting Agreement Stockholders”) are Natalia Shuman, President and Chief Executive Officer; Nicholas DeBenedictis, Director; James J. Forese, Director and Lead Director; Michelle J. Lohmeier, Director; Charles P. Pizzi, Director; Manuel Stamatakis, Executive Chairman of the Board; Edward J. Prajzner, Sr. Executive Vice President and Chief Financial Officer; Hani Hammad, Executive Vice President and Chief Operating Officer; and Gennaro D’Alterio, Executive Vice President and Chief Commercial Officer. In the aggregate, the D&amp;O Voting Agreement Stockholders have entered into Voting Agreements covering 1,534,929 shares of Common Stock, representing approximately 4.8% of the 31,867,074 shares of Common Stock outstanding as of the close of business on October 19, 2026. Including shares (i) issuable upon exercise of Company Options exercisable within 60 days of October 19, 2026, and</w:t>
      </w:r>
    </w:p>
    <w:p>
      <w:pPr>
        <w:spacing w:after="0" w:line="5" w:lineRule="exact"/>
        <w:rPr>
          <w:sz w:val="20"/>
          <w:szCs w:val="20"/>
          <w:color w:val="auto"/>
        </w:rPr>
      </w:pPr>
    </w:p>
    <w:p>
      <w:pPr>
        <w:ind w:left="300" w:right="439" w:hanging="8"/>
        <w:spacing w:after="0" w:line="255" w:lineRule="auto"/>
        <w:tabs>
          <w:tab w:leader="none" w:pos="5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by Company RSUs or Company PRSUs that become vested within 60 days after October 19, 2026, the Voting Agreements entered into by the D&amp;O Voting Agreement Stockholders cover 2,219,929 shares of Common Stock (or approximately 7.0%).</w:t>
      </w:r>
    </w:p>
    <w:p>
      <w:pPr>
        <w:spacing w:after="0" w:line="78"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The Family Stockholders are (i) the 2025 Irrevocable Two-Year Grantor Retained Annuity Trust of Aspasia F. Vahaviolos (the “2025 Trust”), of which Stephanie Foglia serves as trustee; (ii) Stephanie Foglia, individually, who also serves as trustee of the 2025 Trust and is one of the daughters of Dr. Sotirios J. Vahaviolos; and (iii) Aspasia Vahaviolos, who is the widow of Dr. Sotirios J. Vahaviolos. In the aggregate, the Family Stockholders have entered into Voting Agreements covering 7,693,103 shares of Common Stock, representing approximately 24.1% of the 31,867,074 shares of Common Stock outstanding as of the close of business on October 19, 2026.</w:t>
      </w:r>
    </w:p>
    <w:p>
      <w:pPr>
        <w:spacing w:after="0" w:line="29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H.I.G. first indicated its desire for voting agreements from certain members of the family of Dr. Vahaviolos on July 26, 2026. On August 28, 2026, the Board approved, including for purposes of Section 203 of the DGCL, discussions between H.I.G. and its representatives and the Family Stockholders regarding the Merger and a voting agreement, and on September 1, 2026, H.I.G.’s counsel requested a voting agreement from each Family Stockholder through their counsel. The Family Stockholders will receive the same Merger Consideration per share as all other holders of Common Stock and are not party to any other agreement with Parent or its affiliates in connection with the Merger, other than the Voting Agreements. Under the Voting Agreements with Ms. Foglia and Ms. Vahaviolos, Parent has agreed to reimburse each such stockholder for certain fees and expenses up to $25,000, payable at the Effective Time.</w:t>
      </w:r>
    </w:p>
    <w:p>
      <w:pPr>
        <w:spacing w:after="0" w:line="80"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Each Voting Agreement Stockholder agreed that, from the date of the applicable Voting Agreement until its termination, at every meeting of the Company’s stockholders, including any postponement, recess or adjournment thereof, and in any other circumstance in which a vote or consent is sought, such stockholder will vote, or cause to be voted, all shares of Common Stock owned of record or beneficially by such stockholder as of the date of the applicable Voting Agreement (the “Owned Shares”), together with any additional shares of Common Stock acquired after that date and prior to termination (collectively, the “Covered Shares”), (a)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(i) the adoption of the Merger Agreement and approval of the Merger, (ii) the adoption of any amendment to the Merger Agreement that does not decrease the Merger Consideration or make the Merger Agreement less favorable to the Company’s stockholders, (iii) any proposal to adjourn or postpone a meeting of the Company’s stockholders in accordance with the Merger Agreement and (iv) any other proposal necessary, or that Parent or the Company reasonably determines is desirable, for consummation of the Merger and the other transactions contemplated by the Merger Agreement; and</w:t>
      </w:r>
    </w:p>
    <w:p>
      <w:pPr>
        <w:spacing w:after="0" w:line="2" w:lineRule="exact"/>
        <w:rPr>
          <w:sz w:val="20"/>
          <w:szCs w:val="20"/>
          <w:color w:val="auto"/>
        </w:rPr>
      </w:pPr>
    </w:p>
    <w:p>
      <w:pPr>
        <w:ind w:left="300" w:right="339" w:hanging="8"/>
        <w:spacing w:after="0" w:line="290" w:lineRule="auto"/>
        <w:tabs>
          <w:tab w:leader="none" w:pos="55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(i) any proposal, action or agreement that would reasonably be expected to result in a breach of the Merger Agreement or cause any condition to the Merger not to be satisfied, (ii) any Acquisition Proposal or other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that would reasonably be expected to prevent or materially impede or materially delay the consummation of the Merger or the other transactions contemplated by the Merger Agreement.</w:t>
      </w:r>
    </w:p>
    <w:p>
      <w:pPr>
        <w:spacing w:after="0" w:line="7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Each Voting Agreement Stockholder also agreed to be present, in person or by proxy, at every meeting of the Company’s stockholders at which any of the matters described above are submitted for a vote so that all Covered Shares would be counted for purposes of establishing a quorum. Other than with respect to the matters described above, the Voting Agreement Stockholders have no obligation to vote the Covered Shares in any particular manner. If the Company and Parent agree to effect the Merger by means of a tender offer, each Voting Agreement Stockholder agreed to tender, and not withdraw, all of its Covered Shares in such tender offer.</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the period beginning on the date of the applicable Voting Agreement and ending on its termination, each Voting Agreement Stockholder agreed not to tender any Covered Shares into any tender or exchange offer, transfer, pledge or encumber any Covered Shares, enter into any hedge, swap or similar transaction designed to transfer the economic consequences of ownership of any Covered Shares, grant any proxy or power of attorney or deposit any Covered Shares into a voting trust, or enter into any arrangement with respect to the transfer or voting of any Covered Shares, except pursuant to certain “Permitted Transfers.” Permitted Transfers include gifts to family members or trusts, transfers by operation of law, exercises of stock options and distributions from trusts, in each case only if the transferee agrees to be bound by the applicable Voting Agreement. Any transfer in violation of these restrictions is void ab initio.</w:t>
      </w:r>
    </w:p>
    <w:p>
      <w:pPr>
        <w:spacing w:after="0" w:line="80"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Each Voting Agreement Stockholder irrevocably and unconditionally waived, to the fullest extent permitted by law, and agreed not to assert, any appraisal rights, dissenters’ rights or similar rights under Section 262 of the DGCL with respect to all of such stockholder’s Owned Shares in connection with the Merger and the transactions contemplated by the Merger Agreement; provided that such waiver will automatically terminate upon the valid termination of the Merger Agreement in accordance with its terms.</w:t>
      </w:r>
    </w:p>
    <w:p>
      <w:pPr>
        <w:spacing w:after="0" w:line="75"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Each Voting Agreement Stockholder also agreed not to solicit, initiate, facilitate or encourage any Acquisition Proposal or take any action that the Company would be prohibited from taking under the no-solicitation provisions of the Merger Agreement. During the Go-Shop Period, a Voting Agreement Stockholder may participate in discussions or negotiations with a person that has submitted an Acquisition Proposal solely for purposes of entering into a voting agreement on substantially similar terms with respect to that Acquisition Proposal if the Board determines that the Acquisition Proposal constitutes, or would reasonably be expected to lead to, a Superior Proposal.</w:t>
      </w:r>
    </w:p>
    <w:p>
      <w:pPr>
        <w:spacing w:after="0" w:line="8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Voting Agreement Stockholder is a director or officer of the Company, nothing in the applicable Voting Agreement limits or restricts such stockholder from taking, or refraining from taking, any action in such stockholder’s capacity as a director or officer of the Company or any of its subsidiaries, including complying with such stockholder’s fiduciary obligations, and no such action or inaction in such capacity will constitute a breach of the applicable Voting Agreement.</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Each Voting Agreement terminates automatically upon the earliest to occur of (a) the valid termination of the Merger Agreement in accordance with its terms, (b) the Effective Time, (c) the amendment or supplementation of the Merger Agreement, or waiver of a provision thereof, in a manner that reduces the amount or changes the form of the Merger Consideration payable to a Voting Agreement Stockholder (other than adjustments in accordance with the terms of the Merger Agreement) or materially delays or imposes any additional material restrictions or conditions on the payment of the Merger Consideration, (d) the Outside Date and (e) the mutual written consent of all parties to the applicable Voting Agreement. Termination will not relieve any party from liability for any willful and material breach of the applicable Voting Agreement occurring prior to termination. A Change of Board Recommendation does not, by itself, terminate the Voting Agreements; however, the Voting Agreements terminate automatically upon any valid termination of the Merger Agreement, including a termination by the Company to enter into a definitive agreement with respect to a Superior Proposal.</w:t>
      </w:r>
    </w:p>
    <w:p>
      <w:pPr>
        <w:spacing w:after="0" w:line="84"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In the aggregate, the Voting Agreements cover 9,228,032 shares of Common Stock, representing approximately 29.0% of the 31,867,074 shares of Common Stock outstanding as of the close of business on October 19, 2026.</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Required</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Company and Parent have agreed to use their respective reasonable best efforts to take, or cause to be taken, all actions necessary, proper or advisable under the Merger Agreement and applicable law to cause the expiration or termination of any applicable waiting periods under the HSR Act and any Other Required Regulatory Approval, and to obtain all consents, orders, approvals, authorizations, qualifications or other action of a governmental entity specified in the Merger Agreement (collectively, the “Other Required Regulatory Approvals”). The parties have agreed to make all required filings in a timely manner and to cooperate with one another in connection with any required regulatory approvals.</w:t>
      </w:r>
    </w:p>
    <w:p>
      <w:pPr>
        <w:spacing w:after="0" w:line="81" w:lineRule="exact"/>
        <w:rPr>
          <w:sz w:val="20"/>
          <w:szCs w:val="20"/>
          <w:color w:val="auto"/>
        </w:rPr>
      </w:pPr>
    </w:p>
    <w:p>
      <w:pPr>
        <w:ind w:left="300" w:right="959" w:firstLine="360"/>
        <w:spacing w:after="0" w:line="266" w:lineRule="auto"/>
        <w:rPr>
          <w:sz w:val="20"/>
          <w:szCs w:val="20"/>
          <w:color w:val="auto"/>
        </w:rPr>
      </w:pPr>
      <w:r>
        <w:rPr>
          <w:rFonts w:ascii="Times New Roman" w:cs="Times New Roman" w:eastAsia="Times New Roman" w:hAnsi="Times New Roman"/>
          <w:sz w:val="18"/>
          <w:szCs w:val="18"/>
          <w:color w:val="auto"/>
        </w:rPr>
        <w:t>The Board has taken all action necessary so that the restrictions on business combinations set forth in Section 203 of the DGCL do not apply to the Merger Agreement, the Voting Agreements or the transactions contemplated thereby, including the Merger.</w:t>
      </w:r>
    </w:p>
    <w:p>
      <w:pPr>
        <w:spacing w:after="0" w:line="6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Completion of the Merger is conditioned upon (i) the expiration or termination of any waiting period, together with any extensions, applicable to the Merger or the transactions contemplated by the Merger Agreement under the HSR Act and (ii) the expiration or termination of any waiting period, together with any extensions, under any competition law or other law specified in the Merger Agreement. The Other Required Regulatory Approvals consist of international merger control and competition approvals, together with the required regulatory actions relating to the Company’s NRC and Agreement State licenses described under “—Nuclear Materials” below. Parent and the Company are mutually responsible for and mutually control the coordination of any applications, notifications or filings, the obtaining of any necessary approvals, and the resolution of any investigation or other inquiry of any governmental entity under the HSR Act or the Other Required Regulatory Approvals. Parent is required to pay all filing fees under the HSR Act and with respect to the Other Required Regulatory Approvals.</w:t>
      </w:r>
    </w:p>
    <w:p>
      <w:pPr>
        <w:spacing w:after="0" w:line="86"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In addition, the Merger Agreement provides that, prior to the earlier of the termination of the Merger Agreement and the Closing, none of the parties will directly or indirectly acquire or agree to acquire any person or assets if doing so would reasonably be expected to impose any material delay in, or materially increase the risk of not obtaining, the required approvals or the expiration or termination of any applicable waiting period, or materially increase the risk of a governmental entity seeking an order prohibiting the consummation of the transactions.</w:t>
      </w:r>
    </w:p>
    <w:p>
      <w:pPr>
        <w:spacing w:after="0" w:line="6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Although we expect that all required regulatory clearances, approvals and consents will be obtained, we cannot assure you that these clearances, approvals and consents will be obtained at all or will be obtained on a timely basis, or that the granting of these clearances, approvals and consents will not involve the imposition of additional conditions on the completion of the Merger, including the requirement to divest assets, or require changes to the terms of the Merger Agreement. Any such condition or change could result in the conditions to the Closing not being satisfied. Other than the approvals, consents and notifications described below, neither the Company nor Parent is aware of any material regulatory approvals required to be obtained, or waiting periods required to expire, in connection with the Merger. If the parties determine that any other approvals, filings or waiting periods are necessary, they will seek to obtain or comply with them.</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Antitrust Laws</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The Merger is subject to the requirements of the HSR Act. Under the HSR Act and the rules promulgated thereunder by the Federal Trade Commission (the “FTC”), the Merger cannot be completed until the Company and Parent each file a notification and report form with the FTC and the Antitrust Division of the U.S. Department of Justice (the “DOJ”) and the applicable waiting period thereunder has expired or been terminated. The Company and Parent filed their respective HSR Act notifications on October 1, 2026. The 30-day waiting period with respect to the Merger commenced on October 1, 2026, and was scheduled to expire at 11:59 p.m. Eastern Time on November 2, 2026. Effective October 22, 2026, the FTC granted early termination of the HSR Act waiting period.</w:t>
      </w:r>
    </w:p>
    <w:p>
      <w:pPr>
        <w:spacing w:after="0" w:line="8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At any time before or after consummation of the Merger, notwithstanding the expiration or termination of the applicable waiting period under the HSR Act, the DOJ or the FTC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expiration or termination of the applicable waiting period, any state could take such action under the antitrust laws as it deems necessary or desirable in the public interest, including seeking to enjoin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completion of the Merger or seeking divestiture of substantial assets of the parties. Private parties may also seek to take legal action under the antitrust laws under certain circumstances.</w:t>
      </w:r>
    </w:p>
    <w:p>
      <w:pPr>
        <w:spacing w:after="0" w:line="5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DOJ, the FTC, any state attorney general, or any other governmental entity having jurisdiction over the transactions will not attempt to challenge the Merger on antitrust grounds. In addition, even after the HSR Act waiting period has expired or been terminated, at any time before or after the Merger is completed, private parties may challenge the Merger under the antitrust laws.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Nuclear Materials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North America segment uses radioactive materials in providing certain of its asset protection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solutions, including industrial radiography. The transportation and storage of these materials are subject to regulation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federal and state laws and licensing requirements, and the Company holds licenses issued by the NRC and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number of states that have entered into an agreement with the NRC or its predecessor agency pursuant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274(b) of the Atomic Energy Act of 1954, as amended, to assume responsibility for certain nuclear material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licensing (each, an “Agreement State” and, collectively, the “Agreement States”).</w:t>
      </w:r>
    </w:p>
    <w:p>
      <w:pPr>
        <w:spacing w:after="0" w:line="9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Under NRC regulations and the comparable regulations of the Agreement States, a license authorizing the possession and use of radioactive materials may not be transferred, assigned or in any manner disposed of, and control of the licensee may not be transferred, either directly or indirectly, without the prior written consent of the applicable regulatory authority. As the Merger will result in a change of control of the Company and its subsidiaries, the Company is required to file applications for consent to transfer control with respect to, and in certain cases to make post-Closing notifications regarding, the NRC and Agreement State licenses. In the case of one Agreement State license, the required action is the issuance of a new license rather than consent to the transfer of control of an existing license. Completion of the Merger is conditioned upon the required regulatory actions having been completed, or the applicable governmental entity having stated in writing, including by e-mail, that such action is not required prior to the consummation of the transactions contemplated by the Merger Agreement.</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and Deregistration of Common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currently listed on the NYSE under the symbol “MG” and is registered under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12(b) of the Exchange Act. If the Merger is completed, we will cease to be a publicly traded company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become a wholly owned subsidiary of Parent. Under the Merger Agreement, prior to the Effective Time,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is required to cooperate with Parent and use its reasonable best efforts to take, or cause to be taken, 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actions, and do, or cause to be done, all things reasonably necessary, proper or advisable on its part under applicable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law and the rules and regulations of the NYSE to cause the delisting of the Common Stock from the NYSE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promptly as practicable after the Effective Time and the deregistration of the Common Stock under the Exchange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 as promptly as practicable after such delisting.</w:t>
      </w:r>
    </w:p>
    <w:p>
      <w:pPr>
        <w:spacing w:after="0" w:line="9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Following the Merger and such delisting and deregistration, there will be no public market for our Common Stock, our Common Stock will no longer be quoted on the NYSE, price quotations will no longer be available, and we will no longer be required to file periodic reports with the SEC on account of our Common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Merger will be accounted for in accordance with Accounting Standards Codification Topic 805, Business Combinations, as a business combination for financial accounting purposes.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in the Merger Agreement, including the termination fee and expense reimbursement provisions described elsewhere in this proxy statement, all fees and expenses incurred in connection with the Merger Agreement and the transactions contemplated thereby generally will be borne by the party incurring such fees and expenses, whether or not the Merger is completed. Such fees and expenses include, among other things, fees and expenses of counsel, financial advisors, accountants, experts and consultants.</w:t>
      </w:r>
    </w:p>
    <w:p>
      <w:pPr>
        <w:spacing w:after="0" w:line="75"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Parent will pay all filing fees under the HSR Act and all filing fees with respect to the Other Required Regulatory Approvals. This allocation is in addition to the termination fee and expense reimbursement provisions described elsewhere in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Potential plaintiffs may file lawsuits or send demand letters challenging the Merger. As of the date of this proxy statement, the Company has received two demand letters on behalf of purported stockholders of the Company pursuant to Section 220 of the DGCL, requesting access to certain books and records of the Company for the stated purposes of, among other things, investigating the fairness of the Merger Consideration and the process leading to the Merger, the independence and disinterestedness of the members of the Board and management, potential breaches of fiduciary duty or other corporate wrongdoing in connection with the Merger, and the adequacy of the Company’s disclosures regarding the Merger. The Company believes the claims asserted in these demands are without merit. As of the date of this proxy statement, there are no pending lawsuits challenging the Merger.</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lawsuits or additional demand letters are filed or received, absent new or materially different allegations, the Company does not intend to disclose such lawsuits or demand letters unless required by applicable law. The outcome of any future litigation is uncertain. Such litigation, if not resolved, could prevent or delay consummation of the Merger and result in substantial costs to the Company, including any costs associated with the indemnification of directors and officers. One of the conditions to the consummation of the Merger is the absence of any law, injunction or order by any governmental entity restraining, enjoining, rendering illegal or otherwise prohibiting the consummation of the Merger. As a result, if a plaintiff were successful in obtaining an injunction prohibiting the consummation of the Merger on the agreed-upon terms, then such injunction may prevent the Merger from being consummated, or from being consummated within the expected time frame. The defense or settlement of any lawsuit or claim that remains unresolved at the time the Merger is consummated may adversely affect the Company’s business, financial condition, results of operations and cash flows.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Merger</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to holders of shares of Common Stock upon the exchange of shares of Common Stock for cash pursuant to the Merger. This summary is general in nature and does not discuss all aspects of U.S. federal income taxation that may be relevant to a holder of shares of Common Stock in light of such holder’s particular circumstances. In addition, this summary does not describe any tax consequences arising under the laws of any state, local or non-U.S. jurisdiction and does not consider any aspects of U.S. federal tax law other than income taxation. This summary deals only with shares of Common Stock held as capital assets within the meaning of Section 1221 of the Code (i.e., generally, property held for investment), and does not address tax considerations applicable to any holder of shares of Common Stock that may be subject to special treatment under the U.S. federal income tax laws, including:</w:t>
      </w:r>
    </w:p>
    <w:p>
      <w:pPr>
        <w:spacing w:after="0" w:line="80"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insurance company, or other financial institution;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retirement plan or other tax-deferred account;</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a partnership or other entity or arrangement treated as a partnership for U.S. federal income tax purposes (or an investor in a partnership or S corporation);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 or regulated investment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of Common Stock subject to the alternative minimum tax provisions of the Code;</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of Common Stock that received the shares of Common Stock through the exercise of an employee stock option, through a tax qualified retirement plan, through a stock plan or notional unit arrangement or otherwise as compensation;</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of Common Stock that received the shares of Common Stock through conversion of notes or in connection with forward sales arrangements;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that has a functional currency other than the United States dollar;</w:t>
      </w:r>
    </w:p>
    <w:p>
      <w:pPr>
        <w:spacing w:after="0" w:line="117" w:lineRule="exact"/>
        <w:rPr>
          <w:rFonts w:ascii="Times New Roman" w:cs="Times New Roman" w:eastAsia="Times New Roman" w:hAnsi="Times New Roman"/>
          <w:sz w:val="18"/>
          <w:szCs w:val="18"/>
          <w:color w:val="auto"/>
        </w:rPr>
      </w:pPr>
    </w:p>
    <w:p>
      <w:pPr>
        <w:ind w:left="1000" w:right="117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corporations that accumulate earnings to avoid U.S. federal income tax;</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9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the shares of Common Stock as part of a hedge, straddle, constructive sale, conversion or other risk reduction strategy or integrated transaction;</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or foreign governments or organizations subject to Section 892 of the Code;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exercises appraisal rights in connection with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holds their shares of Common Stock as “qualified small business stock” for purposes of Sections 1045 and 1202 of the Code, or as “Section 1244 stock” within the meaning of Section 1244 of the Code;</w:t>
      </w:r>
    </w:p>
    <w:p>
      <w:pPr>
        <w:spacing w:after="0" w:line="67"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actually or constructively owns more than 5% of the outstanding shares of Common Stock (by vote or value), or who owns or will own (directly, indirectly or constructively) any interest in Parent;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 or a former citizen or long-term resident of the United States.</w:t>
      </w:r>
    </w:p>
    <w:p>
      <w:pPr>
        <w:spacing w:after="0" w:line="117"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this summary does not address tax considerations applicable to receipt of cash paid by the Company in connection with any dividends or distributions made with respect to shares of Common Stock. This summary is based on the Code, the Treasury Regulations promulgated under the Code, and IRS rulings and judicial decisions, all as in effect as of the date hereof, and all of which are subject to change or differing interpretations at any time, with possible retroactive effect that could adversely affect a holder of Common Stock. 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DISCUSSION SET OUT HEREIN IS INTENDED ONLY AS A GENERAL SUMMARY OF THE MATERIAL U.S. FEDERAL INCOME TAX CONSEQUENCES TO A HOLDER OF SHARES OF COMMON STOCK IN CONNECTION WITH THE EXCHANGE OF SUCH STOCK FOR CASH IN THE MERGER. WE URGE YOU TO CONSULT YOUR OWN TAX ADVISOR WITH RESPECT TO THE SPECIFIC TAX CONSEQUENCES TO YOU IN CONNECTION WITH THE MERGER IN LIGHT OF YOUR OWN PARTICULAR CIRCUMSTANCES, INCLUDING U.S. FEDERAL INCOME, ESTATE, GIFT AND OTHER NON-INCOME TAX CONSEQUENCES, AND TAX CONSEQUENCES UNDER STATE, LOCAL OR NON-U.S. TAX LAWS OR ANY APPLICABLE INCOME TAX TREATIES.</w:t>
      </w:r>
    </w:p>
    <w:p>
      <w:pPr>
        <w:spacing w:after="0" w:line="8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is a beneficial owner of shares of Common Stock that is, for U.S. federal income tax purposes:</w:t>
      </w:r>
    </w:p>
    <w:p>
      <w:pPr>
        <w:spacing w:after="0" w:line="54" w:lineRule="exact"/>
        <w:rPr>
          <w:sz w:val="20"/>
          <w:szCs w:val="20"/>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or arrangement treated as a corporation for United States federal income tax purposes)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(within the meaning of Section 7701(a)(30) of the Code) have the authority to control all substantial decisions of the trust or (b) the trust has validly elected to be treated as a United States person for U.S. federal income tax purposes.</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A “non-U.S. holder” is any beneficial owner of shares of Common Stock that is neither a U.S. holder nor a partnership (or other entity treated as a partnership for U.S. federal income tax purposes). If a partnership (including any entity or arrangement treated as a partnership for U.S. federal income tax purposes) holds shares of Common Stock, the tax treatment of a partner in the partnership generally will depend upon the status of the partner, the activities of the partnership and certain determinations made at the partner level. Accordingly, a partnership holding shares of Common Stock should consult its own tax advisor regarding the U.S. federal income tax consequences of exchanging the shares of Common Stock pursuant to the Merger.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Payments in Exchange for Shares of Common Stock</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exchange of shares of Common Stock for cash pursuant to the Merger will be a taxable transaction for U.S. federal income tax purposes. A U.S. holder who receives cash in exchange for shares of Common Stock pursuant to the Merger will recognize gain or loss, if any, equal to the difference between the amount of cash received and the U.S. holder’s adjusted tax basis in the shares of Common Stock exchanged therefor. Gain or loss will be determined separately for each block of shares of Common Stock (i.e., shares of Common Stock acquired at the same cost in a single transaction). Such gain or loss generally will be capital gain or loss, and will be long-term capital gain or loss if such U.S. holder’s holding period for the shares of Common Stock is more than one year at the time of the exchange. Long-term capital gain recognized by certain U.S. holders, including individuals, generally is subject to tax at a lower rate than short-term capital gain or ordinary income. There are limitations on the deductibility of capital losses.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Medicare Tax</w:t>
      </w:r>
    </w:p>
    <w:p>
      <w:pPr>
        <w:spacing w:after="0" w:line="119"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A U.S. holder that is an individual, estate or trust (other than a trust that falls into a special class of trusts exempt from this tax) generally is subject to a 3.8% tax on the lesser of (1) the U.S. holder’s “net investment income” (or “undistributed net investment income” in the case of an estate or trust) for the relevant taxable year and</w:t>
      </w:r>
    </w:p>
    <w:p>
      <w:pPr>
        <w:spacing w:after="0" w:line="2" w:lineRule="exact"/>
        <w:rPr>
          <w:sz w:val="20"/>
          <w:szCs w:val="20"/>
          <w:color w:val="auto"/>
        </w:rPr>
      </w:pPr>
    </w:p>
    <w:p>
      <w:pPr>
        <w:ind w:left="300" w:right="319" w:hanging="8"/>
        <w:spacing w:after="0" w:line="251" w:lineRule="auto"/>
        <w:tabs>
          <w:tab w:leader="none" w:pos="5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U.S. holder’s “modified adjusted gross income” (or, for an estate or trust, adjusted gross income as determined under Section 67(e) of the Code) for the taxable year over a threshold amount. For individuals, the threshold is $250,000 for married individuals filing jointly and surviving spouses, $125,000 for married individuals filing separately and $200,000 for all other individuals. These amounts are not indexed for inflation. For estates and trusts, the threshold is the dollar amount at which the highest income tax bracket for estates and trusts begins, which is adjusted annually for inflation. A holder’s net investment income generally will include net gains recognized from the disposition of shares of Common Stock in the Merger. A U.S. holder that is an individual, estate or trust is urged to consult its tax advisors regarding the applicability of the Medicare tax to its recognized gains in respect of any shares of Common Stock such holder disposes of in the Merger.</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Reporting and Backup Withholding</w:t>
      </w:r>
    </w:p>
    <w:p>
      <w:pPr>
        <w:spacing w:after="0" w:line="11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at the applicable rate (currently 24%) with respect to the proceeds from the disposition of shares of Common Stock pursuant to the Merger. Certain U.S. holders are exempt from backup withholding, including corporations. A U.S. holder will not be subject to backup withholding if the U.S. holder provides a valid taxpayer identification number, which for an individual is ordinarily his or her social security number, and complies with certain certification procedures (generally, by providing a properly completed and executed IRS Form W-9) or otherwise establishes an exemption from backup withholding.</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U.S. holder may be allowed as a credit against the U.S. holder’s U.S. federal income tax liability and any overpayment may entitle the U.S. holder to a refund, if the required information is timely furnished to the IRS. Each U.S. holder should complete and sign the IRS Form W-9, which will be included with the letter of transmittal to be returned to the Paying Agent, to provide the information and certification necessary to not be subject to backup withholding, unless an exemption applies and is established in a manner satisfactory to the Paying Agent.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Payments in Exchange for Shares of Common Stock</w:t>
      </w:r>
    </w:p>
    <w:p>
      <w:pPr>
        <w:spacing w:after="0" w:line="11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regarding the potential tax attributable to the gains described in the third bullet point below, cash payments made to a non-U.S. holder in exchange for shares of Common Stock pursuant to the Merger generally will not be subject to U.S. federal income tax on any gain realized upon the exchange of the shares of Common Stock unless:</w:t>
      </w:r>
    </w:p>
    <w:p>
      <w:pPr>
        <w:spacing w:after="0" w:line="72" w:lineRule="exact"/>
        <w:rPr>
          <w:sz w:val="20"/>
          <w:szCs w:val="20"/>
          <w:color w:val="auto"/>
        </w:rPr>
      </w:pPr>
    </w:p>
    <w:p>
      <w:pPr>
        <w:ind w:left="1000" w:right="39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was present in the United States for 183 days or more during the taxable year of the exchange and certain other conditions are met;</w:t>
      </w:r>
    </w:p>
    <w:p>
      <w:pPr>
        <w:spacing w:after="0" w:line="53" w:lineRule="exact"/>
        <w:rPr>
          <w:rFonts w:ascii="Times New Roman" w:cs="Times New Roman" w:eastAsia="Times New Roman" w:hAnsi="Times New Roman"/>
          <w:sz w:val="18"/>
          <w:szCs w:val="18"/>
          <w:color w:val="auto"/>
        </w:rPr>
      </w:pPr>
    </w:p>
    <w:p>
      <w:pPr>
        <w:ind w:left="1000" w:right="109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attributable to a permanent establishment maintained by the non-U.S. holder in the United States;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56"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has been a U.S. real property holding corporation (“USRPHC”) for U.S. federal income tax purposes at any time during the shorter of the five-year period ending on the date of the Merger or the period that the non-U.S. holder held shares of Common Stock and, if shares of Common Stock are regularly traded on an established securities market (within the meaning of Section 897(c)(3) of the Code), such non-U.S. holder held (actually or constructively) more than five percent of the total fair market value of all shares of the Common Stock at any time during such five-year period.</w:t>
      </w:r>
    </w:p>
    <w:p>
      <w:pPr>
        <w:spacing w:after="0" w:line="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at a rate of</w:t>
      </w:r>
    </w:p>
    <w:p>
      <w:pPr>
        <w:spacing w:after="0" w:line="27" w:lineRule="exact"/>
        <w:rPr>
          <w:sz w:val="20"/>
          <w:szCs w:val="20"/>
          <w:color w:val="auto"/>
        </w:rPr>
      </w:pPr>
    </w:p>
    <w:p>
      <w:pPr>
        <w:jc w:val="both"/>
        <w:ind w:left="300" w:right="539"/>
        <w:spacing w:after="0" w:line="277" w:lineRule="auto"/>
        <w:rPr>
          <w:sz w:val="20"/>
          <w:szCs w:val="20"/>
          <w:color w:val="auto"/>
        </w:rPr>
      </w:pPr>
      <w:r>
        <w:rPr>
          <w:rFonts w:ascii="Times New Roman" w:cs="Times New Roman" w:eastAsia="Times New Roman" w:hAnsi="Times New Roman"/>
          <w:sz w:val="17"/>
          <w:szCs w:val="17"/>
          <w:color w:val="auto"/>
        </w:rPr>
        <w:t>30% (or such lower rate as may be specified under an applicable income tax treaty), which may be offset by U.S.-source capital losses of the non-U.S. holder (even though the individual is not considered a resident of the United States), provided the non-U.S. holder has timely filed U.S. federal income tax returns with respect to such losses.</w:t>
      </w:r>
    </w:p>
    <w:p>
      <w:pPr>
        <w:spacing w:after="0" w:line="6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second bullet point above generally will be subject to U.S. federal income tax on a net income basis at the regular graduated U.S. federal income tax rates in the same manner as if such non-U.S. holder were a U.S. holder. A non-U.S. holder that is a corporation also may be subject to a branch profits tax at a rate of 30% (or such lower rate as may be specified under an applicable income tax treaty) on after-tax profits effectively connected with a U.S. trade or business to the extent that such after-tax profits are not reinvested in the U.S. trade or business.</w:t>
      </w:r>
    </w:p>
    <w:p>
      <w:pPr>
        <w:spacing w:after="0" w:line="79"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color w:val="auto"/>
        </w:rPr>
        <w:t>Gains described in the third bullet point above may be subject to U.S. federal income tax at rates generally applicable to U.S. persons (as described in the second bullet point above), except that the branch profits tax will not apply. The determination of whether the Company is a USRPHC depends on the fair market value of its</w:t>
      </w:r>
    </w:p>
    <w:p>
      <w:pPr>
        <w:spacing w:after="0" w:line="1"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United States real property interests (as defined in the Code) relative to the fair market value of its other trade or business assets and its United States and foreign real property interests. Although there can be no assurances in this regard, the Company believes that it has not been a USRPHC for U.S. federal income tax purposes during the five-year period preceding the Merger. Non-U.S. holders are encouraged to consult their own tax advisors regarding the possible consequences to them if we are a USRPHC.</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Reporting and Backup Withholding</w:t>
      </w:r>
    </w:p>
    <w:p>
      <w:pPr>
        <w:spacing w:after="0" w:line="119" w:lineRule="exact"/>
        <w:rPr>
          <w:sz w:val="20"/>
          <w:szCs w:val="20"/>
          <w:color w:val="auto"/>
        </w:rPr>
      </w:pPr>
    </w:p>
    <w:p>
      <w:pPr>
        <w:ind w:left="300" w:right="479" w:firstLine="360"/>
        <w:spacing w:after="0" w:line="252" w:lineRule="auto"/>
        <w:rPr>
          <w:sz w:val="20"/>
          <w:szCs w:val="20"/>
          <w:color w:val="auto"/>
        </w:rPr>
      </w:pPr>
      <w:r>
        <w:rPr>
          <w:rFonts w:ascii="Times New Roman" w:cs="Times New Roman" w:eastAsia="Times New Roman" w:hAnsi="Times New Roman"/>
          <w:sz w:val="18"/>
          <w:szCs w:val="18"/>
          <w:color w:val="auto"/>
        </w:rPr>
        <w:t>Payments made to non-U.S. holders in the Merger may be subject to information reporting to the IRS and backup withholding (currently at a rate of 24%). Non-U.S. holders generally may avoid information reporting and backup withholding by providing the Paying Agent with an applicable and properly executed IRS Form W-8BEN, W-8BEN-E or W-8ECI (or other substitute or successor form), as the case may be, certifying under penalties of perjury the holder’s non-U.S. status (as long as the payor or applicable withholding agent does not have actual knowledge or reason to know that the holder is a U.S. person as defined under the Code) or by otherwise establishing an exemption from backup withholding. Copies of information returns that are filed with the IRS may be made available under an applicable tax treaty or information exchange agreement to the tax authorities of the country in which the non-U.S. holder resides or is established. Backup withholding is not an additional tax. Any amounts withheld under the backup withholding rules may be allowed as a refund or a credit against a non-</w:t>
      </w:r>
    </w:p>
    <w:p>
      <w:pPr>
        <w:spacing w:after="0" w:line="5" w:lineRule="exact"/>
        <w:rPr>
          <w:sz w:val="20"/>
          <w:szCs w:val="20"/>
          <w:color w:val="auto"/>
        </w:rPr>
      </w:pPr>
    </w:p>
    <w:p>
      <w:pPr>
        <w:ind w:left="300" w:right="559"/>
        <w:spacing w:after="0" w:line="260" w:lineRule="auto"/>
        <w:rPr>
          <w:sz w:val="20"/>
          <w:szCs w:val="20"/>
          <w:color w:val="auto"/>
        </w:rPr>
      </w:pPr>
      <w:r>
        <w:rPr>
          <w:rFonts w:ascii="Times New Roman" w:cs="Times New Roman" w:eastAsia="Times New Roman" w:hAnsi="Times New Roman"/>
          <w:sz w:val="18"/>
          <w:szCs w:val="18"/>
          <w:color w:val="auto"/>
        </w:rPr>
        <w:t>U.S. holder’s U.S. federal income tax liability, if any, provided the required information is timely furnished to the IRS in the appropriate manner.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Withholding Considerations</w:t>
      </w:r>
    </w:p>
    <w:p>
      <w:pPr>
        <w:spacing w:after="0" w:line="119"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Pursuant to legislation commonly known as the Foreign Account Tax Compliance Act (“FATCA”), U.S. federal withholding tax may also apply to certain types of payments made to “foreign financial institutions,” as defined under such rules, and certain other non-U.S. entities. FATCA imposes a 30% withholding tax on certain payments of U.S. source income, and (subject to the proposed Treasury Regulations discussed below), the gross proceeds from the sale or other disposition of our Common Stock, paid to a foreign financial institution unless the foreign financial institution enters into an agreement with the U.S. Treasury Department and complies with the reporting and withholding requirements thereunder or, in the case of a foreign financial institution in a jurisdiction that has entered into an intergovernmental agreement with the United States, complies with the requirements of such agreement. In addition, FATCA imposes a 30% withholding tax on the same types of payments to a non-financial foreign entity unless the entity certifies that it does not have any substantial U.S. owners or furnishes identifying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regarding each substantial U.S. owner. An applicable intergovernmental agreement regarding FATCA between the United States and a foreign jurisdiction may modify the rules discussed in this paragraph. Proposed Treasury Regulations would eliminate FATCA withholding on payments of gross proceeds. Applicable withholding agents generally may rely on these proposed Treasury Regulations until final Treasury Regulations are issued, but such Treasury Regulations are subject to change. Holders of shares of Common Stock should consult their tax advisors regarding FATCA.</w:t>
      </w:r>
    </w:p>
    <w:p>
      <w:pPr>
        <w:spacing w:after="0" w:line="75"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summary of the U.S. federal income tax consequences of the Merger is for general information purposes only and is not tax advice. Holders of shares of Common Stock should consult their tax advisors as to the specific tax consequences to them of the Merger, including the applicability and effect of the alternative minimum tax and the effect of any U.S. federal, state, local, foreign or other tax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1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describes certain material terms and provisions of the Merger Agreement. This summary is not complete and is qualified in its entirety by reference to the Merger Agreement, which is attached to this proxy statement as Appendix A and incorporated into this proxy statement by reference. We encourage you to read the Merger Agreement carefully and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 This section is not intended to provide you with any factual information about us. That information can be found elsewhere in this proxy statement and in the public filings we make with the SEC, as described in “Where Stockholders Can Find More Information.” Capitalized terms used in this section but not defined in this proxy statement have the meaning ascribed to such terms in the Merger Agreement.</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 and the Summary of the Merger Agreement</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and the summary of terms included in this proxy statement have been prepared to provide you with information regarding the terms of the Merger Agreement. Factual disclosures about the Company contained in this proxy statement or in the Company’s public filings with the SEC, as described in “Where Stockholders Can Find More Information,” may supplement, update or modify the factual disclosures about the Company contained in the Merger Agreement and described in this summary. The representations, warranties and covenants contained in the Merger Agreement have been made solely for the purposes of the Merger Agreement and as of specific dates and solely for the benefit of the parties to the Merger Agreement, and:</w:t>
      </w:r>
    </w:p>
    <w:p>
      <w:pPr>
        <w:spacing w:after="0" w:line="81" w:lineRule="exact"/>
        <w:rPr>
          <w:sz w:val="20"/>
          <w:szCs w:val="20"/>
          <w:color w:val="auto"/>
        </w:rPr>
      </w:pPr>
    </w:p>
    <w:p>
      <w:pPr>
        <w:ind w:left="1000" w:right="439" w:hanging="348"/>
        <w:spacing w:after="0" w:line="261"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negotiated with the principal purposes of establishing the circumstances in which a party to the Merger Agreement may have the right not to close the Merger if the representations and warranties of the other party prove to be untrue, due to a change in circumstance or otherwise, and allocating risk between the parties to the Merger Agreement instead of establishing these matters as facts;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modified or qualified by certain confidential disclosures that were made among the parties to the Merger Agreement in connection with the negotiation of the Merger Agreement, which disclosures are not reflected in the Merger Agreement itself;</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 longer be true as of a given date;</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subject to a contractual standard of materiality in a way that is different from those generally applicable to you or other stockholders and reports and documents filed with the SEC;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subject in some cases to other exceptions and qualifications, including exceptions that do not result in, and would not reasonably be expected to have, a Company Material Adverse Effect.</w:t>
      </w:r>
    </w:p>
    <w:p>
      <w:pPr>
        <w:spacing w:after="0" w:line="54"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7"/>
          <w:szCs w:val="17"/>
          <w:color w:val="auto"/>
        </w:rPr>
        <w:t>Stockholders are not third-party beneficiaries under the Merger Agreement and should not rely on the representations, warranties, covenants and agreements or any descriptions thereof as characterizations of the actual state of facts or condition of the Company, Parent or Acquisition Sub or any of their respective affiliates or businesses. In addition, you should not rely on the covenants in the Merger Agreement as actual limitations on the respective businesses of the Company, Parent and Acquisition Sub, because the parties may take certain actions that are either expressly permitted in the confidential disclosure letter to the Merger Agreement or as otherwise consented to by the appropriate party, which consent may be given without prior notice to the public.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not have been included in this proxy statement. Accordingly, the representations, warranties, covenants and other provisions of the Merger Agreement or any description of such provisions should not be relied on as characterizations of the actual state of facts at the time they were made or as of the date of this proxy statement and should not be read alone, but instead should be read together with the information provided elsewhere in this proxy statement and in the documents incorporated by reference into this proxy statement, as well as the disclosures in the Company’s periodic and current reports, proxy statements and other documents filed with the SEC. See “Where Stockholders Can Find More Information.”</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Merger; Directors and Officers; Certificate of Incorporation; Bylaws</w:t>
      </w:r>
    </w:p>
    <w:p>
      <w:pPr>
        <w:spacing w:after="0" w:line="121"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The Merger Agreement provides for a reverse triangular merger in which Acquisition Sub will merge with and into the Company. Upon consummation of the Merger, the separate corporate existence of Acquisition Sub will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cease, and the Company will continue as the surviving corporation in the Merger (the “Surviving Corporation”) and will become a wholly owned subsidiary of Parent. Each outstanding share of capital stock of Acquisition Sub will be converted into one newly and validly issued, fully paid and nonassessable share of common stock of the Surviving Corporation.</w:t>
      </w:r>
    </w:p>
    <w:p>
      <w:pPr>
        <w:spacing w:after="0" w:line="7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At the Effective Time, the board of directors of the Surviving Corporation will consist of the directors of Acquisition Sub immediately prior to the Effective Time or such other persons designated by Parent, and the officers of the Company immediately prior to the Effective Time will be the officers of the Surviving Corporation, in each case from and after the Effective Time, each to hold office in accordance with the certificate of incorporation and bylaws of the Surviving Corporation.</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At the Effective Time, the certificate of incorporation of the Company will be amended and restated as set forth in Exhibit A to the Merger Agreement, and as so amended and restated, will be the certificate of incorporation of the Surviving Corporation until thereafter changed or amended as provided therein or by applicable law. In addition, the Company and the Surviving Corporation will take all necessary action such that, at the Effective Time, the bylaws of the Surviving Corporation will be the bylaws of Acquisition Sub as in effect immediately prior to the Effective Time until thereafter changed or amended as provided therein or by applicable law, except that references to the name of Acquisition Sub will be replaced by references to the name of the Company.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of the Merger; Filing and Effective Time of the Merger</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Closing will take place remotely via the electronic exchange of documents and signatures on the third business day after the satisfaction or waiver of all applicable conditions to the Merger set forth in Article VI of the Merger Agreement, other than conditions that by their nature are to be satisfied at the Closing but subject to the satisfaction or waiver of those conditions at the Closing, or at such other date as Parent and the Company may mutually designate in writing. On the Closing Date, the parties will cause the Merger to be consummated under the DGCL by filing a certificate of merger with the Secretary of State of the State of Delaware. The Merger will become effective at the time the certificate of merger is duly filed with, and accepted by, the Secretary of State of the State of Delaware, or at such later time and date as the parties agree in writing and specify in the certificate of merger (the “Effective Time”).</w:t>
      </w:r>
    </w:p>
    <w:p>
      <w:pPr>
        <w:spacing w:after="0" w:line="8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We currently expect the Merger to be completed in late 2026 or early 2027. However, completion of the Merger is subject to the satisfaction or waiver of the conditions described under “—Conditions to the Closing of the Merger” below, beginning on page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 including the receipt of the Company Stockholder Approval, the expiration or termination of the applicable waiting period under the HSR Act and the receipt of the Other Required Regulatory Approvals. Because the Merger is subject to these conditions, and because certain of them are outside the control of the Company and Parent, we cannot predict the exact timing of completion of the Merger, and we cannot assure you that the Merger will be completed at all. Either the Company or Parent may terminate the Merger Agreement if the Effective Time has not occurred on or before 5:00 p.m., New York City time, on June 17, 2027, provided that if, as of the third business day prior to that date, the conditions relating to the absence of legal restraints (with respect to the HSR Act or any Other Required Regulatory Approval) or to the receipt of antitrust and other regulatory approvals have not been satisfied or waived but all other conditions have been satisfied or waived or would then be satisfied if the Closing were to take place on that date, that date is automatically extended to September 15, 2027. Neither party may terminate on this basis if its own material breach has primarily caused or resulted in the failure of the Effective Time to occur by the Outside Date.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At the Effective Time, each share of Common Stock issued and outstanding immediately prior to the Effective Time (other than (i) shares held by the Company as treasury stock or held by Parent or Acquisition Sub (or any direct or indirect wholly owned subsidiaries of Parent or Acquisition Sub) or (ii) Dissenting Shares) will be converted automatically into the right to receive the Merger Consideration, without interest, with the aggregate amount of such payment to each holder to be rounded to the nearest cent, subject to any withholding of taxes required by applicable law. As of the Effective Time, all such shares of Common Stock will no longer be outstanding and will automatically be cancelled and will cease to exist, and will thereafter represent only the right to receive the Merger Consideration. Each share of Common Stock held by the Company as treasury stock or held directly by Parent or Acquisition Sub (or any direct or indirect wholly owned subsidiaries of Parent or Acquisition Sub), in each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919"/>
        <w:spacing w:after="0" w:line="282" w:lineRule="auto"/>
        <w:rPr>
          <w:sz w:val="20"/>
          <w:szCs w:val="20"/>
          <w:color w:val="auto"/>
        </w:rPr>
      </w:pPr>
      <w:r>
        <w:rPr>
          <w:rFonts w:ascii="Times New Roman" w:cs="Times New Roman" w:eastAsia="Times New Roman" w:hAnsi="Times New Roman"/>
          <w:sz w:val="18"/>
          <w:szCs w:val="18"/>
          <w:color w:val="auto"/>
        </w:rPr>
        <w:t>case, immediately prior to the Effective Time, will be automatically cancelled and will cease to exist, and no consideration or payment will be delivered in exchange for such shares of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and Other Awards</w:t>
      </w:r>
    </w:p>
    <w:p>
      <w:pPr>
        <w:spacing w:after="0" w:line="121" w:lineRule="exact"/>
        <w:rPr>
          <w:sz w:val="20"/>
          <w:szCs w:val="20"/>
          <w:color w:val="auto"/>
        </w:rPr>
      </w:pPr>
    </w:p>
    <w:p>
      <w:pPr>
        <w:ind w:left="300" w:right="113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provides for the following treatment of Company equity awards outstanding immediately prior to the Effective Time: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Company Options</w:t>
      </w:r>
    </w:p>
    <w:p>
      <w:pPr>
        <w:spacing w:after="0" w:line="119"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At the Effective Time, each Company Option, whether or not vested, that is outstanding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then underlying such Company Option multiplied by</w:t>
      </w:r>
    </w:p>
    <w:p>
      <w:pPr>
        <w:spacing w:after="0" w:line="3" w:lineRule="exact"/>
        <w:rPr>
          <w:sz w:val="20"/>
          <w:szCs w:val="20"/>
          <w:color w:val="auto"/>
        </w:rPr>
      </w:pPr>
    </w:p>
    <w:p>
      <w:pPr>
        <w:ind w:left="300" w:right="319" w:hanging="8"/>
        <w:spacing w:after="0" w:line="252" w:lineRule="auto"/>
        <w:tabs>
          <w:tab w:leader="none" w:pos="5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the Merger Consideration over the applicable exercise price per share of Common Stock subject to such Company Option, less applicable tax withholdings; provided, that any Company Option with an exercise price that is equal to or greater than the Merger Consideration will be cancelled for no consideration. Following the Effective Time, no Company Option will remain outstanding and each former holder of any Company Option will cease to have any rights with respect thereto, except the right to receive the applicable consideration under the Merger Agreement.</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Company RSUs</w:t>
      </w:r>
    </w:p>
    <w:p>
      <w:pPr>
        <w:spacing w:after="0" w:line="119" w:lineRule="exact"/>
        <w:rPr>
          <w:sz w:val="20"/>
          <w:szCs w:val="20"/>
          <w:color w:val="auto"/>
        </w:rPr>
      </w:pPr>
    </w:p>
    <w:p>
      <w:pPr>
        <w:ind w:left="300" w:right="439" w:firstLine="360"/>
        <w:spacing w:after="0" w:line="277" w:lineRule="auto"/>
        <w:rPr>
          <w:sz w:val="20"/>
          <w:szCs w:val="20"/>
          <w:color w:val="auto"/>
        </w:rPr>
      </w:pPr>
      <w:r>
        <w:rPr>
          <w:rFonts w:ascii="Times New Roman" w:cs="Times New Roman" w:eastAsia="Times New Roman" w:hAnsi="Times New Roman"/>
          <w:sz w:val="17"/>
          <w:szCs w:val="17"/>
          <w:color w:val="auto"/>
        </w:rPr>
        <w:t>At the Effective Time, each Company RSU, whether vested or unvested, that is outstanding as of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subject to such Company RSU immediately prior to the Effective Time multiplied by (ii) the Merger Consideration, less applicable tax withholdings.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Company PRSUs</w:t>
      </w:r>
    </w:p>
    <w:p>
      <w:pPr>
        <w:spacing w:after="0" w:line="11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At the Effective Time, each Company PRSU, whether vested or unvested, that is outstanding as of immediately prior to the Effective Time will, automatically and without any required action on the part of the holder thereof or the Company, be cancelled and converted into the right to receive, without interest, an amount in cash equal to the product of (i) the total number of shares of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multiplied by (ii) the Merger Consideration, less applicable tax withholdings. The Compensation Committee of the Board will determine the number of shares of Common Stock deemed to be earned under each Company PRSU at least three business days prior to the Effective Time based on actual performance through the Closing Date. Subject to the Company’s timely receipt of a duly executed election and waiver agreement from each Company PRSU Holder, such Company PRSU Holder will be entitled to elect to have such Company PRSUs either (x) paid at the Closing based on target performance, subject to the terms of the Merger Agreement, or (y) paid following the Closing, after actual performance has been finally determined, based on such actual performance and otherwise subject to the terms of the Merger Agreement.</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Payment of Company Options, Company RSUs and Company PRSUs</w:t>
      </w:r>
    </w:p>
    <w:p>
      <w:pPr>
        <w:spacing w:after="0" w:line="119"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Payments in respect of Company Options, Company RSUs and Company PRSUs will be made through the applicable payroll system, less required tax withholdings, as promptly as practicable and no later than the first regularly scheduled payroll date of the Surviving Corporation that is at least three business days after the Effective Time, except that payment may be made at another time consistent with the applicable Company RSU or Company PRSU terms to avoid additional income tax under Section 409A of the Code. Prior to the Effective Time, the Board or an authorized committee will adopt resolutions and take other reasonably necessary and reasonably appropriate actions to give effect to the foregoing treatment of equity awards, including obtaining any necessary consents and making any amendments to the applicable equity incentive plans and award agreements, and the Company will provide Parent with drafts of related notices, resolutions, consents and other written actions at least three business days before the Effective Time for Parent’s reasonable review and comment.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between September 17, 2026, the date of the Merger Agreement, and the Effective Time, any change in the outstanding shares of Common Stock occurs as a result of any stock split, reverse stock split, stock dividend (including any dividend or distribution of equity interests of the Company convertible into or exchangeable for shares of Common Stock), recapitalization, reclassification, combination, exchange of shares or other similar event, should such action be authorized and permitted in accordance with the Merger Agreement, the Merger Consideration will be equitably adjusted to reflect such event and to provide to holders of Common Stock, Company Options, Company RSUs and Company PRSUs the same economic effect as contemplated by the Merger Agreement prior to such event.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Dissenting Shares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Shares of Common Stock that are held by stockholders who are entitled to and who properly demand statutory appraisal rights under Section 262 of the DGCL, which we refer to as “Dissenting Shares,” will not be converted into the right to receive the Merger Consideration. At the Effective Time, all Dissenting Shares will no longer be outstanding and will automatically be cancelled and will cease to exist, and the holders thereof will cease to have any rights with respect thereto, except the rights set forth in Section 262 of the DGCL. If any stockholder fails to perfect or otherwise waives, withdraws or loses such stockholder’s right to appraisal under the DGCL or other applicable law, the Dissenting Shares held by such stockholder will be deemed to have been converted as of the Effective Time into the right to receive the Merger Consideration, without interest and subject to any withholding of taxes required by applicable law.</w:t>
      </w:r>
    </w:p>
    <w:p>
      <w:pPr>
        <w:spacing w:after="0" w:line="80"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The Company will give Parent prompt notice (and in any event within 48 hours) of any demands received by the Company for appraisal of shares, withdrawals of such demands, and any other instruments served pursuant to the DGCL and received by the Company relating to rights to be paid the fair value of Dissenting Shares, and Parent will have the right to participate in and direct all negotiations, proceedings and settlements with respect to such demands. Prior to the Effective Time, the Company will not, except with the prior written consent of Parent, voluntarily make any payment with respect to, or settle or compromise, any such demands, or agree to do any of the foregoing.</w:t>
      </w:r>
    </w:p>
    <w:p>
      <w:pPr>
        <w:spacing w:after="0" w:line="65"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regarding appraisal rights, see “Appraisal Rights” beginning on page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21" w:lineRule="exact"/>
        <w:rPr>
          <w:sz w:val="20"/>
          <w:szCs w:val="20"/>
          <w:color w:val="auto"/>
        </w:rPr>
      </w:pPr>
    </w:p>
    <w:p>
      <w:pPr>
        <w:ind w:left="300" w:right="499" w:firstLine="360"/>
        <w:spacing w:after="0" w:line="274" w:lineRule="auto"/>
        <w:rPr>
          <w:sz w:val="20"/>
          <w:szCs w:val="20"/>
          <w:color w:val="auto"/>
        </w:rPr>
      </w:pPr>
      <w:r>
        <w:rPr>
          <w:rFonts w:ascii="Times New Roman" w:cs="Times New Roman" w:eastAsia="Times New Roman" w:hAnsi="Times New Roman"/>
          <w:sz w:val="17"/>
          <w:szCs w:val="17"/>
          <w:color w:val="auto"/>
        </w:rPr>
        <w:t>At or prior to the Effective Time, Parent will designate a reputable bank or trust company, the identity and terms of designation and appointment of which will be reasonably acceptable to the Company, to act as the Paying Agent for purposes of effecting payment of the Merger Consideration. Parent will cause to be paid the fees and expenses of the Paying Agent. At the Closing and substantially concurrently with the Effective Time, Parent will cause to be deposited with the Paying Agent the aggregate Merger Consideration to which holders of shares of Common Stock (other than Cancelled Shares and Dissenting Shares) will be entitled at the Effective Time.</w:t>
      </w:r>
    </w:p>
    <w:p>
      <w:pPr>
        <w:spacing w:after="0" w:line="6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As soon as practicable after the Effective Time (and in no event later than three business days thereafter), the Surviving Corporation will cause the Paying Agent to mail to each holder of record of shares of Common Stock represented by certificates (i) a letter of transmittal, which will specify that delivery will be effected, and risk of loss and title to the certificates will pass, only upon delivery of the certificates to the Paying Agent, and (ii) instructions for effecting the surrender of certificates (or affidavits of loss in lieu thereof) in exchange for payment of the Merger Consideration.</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Each registered holder of Book-Entry Shares will automatically, upon the Effective Time, be entitled to receive the Merger Consideration, less any required tax withholdings, and Parent will cause payment of the Merger Consideration in respect of Book-Entry Shares to be made to the person in whose name such Book-Entry Shares are registered promptly following the Effective Time (and in no event more than three business days thereafter), without any action on the part of such person.</w:t>
      </w:r>
    </w:p>
    <w:p>
      <w:pPr>
        <w:spacing w:after="0" w:line="75"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At the Effective Time, the stock transfer books of the Company will be closed, and thereafter there will be no further registration of transfers of shares of Common Stock that were outstanding immediately prior to the Effective Time on the records of the Company.</w:t>
      </w:r>
    </w:p>
    <w:p>
      <w:pPr>
        <w:spacing w:after="0" w:line="68"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Any portion of the aggregate Merger Consideration deposited with the Paying Agent (including any interest received with respect thereto) that remains unclaimed by holders of certificates or Book-Entry Shares on the first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anniversary of the Effective Time will be returned to the Surviving Corporation or an affiliate thereof designated by the Surviving Corporation, upon demand, and any holder who has not theretofore complied with the exchange procedures set forth in the Merger Agreement will thereafter look only to the Surviving Corporation for the applicable Merger Consideration, without interest and subject to any required withholding of taxes and to abandoned property, escheat or similar laws. Any portion of the Merger Consideration remaining unclaimed immediately prior to the earlier of (i) the date five years from the Closing Date and (ii) such time as such amounts would otherwise escheat to, or become the property of, any governmental entity will, to the extent permitted by applicable law, become the property of the Surviving Corporation or an affiliate thereof designated by the Surviving Corporation, free and clear of any claim or interest of any person previously entitled thereto.</w:t>
      </w:r>
    </w:p>
    <w:p>
      <w:pPr>
        <w:spacing w:after="0" w:line="80"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If any Certificate has been lost, stolen or destroyed, upon the making of an affidavit of that fact by the person claiming such Certificate to be lost, stolen or destroyed and, if required by the Surviving Corporation or the Paying Agent, the posting by such person of a bond in such reasonable amount as the Surviving Corporation or the Paying Agent may direct as indemnity against any claim that may be made against it with respect to such Certificate, the Paying Agent will pay to such person the applicable Merger Consideration.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Representations and Warranties</w:t>
      </w:r>
    </w:p>
    <w:p>
      <w:pPr>
        <w:spacing w:after="0" w:line="121"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In the Merger Agreement, the Company has made customary representations and warranties to Parent and Acquisition Sub that are subject, in some cases, to specified exceptions and qualifications contained in (i) the Merger Agreement, (ii) the Company disclosure letter (the “Company Disclosure Letter”), or (iii) the Company’s filings with the SEC between January 1, 2024 and the date that is two business days before the date of the Merger Agreement, excluding information other than statements of fact in the “Risk Factors,” “Summary of Risk Factors,” “Cautionary Note Regarding Forward-Looking Statements” and “Quantitative and Qualitative Disclosures About Market Risk” sections and other predictive, cautionary or forward-looking disclosures. The Company’s representations and warranties under the Merger Agreement relate to, among other things:</w:t>
      </w:r>
    </w:p>
    <w:p>
      <w:pPr>
        <w:spacing w:after="0" w:line="84" w:lineRule="exact"/>
        <w:rPr>
          <w:sz w:val="20"/>
          <w:szCs w:val="20"/>
          <w:color w:val="auto"/>
        </w:rPr>
      </w:pPr>
    </w:p>
    <w:p>
      <w:pPr>
        <w:ind w:left="1000" w:right="113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valid existence, good standing and corporate power, and the Company’s organizational documents;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including outstanding equity awards and the absence of a stockholder rights plan;</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Company to enter into the Merger Agreement and to consummate the Merger, the enforceability of the Merger Agreement against the Company, the inapplicability of Section 203 of the DGCL and other takeover laws, and the required stockholder vote;</w:t>
      </w:r>
    </w:p>
    <w:p>
      <w:pPr>
        <w:spacing w:after="0" w:line="6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organizational documents, applicable laws or contracts, and required governmental consents and filings;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financial statements, internal controls and disclosure controls, the absence of undisclosed liabilities, and the absence of off-balance-sheet arrangements;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since December 31, 2025, including the absence of a Company Material Adverse Effect;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by the Company for inclusion in this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orders;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including anti-corruption, sanctions and anti-money-laundering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labor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title to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information technology systems;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Board of an opinion of Baird to the effect that, as of the date thereof and based upon and subject to the factors and assumptions set forth in such opinion, the Merger Consideration to be received by the holders of Common Stock (other than the Excluded Holders) pursuant to and in accordance with the Merger Agreement is fair from a financial point of view to such holders;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customers and suppliers;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other representations or warranties.</w:t>
      </w:r>
    </w:p>
    <w:p>
      <w:pPr>
        <w:spacing w:after="0" w:line="117"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In addition, many of the Company’s representations and warranties are qualified by knowledge or by a materiality or a “Company Material Adverse Effect” standard. For purposes of the Merger Agreement, “Company Material Adverse Effect” means any change, event, effect, occurrence, state of facts or development (an “Effect”) that, individually or in the aggregate, taken alone or together with any other related or unrelated changes, effects, events, occurrences, states of facts or developments, (i) has, or would reasonably be expected to have, a material adverse effect on the business, condition (financial or otherwise), assets, liabilities or results of operations of the Company and its subsidiaries, taken as a whole, or (ii) prevents or materially impairs or delays the consummation of the Merger or performance by the Company of any of its material obligations under the Merger Agreement.</w:t>
      </w:r>
    </w:p>
    <w:p>
      <w:pPr>
        <w:spacing w:after="0" w:line="8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However, solely with respect to clause (i) above, Effects arising out of, resulting from or attributable to the following will not constitute or be deemed to contribute to a Company Material Adverse Effect, and will not otherwise be taken into account in determining whether a Company Material Adverse Effect has occurred or would reasonably be expected to occur:</w:t>
      </w:r>
    </w:p>
    <w:p>
      <w:pPr>
        <w:spacing w:after="0" w:line="72" w:lineRule="exact"/>
        <w:rPr>
          <w:sz w:val="20"/>
          <w:szCs w:val="20"/>
          <w:color w:val="auto"/>
        </w:rPr>
      </w:pPr>
    </w:p>
    <w:p>
      <w:pPr>
        <w:ind w:left="1000" w:right="579" w:hanging="348"/>
        <w:spacing w:after="0" w:line="312" w:lineRule="auto"/>
        <w:tabs>
          <w:tab w:leader="none" w:pos="10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or proposed changes in applicable laws, U.S. Generally Accepted Accounting Principles (“GAAP”) or the binding interpretation or enforcement thereof after the date of the Merger Agreement;</w:t>
      </w:r>
    </w:p>
    <w:p>
      <w:pPr>
        <w:spacing w:after="0" w:line="31" w:lineRule="exact"/>
        <w:rPr>
          <w:rFonts w:ascii="Times New Roman" w:cs="Times New Roman" w:eastAsia="Times New Roman" w:hAnsi="Times New Roman"/>
          <w:sz w:val="17"/>
          <w:szCs w:val="17"/>
          <w:color w:val="auto"/>
        </w:rPr>
      </w:pPr>
    </w:p>
    <w:p>
      <w:pPr>
        <w:ind w:left="1000" w:right="319" w:hanging="348"/>
        <w:spacing w:after="0" w:line="261"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political or regulatory conditions, or changes in securities, credit or other financial markets, including interest rates or exchange rates, in the United States or globally, or changes generally affecting the industries (including seasonal fluctuations) in which the Company or its subsidiaries operate in the United States or other regions where the Company and its subsidiaries operate;</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national political conditions (including the outbreak or escalation of war (whether or not declared), civil unrest, military action, sabotage or acts of terrorism), force majeure, calamities, changes due to natural disasters or changes in the weather or changes due to the outbreak or worsening of an epidemic, pandemic or other health crisis;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to the extent expressly required by the Merger Agreement (other than the requirement for the Company to conduct its operations only in the ordinary course of business in a manner consistent with past practice), provided that this carve-out does not apply in the context of a representation or warranty that specifically addresses the consequences of the execution and delivery of the Merger Agreement or the consummation of the transactions contemplated by the Merger Agreement;</w:t>
      </w:r>
    </w:p>
    <w:p>
      <w:pPr>
        <w:spacing w:after="0" w:line="75" w:lineRule="exact"/>
        <w:rPr>
          <w:rFonts w:ascii="Times New Roman" w:cs="Times New Roman" w:eastAsia="Times New Roman" w:hAnsi="Times New Roman"/>
          <w:sz w:val="18"/>
          <w:szCs w:val="18"/>
          <w:color w:val="auto"/>
        </w:rPr>
      </w:pPr>
    </w:p>
    <w:p>
      <w:pPr>
        <w:ind w:left="1000" w:right="419" w:hanging="348"/>
        <w:spacing w:after="0" w:line="255"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announcement, pendency or consummation of the Merger Agreement and the Merger, including the impact thereof on the relationship of the Company or any of its subsidiaries, contractual or otherwise, with its customers, suppliers, distributors, vendors, lenders, employees or partners (other than any action or omission in violation of the Company’s obligations under the Merger Agreement), provided that this carve-out does not apply in the context of a representation or warranty that specifically addresses the consequences of the execution and delivery of the Merger Agreement or the consummation of the transactions contemplated by the Merger Agreement;</w:t>
      </w:r>
    </w:p>
    <w:p>
      <w:pPr>
        <w:spacing w:after="0" w:line="80"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relating to the Merger Agreement or the transactions contemplated thereby brought by any stockholders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59" w:hanging="348"/>
        <w:spacing w:after="0" w:line="282"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shares of Common Stock or any suspension of trading (provided that the underlying cause of such changes may be taken into account);</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cost of equity, debt or other financing to Parent or Acquisition Sub for the transactions contemplated by the Merger Agreement (provided that the underlying cause of such changes may be taken into account);</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or any of its subsidiaries to meet any revenue, earnings or other financial projections or forecasts (provided that the underlying cause of such changes may be taken into account);</w:t>
      </w:r>
    </w:p>
    <w:p>
      <w:pPr>
        <w:spacing w:after="0" w:line="54" w:lineRule="exact"/>
        <w:rPr>
          <w:sz w:val="20"/>
          <w:szCs w:val="20"/>
          <w:color w:val="auto"/>
        </w:rPr>
      </w:pPr>
    </w:p>
    <w:p>
      <w:pPr>
        <w:ind w:left="300" w:right="839" w:firstLine="360"/>
        <w:spacing w:after="0" w:line="266" w:lineRule="auto"/>
        <w:rPr>
          <w:sz w:val="20"/>
          <w:szCs w:val="20"/>
          <w:color w:val="auto"/>
        </w:rPr>
      </w:pPr>
      <w:r>
        <w:rPr>
          <w:rFonts w:ascii="Times New Roman" w:cs="Times New Roman" w:eastAsia="Times New Roman" w:hAnsi="Times New Roman"/>
          <w:sz w:val="18"/>
          <w:szCs w:val="18"/>
          <w:color w:val="auto"/>
        </w:rPr>
        <w:t>Effects described in the first three bullets above will be taken into account to the extent such Effect has a materially disproportionate impact on the Company and its subsidiaries, taken as a whole, relative to other companies operating in the same industries.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Parent and Acquisition Sub Representations and Warranties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Parent’s and Acquisition Sub’s representations and warranties under the Merger Agreement relate to, among other things:</w:t>
      </w:r>
    </w:p>
    <w:p>
      <w:pPr>
        <w:spacing w:after="0" w:line="54" w:lineRule="exact"/>
        <w:rPr>
          <w:sz w:val="20"/>
          <w:szCs w:val="20"/>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valid existence, good standing and corporate power;</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Parent and Acquisition Sub to enter into the Merger Agreement and to consummate the Merger, and the enforceability of the Merger Agreement against Parent and Acquisition Sub;</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organizational documents, applicable laws or contracts, and required governmental consents and filings;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Commitment Letter and the Equity Commitment Letter and the sufficiency of the proceeds thereof;</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by Parent or Acquisition Sub for inclusion in this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the Surviving Corporation, subject to certain assumptions;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Parent and Acquisition Sub;</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agreements with any stockholder, director or officer of the Company relating to the Merger Agreement, the transactions contemplated thereby or the Surviving Corporation following the Effective Time;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control and influence;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other representations and warranties, and non-reliance.</w:t>
      </w:r>
    </w:p>
    <w:p>
      <w:pPr>
        <w:spacing w:after="0" w:line="11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certain of Parent’s and Acquisition Sub’s representations and warranties are qualified by knowledge or by a materiality or a “Parent Material Adverse Effect” standard. For purposes of the Merger Agreement, “Parent Material Adverse Effect” means any change, event, development, condition, occurrence or effect that prevents or materially impairs or delays the ability of Parent or Acquisition Sub to consummate the Merger and the other transactions contemplated by the Merger Agreement.</w:t>
      </w:r>
    </w:p>
    <w:p>
      <w:pPr>
        <w:spacing w:after="0" w:line="75"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None of the representations, warranties or covenants in the Merger Agreement or in any instrument delivered pursuant to the Merger Agreement will survive the Effective Time, except that any covenant or agreement of the parties that by its terms contemplates performance after the Effective Time will survive to the extent expressly provided for in the Merger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21"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Certain covenants in the Merger Agreement restrict the conduct of the business of the Company and its subsidiaries between the date of the Merger Agreement and the earlier of the Effective Time and the termination of the Merger Agreement. Except (i) as set forth in the Company Disclosure Letter, (ii) as required by applicable law,</w:t>
      </w:r>
    </w:p>
    <w:p>
      <w:pPr>
        <w:spacing w:after="0" w:line="2" w:lineRule="exact"/>
        <w:rPr>
          <w:sz w:val="20"/>
          <w:szCs w:val="20"/>
          <w:color w:val="auto"/>
        </w:rPr>
      </w:pPr>
    </w:p>
    <w:p>
      <w:pPr>
        <w:jc w:val="both"/>
        <w:ind w:left="300" w:right="839" w:hanging="8"/>
        <w:spacing w:after="0" w:line="290" w:lineRule="auto"/>
        <w:tabs>
          <w:tab w:leader="none" w:pos="6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expressly required by the Merger Agreement, or (iv) with the prior written consent of Parent (not to be unreasonably withheld, conditioned or delayed), the Company will, and will cause each of its subsidiaries to:</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operations only in the ordinary course of business in a manner consistent with past practice;</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business relations; and</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its debts in the ordinary course of business in a manner consistent with past practice and uncontested taxes when due.</w:t>
      </w:r>
    </w:p>
    <w:p>
      <w:pPr>
        <w:spacing w:after="0" w:line="54"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except as set forth in the Company Disclosure Letter or as otherwise expressly required by the Merger Agreement, the Company will not, and will not permit any of its subsidiaries to, between the date of the Merger Agreement and the earlier of the Effective Time and the termination of the Merger Agreement, directly or indirectly, take any of the following actions without the prior written consent of Parent (not to be unreasonably withheld, conditioned or delayed):</w:t>
      </w:r>
    </w:p>
    <w:p>
      <w:pPr>
        <w:spacing w:after="0" w:line="75" w:lineRule="exact"/>
        <w:rPr>
          <w:sz w:val="20"/>
          <w:szCs w:val="20"/>
          <w:color w:val="auto"/>
        </w:rPr>
      </w:pPr>
    </w:p>
    <w:p>
      <w:pPr>
        <w:ind w:left="1000" w:right="639" w:hanging="348"/>
        <w:spacing w:after="0" w:line="282"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bylaws or equivalent organizational documents, including any certificate of designation of any class or series of preferred stock or any similar instrument;</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any shares of capital stock of, or other equity interests in, the Company or any of its subsidiaries of any class, or securities convertible into, or exchangeable or exercisable for, any such shares or equity interests, or any options, warrants or other rights of any kind to acquire any such shares, equity interests or convertible or exchangeable securities, other than the issuance of shares of Common Stock upon the exercise of Company Options or settlement of Company RSUs or Company PRSUs outstanding as of the date of the Merger Agreement in accordance with their terms as in effect on such date;</w:t>
      </w:r>
    </w:p>
    <w:p>
      <w:pPr>
        <w:spacing w:after="0" w:line="80" w:lineRule="exact"/>
        <w:rPr>
          <w:rFonts w:ascii="Times New Roman" w:cs="Times New Roman" w:eastAsia="Times New Roman" w:hAnsi="Times New Roman"/>
          <w:sz w:val="18"/>
          <w:szCs w:val="18"/>
          <w:color w:val="auto"/>
        </w:rPr>
      </w:pPr>
    </w:p>
    <w:p>
      <w:pPr>
        <w:ind w:left="1000" w:right="399" w:hanging="348"/>
        <w:spacing w:after="0" w:line="273" w:lineRule="auto"/>
        <w:tabs>
          <w:tab w:leader="none" w:pos="10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pledge, dispose of, transfer, lease, license, guarantee or encumber any property or assets (other than intellectual property), including any product, product segment or business unit, except (i) pursuant to existing contracts set forth in the Company Disclosure Letter, (ii) the sale, purchase or non-exclusive license of inventory, property and goods or the provision of services, in the ordinary course of business consistent with past practice, (iii) obsolete or worn out equipment in the ordinary course of business in a manner consistent with past practice, or (iv) property or assets not deemed by the Company to be material to the business and having a value less than $2.5 million individually or $5.0 million in the aggregate;</w:t>
      </w:r>
    </w:p>
    <w:p>
      <w:pPr>
        <w:spacing w:after="0" w:line="63" w:lineRule="exact"/>
        <w:rPr>
          <w:rFonts w:ascii="Times New Roman" w:cs="Times New Roman" w:eastAsia="Times New Roman" w:hAnsi="Times New Roman"/>
          <w:sz w:val="17"/>
          <w:szCs w:val="17"/>
          <w:color w:val="auto"/>
        </w:rPr>
      </w:pPr>
    </w:p>
    <w:p>
      <w:pPr>
        <w:ind w:left="1000" w:right="319" w:hanging="348"/>
        <w:spacing w:after="0" w:line="261"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pledge, transfer, license, abandon, lease, encumber, permit to lapse or otherwise dispose of any Company material intellectual property, except for non-exclusive licenses in the ordinary course of business consistent with past practice, or disclose any of its material trade secrets to a third party other than pursuant to a confidentiality agreement;</w:t>
      </w:r>
    </w:p>
    <w:p>
      <w:pPr>
        <w:spacing w:after="0" w:line="71"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except for dividends paid by a wholly owned subsidiary of the Company to the Company or another wholly owned subsidiary of the Company in the ordinary course of business consistent with past practice;</w:t>
      </w:r>
    </w:p>
    <w:p>
      <w:pPr>
        <w:spacing w:after="0" w:line="71" w:lineRule="exact"/>
        <w:rPr>
          <w:rFonts w:ascii="Times New Roman" w:cs="Times New Roman" w:eastAsia="Times New Roman" w:hAnsi="Times New Roman"/>
          <w:sz w:val="18"/>
          <w:szCs w:val="18"/>
          <w:color w:val="auto"/>
        </w:rPr>
      </w:pPr>
    </w:p>
    <w:p>
      <w:pPr>
        <w:ind w:left="1000" w:right="579" w:hanging="348"/>
        <w:spacing w:after="0" w:line="281" w:lineRule="auto"/>
        <w:tabs>
          <w:tab w:leader="none" w:pos="10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reclassify, combine, split, subdivide or amend the terms of, or redeem, purchase or otherwise acquire, directly or indirectly, any of its capital stock or other equity interests, except with respect to any wholly owned subsidiary of the Company or pursuant to the terms of Company Options, Company RSUs or Company PRSUs outstanding as of the date of the Merger Agreement in accordance with their terms;</w:t>
      </w:r>
    </w:p>
    <w:p>
      <w:pPr>
        <w:spacing w:after="0" w:line="56" w:lineRule="exact"/>
        <w:rPr>
          <w:rFonts w:ascii="Times New Roman" w:cs="Times New Roman" w:eastAsia="Times New Roman" w:hAnsi="Times New Roman"/>
          <w:sz w:val="17"/>
          <w:szCs w:val="17"/>
          <w:color w:val="auto"/>
        </w:rPr>
      </w:pPr>
    </w:p>
    <w:p>
      <w:pPr>
        <w:jc w:val="both"/>
        <w:ind w:left="1000" w:right="339" w:hanging="348"/>
        <w:spacing w:after="0" w:line="289" w:lineRule="auto"/>
        <w:tabs>
          <w:tab w:leader="none" w:pos="10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amalgamate or consolidate the Company or any of its subsidiaries with any person, or adopt a plan of complete or partial liquidation or resolutions providing for a complete or partial liquidation, dissolution, restructuring, recapitalization or other reorganization of the Company or any of its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55"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amalgamation, consolidation or acquisition of stock or assets) any person or assets, other than (i) acquisitions of inventory, raw materials and other property in the ordinary course of business consistent with past practice or (ii) acquisitions for which the aggregate consideration payable by the Company does not exceed $2.5 million individually or $10 million in the aggregate (each such permitted acquisition, a “Permitted Acquisition”), provided that a description of the material terms of such Permitted Acquisition, in reasonable detail, has been made available to Parent prior to the earlier of entry therein and consummation thereof;</w:t>
      </w:r>
    </w:p>
    <w:p>
      <w:pPr>
        <w:spacing w:after="0" w:line="80"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issue any debt securities, or assume, guarantee or endorse, or otherwise as an accommodation become responsible for (whether directly, contingently or otherwise), the obligations of any person (other than a wholly owned subsidiary of the Company) for borrowed money, except for revolving credit borrowings under the Credit Facilities (as in effect on the date of the Merger Agreement) for working capital purposes or equipment leases for purchase money equipment financing, in each case in the ordinary course of business and consistent with past practice;</w:t>
      </w:r>
    </w:p>
    <w:p>
      <w:pPr>
        <w:spacing w:after="0" w:line="79"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any wholly owned subsidiary of the Company) in excess of $1.0 million in the aggregate;</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secure indebtedness and other obligations under the Credit Facilities (as in effect on the date of the Merger Agreement) or equipment leases for purchase money equipment financing in the ordinary course of business and consistent with past practice, create or incur any lien on any material assets of the Company or its subsidiaries;</w:t>
      </w:r>
    </w:p>
    <w:p>
      <w:pPr>
        <w:spacing w:after="0" w:line="71"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guarantees for the benefit of, or enter into any other material transaction with any director, officer, employee or individual independent contractor of the Company or its subsidiaries, other than advances for business, travel-related, relocation or other similar expenses in accordance with any currently existing Company policy in the ordinary course of business and consistent with past practice;</w:t>
      </w:r>
    </w:p>
    <w:p>
      <w:pPr>
        <w:spacing w:after="0" w:line="75"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renew, or agree to any material amendment to or waiver or release under, any Company material contract or any material government contract, or enter into or amend any contract that, if existing on the date of the Merger Agreement, would be a Company material contract or a material government contract, in each case other than renewals in the ordinary course of business consistent with past practice and terminations solely as a result of any such contract expiring in accordance with its terms;</w:t>
      </w:r>
    </w:p>
    <w:p>
      <w:pPr>
        <w:spacing w:after="0" w:line="75" w:lineRule="exact"/>
        <w:rPr>
          <w:rFonts w:ascii="Times New Roman" w:cs="Times New Roman" w:eastAsia="Times New Roman" w:hAnsi="Times New Roman"/>
          <w:sz w:val="18"/>
          <w:szCs w:val="18"/>
          <w:color w:val="auto"/>
        </w:rPr>
      </w:pPr>
    </w:p>
    <w:p>
      <w:pPr>
        <w:ind w:left="1000" w:right="479" w:hanging="348"/>
        <w:spacing w:after="0" w:line="257"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series of related capital expenditures in excess of the Company’s capital expenditure budget agreed with Parent, other than capital expenditures or series of related capital expenditures that are not individually in excess of $1.5 million or in the aggregate in excess of</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w:t>
      </w:r>
    </w:p>
    <w:p>
      <w:pPr>
        <w:spacing w:after="0" w:line="98" w:lineRule="exact"/>
        <w:rPr>
          <w:rFonts w:ascii="Times New Roman" w:cs="Times New Roman" w:eastAsia="Times New Roman" w:hAnsi="Times New Roman"/>
          <w:sz w:val="18"/>
          <w:szCs w:val="18"/>
          <w:color w:val="auto"/>
        </w:rPr>
      </w:pPr>
    </w:p>
    <w:p>
      <w:pPr>
        <w:ind w:left="1000" w:right="359" w:hanging="348"/>
        <w:spacing w:after="0" w:line="270" w:lineRule="auto"/>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by the terms of the Merger Agreement, as required pursuant to the terms of any Company benefit plan in effect as of the date of the Merger Agreement, or as otherwise required by applicable law, (i) grant or provide any severance or termination payments or benefits to any current or former director, officer, employee or individual independent contractor of the Company or its subsidiaries,</w:t>
      </w:r>
    </w:p>
    <w:p>
      <w:pPr>
        <w:spacing w:after="0" w:line="2" w:lineRule="exact"/>
        <w:rPr>
          <w:rFonts w:ascii="Times New Roman" w:cs="Times New Roman" w:eastAsia="Times New Roman" w:hAnsi="Times New Roman"/>
          <w:sz w:val="17"/>
          <w:szCs w:val="17"/>
          <w:color w:val="auto"/>
        </w:rPr>
      </w:pPr>
    </w:p>
    <w:p>
      <w:pPr>
        <w:ind w:left="1000" w:right="459" w:firstLine="3"/>
        <w:spacing w:after="0" w:line="250" w:lineRule="auto"/>
        <w:tabs>
          <w:tab w:leader="none" w:pos="126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or benefits payable to any current or former director, officer, employee or individual independent contractor of the Company or its subsidiaries, (iii) establish, adopt, amend or terminate any Company benefit plan, (iv) take any action to accelerate the vesting or payment, or fund or in any other way secure the payment, of compensation or benefits under any Company benefit plan (including with respect to Company Options, Company PRSUs and Company RSUs) or otherwise,</w:t>
      </w:r>
    </w:p>
    <w:p>
      <w:pPr>
        <w:spacing w:after="0" w:line="1" w:lineRule="exact"/>
        <w:rPr>
          <w:rFonts w:ascii="Times New Roman" w:cs="Times New Roman" w:eastAsia="Times New Roman" w:hAnsi="Times New Roman"/>
          <w:sz w:val="18"/>
          <w:szCs w:val="18"/>
          <w:color w:val="auto"/>
        </w:rPr>
      </w:pPr>
    </w:p>
    <w:p>
      <w:pPr>
        <w:ind w:left="1000" w:right="339" w:firstLine="3"/>
        <w:spacing w:after="0" w:line="251" w:lineRule="auto"/>
        <w:tabs>
          <w:tab w:leader="none" w:pos="125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or grant any new compensation or benefits, or amend or modify the terms of any outstanding awards (including any Company Options, Company PRSUs or Company RSUs), (vi) hire, engage, terminate (other than for cause), furlough or temporarily lay off any director, officer, employee or individual independent contractor, (vii) hire, terminate (other than for cause), furlough or temporarily lay off any Executive Officer, or (viii) communicate with any current or former officers, directors, employees or individual independent contractors of the Company or any of its subsidiaries with respect to the compensation, benefits or other treatment they will receive following the Effective Time, except for communications approved by Parent in advance and communications consistent with those already made by Parent;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39" w:hanging="348"/>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reductions in force or layoffs that would reasonably be expected to trigger notice obligations under the Worker Adjustment and Retraining Notification Act of 1988;</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enter into, amend or extend any collective bargaining agreement, except as required by law after providing prior written notice to Parent;</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other than as required by GAAP or by a governmental entity;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in the ordinary course of business consistent with past practice that involve only the payment of monetary damages not in excess of $1.5 million individually or $5.0 million in the aggregate, in any case without the imposition of equitable relief on, or the admission of wrongdoing by, the Company or any of its subsidiaries;</w:t>
      </w:r>
    </w:p>
    <w:p>
      <w:pPr>
        <w:spacing w:after="0" w:line="75"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specified actions with respect to taxes, including making, changing or revoking any material tax election, electing or changing any material method of tax accounting or tax accounting period, filing any amended tax return with respect to material taxes, agreeing to any extension of the statute of limitations in respect of any material tax claim or assessment, surrendering any right to claim a material tax refund, preparing any income or other material tax return in a manner materially inconsistent with past practice, initiating, settling or compromising any material tax dispute, audit, investigation, proceeding, claim, assessment or liability, requesting any ruling or similar guidance with respect to taxes, incurring any material taxes outside the ordinary course of business, or entering into any contractual obligation in respect of income or other material taxes with any governmental entity;</w:t>
      </w:r>
    </w:p>
    <w:p>
      <w:pPr>
        <w:spacing w:after="0" w:line="80"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fail to renew (upon expiration, on substantially the same terms as in effect on the date of the Merger Agreement), or fail to maintain compliance with the terms of, any material insurance policy of the Company or any of its subsidiaries;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compensation-related covenant described above, enter into any contract that both (i) would be a Company material contract if entered into prior to the date of the Merger Agreement and (ii) contains a change in control or similar provision that would trigger a consent right in favor of the counterparty in connection with the Merger;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Nothing in the Merger Agreement gives Parent or Acquisition Sub, directly or indirectly, the right to control or direct the operations of the Company prior to the consummation of the Merger, and, prior to the Effective Time, the Company will exercise, consistent with the terms and conditions of the Merger Agreement, complete unilateral control and supervision over its business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Go-Shop Period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Go-Shop Period, which began on the date of the Merger Agreement and will continue until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11:59 p.m., Eastern Time, on the date that is 40 calendar days after the date of the Merger Agreement,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its subsidiaries and their respective representatives have the right to:</w:t>
      </w:r>
    </w:p>
    <w:p>
      <w:pPr>
        <w:spacing w:after="0" w:line="99" w:lineRule="exact"/>
        <w:rPr>
          <w:sz w:val="20"/>
          <w:szCs w:val="20"/>
          <w:color w:val="auto"/>
        </w:rPr>
      </w:pPr>
    </w:p>
    <w:p>
      <w:pPr>
        <w:ind w:left="1000" w:right="319" w:hanging="348"/>
        <w:spacing w:after="0" w:line="25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facilitate and encourage any inquiry, proposal or offer that constitutes or is reasonably expected to lead to an Acquisition Proposal, including by way of providing access to non-public information to any person pursuant to an acceptable confidentiality agreement (provided that the Company is required to make available to Parent, promptly and in any event within 24 hours, any non-public information concerning the Company or its subsidiaries provided to any such person that was not previously made available to Parent);</w:t>
      </w:r>
    </w:p>
    <w:p>
      <w:pPr>
        <w:spacing w:after="0" w:line="79"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enter into and otherwise participate in any discussion or negotiation with any person with respect to any inquiry, proposal or offer that constitutes or is reasonably expected to lead to an Acquisition Proposal; and</w:t>
      </w:r>
    </w:p>
    <w:p>
      <w:pPr>
        <w:spacing w:after="0" w:line="67" w:lineRule="exact"/>
        <w:rPr>
          <w:rFonts w:ascii="Times New Roman" w:cs="Times New Roman" w:eastAsia="Times New Roman" w:hAnsi="Times New Roman"/>
          <w:sz w:val="18"/>
          <w:szCs w:val="18"/>
          <w:color w:val="auto"/>
        </w:rPr>
      </w:pPr>
    </w:p>
    <w:p>
      <w:pPr>
        <w:ind w:left="1000" w:right="29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cooperate with, assist, participate in and facilitate any such inquiry, proposal, offer, discussion or negotiation and any effort or attempt to make any Acquisition Proposal, including through the waiver or release by the Company, in its sole discretion, of any standstill or similar agreement with any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Go-Shop Period will expire at 11:59 p.m., Eastern Time, on October 27, 2026. In addition, from and after the No-Shop Start Date, the Company is required to promptly cease and terminate any discussions or negotiations with any third party that may be ongoing with respect to, or that may reasonably be expected to lead to, any Acquisition Proposal; to promptly request that any such third party return or destroy all confidential information furnished by or on behalf of the Company and its subsidiaries; and to terminate such third party’s access to any data room maintained by or on behalf of the Company and its subsidiaries.</w:t>
      </w:r>
    </w:p>
    <w:p>
      <w:pPr>
        <w:spacing w:after="0" w:line="7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Following the expiration of the Go-Shop Period, the Company will become subject to the restrictions described under “—No Solicitation of Other Offers; Change of Recommendation” below.</w:t>
      </w:r>
    </w:p>
    <w:p>
      <w:pPr>
        <w:spacing w:after="0" w:line="158" w:lineRule="exact"/>
        <w:rPr>
          <w:sz w:val="20"/>
          <w:szCs w:val="20"/>
          <w:color w:val="auto"/>
        </w:rPr>
      </w:pPr>
    </w:p>
    <w:p>
      <w:pPr>
        <w:ind w:left="300" w:right="407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No Solicitation of Other Offers; Change of Recommendation </w:t>
      </w:r>
      <w:r>
        <w:rPr>
          <w:rFonts w:ascii="Times New Roman" w:cs="Times New Roman" w:eastAsia="Times New Roman" w:hAnsi="Times New Roman"/>
          <w:sz w:val="18"/>
          <w:szCs w:val="18"/>
          <w:b w:val="1"/>
          <w:bCs w:val="1"/>
          <w:i w:val="1"/>
          <w:iCs w:val="1"/>
          <w:color w:val="auto"/>
        </w:rPr>
        <w:t>No-Shop Restrictions</w:t>
      </w:r>
    </w:p>
    <w:p>
      <w:pPr>
        <w:spacing w:after="0" w:line="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From and after the No-Shop Start Date, or, if earlier, until termination of the Merger Agreement, the Company, its subsidiaries and their respective representatives will be subject to customary non-solicitation restrictions, including the obligation not to (i) initiate, solicit, knowingly facilitate or knowingly encourage the submission of any Acquisition Proposal, (ii) engage in, continue or otherwise participate in discussions or negotiations that could reasonably be expected to lead to an Acquisition Proposal, other than to state that the restriction prohibits such discussions, (iii) provide any non-public information to any person in connection with an Acquisition Proposal,</w:t>
      </w:r>
    </w:p>
    <w:p>
      <w:pPr>
        <w:spacing w:after="0" w:line="5" w:lineRule="exact"/>
        <w:rPr>
          <w:sz w:val="20"/>
          <w:szCs w:val="20"/>
          <w:color w:val="auto"/>
        </w:rPr>
      </w:pPr>
    </w:p>
    <w:p>
      <w:pPr>
        <w:ind w:left="300" w:right="539" w:hanging="8"/>
        <w:spacing w:after="0" w:line="265" w:lineRule="auto"/>
        <w:tabs>
          <w:tab w:leader="none" w:pos="60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any Takeover Laws, (v) enter into any acquisition agreement with respect to any Acquisition Proposal, or</w:t>
      </w:r>
    </w:p>
    <w:p>
      <w:pPr>
        <w:ind w:left="300" w:right="379" w:hanging="8"/>
        <w:spacing w:after="0" w:line="255" w:lineRule="auto"/>
        <w:tabs>
          <w:tab w:leader="none" w:pos="60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propose, resolve or agree to do any of the foregoing, in each case, subject to the exceptions described below. Any breach of these restrictions by a representative or affiliate of the Company or any of its subsidiaries will be deemed a breach by the Company.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Fiduciary Exception to No-Shop</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Notwithstanding the foregoing, at any time after the date of the Merger Agreement and before receipt of the Company Stockholder Approval, the Company may respond to and engage with a third party that makes a bona fide written Acquisition Proposal that was not solicited in violation of the No-Shop Restrictions of the Merger Agreement, if the Board determines in good faith (after consultation with its outside legal counsel and financial advisor) that such Acquisition Proposal constitutes, or would reasonably be expected to lead to, a Superior Proposal and (after consultation with its outside legal counsel) that the failure to take such action would be inconsistent with the Board’s fiduciary duties under applicable law, subject to providing prior written notice of its decision to take such action to Parent at least 24 hours prior to taking such action (which notice must include a reasonably detailed description of the third party, its Acquisition Proposal and the information the Company intends to provide).</w:t>
      </w:r>
    </w:p>
    <w:p>
      <w:pPr>
        <w:spacing w:after="0" w:line="8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In such circumstances, and subject to entering into an acceptable confidentiality agreement, the Company may furnish non-public information to, and engage in discussions and negotiations with, such person. The Company is required to provide to Parent, within 24 hours, a copy of any written Acquisition Proposal received and written notice of any oral Acquisition Proposal received, including the identity of the person making the proposal and the material terms thereof. The Company must keep Parent reasonably informed of the status and material terms of any Acquisition Proposals and any material developments with respect thereto.</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a Change of Board Recommendation</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Except as expressly permitted by the Merger Agreement, from and after the date of the Merger Agreement until the earlier of receipt of the Company Stockholder Approval and the termination of the Merger Agreement, neither the Board nor any committee thereof may:</w:t>
      </w:r>
    </w:p>
    <w:p>
      <w:pPr>
        <w:spacing w:after="0" w:line="68" w:lineRule="exact"/>
        <w:rPr>
          <w:sz w:val="20"/>
          <w:szCs w:val="20"/>
          <w:color w:val="auto"/>
        </w:rPr>
      </w:pPr>
    </w:p>
    <w:p>
      <w:pPr>
        <w:ind w:left="1000" w:right="55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recommend, or publicly propose to adopt, approve or recommend, any Acquisition Proposal or any offer or proposal that would reasonably be expected to lead to an Acquisition Proposal;</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or qualify, or propose to publicly withdraw, qualify or modify, in a manner adverse to Parent or Acquisition Sub, the Board Recommendation;</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cause the Company to enter into any merger agreement, letter of intent or other agreement relating to any Acquisition Proposal or that would reasonably be expected to lead to an Acquisition Proposal (other than an acceptable confidentiality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Board Recommendation in this proxy statement, or fail to publicly reaffirm the Board Recommendation within five business days after Parent reasonably requests in writing (which request may be made not more than once per Acquisition Proposal or material change to an Acquisition Proposal);</w:t>
      </w:r>
    </w:p>
    <w:p>
      <w:pPr>
        <w:spacing w:after="0" w:line="6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recommend against any tender offer or exchange offer for the equity securities of the Company;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resolve or agree to do, or publicly propose to do, any of the foregoing.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Notification Obligations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and after the date of the Merger Agreement, the Company will promptly (and in any event within</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24 hours) notify Parent in the event that the Company receives any Acquisition Proposal or any indication of interest or inquiry that could reasonably be expected to lead to an Acquisition Proposal. The Company will notify Parent promptly (and in any event within 24 hours) of a summary of the material terms of the Acquisition Proposal, including the identity of the person who submitted it and all pricing and financing information and material conditions, and will provide unredacted copies of all written materials provided to or by the Company or its representatives in connection therewith. The Company will also promptly (and in any event within 24 hours after such determination) advise Parent if the Company determines to begin providing information or to engage in discussions or negotiations concerning an Acquisition Proposal, and will thereafter keep Parent reasonably informed on a current basis (and in any event within 24 hours) of the status and material terms of any such proposals and any material changes to the status of any such discussions or negotiations, and will provide to Parent as soon as practicable after receipt or delivery thereof unredacted copies of all transaction documents, financing documents and copies of any other documents (including any drafts or summaries) evidencing or specifying the terms or conditions of such Acquisition Proposal or related discussions.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Superior Proposals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Notwithstanding the No-Shop Restrictions, if the Company has received after the date of the Merger Agreement a bona fide written Acquisition Proposal that the Board determines in good faith, after consultation with its financial advisor and outside counsel, constitutes a Superior Proposal, and such Acquisition Proposal did not result from a breach (or deemed breach) of the No-Shop Restrictions, the Board may, at any time prior to receipt of the Company Stockholder Approval, (i) effect a Change of Board Recommendation with respect to such Superior Proposal or (ii) terminate the Merger Agreement in order to enter into a definitive agreement providing for such Superior Proposal, in each case only if the Board determines in good faith, after consultation with its outside counsel, that the failure to take such action would be inconsistent with its fiduciary duties to the stockholders of the Company, and subject to the requirements described below.</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Neither the Board nor any committee thereof may effect such a Change of Board Recommendation or terminate the Merger Agreement unless the Company has provided to Parent at least four business days’ prior written notice (the “Notice Period”) of the Company’s intention to take such action. Such notice must include an unredacted copy of the Superior Proposal and all related documentation (including the definitive transaction agreement, and related schedules and exhibits, to be entered into by the Company in respect of such Superior Proposal and, if applicable and to the extent received by the Company, all financing documentation and Commitment Letters), and must specify the basis for such Change of Board Recommendation or termination and the identity of the third parties making such proposal. In addition:</w:t>
      </w:r>
    </w:p>
    <w:p>
      <w:pPr>
        <w:spacing w:after="0" w:line="84" w:lineRule="exact"/>
        <w:rPr>
          <w:sz w:val="20"/>
          <w:szCs w:val="20"/>
          <w:color w:val="auto"/>
        </w:rPr>
      </w:pPr>
    </w:p>
    <w:p>
      <w:pPr>
        <w:ind w:left="1000" w:right="339" w:hanging="348"/>
        <w:spacing w:after="0" w:line="25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if requested by Parent, the Company must have, and must have caused its legal and financial advisors to have, engaged in good faith negotiations with Parent regarding any adjustment or amendment to the Merger Agreement or the Commitment Letters proposed in writing by Parent and intended to cause the relevant Acquisition Proposal to no longer constitute a Superior Proposal, and must have permitted Parent and its representatives to make a presentation to the Board relating to such proposed adjustments and amendments; and</w:t>
      </w:r>
    </w:p>
    <w:p>
      <w:pPr>
        <w:spacing w:after="0" w:line="79"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must have considered in good faith any adjustments or proposed amendments to the Merger Agreement or the Commitment Letters (including a change to the price terms thereof) and the other agreements contemplated thereby that may be offered in writing by Parent (the “Proposed Changed Terms”) no later than 11:59 p.m., New York City time, on the last day of the Notice Period, and must have determined in good faith, after consultation with its financial advisors and outside counsel, that,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61" w:lineRule="auto"/>
        <w:rPr>
          <w:sz w:val="20"/>
          <w:szCs w:val="20"/>
          <w:color w:val="auto"/>
        </w:rPr>
      </w:pPr>
      <w:r>
        <w:rPr>
          <w:rFonts w:ascii="Times New Roman" w:cs="Times New Roman" w:eastAsia="Times New Roman" w:hAnsi="Times New Roman"/>
          <w:sz w:val="18"/>
          <w:szCs w:val="18"/>
          <w:color w:val="auto"/>
        </w:rPr>
        <w:t>notwithstanding such Proposed Changed Terms, the Superior Proposal continues to constitute a Superior Proposal and, after consultation with its outside counsel, that the failure to take such action continues to be inconsistent with its fiduciary duties to the stockholders of the Company if such Proposed Changed Terms were to be given effect.</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revisions to such Superior Proposal offered by the party making such Superior Proposal with respect to any change in purchase price or any other material revision, the Company must deliver a new written notice to Parent and must again comply with the foregoing requirements with respect to such new written notice, except that the Notice Period will be two business days with respect to any such new written notice.</w:t>
      </w:r>
    </w:p>
    <w:p>
      <w:pPr>
        <w:spacing w:after="0" w:line="7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Company may not terminate the Merger Agreement to enter into a definitive agreement providing for a Superior Proposal unless it pays the Company Termination Fee prior to or concurrently with, and as a condition of, such termination. See “—Termination—Termination Fees and Expense Reimbursement” below.</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Intervening Events</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restrictions described above, the Board may, at any time prior to receipt of the Company Stockholder Approval, effect a Change of Board Recommendation if (i) the Board determines in good faith, after consultation with its financial advisor and outside counsel, that an Intervening Event has occurred and is continuing and (ii) the Board determines in good faith, after consultation with outside counsel, that the failure to effect a Change of Board Recommendation in response to such Intervening Event would be inconsistent with its fiduciary duties to the stockholders of the Company. However, such Change of Board Recommendation may not occur until after the fourth business day following Parent’s receipt of written notice from the Company advising Parent of the material information and facts relating to such Intervening Event and stating that the Company intends to make a Change of Board Recommendation, and provided that (A) during such four-business-day period the Company has negotiated in good faith with Parent, to the extent Parent wishes to negotiate, to make such adjustments to the terms and conditions of the Merger Agreement or the Commitment Letters as would enable the Board to proceed with the Board Recommendation, and (B) at the end of such four-business-day period the Board maintains the determination described in clause (ii) above (after taking into account any adjustments offered in writing by Parent to the material terms and conditions of the Merger Agreement or the Commitment Letters).</w:t>
      </w:r>
    </w:p>
    <w:p>
      <w:pPr>
        <w:spacing w:after="0" w:line="8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Board’s right to effect a Change of Board Recommendation in response to an Intervening Event does not give the Company a right to terminate the Merger Agreement. If the Board effects a Change of Board Recommendation in response to an Intervening Event, Parent would have the right to terminate the Merger Agreement, and the Company would be required to pay the Company Termination Fee. See “—Termination” for more information on the Board’s ability to effect a Change of Board Recommendation and “—Termination— Termination Fees and Expense Reimbursement—Company Termination Fee” for more information on the Company Termination Fee beginning on pages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 respectively.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Permitted Disclosures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Nothing in the no-solicitation provisions of the Merger Agreement prohibits the Board from disclosing to the stockholders of the Company a position contemplated by Rule 14e-2(a) or Rule 14d-9 under the Exchange Act or Item 1012(a) of Regulation M-A, provided that the Company may only make any such disclosure that constitutes a Change of Board Recommendation in compliance with the provisions described above under “—Superior Proposals” or “—Intervening Events,” as applicable. The issuance by the Company or the Board of a “stop, look and listen” statement pending disclosure of its position, as contemplated by Rules 14d-9 and 14e-2(a) under the Exchange Act, will not constitute a Change of Board Recommendation.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proxy statement:</w:t>
      </w:r>
    </w:p>
    <w:p>
      <w:pPr>
        <w:spacing w:after="0" w:line="117" w:lineRule="exact"/>
        <w:rPr>
          <w:sz w:val="20"/>
          <w:szCs w:val="20"/>
          <w:color w:val="auto"/>
        </w:rPr>
      </w:pPr>
    </w:p>
    <w:p>
      <w:pPr>
        <w:ind w:left="660" w:right="339" w:firstLine="360"/>
        <w:spacing w:after="0" w:line="274" w:lineRule="auto"/>
        <w:rPr>
          <w:sz w:val="20"/>
          <w:szCs w:val="20"/>
          <w:color w:val="auto"/>
        </w:rPr>
      </w:pPr>
      <w:r>
        <w:rPr>
          <w:rFonts w:ascii="Times New Roman" w:cs="Times New Roman" w:eastAsia="Times New Roman" w:hAnsi="Times New Roman"/>
          <w:sz w:val="17"/>
          <w:szCs w:val="17"/>
          <w:color w:val="auto"/>
        </w:rPr>
        <w:t>“Acquisition Proposal” means any offer, inquiry, indication of interest or proposal from a third party concerning, whether in a single transaction or a series of transactions, (A) a merger, consolidation or other business combination transaction or series of related transactions involving the Company that, if consummated, would result in (x) any person or group (as defined under Section 13 of the Exchange Act) becoming the beneficial owner of 20% or more of the outstanding shares of Common Stock or voting power of the resulting direct or indirect parent of the Company or the surviving entity in such transaction, or (y) the stockholders 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the Company immediately preceding such transaction holding less than 80% of the shares of Common Stock or voting interests in the direct or indirect parent of the Company or the surviving entity in such transaction;</w:t>
      </w:r>
    </w:p>
    <w:p>
      <w:pPr>
        <w:ind w:left="660" w:right="339" w:hanging="8"/>
        <w:spacing w:after="0" w:line="251" w:lineRule="auto"/>
        <w:tabs>
          <w:tab w:leader="none" w:pos="94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lease, purchase or other disposition, by merger, consolidation, business combination, share exchange, joint venture, recapitalization, spin-off or otherwise, of assets of the Company (including equity interests of any subsidiary of the Company) or its subsidiaries representing 20% or more of the consolidated assets, based on their fair market value as determined in good faith by the Board, or net revenue of the Company and its subsidiaries; (C) any issuance by the Company to, or any acquisition by, any person or group resulting in, or any proposal, offer, inquiry or indication of interest that if consummated would result in, any person or group becoming the beneficial owner of, directly or indirectly, in one or a series of related transactions, any class of equity securities or voting interests of the Company representing 20% or more of the voting power or shares of Common Stock; (D) any tender offer or exchange offer that if consummated would result in any person or group beneficially owning 20% or more of the outstanding shares of Common Stock or voting interests of the Company; or (E) any combination of the foregoing (in each case, other than the Merger).</w:t>
      </w:r>
    </w:p>
    <w:p>
      <w:pPr>
        <w:spacing w:after="0" w:line="84"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“Intervening Event” means any event, change, effect, development, state of facts, condition or occurrence that is material to the Company and its subsidiaries (I) that first occurs after the date of the Merger Agreement and that (a) is neither known to, nor reasonably foreseeable by, the Board as of or prior to the date of the Merger Agreement and (b) becomes known to or by the Board prior to receipt of the Company Stockholder Approval; and (II) that does not involve or relate to (a) an Acquisition Proposal, any inquiries, proposals or offers that constitute, or would reasonably be expected to lead to, an Acquisition Proposal, or any business combination or acquisition opportunity, (b) any Effect resulting from a breach of the Merger Agreement by the Company, (c) changes in the trading price or trading volume of shares of Common Stock (provided that the underlying cause of such changes may be taken into account in determining whether an Intervening Event has occurred), (d) any overachievement by the Company or any of its subsidiaries with respect to any revenue, earnings or other financial projections or forecasts (provided that the underlying cause of such overachievement may be taken into account in determining whether an Intervening Event has occurred), or (e) any development or change in the industries in which the Company and its subsidiaries operate as a whole that has not had, or would not reasonably be expected to have, a disproportionate effect on the Company.</w:t>
      </w:r>
    </w:p>
    <w:p>
      <w:pPr>
        <w:spacing w:after="0" w:line="89"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“Superior Proposal” means a bona fide written Acquisition Proposal (except that the references in the definition of Acquisition Proposal to “20%” and “80%” will be replaced by “50.1%”) that did not result from a breach by the Company of the no-solicitation provisions of the Merger Agreement, and that the Board determines in good faith, after consultation with its financial advisor and outside counsel, taking into account such factors as the Board considers in good faith to be appropriate (including, among other things, if appropriate, the identity of the third party making such Acquisition Proposal, the ability of such third party to consummate the transaction, all financial, regulatory, legal and other aspects of such proposal, including the confidentiality, the source and certainty of financing, the expected timing and likelihood of consummation of such proposal, and the nature and extent of regulatory approvals required and the risk of non-consummation), is reasonably likely to be consummated in accordance with its terms and, if consummated, would be more favorable from a financial point of view to the Company’s stockholders than the Merger (taking into account any proposed changes with respect to such Superior Proposal and the Proposed Changed Terms).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Meeting; Proxy Statement</w:t>
      </w:r>
    </w:p>
    <w:p>
      <w:pPr>
        <w:spacing w:after="0" w:line="121"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The Company has agreed to establish a record date for, call, give notice of, convene and hold the Special Meeting as promptly as practicable following the date of the Merger Agreement, and in any event within 30 calendar days following the date on which the Company is informed that the SEC does not intend to review the proxy statement or has no further comments thereon, solely for the purpose of voting upon the adoption of the Merger Agreement in accordance with the DGCL. Once established, the Company may not change the Record Date for the Special Meeting without Parent’s prior written consent (not to be unreasonably withheld, delayed or conditioned).</w:t>
      </w:r>
    </w:p>
    <w:p>
      <w:pPr>
        <w:spacing w:after="0" w:line="65"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The Company has also agreed to prepare and file this proxy statement with the SEC as promptly as reasonably practicable after the execution of the Merger Agreement, and in any event within 25 days after the date of the Merger Agreement, subject to extension by mutual agreement of Parent and the Company. The Company must provide Parent, Acquisition Sub and their counsel a reasonable opportunity to review and comment on this proxy statement and any amendments or supplements before filing, and may not file, disseminate or mail this proxy statement or any amendment or supplement without Parent’s prior written consent (not to be unreasonably withheld,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conditioned or delayed). The Company must provide Parent with any comments received from the SEC within 24 hours of receipt, must give Parent a reasonable opportunity to participate in formulating any response, and may not submit any response to SEC comments without Parent’s prior written consent (not to be unreasonably withheld, conditioned or delayed). The Company has also agreed to use reasonable best efforts to conduct a “broker search” in accordance with Rule 14a-13 under the Exchange Act promptly following the date of the Merger Agreement.</w:t>
      </w:r>
    </w:p>
    <w:p>
      <w:pPr>
        <w:spacing w:after="0" w:line="7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Company must use reasonable best efforts to cause this proxy statement to be disseminated to the Company’s stockholders as promptly as practicable following the filing thereof with the SEC and, in any event, no later than the earlier of (i) the fifth business day following confirmation from the SEC that it will not comment on, or has no additional comments on, this proxy statement and (ii) the tenth calendar day following the filing of this proxy statement with the SEC if the Company has not received comments from the SEC by that date.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in the Merger Agreement prevents the Company from postponing or adjourning the Special Meeting</w:t>
      </w:r>
    </w:p>
    <w:p>
      <w:pPr>
        <w:spacing w:after="0" w:line="27" w:lineRule="exact"/>
        <w:rPr>
          <w:sz w:val="20"/>
          <w:szCs w:val="20"/>
          <w:color w:val="auto"/>
        </w:rPr>
      </w:pPr>
    </w:p>
    <w:p>
      <w:pPr>
        <w:ind w:left="300" w:right="419" w:hanging="8"/>
        <w:spacing w:after="0" w:line="251" w:lineRule="auto"/>
        <w:tabs>
          <w:tab w:leader="none" w:pos="5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holders of an insufficient number of shares of Common Stock present or represented by proxy at the Special Meeting to constitute a quorum, provided that the Company may not postpone or adjourn the Special Meeting more than two times on that basis without Parent’s prior written consent, or (ii) if the Company is required to postpone or adjourn the Special Meeting by applicable law or order or by a request from the SEC or its staff. In addition, the Company is required to adjourn or postpone the Special Meeting if requested by Parent in writing at any time up to three business days prior to the date of the Special Meeting, if Parent reasonably believes such adjournment or postponement is necessary to allow sufficient time to solicit additional proxies in favor of the adoption of the Merger Agreement. Without Parent’s prior written consent, the Special Meeting may not be postponed or adjourned by more than ten business days for any event giving rise to such postponement or adjournment.</w:t>
      </w:r>
    </w:p>
    <w:p>
      <w:pPr>
        <w:spacing w:after="0" w:line="8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Company has agreed to use reasonable best efforts to cooperate with Parent with respect to its proxy solicitation efforts, including by engaging a proxy voting advisory firm reasonably acceptable to Parent, and to keep Parent reasonably informed with respect to proxy voting results and any substantive communication from any proxy voting advisory firm in connection with the Merger. Unless the Board has withdrawn the Board Recommendation in compliance with the Merger Agreement, the Company is required to use its reasonable best efforts to cause the definitive proxy statement to be mailed to the Company’s stockholders and to solicit proxies in favor of the adoption of the Merger Agreement, and to take all other action necessary or advisable to secure the vote of stockholders required by applicable law to effect the Merger.</w:t>
      </w:r>
    </w:p>
    <w:p>
      <w:pPr>
        <w:spacing w:after="0" w:line="84"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Unless the Merger Agreement is earlier terminated in accordance with its terms, and subject to the terms of the Merger Agreement, the Company is required to include the Board Recommendation in this proxy statement. The Company is required to hold the Special Meeting and submit the proposal to adopt the Merger Agreement to the Company’s stockholders unless the Merger Agreement has been validly terminated in accordance with its terms.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Consents, Approvals and Filings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Each of the parties to the Merger Agreement has agreed to use its reasonable best efforts to take, or cause to be taken, all actions that are necessary, proper or advisable under the Merger Agreement and applicable law to cause the expiration or termination of any applicable waiting periods under the HSR Act and any Other Required Regulatory Approval, and to obtain all consents, approvals, authorizations, qualifications and orders under any Other Required Regulatory Approvals.</w:t>
      </w:r>
    </w:p>
    <w:p>
      <w:pPr>
        <w:spacing w:after="0" w:line="75" w:lineRule="exact"/>
        <w:rPr>
          <w:sz w:val="20"/>
          <w:szCs w:val="20"/>
          <w:color w:val="auto"/>
        </w:rPr>
      </w:pPr>
    </w:p>
    <w:p>
      <w:pPr>
        <w:ind w:left="300" w:right="399" w:firstLine="360"/>
        <w:spacing w:after="0" w:line="268" w:lineRule="auto"/>
        <w:rPr>
          <w:sz w:val="20"/>
          <w:szCs w:val="20"/>
          <w:color w:val="auto"/>
        </w:rPr>
      </w:pPr>
      <w:r>
        <w:rPr>
          <w:rFonts w:ascii="Times New Roman" w:cs="Times New Roman" w:eastAsia="Times New Roman" w:hAnsi="Times New Roman"/>
          <w:sz w:val="17"/>
          <w:szCs w:val="17"/>
          <w:color w:val="auto"/>
        </w:rPr>
        <w:t>Without limiting the generality of the foregoing, Parent is required to use (and to cause its subsidiaries to use) reasonable best efforts and to take (and cause its subsidiaries to take) any and all steps necessary to avoid or eliminate each and every impediment under the HSR Act and with respect to any Other Required Regulatory Approvals that may be asserted by any governmental entity or any other person, so as to enable the parties to close the transactions contemplated by the Merger Agreement expeditiously and no later than the Outside Date, including proposing, negotiating, committing to or effecting, by consent decree, hold separate order or otherwise, any of:</w:t>
      </w:r>
    </w:p>
    <w:p>
      <w:pPr>
        <w:spacing w:after="0" w:line="5" w:lineRule="exact"/>
        <w:rPr>
          <w:sz w:val="20"/>
          <w:szCs w:val="20"/>
          <w:color w:val="auto"/>
        </w:rPr>
      </w:pPr>
    </w:p>
    <w:p>
      <w:pPr>
        <w:ind w:left="300" w:right="379" w:hanging="8"/>
        <w:spacing w:after="0" w:line="250" w:lineRule="auto"/>
        <w:tabs>
          <w:tab w:leader="none" w:pos="5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divestiture or disposition of, or holding separate (through the establishment of a trust or otherwise), the assets, properties and businesses of the Company or any of its subsidiaries; (B) the termination, modification or extension of existing relationships and contractual rights and obligations of the Company or any of its subsidiaries;</w:t>
      </w:r>
    </w:p>
    <w:p>
      <w:pPr>
        <w:spacing w:after="0" w:line="1" w:lineRule="exact"/>
        <w:rPr>
          <w:rFonts w:ascii="Times New Roman" w:cs="Times New Roman" w:eastAsia="Times New Roman" w:hAnsi="Times New Roman"/>
          <w:sz w:val="18"/>
          <w:szCs w:val="18"/>
          <w:color w:val="auto"/>
        </w:rPr>
      </w:pPr>
    </w:p>
    <w:p>
      <w:pPr>
        <w:ind w:left="300" w:right="379" w:hanging="8"/>
        <w:spacing w:after="0" w:line="290" w:lineRule="auto"/>
        <w:tabs>
          <w:tab w:leader="none" w:pos="58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or creation of relationships and contractual rights and obligations of the Company or its subsidiaries; or (D) the termination of any relevant venture or other arrangement of the Company or its subsidiaries.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No party is required to take or commit to take any action, or agree to any condition or restriction, that is not conditioned upon the occurrence of the Closing, and the Company and its subsidiaries may not agree to any such action, condition or restriction without Parent’s prior written consent.</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Prior to the earlier of the termination of the Merger Agreement and the Closing, none of the parties may directly or indirectly acquire or agree to acquire (by merging or consolidating with, or by purchasing a substantial portion of the assets of or equity in, or by any other manner) any person or portion thereof, or otherwise acquire or agree to acquire any assets, if entering into a definitive agreement relating to, or the consummation of, such acquisition, merger or consolidation would reasonably be expected to (A) impose any material delay in obtaining, or materially increase the risk of not obtaining, the permits, orders or other approvals of any governmental entity, or the expiration or termination of any applicable waiting period, contemplated by the closing conditions; (B) materially increase the risk of any governmental entity seeking an order prohibiting the consummation of the transactions contemplated by the Merger Agreement; (C) materially increase the risk of not being able to remove any such order on appeal or otherwise; or (D) materially delay or prevent the consummation of the transactions contemplated by the Merger Agreement.</w:t>
      </w:r>
    </w:p>
    <w:p>
      <w:pPr>
        <w:spacing w:after="0" w:line="8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see “The Merger—Regulatory Approvals Required” beginning on page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 xml:space="preserve"> of this proxy statement.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Employees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Under the Merger Agreement, for the period commencing at the Closing Date and ending on the date that is twelve months following the Closing Date, Parent will cause the Surviving Corporation and its applicable subsidiaries to provide each employee of the Company and its subsidiaries as of the Closing who is not represented by a union and who remains employed immediately following the Closing (each, a “Continuing Employee”), for so long as such Continuing Employee remains employed by the Surviving Corporation and its applicable subsidiaries, with (i) a base salary, base hourly wage rate, short-term target cash bonus opportunities or commission opportunities, as applicable, in each case excluding, except as set forth on the Company Disclosure Letter, retention, change in control, transaction or similar bonus opportunities and equity or equity-based compensation, that are no less favorable in the aggregate than those provided to such Continuing Employee immediately prior to the Closing and (ii) broad-based employee benefits, excluding any equity or equity-based compensation, severance, retention, change in control, transaction or similar bonus opportunities, deferred compensation, defined benefit pension, retiree medical and other retiree welfare benefits (collectively, “Excluded Benefits”), that are substantially comparable in the aggregate to the broad-based employee benefits, other than Excluded Benefits, provided to such Continuing Employee immediately prior to the Closing. Employees covered by a collective bargaining agreement will continue to be governed by the applicable collective bargaining agreement until its modification, expiration or termination in accordance with its terms and applicable law. Parent and its applicable subsidiaries will cause each Parent Plan in which a Continuing Employee participates or is eligible to participate to credit all service with the Company and its subsidiaries before the Closing for purposes of eligibility to participate, future vacation benefit accrual and level of benefits, subject to anti-duplication limitations, exclusions for defined benefit plans and Excluded Benefits, and the requirement that service need be credited only to the same extent and for the same purpose as under the corresponding Company benefit plan.</w:t>
      </w:r>
    </w:p>
    <w:p>
      <w:pPr>
        <w:spacing w:after="0" w:line="80" w:lineRule="exact"/>
        <w:rPr>
          <w:sz w:val="20"/>
          <w:szCs w:val="20"/>
          <w:color w:val="auto"/>
        </w:rPr>
      </w:pPr>
    </w:p>
    <w:p>
      <w:pPr>
        <w:ind w:left="300" w:right="519" w:firstLine="360"/>
        <w:spacing w:after="0" w:line="253" w:lineRule="auto"/>
        <w:rPr>
          <w:sz w:val="20"/>
          <w:szCs w:val="20"/>
          <w:color w:val="auto"/>
        </w:rPr>
      </w:pPr>
      <w:r>
        <w:rPr>
          <w:rFonts w:ascii="Times New Roman" w:cs="Times New Roman" w:eastAsia="Times New Roman" w:hAnsi="Times New Roman"/>
          <w:sz w:val="18"/>
          <w:szCs w:val="18"/>
          <w:color w:val="auto"/>
        </w:rPr>
        <w:t>During the plan year in which the Closing occurs, Parent and its applicable Subsidiaries will use reasonable best efforts to cause each Parent Plan that is a welfare benefit plan providing group health benefits to waive any eligibility waiting periods, actively-at-work requirements, evidence-of-insurability requirements, pre-existing condition limitations and other exclusions and limitations for Continuing Employees and their spouses, domestic partners and dependents to the extent waived, satisfied or not imposed under the corresponding Company benefit plan immediately before the Closing. Parent and its applicable Subsidiaries will also use reasonable best efforts to cause each such Parent Plan to recognize deductibles, co-insurance, co-payments and out-of-pocket expenses paid by and credited to Continuing Employees and their spouses, domestic partners and dependents under the corresponding Company benefit plan during the applicable portion of the plan year before the Closing. Before the Closing, the Company and its Subsidiaries will satisfy all notice, information, consultation and bargaining obligations owed to employees or their representatives with respect to the Merger under applicable law or any collective bargaining agreement, and Parent will reasonably cooperate with the Company in that regard.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Officers’ Indemnification and Insurance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From and after the Effective Time, the Surviving Corporation will (and Parent will cause the Surviving Corporation to) indemnify, defend and hold harmless, and advance expenses as incurred, to the fullest extent permitted under (i) applicable law, (ii) the Company’s certificate of incorporation and bylaws or similar organizational documents in effect as of the date of the Merger Agreement, and (iii) any contract of the Company or its subsidiaries in effect as of the date of the Merger Agreement and made available to Parent, each present and former director and officer of the Company and its subsidiaries (in each case, when acting in such capacity) (each, an “Indemnitee”)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the Merger Agreement or the transactions contemplated thereby.</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rights to exculpation, indemnification and advancement of expenses of the Company’s and its subsidiaries’ current and former directors and officers will survive the Merger and continue in accordance with their terms. These rights apply to acts or omissions occurring on or prior to the Effective Time, including acts or omissions in connection with the Merger Agreement and the transactions contemplated thereby. For at least six years following the Effective Time, Parent will cause the Surviving Corporation to maintain provisions providing for exculpation, indemnification and advancement of expenses that are no less favorable than those contained in the Company’s and its subsidiaries’ organizational documents in effect as of the date of the Merger Agreement, as well as in certain indemnification or similar agreements with directors and officers that were in effect as of that date and made available to Parent. During such period, these provisions may not be amended, repealed or otherwise modified in a manner that adversely affects the rights of individuals who were current or former directors or officers of the Company or its subsidiaries immediately before the Effective Time, except as required by applicable law. Any right to exculpation, indemnification or advancement of expenses relating to a proceeding pending or asserted, or a claim made, during the six-year period will continue until the final disposition of that proceeding or claim.</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For six years from and after the Effective Time, Parent and the Surviving Corporation will be jointly and severally responsible for maintaining, for the benefit of the directors and officers of the Company as of the date of the Merger Agreement and as of the Closing Date, an insurance and indemnification policy that provides coverage for events occurring at or prior to the Effective Time (the “D&amp;O Insurance”) that is not less favorable in the aggregate than the existing policy of the Company or, if substantially equivalent insurance coverage is unavailable, the best available coverage. Parent is not obligated to make premium payments for such insurance to the extent such premiums exceed 300% of the annual premiums most recently paid prior to the date of the Merger Agreement by the Company for such insurance (such 300% amount, the “Maximum Premium”). If such insurance coverage cannot be obtained at all, or can only be obtained at a premium in excess of the Maximum Premium, Parent will maintain the most advantageous policies of directors’ and officers’ insurance reasonably obtainable for a premium equal to the Maximum Premium.</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Company is required, prior to the Effective Time, to purchase a six-year prepaid “tail” directors’ and officers’ liability (and fiduciary) insurance policy with terms and conditions no less advantageous to the Indemnitees than the existing directors’ and officers’ liability (and fiduciary) insurance maintained by the Company, covering, without limitation, the transactions contemplated by the Merger Agreement, including the Merger. In no event may the Company expend, in the aggregate for all six years, in excess of the Maximum Premium; and if the premiums of such insurance coverage exceed the Maximum Premium, the Company may obtain a policy with the greatest coverage available for a cost not exceeding the Maximum Premium. If such prepaid tail policy is obtained by the Company prior to the Effective Time, Parent and the Surviving Corporation will maintain such policy in full force and effect and continue to honor the obligations thereunder, and the ongoing D&amp;O Insurance obligations described in the preceding paragraph will be deemed satisfied.</w:t>
      </w:r>
    </w:p>
    <w:p>
      <w:pPr>
        <w:spacing w:after="0" w:line="86"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either Parent or the Surviving Corporation or any of its successors or assigns (i) consolidates with or merges into any other person and is not the continuing or surviving entity, or (ii) transfers or conveys all or substantially all of its properties and assets to any person, then Parent will cause proper provision to be made so that such successor or assign will expressly assume the indemnification and insurance obligations described above.</w:t>
      </w:r>
    </w:p>
    <w:p>
      <w:pPr>
        <w:spacing w:after="0" w:line="72"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The provisions relating to exculpation, indemnification and advancement of expenses in the Merger Agreement are intended to benefit, and may be enforced by, the covered current and former directors and officers of the Company and its subsidiaries, as well as their respective heirs and representatives. These rights are in addition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spacing w:after="0" w:line="258" w:lineRule="auto"/>
        <w:rPr>
          <w:sz w:val="20"/>
          <w:szCs w:val="20"/>
          <w:color w:val="auto"/>
        </w:rPr>
      </w:pPr>
      <w:r>
        <w:rPr>
          <w:rFonts w:ascii="Times New Roman" w:cs="Times New Roman" w:eastAsia="Times New Roman" w:hAnsi="Times New Roman"/>
          <w:sz w:val="18"/>
          <w:szCs w:val="18"/>
          <w:color w:val="auto"/>
        </w:rPr>
        <w:t>and do not replace, any other rights to indemnification or contribution available to those individuals under the Company’s or its subsidiaries’ organizational documents or applicable agreements in effect as of the date of the Merger Agreement. Parent may not terminate or modify these obligations in a manner that adversely affects the rights of a covered individual unless the change is required by applicable law or the affected individual provides written consent. The covered individuals are expressly third-party beneficiaries of those provisions.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Efforts</w:t>
      </w:r>
    </w:p>
    <w:p>
      <w:pPr>
        <w:spacing w:after="0" w:line="121"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Under the Merger Agreement, Parent agreed to use its reasonable best efforts to obtain the Debt Financing, including using reasonable best efforts to:</w:t>
      </w:r>
    </w:p>
    <w:p>
      <w:pPr>
        <w:spacing w:after="0" w:line="54" w:lineRule="exact"/>
        <w:rPr>
          <w:sz w:val="20"/>
          <w:szCs w:val="20"/>
          <w:color w:val="auto"/>
        </w:rPr>
      </w:pPr>
    </w:p>
    <w:p>
      <w:pPr>
        <w:ind w:left="1000" w:right="379" w:hanging="348"/>
        <w:spacing w:after="0" w:line="254"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 effect the Debt Commitment Letter and not, without the Company’s prior written consent (not to be unreasonably withheld, delayed or conditioned), permit any amendment, modification, waiver or replacement of the Debt Commitment Letter that would reduce the aggregate amount of the Debt Financing below the Required Amount when combined with the Equity Financing and other available funds, or add conditions or otherwise change the terms in a manner reasonably expected to materially delay or prevent the Closing, make the funding of the Debt Financing less likely or adversely affect Parent’s enforcement rights; provided that Parent may add lenders or increase the aggregate amount of the Financing without such consent;</w:t>
      </w:r>
    </w:p>
    <w:p>
      <w:pPr>
        <w:spacing w:after="0" w:line="8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Equity Financing to be consummated upon satisfaction or waiver of the conditions to funding under the Equity Commitment Letter that are within Parent’s control;</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on a timely basis, or obtain a waiver of, all conditions to the Debt Financing and the Equity Financing that are within Parent’s control;</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execute and deliver definitive documentation for the Debt Financing consistent with the Debt Commitment Letter;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conditions have been satisfied or will be satisfied upon funding, cause the Committed Lenders and any other financing sources to fund the full amount of the Debt Financing at or before the Closing.</w:t>
      </w:r>
    </w:p>
    <w:p>
      <w:pPr>
        <w:spacing w:after="0" w:line="68"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If the Debt Financing becomes unavailable or Parent in good faith believes that all or any portion of the Debt Financing necessary to fund the Merger Consideration and consummate the transactions contemplated by the Merger Agreement will not be available, Parent must promptly notify the Company and use its reasonable best efforts to obtain alternative debt financing sufficient, when combined with the Equity Financing and other available funding sources, to fund the Merger Consideration and consummate the Merger, on terms not materially less favorable to Parent as to conditionality and availability at Closing than those in the Debt Commitment Letter (including the related fee letter) as of the date of the Merger Agreement. Parent must provide the Company with a copy of any replacement debt financing commitment, subject to the permitted redactions described in the Merger Agreement.</w:t>
      </w:r>
    </w:p>
    <w:p>
      <w:pPr>
        <w:spacing w:after="0" w:line="64"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The Company is required to use reasonable best efforts to cooperate with Parent in arranging the Debt Financing, including by participating in meetings and presentations, assisting with financing materials and due diligence, providing reasonably requested information, assisting with collateral and payoff arrangements, and assisting in the preparation and execution of definitive financing documents, subject to customary limitations and the requirement that no Company obligation under financing documentation becomes effective before the Closing. The Company must also deliver, at least four business days before the Closing, documentation and information reasonably requested by the Debt Financing sources under applicable know-your-customer and anti-money-laundering rules, including beneficial ownership certifications where applicable.</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Parent must indemnify and hold harmless the Company, its subsidiaries and their representatives against liabilities, costs and expenses incurred in connection with the Debt Financing (the reasonable and documented out-of-pocket third-party costs and expenses incurred in providing such cooperation (the “Reimbursement Obligations”)), except to the extent resulting from the Company’s or its subsidiaries’ or representatives’ willful misconduct, intentional misrepresentation, fraud or gross negligence, and must reimburse the Company at the earlier of the Closing and termination of the Merger Agreement for all reasonable and documented out-of-pocket third-party costs and expenses incurred in providing the required cooperation. In addition, Parent has unconditionally guaranteed the due, prompt and faithful payment, performance and discharge by Acquisition Sub of, and the compliance by Acquisition Sub with, all of the covenants, agreements, obligations and undertakings of Acquisition Sub under the Merger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Merger Agreement does not contain a financing condition. The obligations of Parent and Acquisition Sub to consummate the Merger are not conditioned upon Parent’s or Acquisition Sub’s receipt of the proceeds of the Debt Financing or the Equity Financing. For a description of the Debt Commitment Letter and the Equity Commitment Letter, see “The Merger—Financing of the Merger” beginning on page </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19"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i w:val="1"/>
          <w:iCs w:val="1"/>
          <w:u w:val="single" w:color="auto"/>
          <w:color w:val="auto"/>
        </w:rPr>
        <w:t>Access to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agreed to provide Parent and its representatives reasonable access,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normal business hours and upon reasonable advance notice, to the Company’s and its Subsidiaries’ properties, offices, facilities, officers, management, books, records and other information concerning their business, properties, Contracts, assets and liabilities, subject to applicable law, confidentiality obligations, attorney-client privilege and reasonable restrictions designed to avoid interference with the ordinary course operation of the business.</w:t>
      </w:r>
    </w:p>
    <w:p>
      <w:pPr>
        <w:spacing w:after="0" w:line="60"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Certain Notices.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party has agreed to give prompt notice to the other parties of certain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transactions contemplated by the Merger Agreement, including receipt of communications suggesting required consents or regulatory matters and events that could delay or prevent Closing.</w:t>
      </w:r>
    </w:p>
    <w:p>
      <w:pPr>
        <w:spacing w:after="0" w:line="6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Public Announcements.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parties have agreed not to issue any press release or make any public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Merger Agreement or the transactions contemplated thereby without the other party’s prior written consent, not to be unreasonably withheld, conditioned or delayed, except as required by applicable law or the rules of an applicable securities exchange or governmental body, in which case the issuing party will use reasonable best efforts to provide the other party a reasonable opportunity to comment in advance. These restrictions do not apply to Company announcements made in accordance with the no-solicitation provisions regarding an Acquisition Proposal, Superior Proposal, Change of Board Recommendation or Intervening Event, or to announcements regarding a dispute between the parties.</w:t>
      </w:r>
    </w:p>
    <w:p>
      <w:pPr>
        <w:spacing w:after="0" w:line="77"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Section 16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Effective Time, the Company and Parent will take all steps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cause any dispositions of equity securities, including derivative securities with respect to Common Stock, resulting from the transactions by each individual subject to the reporting requirements of Section 16(a) of the Exchange Act with respect to the Company to be exempt under Rule 16b-3 promulgated under the Exchange Act.</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Stock Exchange Delisting.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the Board will use reasonable best efforts to maintain, and neither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cause or permit the interruption or termination of, the listing of Common Stock on the NYSE before the Effective Time. The Company will cooperate with Parent and use reasonable best efforts to cause the delisting of Common Stock from the NYSE and the deregistration of Common Stock under the Exchange Act as promptly as practicable after the Effective Time.</w:t>
      </w:r>
    </w:p>
    <w:p>
      <w:pPr>
        <w:spacing w:after="0" w:line="75" w:lineRule="exact"/>
        <w:rPr>
          <w:sz w:val="20"/>
          <w:szCs w:val="20"/>
          <w:color w:val="auto"/>
        </w:rPr>
      </w:pPr>
    </w:p>
    <w:p>
      <w:pPr>
        <w:ind w:left="300" w:right="479"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Resignation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Closing, the Company will deliver to Parent evidence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satisfactory to Parent of the resignation of all directors of the Company and each of its Subsidiaries, effective as of the Effective Time.</w:t>
      </w:r>
    </w:p>
    <w:p>
      <w:pPr>
        <w:spacing w:after="0" w:line="6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Stockholder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required to promptly notify Parent of, and give Parent the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participate in (but not control) the defense and settlement of, any stockholder litigation against the Company, its Affiliates or any of their respective directors, officers, employees, securityholders or Representatives relating to the Merger Agreement or the transactions contemplated thereby, including the Merger. The Company will keep Parent reasonably and promptly informed of the status of any such litigation, give Parent a reasonable opportunity to review and comment on filings and responses, and will not settle, compromise or admit liability or wrongdoing with respect to any such litigation without Parent’s prior written consent.</w:t>
      </w:r>
    </w:p>
    <w:p>
      <w:pPr>
        <w:spacing w:after="0" w:line="7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Further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otherwise provided in the Merger Agreement, the parties will use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efforts to take, or cause to be taken, all appropriate actions and do all things necessary, proper or advisable under applicable law to consummate and make effective the Merger and the other transactions contemplated by the Merger Agreement as promptly as practicable.</w:t>
      </w:r>
    </w:p>
    <w:p>
      <w:pPr>
        <w:spacing w:after="0" w:line="72"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Voting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must take specified actions to prevent transfers or votes that would violate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Agreements, including declining to record noncompliant transfers or votes and not intentionally directing covered directors, officers or employees to violate those agreements.</w:t>
      </w:r>
    </w:p>
    <w:p>
      <w:pPr>
        <w:spacing w:after="0" w:line="65" w:lineRule="exact"/>
        <w:rPr>
          <w:sz w:val="20"/>
          <w:szCs w:val="20"/>
          <w:color w:val="auto"/>
        </w:rPr>
      </w:pPr>
    </w:p>
    <w:p>
      <w:pPr>
        <w:ind w:left="300" w:right="559" w:firstLine="360"/>
        <w:spacing w:after="0" w:line="315" w:lineRule="auto"/>
        <w:rPr>
          <w:sz w:val="20"/>
          <w:szCs w:val="20"/>
          <w:color w:val="auto"/>
        </w:rPr>
      </w:pPr>
      <w:r>
        <w:rPr>
          <w:rFonts w:ascii="Times New Roman" w:cs="Times New Roman" w:eastAsia="Times New Roman" w:hAnsi="Times New Roman"/>
          <w:sz w:val="17"/>
          <w:szCs w:val="17"/>
          <w:i w:val="1"/>
          <w:iCs w:val="1"/>
          <w:u w:val="single" w:color="auto"/>
          <w:color w:val="auto"/>
        </w:rPr>
        <w:t>Cash; Marketable Securities; Repatriation.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Parent’s reasonable request, the Company and its subsidiaries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must use reasonable best efforts to use cash, sell marketable securities and transfer non-U.S. cash to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United States near the Closing so such amounts may be used for Closing payments, subject to limitations for adverse financial or tax consequences, applicable law and contractual restrictions.</w:t>
      </w:r>
    </w:p>
    <w:p>
      <w:pPr>
        <w:spacing w:after="0" w:line="5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German Real Estate Transfer Tax; Specified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must timely notify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German tax authority of the Merger Agreement as required by the German Real Estate Transfer Tax Act, provide Parent a draft notice in advance and consider Parent’s comments in good faith. The Company must also take certain actions with respect to certain specified proceedings, as specified in the Company Disclosure Letter.</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Closing of the Merger</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Mutual Conditions</w:t>
      </w:r>
    </w:p>
    <w:p>
      <w:pPr>
        <w:spacing w:after="0" w:line="121"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Parent and Acquisition Sub to consummate the Merger are subject to the satisfaction or waiver of the following conditions:</w:t>
      </w:r>
    </w:p>
    <w:p>
      <w:pPr>
        <w:spacing w:after="0" w:line="52" w:lineRule="exact"/>
        <w:rPr>
          <w:sz w:val="20"/>
          <w:szCs w:val="20"/>
          <w:color w:val="auto"/>
        </w:rPr>
      </w:pPr>
    </w:p>
    <w:p>
      <w:pPr>
        <w:jc w:val="both"/>
        <w:ind w:left="1000" w:right="539" w:hanging="348"/>
        <w:spacing w:after="0" w:line="267"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Stockholder Approval</w:t>
      </w:r>
      <w:r>
        <w:rPr>
          <w:rFonts w:ascii="Times New Roman" w:cs="Times New Roman" w:eastAsia="Times New Roman" w:hAnsi="Times New Roman"/>
          <w:sz w:val="18"/>
          <w:szCs w:val="18"/>
          <w:color w:val="auto"/>
        </w:rPr>
        <w:t>: The holders of a majority of the outstanding shares of Common Stock must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the Merger Agreement by the requisite vote at the Special Meeting (the “Company Stockholder Approval”);</w:t>
      </w:r>
    </w:p>
    <w:p>
      <w:pPr>
        <w:spacing w:after="0" w:line="65" w:lineRule="exact"/>
        <w:rPr>
          <w:rFonts w:ascii="Times New Roman" w:cs="Times New Roman" w:eastAsia="Times New Roman" w:hAnsi="Times New Roman"/>
          <w:sz w:val="18"/>
          <w:szCs w:val="18"/>
          <w:color w:val="auto"/>
        </w:rPr>
      </w:pPr>
    </w:p>
    <w:p>
      <w:pPr>
        <w:ind w:left="1000" w:right="799" w:hanging="348"/>
        <w:spacing w:after="0" w:line="281" w:lineRule="auto"/>
        <w:tabs>
          <w:tab w:leader="none" w:pos="10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No Legal Restraints</w:t>
      </w:r>
      <w:r>
        <w:rPr>
          <w:rFonts w:ascii="Times New Roman" w:cs="Times New Roman" w:eastAsia="Times New Roman" w:hAnsi="Times New Roman"/>
          <w:sz w:val="17"/>
          <w:szCs w:val="17"/>
          <w:color w:val="auto"/>
        </w:rPr>
        <w:t>: No governmental authority of competent jurisdiction will have enacted,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promulgated, enforced or entered any applicable law or order (whether temporary, preliminary or permanent) that is in effect and that has the effect of prohibiting, making illegal or preventing the consummation of the Merger or the other transactions contemplated by the Merger Agreement; and</w:t>
      </w:r>
    </w:p>
    <w:p>
      <w:pPr>
        <w:spacing w:after="0" w:line="56" w:lineRule="exact"/>
        <w:rPr>
          <w:rFonts w:ascii="Times New Roman" w:cs="Times New Roman" w:eastAsia="Times New Roman" w:hAnsi="Times New Roman"/>
          <w:sz w:val="17"/>
          <w:szCs w:val="17"/>
          <w:color w:val="auto"/>
        </w:rPr>
      </w:pPr>
    </w:p>
    <w:p>
      <w:pPr>
        <w:ind w:left="1000" w:right="319" w:hanging="348"/>
        <w:spacing w:after="0" w:line="25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Antitrust and Regulatory Clearance</w:t>
      </w:r>
      <w:r>
        <w:rPr>
          <w:rFonts w:ascii="Times New Roman" w:cs="Times New Roman" w:eastAsia="Times New Roman" w:hAnsi="Times New Roman"/>
          <w:sz w:val="18"/>
          <w:szCs w:val="18"/>
          <w:color w:val="auto"/>
        </w:rPr>
        <w:t>: Any applicable waiting period (and any extension thereof)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HSR Act and any applicable waiting period or approval under the other specified competition, antitrust or foreign investment laws, including approval or deemed approval by the German Federal Cartel Office, will have expired or been terminated and all Other Required Regulatory Approvals, including the required regulatory actions relating to the Company’s NRC and Agreement State licenses, have been obtained, cleared or certified. See “The Merger—Regulatory Approvals Required” beginning on page </w:t>
      </w:r>
      <w:r>
        <w:rPr>
          <w:rFonts w:ascii="Times New Roman" w:cs="Times New Roman" w:eastAsia="Times New Roman" w:hAnsi="Times New Roman"/>
          <w:sz w:val="18"/>
          <w:szCs w:val="18"/>
          <w:u w:val="single" w:color="auto"/>
          <w:color w:val="0000EE"/>
        </w:rPr>
        <w:t>70</w:t>
      </w:r>
      <w:r>
        <w:rPr>
          <w:rFonts w:ascii="Times New Roman" w:cs="Times New Roman" w:eastAsia="Times New Roman" w:hAnsi="Times New Roman"/>
          <w:sz w:val="18"/>
          <w:szCs w:val="18"/>
          <w:color w:val="auto"/>
        </w:rPr>
        <w:t xml:space="preserve"> of this proxy statement.</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Company’s Additional Conditions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The obligation of the Company to consummate the Merger is also subject to the satisfaction or waiver of the following additional conditions:</w:t>
      </w:r>
    </w:p>
    <w:p>
      <w:pPr>
        <w:spacing w:after="0" w:line="54" w:lineRule="exact"/>
        <w:rPr>
          <w:sz w:val="20"/>
          <w:szCs w:val="20"/>
          <w:color w:val="auto"/>
        </w:rPr>
      </w:pPr>
    </w:p>
    <w:p>
      <w:pPr>
        <w:ind w:left="1000" w:right="339" w:hanging="348"/>
        <w:spacing w:after="0" w:line="255"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Acquisition Sub contained in the Merger Agreement must have been true and correct as of the date of the Merger Agreement and must be true and correct at and as of the Closing Date as though made on the Closing Date (except for representations and warranties that relate to a specific date or time, which need only be true and correct as of such date or time), except as has not had and would not reasonably be expected to have, individually or in the aggregate with all other failures to be true or correct a Parent Material Adverse Effect (as defined in “—Representations and Warranties—Parent and Acquisition Sub Representations and Warranties”);</w:t>
      </w:r>
    </w:p>
    <w:p>
      <w:pPr>
        <w:spacing w:after="0" w:line="80"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and Acquisition Sub’s compliance with their respective covenants and agreements under the Merger Agreement in all material respects;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Parent of an officer’s certificate confirming satisfaction of the foregoing conditions.</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Parent’s Additional Conditions</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obligation of Parent and Acquisition Sub to consummate the Merger is also subject to the satisfaction or waiver of the following additional conditions:</w:t>
      </w:r>
    </w:p>
    <w:p>
      <w:pPr>
        <w:spacing w:after="0" w:line="54" w:lineRule="exact"/>
        <w:rPr>
          <w:sz w:val="20"/>
          <w:szCs w:val="20"/>
          <w:color w:val="auto"/>
        </w:rPr>
      </w:pPr>
    </w:p>
    <w:p>
      <w:pPr>
        <w:ind w:left="1000" w:right="459" w:hanging="348"/>
        <w:spacing w:after="0" w:line="258"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and warranty of the Company regarding capitalization must have been true and correct as of the date of the Merger Agreement and must be true and correct at and as of the Closing Date as though made on the Closing Date (except that representations that address matters only as of a particular date need only be true and correct as of such date), except for inaccuracies that would not increase the aggregate Merger Consideration payable in the Merger by more than $1,000,000;</w:t>
      </w:r>
    </w:p>
    <w:p>
      <w:pPr>
        <w:spacing w:after="0" w:line="75" w:lineRule="exact"/>
        <w:rPr>
          <w:rFonts w:ascii="Times New Roman" w:cs="Times New Roman" w:eastAsia="Times New Roman" w:hAnsi="Times New Roman"/>
          <w:sz w:val="18"/>
          <w:szCs w:val="18"/>
          <w:color w:val="auto"/>
        </w:rPr>
      </w:pPr>
    </w:p>
    <w:p>
      <w:pPr>
        <w:ind w:left="1000" w:right="399" w:hanging="348"/>
        <w:spacing w:after="0" w:line="312" w:lineRule="auto"/>
        <w:tabs>
          <w:tab w:leader="none" w:pos="10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Company regarding corporate organization, authority, no conflicts and required consents, broker’s fees and the opinion of the Company’s financial advisor (in each</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79"/>
        <w:spacing w:after="0" w:line="261" w:lineRule="auto"/>
        <w:rPr>
          <w:sz w:val="20"/>
          <w:szCs w:val="20"/>
          <w:color w:val="auto"/>
        </w:rPr>
      </w:pPr>
      <w:r>
        <w:rPr>
          <w:rFonts w:ascii="Times New Roman" w:cs="Times New Roman" w:eastAsia="Times New Roman" w:hAnsi="Times New Roman"/>
          <w:sz w:val="18"/>
          <w:szCs w:val="18"/>
          <w:color w:val="auto"/>
        </w:rPr>
        <w:t>case without giving effect to any materiality or “Company Material Adverse Effect” qualifications contained therein) must have been true and correct in all material respects as of the date of the Merger Agreement and must be true and correct in all material respects at and as of the Closing Date as though made on the Closing Date (subject to the same date-specific exception);</w:t>
      </w:r>
    </w:p>
    <w:p>
      <w:pPr>
        <w:spacing w:after="0" w:line="72" w:lineRule="exact"/>
        <w:rPr>
          <w:sz w:val="20"/>
          <w:szCs w:val="20"/>
          <w:color w:val="auto"/>
        </w:rPr>
      </w:pPr>
    </w:p>
    <w:p>
      <w:pPr>
        <w:ind w:left="1000" w:right="499" w:hanging="348"/>
        <w:spacing w:after="0" w:line="255"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the Company set forth in the Merger Agreement (in each case without giving effect to any materiality or “Company Material Adverse Effect” qualifications contained therein) must have been true and correct as of the date of the Merger Agreement and must be true and correct at and as of the Closing Date as though made on the Closing Date (subject to the same date-specific exception), except where the failure to be so true and correct has not had and would not reasonably be expected to have, individually or in the aggregate with all other failures to be true and correct, a Company Material Adverse Effect;</w:t>
      </w:r>
    </w:p>
    <w:p>
      <w:pPr>
        <w:spacing w:after="0" w:line="80"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have complied with and performed in all material respects each covenant and agreement that it is required to comply with or perform under the Merger Agreement at or prior to the Closing Date;</w:t>
      </w:r>
    </w:p>
    <w:p>
      <w:pPr>
        <w:spacing w:after="0" w:line="6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occurred any Company Material Adverse Effect; and</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have delivered to Parent a certificate signed by an executive officer of the Company and dated as of the Closing Date to the effect that the foregoing conditions have been satisfied.</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may be terminated, and the Merger and the other transactions contemplated thereby may be abandoned, at any time prior to the Effective Time, whether before or (subject to the terms of the Merger Agreement) after receipt of the Company Stockholder Approval:</w:t>
      </w:r>
    </w:p>
    <w:p>
      <w:pPr>
        <w:spacing w:after="0" w:line="68" w:lineRule="exact"/>
        <w:rPr>
          <w:sz w:val="20"/>
          <w:szCs w:val="20"/>
          <w:color w:val="auto"/>
        </w:rPr>
      </w:pPr>
    </w:p>
    <w:p>
      <w:pPr>
        <w:ind w:left="1000" w:right="39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by action of their respective boards of directors (or other governing bodies);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Company Stockholder Approval is not obtained upon a vote taken at the Special Meeting or any adjournment or postponement thereof at which a vote was taken on the adoption of the Merger Agreement;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by written notice to the other party, if any court of competent jurisdiction or other governmental entity of competent jurisdiction issues an order or takes any other action permanently restraining, enjoining or otherwise prohibiting, prior to the Effective Time, the consummation of the Merger, and such order or other action has become final and non-appealable (provided that this right is not available to a party that has materially breached its obligations under the Merger Agreement where such breach was a principal cause of such order or proceeding);</w:t>
      </w:r>
    </w:p>
    <w:p>
      <w:pPr>
        <w:spacing w:after="0" w:line="79"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Effective Time has not occurred on or before 5:00 p.m., New York City time, on June 17, 2027 (the “Initial Outside Date”); provided that if, as of the third business day prior to the Initial Outside Date, the closing condition relating to the absence of restraining orders and prohibitory laws (with respect to the HSR Act or any Other Required Regulatory Approval) or the closing condition relating to antitrust and other regulatory clearances has not been satisfied or waived, but all other conditions have been satisfied or waived or would then be satisfied if the Closing were to take place on the Initial Outside Date, then the Initial Outside Date will be automatically extended to September 15, 2027 (the “Extended Outside Date,” and the Initial Outside Date or the Extended Outside Date, as applicable, the “Outside Date”). Neither the Company nor Parent may terminate the Merger Agreement on this basis if there has been any material breach by such party of its representations, warranties or covenants contained in the Merger Agreement and such breach has primarily caused or resulted in the failure of the Effective Time to have occurred prior to the Outside Date;</w:t>
      </w:r>
    </w:p>
    <w:p>
      <w:pPr>
        <w:spacing w:after="0" w:line="81" w:lineRule="exact"/>
        <w:rPr>
          <w:rFonts w:ascii="Times New Roman" w:cs="Times New Roman" w:eastAsia="Times New Roman" w:hAnsi="Times New Roman"/>
          <w:sz w:val="18"/>
          <w:szCs w:val="18"/>
          <w:color w:val="auto"/>
        </w:rPr>
      </w:pPr>
    </w:p>
    <w:p>
      <w:pPr>
        <w:ind w:left="1000" w:right="479" w:hanging="348"/>
        <w:spacing w:after="0" w:line="277" w:lineRule="auto"/>
        <w:tabs>
          <w:tab w:leader="none" w:pos="10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at any time prior to receipt of the Company Stockholder Approval, if (i) the Board effects a Change of Board Recommendation, whether or not in compliance with the no-solicitation provisions of the Merger Agreement (it being understood that any written notice of the Company’s intention to make a Change of Board Recommendation, delivered prior to effecting such Change of Board Recommendation in accordance with the Superior Proposal or Intervening Event provisions, will not give rise to a</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66" w:lineRule="auto"/>
        <w:rPr>
          <w:sz w:val="20"/>
          <w:szCs w:val="20"/>
          <w:color w:val="auto"/>
        </w:rPr>
      </w:pPr>
      <w:r>
        <w:rPr>
          <w:rFonts w:ascii="Times New Roman" w:cs="Times New Roman" w:eastAsia="Times New Roman" w:hAnsi="Times New Roman"/>
          <w:sz w:val="18"/>
          <w:szCs w:val="18"/>
          <w:color w:val="auto"/>
        </w:rPr>
        <w:t>termination right), (ii) the Company enters into a merger agreement, letter of intent or other similar agreement relating to an Acquisition Proposal, or (iii) the Company commits a willful and material breach of the no-solicitation provisions of the Merger Agreement;</w:t>
      </w:r>
    </w:p>
    <w:p>
      <w:pPr>
        <w:spacing w:after="0" w:line="68" w:lineRule="exact"/>
        <w:rPr>
          <w:sz w:val="20"/>
          <w:szCs w:val="20"/>
          <w:color w:val="auto"/>
        </w:rPr>
      </w:pPr>
    </w:p>
    <w:p>
      <w:pPr>
        <w:ind w:left="1000" w:right="339" w:hanging="348"/>
        <w:spacing w:after="0" w:line="258"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receipt of the Company Stockholder Approval, if the Board authorized the Company to enter into a definitive agreement providing for a Superior Proposal immediately after termination of the Merger Agreement, to the extent permitted by and in accordance with the Superior Proposal provisions of the Merger Agreement; provided that the Company will, prior to or concurrently with, and as a condition of, such termination, pay the Company Termination Fee to Parent;</w:t>
      </w:r>
    </w:p>
    <w:p>
      <w:pPr>
        <w:spacing w:after="0" w:line="75" w:lineRule="exact"/>
        <w:rPr>
          <w:rFonts w:ascii="Times New Roman" w:cs="Times New Roman" w:eastAsia="Times New Roman" w:hAnsi="Times New Roman"/>
          <w:sz w:val="18"/>
          <w:szCs w:val="18"/>
          <w:color w:val="auto"/>
        </w:rPr>
      </w:pPr>
    </w:p>
    <w:p>
      <w:pPr>
        <w:ind w:left="1000" w:right="339" w:hanging="348"/>
        <w:spacing w:after="0" w:line="269" w:lineRule="auto"/>
        <w:tabs>
          <w:tab w:leader="none" w:pos="10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at any time prior to the Effective Time, if (i) there has been (A) a breach of or failure to perform any covenant or agreement on the part of the Company set forth in the Merger Agreement that would give rise to the failure of the related closing condition to be satisfied, or (B) a breach of any representation or warranty of the Company that would give rise to the failure of the related closing condition to be satisfied, and (ii) such breach or failure to perform has not been cured by the Company by the earlier of</w:t>
      </w:r>
    </w:p>
    <w:p>
      <w:pPr>
        <w:spacing w:after="0" w:line="2" w:lineRule="exact"/>
        <w:rPr>
          <w:rFonts w:ascii="Times New Roman" w:cs="Times New Roman" w:eastAsia="Times New Roman" w:hAnsi="Times New Roman"/>
          <w:sz w:val="17"/>
          <w:szCs w:val="17"/>
          <w:color w:val="auto"/>
        </w:rPr>
      </w:pPr>
    </w:p>
    <w:p>
      <w:pPr>
        <w:ind w:left="1000" w:right="49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30 calendar days following receipt of written notice of such breach or failure to perform from Parent and (y) the Outside Date; provided that Parent may not terminate on this basis if there has been any material breach by Parent or Acquisition Sub of its representations, warranties or covenants contained in the Merger Agreement that has not been cured in all material respects;</w:t>
      </w:r>
    </w:p>
    <w:p>
      <w:pPr>
        <w:spacing w:after="0" w:line="80" w:lineRule="exact"/>
        <w:rPr>
          <w:rFonts w:ascii="Times New Roman" w:cs="Times New Roman" w:eastAsia="Times New Roman" w:hAnsi="Times New Roman"/>
          <w:sz w:val="17"/>
          <w:szCs w:val="17"/>
          <w:color w:val="auto"/>
        </w:rPr>
      </w:pPr>
    </w:p>
    <w:p>
      <w:pPr>
        <w:ind w:left="1000" w:right="359" w:hanging="348"/>
        <w:spacing w:after="0" w:line="254"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Effective Time, if (i) there has been (A) a breach of or failure to perform any covenant or agreement on the part of Parent or Acquisition Sub set forth in the Merger Agreement that would give rise to the failure of the related closing condition to be satisfied, or (B) a breach of any representation or warranty of Parent or Acquisition Sub that would give rise to the failure of the related closing condition to be satisfied, and (ii) such breach or failure to perform has not been cured by the earlier of (x) 30 calendar days following receipt of written notice of such breach or failure to perform from the Company and (y) the Outside Date; provided that the Company may not terminate on this basis if there has been any material breach by the Company of its representations, warranties or covenants contained in the Merger Agreement that has not been cured in all material respects; or</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upon written notice to Parent, if (i) all of the conditions to the obligations of each party and all of the conditions to the obligations of Parent and Acquisition Sub have been satisfied or waived (other than those conditions that by their nature are to be satisfied at the Closing, but each of which is capable of being satisfied if the Closing were then to occur), (ii) Parent and Acquisition Sub have failed to consummate the transactions contemplated by the Merger Agreement on the date the Closing is required to have occurred, (iii) following such failure, the Company has irrevocably confirmed to Parent in writing (and has not revoked such confirmation) that (A) all of the conditions to the obligations of each party and all of the conditions to the obligations of the Company have been satisfied or waived (other than those conditions that by their nature are to be satisfied at the Closing, each of which is capable of being satisfied if the Closing were then to occur) and (B) the Company is (and will remain throughout the three-business-day period referred to in clause (iv)) ready, willing and able to consummate the Closing, and (iv) Parent and Acquisition Sub have failed to consummate the transactions contemplated by the Merger Agreement within three business days following delivery of such written confirmation.</w:t>
      </w:r>
    </w:p>
    <w:p>
      <w:pPr>
        <w:spacing w:after="0" w:line="79"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In the event of a valid termination of the Merger Agreement, written notice will be given to the other party or parties specifying the provisions pursuant to which such termination is made and the basis therefor in reasonable detail, and the Merger Agreement will immediately become void and have no further force and effect, other than specified surviving provisions, and there will be no liability or obligation on the part of Parent, Acquisition Sub or the Company or their respective subsidiaries, officers, directors or representatives, except with respect to such surviving provisions. However, subject to the termination fee and limitation-on-recourse provisions described below, nothing in the Merger Agreement relieves any party from liabilities or damages incurred or suffered as a result of a willful and material breach by the Company, on the one hand, or Parent or Acquisition Sub, on the other hand, of any of its respective representations, warranties, covenants or other agreements set forth in the Merger Agreement.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and Expense Reimbursement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Company Termination Fee</w:t>
      </w:r>
    </w:p>
    <w:p>
      <w:pPr>
        <w:spacing w:after="0" w:line="119" w:lineRule="exact"/>
        <w:rPr>
          <w:sz w:val="20"/>
          <w:szCs w:val="20"/>
          <w:color w:val="auto"/>
        </w:rPr>
      </w:pPr>
    </w:p>
    <w:p>
      <w:pPr>
        <w:jc w:val="center"/>
        <w:ind w:left="300" w:right="839"/>
        <w:spacing w:after="0" w:line="312" w:lineRule="auto"/>
        <w:rPr>
          <w:sz w:val="20"/>
          <w:szCs w:val="20"/>
          <w:color w:val="auto"/>
        </w:rPr>
      </w:pPr>
      <w:r>
        <w:rPr>
          <w:rFonts w:ascii="Times New Roman" w:cs="Times New Roman" w:eastAsia="Times New Roman" w:hAnsi="Times New Roman"/>
          <w:sz w:val="17"/>
          <w:szCs w:val="17"/>
          <w:color w:val="auto"/>
        </w:rPr>
        <w:t>If the Merger Agreement is terminated by Parent because the Board has effected a Change of Board Recommendation, because the Company has entered into an agreement relating to an Acquisition Proposal or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because the Company has committed a willful and material breach of the no-solicitation provisions, or if the Merger Agreement is terminated by the Company in order to enter into a definitive agreement providing for a Superior Proposal, then the Company will pay to Parent or its designee the Company Termination Fee of $27,514,109</w:t>
      </w:r>
    </w:p>
    <w:p>
      <w:pPr>
        <w:spacing w:after="0" w:line="2" w:lineRule="exact"/>
        <w:rPr>
          <w:sz w:val="20"/>
          <w:szCs w:val="20"/>
          <w:color w:val="auto"/>
        </w:rPr>
      </w:pPr>
    </w:p>
    <w:p>
      <w:pPr>
        <w:ind w:left="300" w:right="1039" w:hanging="8"/>
        <w:spacing w:after="0" w:line="260" w:lineRule="auto"/>
        <w:tabs>
          <w:tab w:leader="none" w:pos="5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concurrently with, and as a condition of, such termination, in the case of a termination by the Company, or (ii) within two business days thereafter, in the case of a termination by Parent.</w:t>
      </w:r>
    </w:p>
    <w:p>
      <w:pPr>
        <w:spacing w:after="0" w:line="73"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However, in the event the Merger Agreement is terminated by the Company in order to enter into a definitive agreement providing for a Superior Proposal during the Go-Shop Period, the Company Termination Fee payable is reduced to 50% of the full Company Termination Fee, or $13,757,054.50 (the “Go-Shop Termination Fee”). The Go-Shop Period expires at 11:59 p.m., Eastern Time, on October 27, 2026. The Merger Agreement does not provide for any “excluded party” or similar concept, and accordingly the reduced Go-Shop Termination Fee is not available in respect of any termination occurring after the expiration of the Go-Shop Period, including a termination to enter into a definitive agreement with a person that submitted an Acquisition Proposal during the Go-Shop Period.</w:t>
      </w:r>
    </w:p>
    <w:p>
      <w:pPr>
        <w:spacing w:after="0" w:line="63"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addition, if (i) after the date of the Merger Agreement an Acquisition Proposal has become publicly known or has been publicly delivered to the Board or a committee thereof and has not been irrevocably withdrawn at least two business days prior to (x) in the case of a termination following a failed stockholder vote, the date of the Special Meeting, or (y) in the case of a termination for failure to close by the Outside Date or a termination by Parent for a Company breach, the date of such termination; (ii) thereafter the Merger Agreement is terminated (A) by Parent or the Company for failure to close by the Outside Date, (B) by Parent for a Company breach, or (C) by either the Company or Parent following a failed stockholder vote; and (iii) within 12 months after such termination the Company has entered into a definitive agreement with respect to any Acquisition Proposal or any Acquisition Proposal has been consummated, then the Company will pay to Parent the Company Termination Fee within two business days of such entry or consummation. For purposes of this provision, the references to “20%” and “80%” in the definition of Acquisition Proposal are deemed to be references to “50%.”</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circumstances where the Company Termination Fee is payable other than with respect to a willful and material breach of the no-solicitation provisions, Parent’s (or its designee’s) receipt of the Company Termination Fee, together with the reasonable, documented out-of-pocket expenses incurred by Parent (not to exceed $1,500,000 in the aggregate) in enforcing its right pursuant to a lawsuit to receive the Company Termination Fee (if received as a result of Parent prevailing in such lawsuit), will be Parent’s and Acquisition Sub’s sole and exclusive remedy against the Company and the Company Related Parties for all losses and damages suffered as a result of the failure of the Merger or the other transactions contemplated by the Merger Agreement to be consummated, for any breach or failure to perform thereunder or otherwise. Upon payment of such amount, no such person will have any further liability or obligation relating to or arising out of the Merger Agreement or the transactions contemplated thereby. While Parent may pursue both a grant of specific performance or other equitable relief and the payment of monetary damages or the Company Termination Fee, under no circumstances will Parent (or its designee) be entitled to receive both (i) a grant of specific performance or other equitable relief that results in the Closing occurring and (ii) monetary damages or the payment of the Company Termination Fee.</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Parent Expense Reimbursement</w:t>
      </w:r>
    </w:p>
    <w:p>
      <w:pPr>
        <w:spacing w:after="0" w:line="11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If the Merger Agreement is terminated by Parent as a result of a willful and material breach by the Company, then, without limitation of any other remedies available to Parent under the Merger Agreement, the Company will pay to Parent, within three business days after such termination, an amount equal to the reasonable and documented out-of-pocket fees and expenses incurred by Parent and its affiliates in connection with the Merger Agreement and the transactions contemplated thereby, up to a maximum amount of $7,000,000 as the Parent Expense Reimbursement. Any Parent Expense Reimbursement actually paid to Parent will be credited against, and reduce, any Company Termination Fee subsequently payable by the Company.</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Parent Termination Fee</w:t>
      </w:r>
    </w:p>
    <w:p>
      <w:pPr>
        <w:spacing w:after="0" w:line="119"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If the Merger Agreement is terminated by the Company as a result of a willful and material breach by Parent or Acquisition Sub, or because Parent and Acquisition Sub failed to consummate the Merger when required following the Company’s irrevocable written confirmation that it was ready, willing and able to close, then Parent will pay to the Company, within three business days following such termination, $49,869,322 (the “Parent Termination Fee”).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Company’s right to terminate the Merger Agreement and to receive (a) the Parent Termination Fee to the extent payable, (b) the Reimbursement Obligations under the debt financing cooperation covenant, and (c) the reasonable, documented out-of-pocket expenses incurred by the Company (not to exceed $1,500,000 in the aggregate) in enforcing its right pursuant to a lawsuit to receive such amounts, if received as a result of the Company prevailing in such lawsuit (the “Costs of Collection”), will be the Company Related Parties’ sole and exclusive remedy against Parent, any parties engaged with the Financing, any other potential debt or equity financing source and any of the Parent Related Parties for all losses and damages suffered as a result of the failure of the Merger or the other transactions contemplated by the Merger Agreement to be consummated, for any breach or failure to perform thereunder or otherwise. Upon payment of such amount, no such person will have any further liability or obligation relating to or arising out of the Merger Agreement or the transactions contemplated thereby.</w:t>
      </w:r>
    </w:p>
    <w:p>
      <w:pPr>
        <w:spacing w:after="0" w:line="86" w:lineRule="exact"/>
        <w:rPr>
          <w:sz w:val="20"/>
          <w:szCs w:val="20"/>
          <w:color w:val="auto"/>
        </w:rPr>
      </w:pPr>
    </w:p>
    <w:p>
      <w:pPr>
        <w:jc w:val="both"/>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While the Company may pursue both a grant of specific performance or other equitable relief and, following termination of the Merger Agreement, the payment of the Parent Termination Fee or reimbursement under the debt financing cooperation covenant, under no circumstances will the Company be entitled to receive both (i) a grant of specific performance or other equitable relief that results in the Equity Financing being funded or the Closing or the Merger occurring and (ii) monetary damages or the payment of the Parent Termination Fee.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on Recourse</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Other than with respect to the right to seek specific performance of the Equity Commitment Letter to the extent permitted by and in accordance with the Equity Commitment Letter (any such claims, “ECL Claims”), and recourse against the Guarantor under the Limited Guarantee to the extent provided therein, any claim or cause of action under the Merger Agreement may only be brought against persons that are expressly named as parties, and then only with respect to the specific obligations set forth in the Merger Agreement. Other than the ECL Claims and such recourse against the Guarantor under the Limited Guarantee, no Company Related Party or Parent Related Party will have any liability or obligation for any of the representations, warranties, covenants, agreements, obligations or liabilities of the Company, Parent or Acquisition Sub, or for any claim, investigation or proceeding, in each case under, based on, in respect of, or by reason of, the Merger Agreement or the transactions contemplated thereby (including the breach, termination or failure to consummate such transactions), whether based on contract, tort or strict liability, by the enforcement of any assessment, by any legal or equitable proceeding, by virtue of any statute, regulation or applicable law or otherwise, and whether by or through attempted piercing of the corporate, limited liability company or partnership veil, by or through a claim by or on behalf of a party or another person (including a claim to enforce the Debt Commitment Letter) or otherwise.</w:t>
      </w:r>
    </w:p>
    <w:p>
      <w:pPr>
        <w:spacing w:after="0" w:line="8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parties have agreed that (x) none of the financing sources will have any liability to the Company or any of its affiliates or any other person (other than Parent and its permitted assigns in respect of the Debt Financing) relating to or arising out of the Merger Agreement or the Debt Financing, or in respect of any oral representations made or alleged to have been made in connection therewith, whether at law or equity, in contract or in tort or otherwise; (y) neither the Company nor any of its affiliates or any other person (other than Parent and its permitted assigns in respect of the Debt Financing) will have any rights or claims against any of the financing sources under the Merger Agreement or the Debt Financing; and (z) other than with respect to Parent and its permitted assigns in respect of the Debt Financing, no party will commence (and if commenced will dismiss or otherwise terminate, and will not assist) any proceeding against any Debt Financing Source under the Merger Agreement, the Debt Commitment Letter, the Debt Financing, or the transactions contemplated thereby or the performance of any of the services thereunder.</w:t>
      </w:r>
    </w:p>
    <w:p>
      <w:pPr>
        <w:spacing w:after="0" w:line="84"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Notwithstanding any provision of the Merger Agreement to the contrary, under no circumstances will the collective monetary damages payable by Parent, Acquisition Sub and the other Parent Related Parties for breaches under the Merger Agreement, the Limited Guarantee and the ECL Claims exceed an amount (inclusive of payment of any Parent Termination Fee, Costs of Collection and Reimbursement Obligations) equal to the amount of the Parent Termination Fee plus the Costs of Collection (such amount, the “Parent Liability Limitation”). In no event will the Company or any of its affiliates seek or obtain, or permit any of their representatives or any other person acting on their behalf to seek or obtain, nor will any person be entitled to seek or obtain, any monetary recovery or award in excess of the Parent Liability Limitation against (i) Parent, Acquisition Sub or the Guarantor or (ii) the other Parent Related Parties. In no event will the Company or any of its subsidiaries be entitled to seek or obtain any monetary damages of any kind, including consequential, special, indirect or punitive damages, in excess of the Parent Liability Limitation against the Parent Related Parties for, or with respect to, the Merger Agreement, the Debt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Commitment Letter, the Limited Guarantee (subject to the terms and conditions set forth therein) or the Equity Commitment Letter (subject to the terms and conditions set forth therein and in the specific performance provisions of the Merger Agreement). In addition, in no event will the Company be entitled to receive both the Parent Termination Fee and monetary damages under any other provision of the Merger Agreement other than reimbursement under the debt financing cooperation covenant, in each case subject to the Parent Liability Limitation.</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parties have agreed that irreparable damage would occur in the event that any of the provisions of the Merger Agreement were not performed in accordance with their specific terms or were otherwise breached. Accordingly, subject to the exclusive-remedy provisions described above, each of the parties is entitled to specific performance of the terms of the Merger Agreement, including an injunction or injunctions to prevent breaches of the Merger Agreement and to enforce specifically its terms and provisions, in addition to any other remedy to which the parties are entitled at law or in equity, without being required to prove irreparable harm or the inadequacy of a remedy at law. Each party has waived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a waiver of the right to pursue any other right or remedy to which such party may be entitled. In no event will the Company be entitled to both receipt of the Parent Termination Fee and specific performance to cause the Equity Financing to be funded or to consummate the Closing or the Merger.</w:t>
      </w:r>
    </w:p>
    <w:p>
      <w:pPr>
        <w:spacing w:after="0" w:line="8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Prior to the valid termination of the Merger Agreement, the Company is entitled to injunctive relief, specific performance or other equitable relief to enforce specifically the obligations of Parent and Acquisition Sub to consummate the Closing, and to cause Parent and Acquisition Sub to enforce their right to cause the parties named in the Equity Commitment Letter to fund the Equity Financing in accordance with the Equity Commitment Letter, if and only if:</w:t>
      </w:r>
    </w:p>
    <w:p>
      <w:pPr>
        <w:spacing w:after="0" w:line="75" w:lineRule="exact"/>
        <w:rPr>
          <w:sz w:val="20"/>
          <w:szCs w:val="20"/>
          <w:color w:val="auto"/>
        </w:rPr>
      </w:pPr>
    </w:p>
    <w:p>
      <w:pPr>
        <w:ind w:left="1000" w:right="359" w:hanging="348"/>
        <w:spacing w:after="0" w:line="281" w:lineRule="auto"/>
        <w:tabs>
          <w:tab w:leader="none" w:pos="10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conditions to the obligations of each party and all of the conditions to the obligations of Parent and Acquisition Sub have been satisfied or waived (other than those conditions that by their terms or nature are to be satisfied by performance at the Closing, so long as such conditions will be satisfied at the Closing) and remain satisfied throughout the three-business-day period described in the final bullet below;</w:t>
      </w:r>
    </w:p>
    <w:p>
      <w:pPr>
        <w:spacing w:after="0" w:line="56" w:lineRule="exact"/>
        <w:rPr>
          <w:rFonts w:ascii="Times New Roman" w:cs="Times New Roman" w:eastAsia="Times New Roman" w:hAnsi="Times New Roman"/>
          <w:sz w:val="17"/>
          <w:szCs w:val="17"/>
          <w:color w:val="auto"/>
        </w:rPr>
      </w:pPr>
    </w:p>
    <w:p>
      <w:pPr>
        <w:ind w:left="1000" w:right="639" w:hanging="348"/>
        <w:spacing w:after="0" w:line="266"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Debt Financing have been funded, or will be funded at the Closing on the terms set forth in the Debt Commitment Letter if the Equity Financing is funded and the Closing will occur substantially concurrently with the Debt Financing being funded;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failed to consummate the Merger on the date the Closing was required to have occurred;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74" w:lineRule="auto"/>
        <w:tabs>
          <w:tab w:leader="none" w:pos="10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such failure by Parent to consummate the Merger, the Company has confirmed to Parent in writing (and not revoked such confirmation) that (A) all of the conditions to the obligations of each party and all of the conditions to the obligations of the Company have been satisfied (other than those conditions that by their terms or nature are to be satisfied by performance at the Closing, so long as such conditions will be satisfied at the Closing) and (B) the Company is (and remains through the three-business-day period described in the final bullet below) ready, willing and able to consummate the Merger; and</w:t>
      </w:r>
    </w:p>
    <w:p>
      <w:pPr>
        <w:spacing w:after="0" w:line="64" w:lineRule="exact"/>
        <w:rPr>
          <w:rFonts w:ascii="Times New Roman" w:cs="Times New Roman" w:eastAsia="Times New Roman" w:hAnsi="Times New Roman"/>
          <w:sz w:val="17"/>
          <w:szCs w:val="17"/>
          <w:color w:val="auto"/>
        </w:rPr>
      </w:pPr>
    </w:p>
    <w:p>
      <w:pPr>
        <w:ind w:left="1000" w:right="53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fails to consummate the Merger within three business days following the date of delivery of such written confirmation.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Merger Agreement, including with respect to the Company Termination Fee, the Parent Expense Reimbursement, the Parent Termination Fee, the Costs of Collection and the Reimbursement Obligations, all fees and expenses incurred in connection with the Merger Agreement and the transactions contemplated thereby will be paid by the party incurring such fees or expenses.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Waivers</w:t>
      </w:r>
    </w:p>
    <w:p>
      <w:pPr>
        <w:spacing w:after="0" w:line="121"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Merger Agreement may be amended by each of the Company, Parent and Acquisition Sub, by action taken by or on behalf of their respective boards of directors, at any time prior to the Effective Time; provided that, in the event the Merger Agreement has been adopted by the Company’s stockholders in accordance with Delaware law, no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amendment may be made that requires the approval of the Company’s stockholders under Delaware law without such approval. The Merger Agreement may not be amended except by an instrument in writing signed by the parties. In addition, the provisions relating to limitation on recourse, assignment, no third-party beneficiaries, governing law and the financing-source protections, and the amendment provision itself, may not be modified, waived or terminated in a manner adverse to the Debt Financing sources without their prior written consent.</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At any time prior to the Effective Time, Parent and Acquisition Sub, on the one hand, and the Company, on the other hand, may (i) extend the time for the performance of any of the obligations or other acts of the other, (ii) waive any breach of the representations and warranties of the other contained in the Merger Agreement or in any document delivered pursuant thereto, or (iii) waive compliance by the other with any of the agreements or covenants contained in the Merger Agreement; provided that, after receipt of the Company Stockholder Approval, there may not be any extension or waiver of the Merger Agreement that decreases the Merger Consideration or that adversely affects the rights of the Company’s stockholders thereunder without the approval of such stockholders. Such extensions and waivers must be made in writing and signed by the parties to be bound.</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Third-Party Beneficiaries</w:t>
      </w:r>
    </w:p>
    <w:p>
      <w:pPr>
        <w:spacing w:after="0" w:line="121"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is binding upon and inures solely to the benefit of the parties and their respective successors and permitted assigns, and nothing in the Merger Agreement, express or implied, other than pursuant to the indemnification covenant described under “—Directors’ and Officers’ Indemnification and Insurance,” is intended to or will confer upon any other person any right, benefit or remedy of any nature whatsoever, except that the financing sources under the Merger Agreement are express third-party beneficiaries of, and have the right to enforce, the limitation-on-recourse, financing-source amendment, assignment, no-third-party-beneficiaries and governing law provisions of the Merger Agreement. In addition, the Parent Related Parties are express third-party beneficiaries of, and have the right to enforce, the Parent Termination Fee exclusive-remedy provision and the limitation-on-recourse provision.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 Consent to Jurisdiction; Waiver of Trial by Jury</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Merger Agreement and claims arising from it are governed by Delaware law, without regard to conflicts-of-law principles. The parties submit to the exclusive jurisdiction of the Delaware Court of Chancery or, if that court lacks jurisdiction, a federal court sitting in Delaware, waive objections to venue and inconvenient forum and waive trial by jury. Any action against a Debt Financing source relating to the Merger Agreement, the Debt Commitment Letter or the Debt Financing must instead be brought exclusively in the specified state or federal courts in New York County, New York, and is governed by New York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THE MERGER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Proposal</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At the Special Meeting, stockholders of the Company are being asked to adopt the Merger Agreement and thereby approve the transactions contemplated by the Merger Agreement in accordance with the DGCL, including the Merger. For a detailed discussion of the terms and conditions of the Merger Agreement, see “The Merger Agreement.” A copy of the Merger Agreement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and is incorporated by reference herein. Stockholders are encouraged to read the Merger Agreement carefully and in its entirety. For a description of the background of the Merger and the reasons of the Board for its recommendation that stockholders adopt the Merger Agreement, see the sections entitled “The Merger—Background of the Merger,” “The Merger— Reasons for the Merger” and “The Merger—Recommendation of the Board.”</w:t>
      </w:r>
    </w:p>
    <w:p>
      <w:pPr>
        <w:spacing w:after="0" w:line="8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the Merger Agreement is adopted by the Company’s stockholders and the Merger is completed, each share of Common Stock issued and outstanding immediately prior to the Effective Time (other than Cancelled Shares and Dissenting Shares, as each such term is defined in the Merger Agreement) will be converted into the right to receive the Merger Consideration of $20.35 per share in cash, without interest and less any applicable withholding taxes.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Adoption of the Merger Agreement requires the affirmative vote of the holders of a majority of the outstanding shares of Common Stock entitled to vote thereon. Failure to vote, abstentions, and broker non-votes will each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because they represent shares of Common Stock entitled to vote that are not voted in favor of the Merger Proposal. The Merger Proposal is a “non-routine” matter under applicable NYSE rules; accordingly, banks, brokers and other nominees holding shares on behalf of a beneficial owner will not have discretionary authority to vote such shares on the Merger Proposal without specific voting instructions from the beneficial owner.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THE ADJOURNMENT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Proposal</w:t>
      </w:r>
    </w:p>
    <w:p>
      <w:pPr>
        <w:spacing w:after="0" w:line="121"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At the Special Meeting, stockholders of the Company are being asked to approve a proposal to adjourn the Special Meeting to a later date or dates, if necessary or appropriate, to solicit additional proxies if there are insufficient votes to adopt the Merger Agreement at the time of the Special Meeting.</w:t>
      </w:r>
    </w:p>
    <w:p>
      <w:pPr>
        <w:spacing w:after="0" w:line="68"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If approved, the Adjournment Proposal would allow the chairperson of the Special Meeting, or any other person authorized to preside over the Special Meeting, to adjourn the Special Meeting to a later date or dates to permit further solicitation of proxies. If the Special Meeting is adjourned, stockholders who have already submitted their proxies will be able to revoke them at any time prior to their use. If the adjournment is for more than 30 days, or if a new record date is fixed for the adjourned meeting, a notice of the adjourned meeting will be given to each stockholder entitled to notice of and to vote at the Special Meeting.</w:t>
      </w:r>
    </w:p>
    <w:p>
      <w:pPr>
        <w:spacing w:after="0" w:line="7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If the Special Meeting is adjourned to another time or place, notice of the adjourned meeting need not be given if the time and place, if any, of the adjourned meeting, and the means of remote communication by which stockholders and proxy holders may be deemed present in person and vote at the adjourned meeting, are announced at the meeting at which the adjournment is taken. If the adjournment is for more than 30 days, or if after the adjournment a new record date is fixed for the adjourned meeting, notice of the adjourned meeting will be given to each stockholder of record entitled to vote at the adjourned meeting.</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a quorum is not present at the Special Meeting, the Bylaws provide that either the chairperson of the Special Meeting or the stockholders entitled to vote at the Special Meeting, present by attendance via the Virtual Special Meeting Website or represented by proxy, may adjourn the Special Meeting from time to time, without notice other than announcement at the Special Meeting, until a quorum is present or represented. An adjournment for lack of a quorum does not require approval of the Adjournment Proposal. At any adjourned meeting at which a quorum is present or represented, any business may be transacted that might have been transacted at the Special Meeting as originally noticed. In addition, under the Bylaws, the chairperson of the Special Meeting has the authority to recess and/or adjourn the Special Meeting, whether or not a quorum is present and whether or not the Adjournment Proposal is approved, subject to the limits in the Merger Agreement, under which the Company may not postpone or adjourn the Special Meeting more than two times for lack of a quorum, or by more than 10 business days for any event giving rise to such postponement or adjournment, without Parent’s prior written consent.</w:t>
      </w:r>
    </w:p>
    <w:p>
      <w:pPr>
        <w:spacing w:after="0" w:line="84"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If the Merger Agreement is adopted at the Special Meeting, the Adjournment Proposal will not be presented to the stockholders at the Special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the holders of a majority of the voting power of the shares of Common Stock present, by attendance via the Virtual Special Meeting Website, or represented by proxy at the Special Meeting and entitled to vote on the Adjournment Proposal, at a meeting at which a quorum is present. An adjournment for lack of a quorum does not require approval of the Adjournment Proposal. Because the required vote is measured against the number of shares present and entitled to vote rather than the number of votes cast,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 failure to vote will have no effect on the Adjournment Proposal, because those shares will not be present at the Special Meeting. A broker non-vote will have no effect on the Adjournment Proposal, because those shares will not be entitled to vote on that proposal. The Adjournment Proposal is a “non-routine” matter under applicable NYSE rules; accordingly, banks, brokers and other nominees will not have discretionary authority to vote shares held on behalf of a beneficial owner on the Adjournment Proposal without specific voting instructions from the beneficial owner.</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THE COMPENSATION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Proposal</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Section 14A of the Exchange Act, the Company is providing its stockholders with the opportunity to cast a non-binding, advisory vote on certain compensation that will be, or may become, payable to the named executive officers of the Company in connection with the Merger, including the agreements and understandings pursuant to which such compensation will or may become payable, the estimated value of which is set forth in “The Merger—Interests of the Directors and Executive Officers of the Company in the Merger— Quantification of Payments and Benefits” beginning on page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xml:space="preserve"> of this proxy statement.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proxy statement, our named executive officers consist of:</w:t>
      </w:r>
    </w:p>
    <w:p>
      <w:pPr>
        <w:spacing w:after="0" w:line="115" w:lineRule="exact"/>
        <w:rPr>
          <w:sz w:val="20"/>
          <w:szCs w:val="20"/>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Natalia Shuman, </w:t>
      </w:r>
      <w:r>
        <w:rPr>
          <w:rFonts w:ascii="Times New Roman" w:cs="Times New Roman" w:eastAsia="Times New Roman" w:hAnsi="Times New Roman"/>
          <w:sz w:val="18"/>
          <w:szCs w:val="18"/>
          <w:i w:val="1"/>
          <w:iCs w:val="1"/>
          <w:color w:val="auto"/>
        </w:rPr>
        <w:t>President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Edward J. Prajzner, </w:t>
      </w:r>
      <w:r>
        <w:rPr>
          <w:rFonts w:ascii="Times New Roman" w:cs="Times New Roman" w:eastAsia="Times New Roman" w:hAnsi="Times New Roman"/>
          <w:sz w:val="18"/>
          <w:szCs w:val="18"/>
          <w:i w:val="1"/>
          <w:iCs w:val="1"/>
          <w:color w:val="auto"/>
        </w:rPr>
        <w:t>Senior Executive Vice President and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Manuel Stamatakis, </w:t>
      </w:r>
      <w:r>
        <w:rPr>
          <w:rFonts w:ascii="Times New Roman" w:cs="Times New Roman" w:eastAsia="Times New Roman" w:hAnsi="Times New Roman"/>
          <w:sz w:val="18"/>
          <w:szCs w:val="18"/>
          <w:i w:val="1"/>
          <w:iCs w:val="1"/>
          <w:color w:val="auto"/>
        </w:rPr>
        <w:t>Executive Chairman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Gennaro D’Alterio, </w:t>
      </w:r>
      <w:r>
        <w:rPr>
          <w:rFonts w:ascii="Times New Roman" w:cs="Times New Roman" w:eastAsia="Times New Roman" w:hAnsi="Times New Roman"/>
          <w:sz w:val="18"/>
          <w:szCs w:val="18"/>
          <w:i w:val="1"/>
          <w:iCs w:val="1"/>
          <w:color w:val="auto"/>
        </w:rPr>
        <w:t>Executive Vice President and Chief Commercial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Hani Hammad, </w:t>
      </w:r>
      <w:r>
        <w:rPr>
          <w:rFonts w:ascii="Times New Roman" w:cs="Times New Roman" w:eastAsia="Times New Roman" w:hAnsi="Times New Roman"/>
          <w:sz w:val="18"/>
          <w:szCs w:val="18"/>
          <w:i w:val="1"/>
          <w:iCs w:val="1"/>
          <w:color w:val="auto"/>
        </w:rPr>
        <w:t>Executive Vice President and Chief Operating Officer</w:t>
      </w:r>
    </w:p>
    <w:p>
      <w:pPr>
        <w:spacing w:after="0" w:line="119"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Board encourages you to carefully review the named executive officer Merger-related compensation information disclosed in this proxy statement. As required by Section 14A of the Exchange Act, the Company is asking its stockholders to vote on the adoption of the following resolution:</w:t>
      </w:r>
    </w:p>
    <w:p>
      <w:pPr>
        <w:spacing w:after="0" w:line="64" w:lineRule="exact"/>
        <w:rPr>
          <w:sz w:val="20"/>
          <w:szCs w:val="20"/>
          <w:color w:val="auto"/>
        </w:rPr>
      </w:pPr>
    </w:p>
    <w:p>
      <w:pPr>
        <w:ind w:left="660" w:right="47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RESOLVED</w:t>
      </w:r>
      <w:r>
        <w:rPr>
          <w:rFonts w:ascii="Times New Roman" w:cs="Times New Roman" w:eastAsia="Times New Roman" w:hAnsi="Times New Roman"/>
          <w:sz w:val="18"/>
          <w:szCs w:val="18"/>
          <w:i w:val="1"/>
          <w:iCs w:val="1"/>
          <w:color w:val="auto"/>
        </w:rPr>
        <w:t>, that the stockholders approve, on a non-binding, advisory basis, the compensation that will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become payable to the Company’s named executive officers in connection with the Merger, including the agreements and understandings pursuant to which such compensation will or may become payable, as disclosed pursuant to Item 402(t) of Regulation S-K in ‘The Merger—Interests of the Directors and Executive Officers of the Company in the Merger—Quantification of Payments and Benefits’ in the Company’s proxy statement for the Special Meeting.</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Stockholders should note that this proposal is separate and apart from the Merger Proposal and is not a condition to completion of the Merger and, as an advisory vote, the result will not be binding on the Company, the Board or Parent. Further, the underlying plans and arrangements are contractual in nature and not, by their terms, subject to stockholder approval. Accordingly, regardless of the outcome of the advisory vote, if the Merger is consummated, our named executive officers will be eligible to receive the compensation that is based on or otherwise relates to the Merger in accordance with the terms and conditions applicable to those payments.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Approval of the Compensation Proposal requires the affirmative vote of the holders of a majority of the voting power of the shares of Common Stock present, by attendance via the Virtual Special Meeting Website, or represented by proxy at the Special Meeting and entitled to vote on the Compensation Proposal, at a meeting at which a quorum is present. Because the required vote is measured against the number of shares present and entitled to vote rather than the number of votes cast, 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Compensation Proposal. A failure to vote will have no effect on the Compensation Proposal, because those shares will not be present at the Special Meeting. A broker non-vote will have no effect on the Compensation Proposal, because those shares will not be entitled to vote on that proposal. The Compensation Proposal is a “non-routine” matter under applicable NYSE rules; accordingly, banks, brokers and other nominees will not have discretionary authority to vote shares held on behalf of a beneficial owner on the Compensation Proposal without specific voting instructions from the beneficial owner. The vote on the Compensation Proposal is advisory only and will not be binding on the Company, the Board or Parent.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Because the vote is advisory, it will not be binding upon the Board or the Company and will not overrule any prior decisions made by the Board, nor will it create or imply any change to the fiduciary duties of the Board. If the Merger Agreement is adopted by stockholders but the Compensation Proposal is not approved, the Merger Consideration will still be paid to the Company’s stockholders. The Board may still determine to proceed with any or all of the compensation arrangements regardless of the outcome of the advisory vote, to the extent such arrangements are otherwise enforceable.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Holders of record and beneficial owners of shares of Common Stock who do not vote in favor of the Merger Proposal, who continuously hold or beneficially own such shares through the Effective Time and who properly demand appraisal of their shares in accordance with Section 262 of the DGCL (“Section 262”) are entitled to appraisal rights in connection with the Merger. All references in this summary to a “beneficial owner” mean a person who is the beneficial owner of shares of Common Stock held either in a voting trust or by a nominee on behalf of such person. This proxy statement constitutes the notice to stockholders of the availability of appraisal rights required by Section 262(d)(1) of the DGCL. The following is a summary of Section 262 and is qualified in its entirety by reference to the full text of Section 262, a copy of which is attached to this proxy statement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and is incorporated herein by reference. Stockholders and beneficial owners who wish to exercise appraisal rights must strictly comply with the requirements of Section 262, and any failure to so comply may result in the loss or waiver of appraisal rights.</w:t>
      </w:r>
    </w:p>
    <w:p>
      <w:pPr>
        <w:spacing w:after="0" w:line="84"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To exercise appraisal rights under Section 262, a holder of record or beneficial owner of shares of Common Stock must satisfy ALL of the following requirements: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Section 262 Procedures</w:t>
      </w:r>
    </w:p>
    <w:p>
      <w:pPr>
        <w:spacing w:after="0" w:line="119" w:lineRule="exact"/>
        <w:rPr>
          <w:sz w:val="20"/>
          <w:szCs w:val="20"/>
          <w:color w:val="auto"/>
        </w:rPr>
      </w:pPr>
    </w:p>
    <w:p>
      <w:pPr>
        <w:ind w:left="1000" w:right="339" w:hanging="348"/>
        <w:spacing w:after="0" w:line="257"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Do Not Vote in Favor of the Merger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stockholder must not vote in favor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A vote (in person or by proxy) in favor of adoption of the Merger Agreement will constitute a waiver of the stockholder’s appraisal rights. Returning a proxy card that is not voted, or that is left unmarked, may result in the proxy being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which would constitute a waiver of appraisal rights.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or abstaining from the vote, however, does not, by itself, constitute a demand for appraisal.</w:t>
      </w:r>
    </w:p>
    <w:p>
      <w:pPr>
        <w:spacing w:after="0" w:line="74"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Written Demand Before the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 must deliver a written demand for appraisal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BEFORE the vote is taken at the Special Meeting. The demand must be delivered in writing to the Secretary of the Company at Mistras Group, Inc., 195 Clarksville Road, Princeton Junction, New Jersey 08550, and must reasonably inform the Company of the identity of the stockholder and that the stockholder intends to demand appraisal of the stockholder’s shares.</w:t>
      </w:r>
    </w:p>
    <w:p>
      <w:pPr>
        <w:spacing w:after="0" w:line="75"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Continuous Ownership (Record Holders and Beneficial Owners).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 must continuously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of Common Stock from the date the written demand is made through the Effective Time. A stockholder who is the record holder or beneficial owner of shares of Common Stock on the date the written demand is made but who thereafter transfers those shares prior to the Effective Time will lose any right to appraisal in respect of such shares.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Demand Requirements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 written demand for appraisal must be executed by or on behalf of the record holder or a beneficial owner of shares of Common Stock and must reasonably inform the Company of the identity of the holder or beneficial owner and that such person intends thereby to demand appraisal of his, her or its shares. A beneficial owner making a demand in their own name must (i) reasonably identify the holder of record of the shares for which the demand is made, (ii) provide documentary evidence of such beneficial owner’s beneficial ownership and a statement that such documentary evidence is a true and correct copy of what it purports to be and (iii) provide an address at which such beneficial owner consents to receive notices given by the Surviving Corporation and to be set forth on the verified list required by Section 262(f) of the DGCL. The demand must be submitted to the Company no later than the taking of the vote on the Merger Proposal at the Special Meeting.</w:t>
      </w:r>
    </w:p>
    <w:p>
      <w:pPr>
        <w:spacing w:after="0" w:line="80"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demand must be separate from any proxy submitted or vote cast. Neither a proxy that is voted “AGAINST” the Merger Proposal nor a proxy that directs the proxy holder to abstain from voting will constitute a demand for appraisal. Equally, neither submitting a proxy directing the holder to vote “FOR” the Merger Proposal nor failing to return a proxy (if the shares are otherwise voted by the proxy holder in favor of the Merger Proposal) satisfies the demand requirement.</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If the shares are held of record in the name of two or more persons, all such persons must sign the written demand. A demand made by a beneficial owner in its own name must be signed by such beneficial owner. If the shares are held of record by a corporation, limited liability company, partnership, trust or other entity, a duly authorized officer, member, partner, trustee or other authorized representative of such entity must sign the demand and must provide evidence of such authority if requested.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by the Surviving Corporation</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Within 10 days after the Effective Time, the Surviving Corporation must notify each stockholder who has complied with Section 262 and has not voted in favor of the Merger Proposal of the date the Merger became effective. Such notice must be sent by the Surviving Corporation to the stockholder at such stockholder’s last known address as it appears in the records of the Company.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Filing a Petition in the Court of Chancery</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any stockholder who has demanded appraisal in compliance with Section 262 and who has not voted in favor of the Merger may file a petition in the Court of Chancery of the State of Delaware demanding a determination of the fair value of the shares held by all such stockholders. There is no obligation on the part of the Surviving Corporation to file such a petition. Therefore, if no petition is filed within 120 days after the Effective Time, rights to appraisal will be permanently forfeited.</w:t>
      </w:r>
    </w:p>
    <w:p>
      <w:pPr>
        <w:spacing w:after="0" w:line="7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Within 120 days after the Effective Time, any stockholder who has complied with the requirements of Section 262 may also receive from the Surviving Corporation, upon written request, a statement setting forth the aggregate number of shares of Common Stock with respect to which demands for appraisal have been received and the aggregate number of holders of such shares. Such statement must be mailed within 10 days after the written request has been received by the Surviving Corporation or within 10 days after expiration of the period for delivery of demands for appraisal, whichever is later.</w:t>
      </w:r>
    </w:p>
    <w:p>
      <w:pPr>
        <w:spacing w:after="0" w:line="7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If a petition is duly filed, the Court of Chancery will conduct an appraisal proceeding to determine the fair value of the shares of Common Stock. The Court will require the stockholders who have demanded appraisal to be notified of the time and place of the appraisal proceeding, after which the Court will conduct the proceedings in accordance with Section 262.</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on Appraisal Proceedings</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Under Section 262(g) of the DGCL, the Court of Chancery will dismiss appraisal proceedings as to all stockholders who have asserted appraisal rights unless (i) the total number of shares entitled to appraisal exceeds 1% of the outstanding shares of the class or series eligible for appraisal, (ii) the value of the Merger Consideration provided in the Merger for the total number of shares entitled to appraisal exceeds $1.0 million, or (iii) the Merger was approved pursuant to Section 253 or Section 267 of the DGCL. The Merger is not being effected pursuant to Section 253 or Section 267 of the DGCL. Accordingly, if neither the 1% threshold nor the $1.0 million threshold is satisfied, the Court of Chancery will dismiss the appraisal proceedings and the applicable stockholders will be entitled to receive only the Merger Consideration.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Court of Chancery will determine the fair value of the shares of Common Stock exclusive of any element of value arising from the accomplishment or expectation of the Merger, together with interest, if any, to be paid upon the amount determined to be the fair value. In determining fair value, the Court may take into account all relevant factors. The fair value of the shares as determined by the Court could be more than, less than, or equal to the Merger Consideration of $20.35 per share.</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Court may award interest on the fair value amount from the Effective Time through the date of payment at such rate or rates as the Court deems equitable. Unless the Court in its discretion determines otherwise for good cause shown, interest from the Effective Time through the date of the Court’s determination of fair value will be compounded quarterly and will accrue at 5% over the Federal Reserve discount rate (including any surcharge) as established from time to time during the period between the Effective Time and the date of payment.</w:t>
      </w:r>
    </w:p>
    <w:p>
      <w:pPr>
        <w:spacing w:after="0" w:line="7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at any time before the entry of judgment in an appraisal proceeding, the Surviving Corporation may pay to each stockholder entitled to appraisal an amount in cash, in which case interest will accrue thereafter only on the sum of (i) the difference, if any, between the amount so paid and the fair value of the shares as determined by the Court of Chancery and (ii) interest theretofore accrued, unless paid at that time.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costs of the appraisal proceedings may be determined by the Court of Chancery and taxed against the parties as the Court deems equitable in the circumstances. Upon application of a stockholder, the Court may order all or a portion of the expenses incurred by any stockholder in connection with an appraisal proceeding, including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reasonable attorneys’ fees and the fees and expenses of experts, to be charged pro rata against the value of all shares entitled to appraisal. In the absence of an agreement between the parties, the Court may assess the costs of the proceeding against all or some of the stockholders entitled to appraisal if the Court finds that the action was brought frivolously or primarily as a vehicle to obtain attorneys’ fees.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Withdrawal of Demand for Appraisal</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A stockholder who has not commenced an appraisal proceeding or joined one as a named party may within 60 days after the Effective Time withdraw its demand and accept the Merger Consideration by delivering to the Surviving Corporation a written withdrawal of the demand for appraisal; thereafter, withdrawal requires the Surviving Corporation’s written approval and no appraisal proceeding may be dismissed as to any stockholder without the Court of Chancery’s approval. If the demand is withdrawn before the Effective Time, or if the stockholder withdraws the demand by written notice to the Surviving Corporation within 60 days after the Effective Time and before the filing of a petition in the Court of Chancery, all rights of the stockholder to appraisal will be extinguished.</w:t>
      </w:r>
    </w:p>
    <w:p>
      <w:pPr>
        <w:spacing w:after="0" w:line="8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After the filing of a petition, a demand for appraisal may only be withdrawn with the written consent of the Surviving Corporation. If, after the filing of such petition, the Surviving Corporation and the stockholder agree that the appraisal proceeding should be dismissed, the stockholder must file an application with the Court requesting dismissal of the appraisal proceeding no later than 60 days after the signing of the agreement.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Street Name Holders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your shares of Common Stock are held in “street name” by a bank, broker or other nominee, and you wish to exercise appraisal rights, you should consult with your bank, broker or other nominee to determine the appropriate procedure for making a demand for appraisal. A beneficial owner of shares held in “street name” may make a demand for appraisal in such beneficial owner’s own name in accordance with the requirements described above under “Demand Requirements,” or may instead have the record holder make the demand on such beneficial owner’s behalf.</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FOREGOING SUMMARY OF APPRAISAL RIGHTS IS NOT A COMPLETE STATEMENT OF THE LAW PERTAINING TO APPRAISAL RIGHTS UNDER THE DGCL. The full text of Section 262 is attached to this proxy statement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and is incorporated herein by reference. Stockholders wishing to exercise their appraisal rights must comply strictly with all of the procedures set forth in Section 262. Failure to comply strictly with all of the procedures set forth in Section 262 will result in the loss of appraisal rights. In view of the complexity of Section 262, stockholders who may wish to pursue appraisal rights should consult legal counsel.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OF COMMON STOCK</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Common Stock is listed on the NYSE under the ticker symbol “MG.” As of the close of business on October 19, 2026, there were 31,867,074 shares of Common Stock outstanding, held by 12 stockholders of record. The following table sets forth the closing sale prices per share of Common Stock, as reported on the NYSE on September 17, 2026, the last full trading day before the public announcement of the Merger, and the latest practicable date before the printing of this proxy statement:</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 Price</w:t>
            </w:r>
          </w:p>
        </w:tc>
      </w:tr>
      <w:tr>
        <w:trPr>
          <w:trHeight w:val="23"/>
        </w:trPr>
        <w:tc>
          <w:tcPr>
            <w:tcW w:w="7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17, 2026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$19.84</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$21.53</w:t>
            </w:r>
          </w:p>
        </w:tc>
      </w:tr>
    </w:tbl>
    <w:p>
      <w:pPr>
        <w:spacing w:after="0" w:line="139"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 prices per share of Common Stock as reported on the NYSE: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3"/>
        </w:trPr>
        <w:tc>
          <w:tcPr>
            <w:tcW w:w="6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6"/>
              </w:rPr>
              <w:t>$15.68</w:t>
            </w:r>
          </w:p>
        </w:tc>
        <w:tc>
          <w:tcPr>
            <w:tcW w:w="7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$12.92</w:t>
            </w:r>
          </w:p>
        </w:tc>
      </w:tr>
      <w:tr>
        <w:trPr>
          <w:trHeight w:val="24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$19.28</w:t>
            </w:r>
          </w:p>
        </w:tc>
        <w:tc>
          <w:tcPr>
            <w:tcW w:w="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$15.26</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6"/>
              </w:rPr>
              <w:t>$21.77</w:t>
            </w:r>
          </w:p>
        </w:tc>
        <w:tc>
          <w:tcPr>
            <w:tcW w:w="7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$14.76</w:t>
            </w:r>
          </w:p>
        </w:tc>
      </w:tr>
      <w:tr>
        <w:trPr>
          <w:trHeight w:val="24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October 23, 2026)</w:t>
            </w:r>
          </w:p>
        </w:tc>
        <w:tc>
          <w:tcPr>
            <w:tcW w:w="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$21.60</w:t>
            </w:r>
          </w:p>
        </w:tc>
        <w:tc>
          <w:tcPr>
            <w:tcW w:w="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$20.63</w:t>
            </w:r>
          </w:p>
        </w:tc>
      </w:tr>
      <w:tr>
        <w:trPr>
          <w:trHeight w:val="241"/>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4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$10.83</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6"/>
              </w:rPr>
              <w:t>$10.49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4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6"/>
              </w:rPr>
              <w:t>$13.19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4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2024</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4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6"/>
              </w:rPr>
              <w:t>$12.10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3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$12.31</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54"/>
        </w:trPr>
        <w:tc>
          <w:tcPr>
            <w:tcW w:w="6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Following the Merger, there will be no further market for Common Stock, which will be delisted from the NYSE and deregistered under the Exchange Act. As a result, following the Merger and such deregistration, we will no longer be required to file periodic reports with the SEC.</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Stockholders are urged to obtain current market quotations for the Common Stock and to review carefully the other information contained in this proxy statement or incorporated by reference into this proxy statement, when considering whether to approve the Merger Proposal. See the section entitled “Where Stockholders Can Find More Information”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 xml:space="preserve"> of this proxy statement.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Company has not declared or paid any cash dividends on its Common Stock during the periods presented above, and under the terms of the Merger Agreement, the Company is not permitted to declare or pay any dividends or make any other distributions on Common Stock prior to the Effective Time without the prior written consent of Parent. Parent has indicated that it does not intend to provide such consent if requested.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the Company’s Common Stock as of the close of business on October 19, 2026, by: (i) each director of the Company; (ii) each named executive officer of the Company; (iii) all directors and executive officers of the Company as a group; and (iv) each person known to the Company to beneficially own more than 5% of the outstanding shares of Common Stock.</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Beneficial ownership of shares is determined in accordance with the rules and regulations of the SEC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generally includes any shares over which a person exercises sole or shared voting and/or investment power. Shares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options, warrants and other rights that are currently exercisable or exercisable within 60 days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19, 2026 are considered outstanding and beneficially owned by the person holding such options, warrants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rights for the purpose of computing the percentage ownership of that person, but are not treated as outstanding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purpose of computing the percentage ownership of any other person.</w:t>
      </w:r>
    </w:p>
    <w:p>
      <w:pPr>
        <w:spacing w:after="0" w:line="99"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As of the close of business on October 19, 2026, there were 31,867,074 shares of Common Stock issued and outstanding. The percentage of outstanding shares is based on 31,867,074 shares of Common Stock outstanding as of the close of business on October 19, 2026.</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Acquirable</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Within</w:t>
            </w:r>
          </w:p>
        </w:tc>
        <w:tc>
          <w:tcPr>
            <w:tcW w:w="100" w:type="dxa"/>
            <w:vAlign w:val="bottom"/>
          </w:tcPr>
          <w:p>
            <w:pPr>
              <w:spacing w:after="0"/>
              <w:rPr>
                <w:sz w:val="12"/>
                <w:szCs w:val="12"/>
                <w:color w:val="auto"/>
              </w:rPr>
            </w:pPr>
          </w:p>
        </w:tc>
        <w:tc>
          <w:tcPr>
            <w:tcW w:w="760" w:type="dxa"/>
            <w:vAlign w:val="bottom"/>
          </w:tcPr>
          <w:p>
            <w:pPr>
              <w:jc w:val="right"/>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60 Days</w:t>
            </w:r>
            <w:r>
              <w:rPr>
                <w:rFonts w:ascii="Times New Roman" w:cs="Times New Roman" w:eastAsia="Times New Roman" w:hAnsi="Times New Roman"/>
                <w:sz w:val="23"/>
                <w:szCs w:val="23"/>
                <w:b w:val="1"/>
                <w:bCs w:val="1"/>
                <w:color w:val="auto"/>
                <w:w w:val="95"/>
                <w:vertAlign w:val="superscript"/>
              </w:rPr>
              <w:t>(3)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Natalia Shuman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158,780</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Nicholas DeBenedictis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273,820</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273,820</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James J. Forese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177,043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177,043</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Michelle J. Lohmeier</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99,223</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P. Pizzi</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73,480</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73,480</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Manuel Stamatakis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510,609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1,135,609</w:t>
            </w:r>
          </w:p>
        </w:tc>
        <w:tc>
          <w:tcPr>
            <w:tcW w:w="8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Edward J. Prajzner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147,031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147,031</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Hani Hammad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84,270</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84,270</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Gennaro D’Alterio</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45,673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45,673</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as a Group (11 persons)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1,623,966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2,308,966</w:t>
            </w:r>
          </w:p>
        </w:tc>
        <w:tc>
          <w:tcPr>
            <w:tcW w:w="8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5060" w:type="dxa"/>
            <w:vAlign w:val="bottom"/>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&gt;5% Stockholders</w:t>
            </w:r>
            <w:r>
              <w:rPr>
                <w:rFonts w:ascii="Times New Roman" w:cs="Times New Roman" w:eastAsia="Times New Roman" w:hAnsi="Times New Roman"/>
                <w:sz w:val="28"/>
                <w:szCs w:val="28"/>
                <w:b w:val="1"/>
                <w:bCs w:val="1"/>
                <w:color w:val="auto"/>
                <w:vertAlign w:val="superscript"/>
              </w:rPr>
              <w:t>(4)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6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2025 Irrevocable Two-Year Grantor Retained Annuity Trust of</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CCEEFF"/>
          </w:tcPr>
          <w:p>
            <w:pPr>
              <w:ind w:left="360"/>
              <w:spacing w:after="0" w:line="258" w:lineRule="exact"/>
              <w:rPr>
                <w:sz w:val="20"/>
                <w:szCs w:val="20"/>
                <w:color w:val="auto"/>
              </w:rPr>
            </w:pPr>
            <w:r>
              <w:rPr>
                <w:rFonts w:ascii="Times New Roman" w:cs="Times New Roman" w:eastAsia="Times New Roman" w:hAnsi="Times New Roman"/>
                <w:sz w:val="18"/>
                <w:szCs w:val="18"/>
                <w:color w:val="auto"/>
              </w:rPr>
              <w:t>Aspasia F. Vahaviolos</w:t>
            </w:r>
            <w:r>
              <w:rPr>
                <w:rFonts w:ascii="Times New Roman" w:cs="Times New Roman" w:eastAsia="Times New Roman" w:hAnsi="Times New Roman"/>
                <w:sz w:val="29"/>
                <w:szCs w:val="29"/>
                <w:color w:val="auto"/>
                <w:vertAlign w:val="superscript"/>
              </w:rPr>
              <w:t>(5)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3,923,718</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3,923,718</w:t>
            </w:r>
          </w:p>
        </w:tc>
        <w:tc>
          <w:tcPr>
            <w:tcW w:w="8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Stephanie Foglia</w:t>
            </w:r>
            <w:r>
              <w:rPr>
                <w:rFonts w:ascii="Times New Roman" w:cs="Times New Roman" w:eastAsia="Times New Roman" w:hAnsi="Times New Roman"/>
                <w:sz w:val="28"/>
                <w:szCs w:val="28"/>
                <w:color w:val="auto"/>
                <w:vertAlign w:val="superscript"/>
              </w:rPr>
              <w:t>(5)(6)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5,532,313</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5,532,313</w:t>
            </w: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Aspasia Vahaviolos</w:t>
            </w:r>
            <w:r>
              <w:rPr>
                <w:rFonts w:ascii="Times New Roman" w:cs="Times New Roman" w:eastAsia="Times New Roman" w:hAnsi="Times New Roman"/>
                <w:sz w:val="28"/>
                <w:szCs w:val="28"/>
                <w:color w:val="auto"/>
                <w:vertAlign w:val="superscript"/>
              </w:rPr>
              <w:t>(5)(7)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6,084,508</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6,084,508</w:t>
            </w:r>
          </w:p>
        </w:tc>
        <w:tc>
          <w:tcPr>
            <w:tcW w:w="8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Kristy Kyriakopoulos</w:t>
            </w:r>
            <w:r>
              <w:rPr>
                <w:rFonts w:ascii="Times New Roman" w:cs="Times New Roman" w:eastAsia="Times New Roman" w:hAnsi="Times New Roman"/>
                <w:sz w:val="28"/>
                <w:szCs w:val="28"/>
                <w:color w:val="auto"/>
                <w:vertAlign w:val="superscript"/>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1,617,006</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1,617,006</w:t>
            </w: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Mill Road Capital III, L.P.</w:t>
            </w:r>
            <w:r>
              <w:rPr>
                <w:rFonts w:ascii="Times New Roman" w:cs="Times New Roman" w:eastAsia="Times New Roman" w:hAnsi="Times New Roman"/>
                <w:sz w:val="28"/>
                <w:szCs w:val="28"/>
                <w:color w:val="auto"/>
                <w:vertAlign w:val="superscript"/>
              </w:rPr>
              <w:t>(9)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1,938,316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1,938,316</w:t>
            </w:r>
          </w:p>
        </w:tc>
        <w:tc>
          <w:tcPr>
            <w:tcW w:w="8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9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Dimensional Fund Advisors LP</w:t>
            </w:r>
            <w:r>
              <w:rPr>
                <w:rFonts w:ascii="Times New Roman" w:cs="Times New Roman" w:eastAsia="Times New Roman" w:hAnsi="Times New Roman"/>
                <w:sz w:val="29"/>
                <w:szCs w:val="29"/>
                <w:color w:val="auto"/>
                <w:vertAlign w:val="superscript"/>
              </w:rPr>
              <w:t>(10)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1,623,141</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1,623,141</w:t>
            </w: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58420</wp:posOffset>
            </wp:positionV>
            <wp:extent cx="8229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17" w:lineRule="exact"/>
        <w:rPr>
          <w:sz w:val="20"/>
          <w:szCs w:val="20"/>
          <w:color w:val="auto"/>
        </w:rPr>
      </w:pPr>
    </w:p>
    <w:p>
      <w:pPr>
        <w:ind w:left="640" w:hanging="348"/>
        <w:spacing w:after="0"/>
        <w:tabs>
          <w:tab w:leader="none" w:pos="6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Common Stock.</w:t>
      </w:r>
    </w:p>
    <w:p>
      <w:pPr>
        <w:spacing w:after="0" w:line="42" w:lineRule="exact"/>
        <w:rPr>
          <w:sz w:val="20"/>
          <w:szCs w:val="20"/>
          <w:color w:val="auto"/>
        </w:rPr>
      </w:pPr>
    </w:p>
    <w:p>
      <w:pPr>
        <w:ind w:left="640" w:right="1159" w:hanging="348"/>
        <w:spacing w:after="0" w:line="261"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address for each director and named executive officer of the Company is c/o Mistras Group, Inc., 195 Clarksville Road, Princeton Junction, New Jersey 08550.</w:t>
      </w:r>
    </w:p>
    <w:p>
      <w:pPr>
        <w:ind w:left="640" w:right="519" w:hanging="348"/>
        <w:spacing w:after="0" w:line="233"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the “Number of Shares Beneficially Owned” column may include shares of Common Stock attributable to the person because of that person’s voting or investment power or other relationship, as well as shares that are underlying RSUs that are subject to solely time-based vesting conditions. The inclusion in the table of any shares, however, does not constitute an admission of beneficial ownership of those shares by the named stockholder. Unless otherwise indicated, each person in the table has sole voting and investment power over the shares listed.</w:t>
      </w:r>
    </w:p>
    <w:p>
      <w:pPr>
        <w:spacing w:after="0" w:line="15" w:lineRule="exact"/>
        <w:rPr>
          <w:rFonts w:ascii="Times New Roman" w:cs="Times New Roman" w:eastAsia="Times New Roman" w:hAnsi="Times New Roman"/>
          <w:sz w:val="14"/>
          <w:szCs w:val="14"/>
          <w:color w:val="auto"/>
        </w:rPr>
      </w:pPr>
    </w:p>
    <w:p>
      <w:pPr>
        <w:ind w:left="640" w:right="619" w:hanging="348"/>
        <w:spacing w:after="0" w:line="233"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beneficially owned by each person is determined under rules promulgated by the SEC. Under these rules, a person is deemed to have “beneficial ownership” of any shares held, plus any shares that the person may acquire within</w:t>
      </w:r>
    </w:p>
    <w:p>
      <w:pPr>
        <w:ind w:left="640" w:right="49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including through the exercise of Company Options, as applicable, or the vesting or conversion of Company RSUs or Company PRSUs, as applicable. Unless otherwise indicated, for each person named in the table, the number in the “Shares Acquirable Within</w:t>
      </w:r>
    </w:p>
    <w:p>
      <w:pPr>
        <w:jc w:val="both"/>
        <w:ind w:left="640" w:right="37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column consists of shares covered by Company Options that may be exercised within 60 days after October 19, 2026 and, to the extent not already reflected in the preceding column, shares covered by Company RSUs or Company PRSUs that become vested within 60 days after October 19, 2026.</w:t>
      </w:r>
    </w:p>
    <w:p>
      <w:pPr>
        <w:spacing w:after="0" w:line="14"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&gt;5% stockholders is based on the most recent Schedule 13D or Schedule 13G filings made with the SEC on or before October 19, 2026.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79" w:hanging="348"/>
        <w:spacing w:after="0" w:line="231"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3,923,718 shares held by the 2025 Irrevocable Two-Year Grantor Retained Annuity Trust of Aspasia F. Vahaviolos (the “2025 Trust”), which has shared voting and investment power over such shares. Stephanie Foglia, as trustee, has shared voting and investment power and may be deemed to share beneficial ownership of the shares held by the 2025 Trust. Aspasia Vahaviolos may be deemed to share beneficial ownership of the shares held by the 2025 Trust because of a potential right to re-acquire the shares within sixty days. The shares reported for the 2025 Trust are included in the amounts reported for Ms. Foglia and Ms. Vahaviolos due to their respective relationships to the 2025 Trust. The address for the 2025 Trust is c/o Mistras Group, Inc., 195 Clarksville Road, Princeton Junction, New Jersey 08550.</w:t>
      </w:r>
    </w:p>
    <w:p>
      <w:pPr>
        <w:spacing w:after="0" w:line="15" w:lineRule="exact"/>
        <w:rPr>
          <w:rFonts w:ascii="Times New Roman" w:cs="Times New Roman" w:eastAsia="Times New Roman" w:hAnsi="Times New Roman"/>
          <w:sz w:val="14"/>
          <w:szCs w:val="14"/>
          <w:color w:val="auto"/>
        </w:rPr>
      </w:pPr>
    </w:p>
    <w:p>
      <w:pPr>
        <w:ind w:left="640" w:right="359" w:hanging="348"/>
        <w:spacing w:after="0" w:line="236"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1,608,595 shares beneficially owned by Stephanie Foglia pursuant to which Ms. Foglia has sole voting and investment power and (ii) 3,923,718 shares held by the 2025 Trust, which, as trustee, Ms. Foglia has shared voting and investment power and may be deemed to share beneficial ownership. The address for Ms. Foglia is c/o Mistras Group, Inc., 195 Clarksville Road, Princeton Junction, New Jersey 08550.</w:t>
      </w:r>
    </w:p>
    <w:p>
      <w:pPr>
        <w:spacing w:after="0" w:line="14" w:lineRule="exact"/>
        <w:rPr>
          <w:rFonts w:ascii="Times New Roman" w:cs="Times New Roman" w:eastAsia="Times New Roman" w:hAnsi="Times New Roman"/>
          <w:sz w:val="14"/>
          <w:szCs w:val="14"/>
          <w:color w:val="auto"/>
        </w:rPr>
      </w:pPr>
    </w:p>
    <w:p>
      <w:pPr>
        <w:jc w:val="both"/>
        <w:ind w:left="640" w:right="379" w:hanging="348"/>
        <w:spacing w:after="0" w:line="236"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2,160,790 shares beneficially owned by Aspasia Vahaviolos pursuant to which Ms. Vahaviolos has sole voting and investment power and (ii) 3,923,718 shares held by the 2025 Trust. Ms. Vahaviolos may be deemed to have beneficial ownership of the shares held by the 2025 Trust because of a potential right to re-acquire the shares within sixty days. The address for Ms. Vahaviolos is 7 Ridgeview Road, Princeton, New Jersey 08540.</w:t>
      </w:r>
    </w:p>
    <w:p>
      <w:pPr>
        <w:spacing w:after="0" w:line="14" w:lineRule="exact"/>
        <w:rPr>
          <w:rFonts w:ascii="Times New Roman" w:cs="Times New Roman" w:eastAsia="Times New Roman" w:hAnsi="Times New Roman"/>
          <w:sz w:val="14"/>
          <w:szCs w:val="14"/>
          <w:color w:val="auto"/>
        </w:rPr>
      </w:pPr>
    </w:p>
    <w:p>
      <w:pPr>
        <w:ind w:left="640" w:right="839" w:hanging="348"/>
        <w:spacing w:after="0" w:line="261"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Kristy Kyriakopoulos has sole voting and investment power over the shares. The address for Ms. Kyriakopoulos is 2 Suffolk Lane, Princeton Junction, New Jersey 08550.</w:t>
      </w:r>
    </w:p>
    <w:p>
      <w:pPr>
        <w:ind w:left="640" w:right="479" w:hanging="348"/>
        <w:spacing w:after="0" w:line="233"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 Road Capital III, L.P. directly holds, and thus has sole voting and dispositive power over 1,938,316 shares. Mill Road Capital III GP LLC, as sole general partner of Mill Road Capital III, L.P., also has sole voting and investment authority over these shares of Common Stock on behalf of Mill Road Capital III, L.P., and Thomas E. Lynch has shared voting and investment authority over these shares of Common Stock in his capacity as Chairman and Management Committee Director of Mill Road Capital III GP LLC. The address for Mr. Lynch, Mill Road Capital III GP LLC and Mill Road Capital III, L.P. is 328 Pemberwick Road, Greenwich, CT 06831.</w:t>
      </w:r>
    </w:p>
    <w:p>
      <w:pPr>
        <w:spacing w:after="0" w:line="15" w:lineRule="exact"/>
        <w:rPr>
          <w:rFonts w:ascii="Times New Roman" w:cs="Times New Roman" w:eastAsia="Times New Roman" w:hAnsi="Times New Roman"/>
          <w:sz w:val="14"/>
          <w:szCs w:val="14"/>
          <w:color w:val="auto"/>
        </w:rPr>
      </w:pPr>
    </w:p>
    <w:p>
      <w:pPr>
        <w:ind w:left="640" w:right="299" w:hanging="348"/>
        <w:spacing w:after="0" w:line="229"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1,623,141 shares, Dimensional Fund Advisors LP (“Dimensional”) has sole voting and investment authority over 1,586,190 shares of Common Stock, no shared voting power and sole dispositive power over all of the shares of Common Stock. Dimensional is a registered investment advisor that, directly or indirectly, furnishes investment advice to four registered investment companies and serves as investment manager or sub-advisor to certain other commingled funds, group trusts and separate accounts (these companies, trusts and accounts are referred to as the “Funds”). The Funds are the owners of the shares and, to the knowledge of Dimensional, no single Fund owns more than 5% of Common Stock. Dimensional disclaims beneficial ownership of the shares of Common Stock owned by the Funds. The address for Dimensional is 6300 Bee Cave Road, Building One, Austin, TX 78746.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STOCKHOLDERS CAN FIND MORE INFORMATION</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an Internet website that contains reports, proxy and information statements, and other information regarding issuers that file electronically with the SEC. The address of that website is www.sec.gov.</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You may also obtain free copies of the documents that the Company files with the SEC, including this proxy statement, by going to the Investor Relations page of the Company’s website at www.mistrasgroup.com. The information provided on the Company’s website, other than copies of the documents filed with the SEC, is not part of this proxy statement and is not incorporated by reference into this proxy statement.</w:t>
      </w:r>
    </w:p>
    <w:p>
      <w:pPr>
        <w:spacing w:after="0" w:line="72"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The SEC allows the Company to “incorporate by reference” into this proxy statement documents that the Company files with the SEC. This means that the Company can disclose important information to you by referring you to those documents. The information incorporated by reference is considered to be a part of this proxy statement, and later information that the Company files with the SEC will update and supersede that information. The Company incorporates by reference the documents listed below and any documents filed by the Company pursuant to Section 13(a), 13(c), 14 or 15(d) of the Exchange Act after the date of this proxy statement and before the date of the Special Meeting:</w:t>
      </w:r>
    </w:p>
    <w:p>
      <w:pPr>
        <w:spacing w:after="0" w:line="81" w:lineRule="exact"/>
        <w:rPr>
          <w:sz w:val="20"/>
          <w:szCs w:val="20"/>
          <w:color w:val="auto"/>
        </w:rPr>
      </w:pPr>
    </w:p>
    <w:p>
      <w:pPr>
        <w:ind w:left="1000" w:right="399" w:hanging="348"/>
        <w:spacing w:after="0" w:line="282"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fiscal year ended December 31, 2025, filed with the SEC on </w:t>
      </w:r>
      <w:hyperlink r:id="rId168">
        <w:r>
          <w:rPr>
            <w:rFonts w:ascii="Times New Roman" w:cs="Times New Roman" w:eastAsia="Times New Roman" w:hAnsi="Times New Roman"/>
            <w:sz w:val="18"/>
            <w:szCs w:val="18"/>
            <w:u w:val="single" w:color="auto"/>
            <w:color w:val="0000EE"/>
          </w:rPr>
          <w:t>March 11, 2026</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quarterly periods ended March 31, 2026, filed with the SEC on </w:t>
      </w:r>
      <w:hyperlink r:id="rId169">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auto"/>
        </w:rPr>
        <w:t xml:space="preserve">, and June 30, 2026, filed with the SEC on </w:t>
      </w:r>
      <w:hyperlink r:id="rId170">
        <w:r>
          <w:rPr>
            <w:rFonts w:ascii="Times New Roman" w:cs="Times New Roman" w:eastAsia="Times New Roman" w:hAnsi="Times New Roman"/>
            <w:sz w:val="18"/>
            <w:szCs w:val="18"/>
            <w:u w:val="single" w:color="auto"/>
            <w:color w:val="0000EE"/>
          </w:rPr>
          <w:t>August 10, 2026</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40"/>
        </w:numPr>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EE"/>
          </w:rPr>
          <w:t>May 20,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September 18,</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other than information furnished and not filed); and</w:t>
        </w:r>
      </w:hyperlink>
    </w:p>
    <w:p>
      <w:pPr>
        <w:spacing w:after="0" w:line="53" w:lineRule="exact"/>
        <w:rPr>
          <w:rFonts w:ascii="Times New Roman" w:cs="Times New Roman" w:eastAsia="Times New Roman" w:hAnsi="Times New Roman"/>
          <w:sz w:val="18"/>
          <w:szCs w:val="18"/>
          <w:color w:val="0000EE"/>
        </w:rPr>
      </w:pPr>
    </w:p>
    <w:p>
      <w:pPr>
        <w:ind w:left="1000" w:right="479" w:hanging="348"/>
        <w:spacing w:after="0" w:line="266"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portions of the Company’s Definitive Proxy Statement on Schedule 14A for the 2026 Annual Meeting of Stockholders, filed with the SEC on </w:t>
      </w:r>
      <w:hyperlink r:id="rId172">
        <w:r>
          <w:rPr>
            <w:rFonts w:ascii="Times New Roman" w:cs="Times New Roman" w:eastAsia="Times New Roman" w:hAnsi="Times New Roman"/>
            <w:sz w:val="18"/>
            <w:szCs w:val="18"/>
            <w:u w:val="single" w:color="auto"/>
            <w:color w:val="0000EE"/>
          </w:rPr>
          <w:t>April 7, 2026</w:t>
        </w:r>
      </w:hyperlink>
      <w:r>
        <w:rPr>
          <w:rFonts w:ascii="Times New Roman" w:cs="Times New Roman" w:eastAsia="Times New Roman" w:hAnsi="Times New Roman"/>
          <w:sz w:val="18"/>
          <w:szCs w:val="18"/>
          <w:color w:val="auto"/>
        </w:rPr>
        <w:t>, that are incorporated by reference into the Company’s Annual Report on Form 10-K for the fiscal year ended December 31, 2025.</w:t>
      </w:r>
    </w:p>
    <w:p>
      <w:pPr>
        <w:spacing w:after="0" w:line="68" w:lineRule="exact"/>
        <w:rPr>
          <w:rFonts w:ascii="Times New Roman" w:cs="Times New Roman" w:eastAsia="Times New Roman" w:hAnsi="Times New Roman"/>
          <w:sz w:val="18"/>
          <w:szCs w:val="18"/>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and would like to request documents from the Company, please send a request in writing or by telephone to:</w:t>
      </w:r>
    </w:p>
    <w:p>
      <w:pPr>
        <w:spacing w:after="0" w:line="108" w:lineRule="exact"/>
        <w:rPr>
          <w:rFonts w:ascii="Times New Roman" w:cs="Times New Roman" w:eastAsia="Times New Roman" w:hAnsi="Times New Roman"/>
          <w:sz w:val="18"/>
          <w:szCs w:val="18"/>
          <w:color w:val="auto"/>
        </w:rPr>
      </w:pPr>
    </w:p>
    <w:p>
      <w:pPr>
        <w:ind w:left="378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7" w:lineRule="exact"/>
        <w:rPr>
          <w:rFonts w:ascii="Times New Roman" w:cs="Times New Roman" w:eastAsia="Times New Roman" w:hAnsi="Times New Roman"/>
          <w:sz w:val="18"/>
          <w:szCs w:val="18"/>
          <w:color w:val="auto"/>
        </w:rPr>
      </w:pPr>
    </w:p>
    <w:p>
      <w:pPr>
        <w:ind w:left="362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3720"/>
        <w:spacing w:after="0"/>
        <w:rPr>
          <w:sz w:val="20"/>
          <w:szCs w:val="20"/>
          <w:color w:val="auto"/>
        </w:rPr>
      </w:pPr>
      <w:r>
        <w:rPr>
          <w:rFonts w:ascii="Times New Roman" w:cs="Times New Roman" w:eastAsia="Times New Roman" w:hAnsi="Times New Roman"/>
          <w:sz w:val="18"/>
          <w:szCs w:val="18"/>
          <w:color w:val="auto"/>
        </w:rPr>
        <w:t>195 Clarksville Road</w:t>
      </w:r>
    </w:p>
    <w:p>
      <w:pPr>
        <w:spacing w:after="0" w:line="9" w:lineRule="exact"/>
        <w:rPr>
          <w:rFonts w:ascii="Times New Roman" w:cs="Times New Roman" w:eastAsia="Times New Roman" w:hAnsi="Times New Roman"/>
          <w:sz w:val="18"/>
          <w:szCs w:val="18"/>
          <w:color w:val="auto"/>
        </w:rPr>
      </w:pPr>
    </w:p>
    <w:p>
      <w:pPr>
        <w:ind w:left="3100"/>
        <w:spacing w:after="0"/>
        <w:rPr>
          <w:sz w:val="20"/>
          <w:szCs w:val="20"/>
          <w:color w:val="auto"/>
        </w:rPr>
      </w:pPr>
      <w:r>
        <w:rPr>
          <w:rFonts w:ascii="Times New Roman" w:cs="Times New Roman" w:eastAsia="Times New Roman" w:hAnsi="Times New Roman"/>
          <w:sz w:val="18"/>
          <w:szCs w:val="18"/>
          <w:color w:val="auto"/>
        </w:rPr>
        <w:t>Princeton Junction, New Jersey 08550</w:t>
      </w:r>
    </w:p>
    <w:p>
      <w:pPr>
        <w:spacing w:after="0" w:line="9" w:lineRule="exact"/>
        <w:rPr>
          <w:rFonts w:ascii="Times New Roman" w:cs="Times New Roman" w:eastAsia="Times New Roman" w:hAnsi="Times New Roman"/>
          <w:sz w:val="18"/>
          <w:szCs w:val="18"/>
          <w:color w:val="auto"/>
        </w:rPr>
      </w:pPr>
    </w:p>
    <w:p>
      <w:pPr>
        <w:ind w:left="3520"/>
        <w:spacing w:after="0"/>
        <w:rPr>
          <w:sz w:val="20"/>
          <w:szCs w:val="20"/>
          <w:color w:val="auto"/>
        </w:rPr>
      </w:pPr>
      <w:r>
        <w:rPr>
          <w:rFonts w:ascii="Times New Roman" w:cs="Times New Roman" w:eastAsia="Times New Roman" w:hAnsi="Times New Roman"/>
          <w:sz w:val="18"/>
          <w:szCs w:val="18"/>
          <w:color w:val="auto"/>
        </w:rPr>
        <w:t>Telephone: (609) 716-4000</w:t>
      </w:r>
    </w:p>
    <w:p>
      <w:pPr>
        <w:spacing w:after="0" w:line="99" w:lineRule="exact"/>
        <w:rPr>
          <w:rFonts w:ascii="Times New Roman" w:cs="Times New Roman" w:eastAsia="Times New Roman" w:hAnsi="Times New Roman"/>
          <w:sz w:val="18"/>
          <w:szCs w:val="18"/>
          <w:color w:val="auto"/>
        </w:rPr>
      </w:pPr>
    </w:p>
    <w:p>
      <w:pPr>
        <w:ind w:left="300" w:right="439" w:firstLine="360"/>
        <w:spacing w:after="0" w:line="289" w:lineRule="auto"/>
        <w:rPr>
          <w:sz w:val="20"/>
          <w:szCs w:val="20"/>
          <w:color w:val="auto"/>
        </w:rPr>
      </w:pPr>
      <w:r>
        <w:rPr>
          <w:rFonts w:ascii="Times New Roman" w:cs="Times New Roman" w:eastAsia="Times New Roman" w:hAnsi="Times New Roman"/>
          <w:sz w:val="17"/>
          <w:szCs w:val="17"/>
          <w:color w:val="auto"/>
        </w:rPr>
        <w:t>If you would like to request documents, please do so by November 16, 2026, in order to receive them before the Special Meeting. If you request any documents from us, we will provide them to you without charge, by first-class mail or another equally prompt method, within one business day after we receive your written or oral request.</w:t>
      </w:r>
    </w:p>
    <w:p>
      <w:pPr>
        <w:spacing w:after="0" w:line="50" w:lineRule="exact"/>
        <w:rPr>
          <w:rFonts w:ascii="Times New Roman" w:cs="Times New Roman" w:eastAsia="Times New Roman" w:hAnsi="Times New Roman"/>
          <w:sz w:val="18"/>
          <w:szCs w:val="18"/>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 No one has been authorized to provide you with information that is different from what is contained in this proxy statement. This proxy statement is dated as of October 27, 2026. You should not assume that the information contained in this proxy statement is accurate as of any date other than that date, and the mailing of this proxy statement to stockholders does not create any implication to the contrary.</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21"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If the Merger is completed, we will have no public stockholders and there will be no public participation in any future meetings of the stockholders of the Company. However, if the Merger is not completed, our stockholders will continue to be entitled to attend and participate in our stockholders’ meetings. The Company will hold an annual meeting of stockholders in 2027 (the “2027 Annual Meeting”) only if the Merger has not already been completed.</w:t>
      </w:r>
    </w:p>
    <w:p>
      <w:pPr>
        <w:spacing w:after="0" w:line="5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Stockholders may submit proposals on matters appropriate for stockholder action at meetings of the Company’s stockholders in accordance with Rule 14a-8 promulgated under the Exchange Act. If a stockholder wants us to include such a proposal in our proxy statement for presentation at the 2027 Annual Meeting, the proposal must be received by our Corporate Secretary, at 195 Clarksville Road, Princeton Junction, New Jersey 08550, no later than December 8, 2026, and all applicable requirements of Rule 14a-8 must be satisfied. A stockholder submitting a proposal must satisfy the applicable eligibility and proof-of-ownership requirements of Rule 14a-8 under the Exchange Act. We are not required to include any proposal received after December 8, 2026 in our proxy materials for the 2027 Annual Meeting.</w:t>
      </w:r>
    </w:p>
    <w:p>
      <w:pPr>
        <w:spacing w:after="0" w:line="8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 stockholder may also nominate directors or have other business brought before the 2027 Annual Meeting by submitting the nomination or proposal to us on or after January 19, 2027, and on or before February 18, 2027, in accordance with Section 2.14 of our Bylaws. If, however, the 2027 Annual Meeting is held before April 19, 2027, or after July 18, 2027, the time period for a stockholder to submit a nomination or proposal will be modified in accordance with Section 2.14 of our Bylaws. The nomination or proposal must be delivered to our Corporate Secretary at 195 Clarksville Road, Princeton Junction, New Jersey 08550, and meet all the requirements of our Bylaws. The Company’s Bylaws are available on our website at http://investors.mistrasgroup.com/governance.cfm.</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also provide written notice to the Corporate Secretary that sets forth all the information required by Rule 14a-19 under the Exchange Act. Such notice must be postmarked or transmitted electronically to the Company at the Company’s principal executive offices no later than 60 calendar days prior to the anniversary of the previous year’s annual meeting; however, if the date of the 2027 Annual Meeting is changed by more than 30 days from the first anniversary of the Company’s 2026 Annual Meeting of Stockholders, then such notice must be provided by the later of 60 calendar days prior to the date of the 2027 Annual Meeting or the 10th calendar day following the day on which public announcement of the date of the 2027 Annual Meeting is first made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banks and other nominees) to implement a delivery procedure called “householding.” Under this procedure, multiple stockholders who reside at the same address may receive a single copy of the proxy statement and other proxy materials, unless the affected stockholder has provided contrary instructions. This procedure reduces printing costs and postage fees and is consistent with the SEC’s rules.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 number of brokers, banks and other nominees with account holders who are stockholders of the Company will be “householding” the Company’s proxy materials. A single set of proxy materials may be delivered to multiple stockholders sharing an address unless contrary instructions have been received from the affected stockholders. Once you have received notice from your broker, bank or other nominee that it will be “householding” communications to your address, “householding” will continue until you are notified otherwise or until you revoke your consent. Stockholders may revoke their consent at any time by contacting their broker, bank or other nominee, or by sending a written request or calling the Company at:</w:t>
      </w:r>
    </w:p>
    <w:p>
      <w:pPr>
        <w:spacing w:after="0" w:line="1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195 Clarksville Road</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Princeton Junction, New Jersey 08550</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Telephone: (609) 716-4000</w:t>
      </w:r>
    </w:p>
    <w:p>
      <w:pPr>
        <w:spacing w:after="0" w:line="99"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Upon written or oral request, the Company will promptly deliver a separate copy of the proxy statement and other proxy materials to any stockholder at a shared address to which a single copy of such documents was delivered. If you wish to receive a separate copy of the proxy statement, please contact D.F. King &amp; Co., Inc., our proxy solicitor, by calling toll-free at 888-605-1957, or write to the Company at the address set forth above.</w:t>
      </w:r>
    </w:p>
    <w:p>
      <w:pPr>
        <w:spacing w:after="0" w:line="72"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wish to request “householding” and thereby receive only a single copy of the proxy materials at your shared address, please contact the Company at the address set forth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6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36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33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ATHENA PURCHASER, LLC,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ATHENA MERGER SUB,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33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5"/>
        </w:trPr>
        <w:tc>
          <w:tcPr>
            <w:tcW w:w="2040" w:type="dxa"/>
            <w:vAlign w:val="bottom"/>
            <w:tcBorders>
              <w:bottom w:val="single" w:sz="8" w:color="0000EE"/>
            </w:tcBorders>
            <w:gridSpan w:val="21"/>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w w:val="98"/>
              </w:rPr>
              <w:t>ARTICLE I THE MERGER</w:t>
            </w:r>
          </w:p>
        </w:tc>
        <w:tc>
          <w:tcPr>
            <w:tcW w:w="6000" w:type="dxa"/>
            <w:vAlign w:val="bottom"/>
            <w:tcBorders>
              <w:bottom w:val="single" w:sz="8" w:color="CCEEFF"/>
            </w:tcBorders>
            <w:gridSpan w:val="2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0000EE"/>
                <w:w w:val="92"/>
              </w:rPr>
              <w:t>A-1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The Merger</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A-1</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Closing of the Merger</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A-2</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Filing and Effective Time of the Merger</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A-2</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 of the Merger</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A-2</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Organizational Documents; Directors and Officers</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A-2</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8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ARTICLE II CONVERSION OF SECURITIES IN THE MERGER</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A-2</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Conversion of Securities</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A-2</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Payment for Securities; Surrender of Certificates</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A-3</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Dissenting Shares</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A-5</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Treatment of Options, Restricted Stock Units and Company Equity Plans</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A-5</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Withholding Rights</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A-6</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Adjustments</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A-6</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8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ARTICLE III REPRESENTATIONS AND WARRANTIES OF THE COMPANY</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A-6</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Organization</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A-6</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A-7</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Authority; Execution and Delivery; Enforceability</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Conflicts</w:t>
            </w:r>
          </w:p>
        </w:tc>
        <w:tc>
          <w:tcPr>
            <w:tcW w:w="80" w:type="dxa"/>
            <w:vAlign w:val="bottom"/>
          </w:tcPr>
          <w:p>
            <w:pPr>
              <w:spacing w:after="0"/>
              <w:rPr>
                <w:sz w:val="16"/>
                <w:szCs w:val="16"/>
                <w:color w:val="auto"/>
              </w:rPr>
            </w:pP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 Documents; Financial Statements; Undisclosed Liabilities; Fairness</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A-9</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Absence of Certain Changes or Events</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A-11</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A-11</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Legal Proceedings and Orders</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A-11</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Compliance with Laws</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A-11</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10.</w:t>
            </w: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Permits</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11.</w:t>
            </w: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Employee Benefit Plans</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A-13</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12.</w:t>
            </w: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Employee and Labor Matters</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A-15</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13.</w:t>
            </w:r>
          </w:p>
        </w:tc>
        <w:tc>
          <w:tcPr>
            <w:tcW w:w="180" w:type="dxa"/>
            <w:vAlign w:val="bottom"/>
            <w:shd w:val="clear" w:color="auto" w:fill="CCEEFF"/>
          </w:tcPr>
          <w:p>
            <w:pPr>
              <w:spacing w:after="0"/>
              <w:rPr>
                <w:sz w:val="16"/>
                <w:szCs w:val="16"/>
                <w:color w:val="auto"/>
              </w:rPr>
            </w:pPr>
          </w:p>
        </w:tc>
        <w:tc>
          <w:tcPr>
            <w:tcW w:w="16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Environmental Matters</w:t>
            </w:r>
          </w:p>
        </w:tc>
        <w:tc>
          <w:tcPr>
            <w:tcW w:w="5840" w:type="dxa"/>
            <w:vAlign w:val="bottom"/>
            <w:gridSpan w:val="19"/>
            <w:shd w:val="clear" w:color="auto" w:fill="CCEEFF"/>
          </w:tcPr>
          <w:p>
            <w:pPr>
              <w:spacing w:after="0"/>
              <w:rPr>
                <w:sz w:val="16"/>
                <w:szCs w:val="16"/>
                <w:color w:val="auto"/>
              </w:rPr>
            </w:pP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A-16</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14.</w:t>
            </w: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Real Property; Title to Assets</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A-17</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15.</w:t>
            </w:r>
          </w:p>
        </w:tc>
        <w:tc>
          <w:tcPr>
            <w:tcW w:w="180" w:type="dxa"/>
            <w:vAlign w:val="bottom"/>
            <w:shd w:val="clear" w:color="auto" w:fill="CCEEFF"/>
          </w:tcPr>
          <w:p>
            <w:pPr>
              <w:spacing w:after="0"/>
              <w:rPr>
                <w:sz w:val="16"/>
                <w:szCs w:val="16"/>
                <w:color w:val="auto"/>
              </w:rPr>
            </w:pPr>
          </w:p>
        </w:tc>
        <w:tc>
          <w:tcPr>
            <w:tcW w:w="8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Tax Matters</w:t>
            </w:r>
          </w:p>
        </w:tc>
        <w:tc>
          <w:tcPr>
            <w:tcW w:w="6640" w:type="dxa"/>
            <w:vAlign w:val="bottom"/>
            <w:gridSpan w:val="32"/>
            <w:shd w:val="clear" w:color="auto" w:fill="CCEEFF"/>
          </w:tcPr>
          <w:p>
            <w:pPr>
              <w:spacing w:after="0"/>
              <w:rPr>
                <w:sz w:val="16"/>
                <w:szCs w:val="16"/>
                <w:color w:val="auto"/>
              </w:rPr>
            </w:pP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16.</w:t>
            </w: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Material Contracts</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A-19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17.</w:t>
            </w: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Intellectual Property</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A-21</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18.</w:t>
            </w:r>
          </w:p>
        </w:tc>
        <w:tc>
          <w:tcPr>
            <w:tcW w:w="180" w:type="dxa"/>
            <w:vAlign w:val="bottom"/>
          </w:tcPr>
          <w:p>
            <w:pPr>
              <w:spacing w:after="0"/>
              <w:rPr>
                <w:sz w:val="16"/>
                <w:szCs w:val="16"/>
                <w:color w:val="auto"/>
              </w:rPr>
            </w:pPr>
          </w:p>
        </w:tc>
        <w:tc>
          <w:tcPr>
            <w:tcW w:w="14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Broker’s Fees</w:t>
            </w:r>
          </w:p>
        </w:tc>
        <w:tc>
          <w:tcPr>
            <w:tcW w:w="6040" w:type="dxa"/>
            <w:vAlign w:val="bottom"/>
            <w:gridSpan w:val="23"/>
          </w:tcPr>
          <w:p>
            <w:pPr>
              <w:spacing w:after="0"/>
              <w:rPr>
                <w:sz w:val="16"/>
                <w:szCs w:val="16"/>
                <w:color w:val="auto"/>
              </w:rPr>
            </w:pP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A-24</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19.</w:t>
            </w:r>
          </w:p>
        </w:tc>
        <w:tc>
          <w:tcPr>
            <w:tcW w:w="180" w:type="dxa"/>
            <w:vAlign w:val="bottom"/>
            <w:shd w:val="clear" w:color="auto" w:fill="CCEEFF"/>
          </w:tcPr>
          <w:p>
            <w:pPr>
              <w:spacing w:after="0"/>
              <w:rPr>
                <w:sz w:val="16"/>
                <w:szCs w:val="16"/>
                <w:color w:val="auto"/>
              </w:rPr>
            </w:pPr>
          </w:p>
        </w:tc>
        <w:tc>
          <w:tcPr>
            <w:tcW w:w="21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Opinion of Financial Advisor</w:t>
            </w:r>
          </w:p>
        </w:tc>
        <w:tc>
          <w:tcPr>
            <w:tcW w:w="5380" w:type="dxa"/>
            <w:vAlign w:val="bottom"/>
            <w:gridSpan w:val="14"/>
            <w:shd w:val="clear" w:color="auto" w:fill="CCEEFF"/>
          </w:tcPr>
          <w:p>
            <w:pPr>
              <w:spacing w:after="0"/>
              <w:rPr>
                <w:sz w:val="16"/>
                <w:szCs w:val="16"/>
                <w:color w:val="auto"/>
              </w:rPr>
            </w:pP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A-24</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20.</w:t>
            </w:r>
          </w:p>
        </w:tc>
        <w:tc>
          <w:tcPr>
            <w:tcW w:w="180" w:type="dxa"/>
            <w:vAlign w:val="bottom"/>
          </w:tcPr>
          <w:p>
            <w:pPr>
              <w:spacing w:after="0"/>
              <w:rPr>
                <w:sz w:val="16"/>
                <w:szCs w:val="16"/>
                <w:color w:val="auto"/>
              </w:rPr>
            </w:pPr>
          </w:p>
        </w:tc>
        <w:tc>
          <w:tcPr>
            <w:tcW w:w="2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Insurance</w:t>
            </w:r>
          </w:p>
        </w:tc>
        <w:tc>
          <w:tcPr>
            <w:tcW w:w="5380" w:type="dxa"/>
            <w:vAlign w:val="bottom"/>
            <w:gridSpan w:val="14"/>
          </w:tcPr>
          <w:p>
            <w:pPr>
              <w:spacing w:after="0"/>
              <w:rPr>
                <w:sz w:val="16"/>
                <w:szCs w:val="16"/>
                <w:color w:val="auto"/>
              </w:rPr>
            </w:pP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A-24</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21.</w:t>
            </w: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Government Contracts</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A-24</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22.</w:t>
            </w:r>
          </w:p>
        </w:tc>
        <w:tc>
          <w:tcPr>
            <w:tcW w:w="180" w:type="dxa"/>
            <w:vAlign w:val="bottom"/>
          </w:tcPr>
          <w:p>
            <w:pPr>
              <w:spacing w:after="0"/>
              <w:rPr>
                <w:sz w:val="16"/>
                <w:szCs w:val="16"/>
                <w:color w:val="auto"/>
              </w:rPr>
            </w:pPr>
          </w:p>
        </w:tc>
        <w:tc>
          <w:tcPr>
            <w:tcW w:w="16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Indebtedness</w:t>
            </w:r>
          </w:p>
        </w:tc>
        <w:tc>
          <w:tcPr>
            <w:tcW w:w="5880" w:type="dxa"/>
            <w:vAlign w:val="bottom"/>
            <w:gridSpan w:val="20"/>
          </w:tcPr>
          <w:p>
            <w:pPr>
              <w:spacing w:after="0"/>
              <w:rPr>
                <w:sz w:val="16"/>
                <w:szCs w:val="16"/>
                <w:color w:val="auto"/>
              </w:rPr>
            </w:pP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A-26</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23.</w:t>
            </w: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Customers and Suppliers</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A-27</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3.</w:t>
            </w:r>
            <w:r>
              <w:rPr>
                <w:rFonts w:ascii="Times New Roman" w:cs="Times New Roman" w:eastAsia="Times New Roman" w:hAnsi="Times New Roman"/>
                <w:sz w:val="18"/>
                <w:szCs w:val="18"/>
                <w:u w:val="single" w:color="auto"/>
                <w:color w:val="0000EE"/>
                <w:w w:val="94"/>
              </w:rPr>
              <w:t>24.</w:t>
            </w: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Other Representations or Warranties</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A-27</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80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ARTICLE IV REPRESENTATIONS AND WARRANTIES OF PARENT AND ACQUISITION SUB</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A-27</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Organization</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Authority, Execution and Delivery; Enforceability</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A-28</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Conflicts</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Litigation</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A-29</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Guarantee</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A-29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A-30</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Ownership of Company Capital Stock</w:t>
            </w:r>
          </w:p>
        </w:tc>
        <w:tc>
          <w:tcPr>
            <w:tcW w:w="3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A-30</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Solvency</w:t>
            </w:r>
          </w:p>
        </w:tc>
        <w:tc>
          <w:tcPr>
            <w:tcW w:w="38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1"/>
              </w:rPr>
              <w:t>A-30</w:t>
            </w: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3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w w:val="94"/>
              </w:rPr>
              <w:t>4.</w:t>
            </w:r>
            <w:r>
              <w:rPr>
                <w:rFonts w:ascii="Times New Roman" w:cs="Times New Roman" w:eastAsia="Times New Roman" w:hAnsi="Times New Roman"/>
                <w:sz w:val="18"/>
                <w:szCs w:val="18"/>
                <w:u w:val="single" w:color="auto"/>
                <w:color w:val="0000EE"/>
                <w:w w:val="94"/>
              </w:rPr>
              <w:t>10.</w:t>
            </w:r>
          </w:p>
        </w:tc>
        <w:tc>
          <w:tcPr>
            <w:tcW w:w="180" w:type="dxa"/>
            <w:vAlign w:val="bottom"/>
            <w:shd w:val="clear" w:color="auto" w:fill="CCEEFF"/>
          </w:tcPr>
          <w:p>
            <w:pPr>
              <w:spacing w:after="0"/>
              <w:rPr>
                <w:sz w:val="17"/>
                <w:szCs w:val="17"/>
                <w:color w:val="auto"/>
              </w:rPr>
            </w:pPr>
          </w:p>
        </w:tc>
        <w:tc>
          <w:tcPr>
            <w:tcW w:w="3000" w:type="dxa"/>
            <w:vAlign w:val="bottom"/>
            <w:gridSpan w:val="30"/>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w w:val="99"/>
              </w:rPr>
              <w:t>Ownership of Parent and Acquisition Sub</w:t>
            </w:r>
          </w:p>
        </w:tc>
        <w:tc>
          <w:tcPr>
            <w:tcW w:w="4500" w:type="dxa"/>
            <w:vAlign w:val="bottom"/>
            <w:gridSpan w:val="14"/>
            <w:shd w:val="clear" w:color="auto" w:fill="CCEEFF"/>
          </w:tcPr>
          <w:p>
            <w:pPr>
              <w:spacing w:after="0"/>
              <w:rPr>
                <w:sz w:val="17"/>
                <w:szCs w:val="17"/>
                <w:color w:val="auto"/>
              </w:rPr>
            </w:pPr>
          </w:p>
        </w:tc>
        <w:tc>
          <w:tcPr>
            <w:tcW w:w="380" w:type="dxa"/>
            <w:vAlign w:val="bottom"/>
            <w:gridSpan w:val="2"/>
            <w:shd w:val="clear" w:color="auto" w:fill="CCEEFF"/>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EE"/>
                <w:w w:val="97"/>
              </w:rPr>
              <w:t>A-30</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4.</w:t>
            </w:r>
            <w:r>
              <w:rPr>
                <w:rFonts w:ascii="Times New Roman" w:cs="Times New Roman" w:eastAsia="Times New Roman" w:hAnsi="Times New Roman"/>
                <w:sz w:val="18"/>
                <w:szCs w:val="18"/>
                <w:u w:val="single" w:color="auto"/>
                <w:color w:val="0000EE"/>
                <w:w w:val="94"/>
              </w:rPr>
              <w:t>11.</w:t>
            </w: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No Stockholder and Management and Other Arrangements</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A-30</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4.</w:t>
            </w:r>
            <w:r>
              <w:rPr>
                <w:rFonts w:ascii="Times New Roman" w:cs="Times New Roman" w:eastAsia="Times New Roman" w:hAnsi="Times New Roman"/>
                <w:sz w:val="18"/>
                <w:szCs w:val="18"/>
                <w:u w:val="single" w:color="auto"/>
                <w:color w:val="0000EE"/>
                <w:w w:val="94"/>
              </w:rPr>
              <w:t>12.</w:t>
            </w:r>
          </w:p>
        </w:tc>
        <w:tc>
          <w:tcPr>
            <w:tcW w:w="180" w:type="dxa"/>
            <w:vAlign w:val="bottom"/>
            <w:shd w:val="clear" w:color="auto" w:fill="CCEEFF"/>
          </w:tcPr>
          <w:p>
            <w:pPr>
              <w:spacing w:after="0"/>
              <w:rPr>
                <w:sz w:val="16"/>
                <w:szCs w:val="16"/>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Brokers</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4.</w:t>
            </w:r>
            <w:r>
              <w:rPr>
                <w:rFonts w:ascii="Times New Roman" w:cs="Times New Roman" w:eastAsia="Times New Roman" w:hAnsi="Times New Roman"/>
                <w:sz w:val="18"/>
                <w:szCs w:val="18"/>
                <w:u w:val="single" w:color="auto"/>
                <w:color w:val="0000EE"/>
                <w:w w:val="94"/>
              </w:rPr>
              <w:t>13.</w:t>
            </w: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Foreign Ownership, Control and Influence</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4.</w:t>
            </w:r>
            <w:r>
              <w:rPr>
                <w:rFonts w:ascii="Times New Roman" w:cs="Times New Roman" w:eastAsia="Times New Roman" w:hAnsi="Times New Roman"/>
                <w:sz w:val="18"/>
                <w:szCs w:val="18"/>
                <w:u w:val="single" w:color="auto"/>
                <w:color w:val="0000EE"/>
                <w:w w:val="94"/>
              </w:rPr>
              <w:t>14.</w:t>
            </w:r>
          </w:p>
        </w:tc>
        <w:tc>
          <w:tcPr>
            <w:tcW w:w="180" w:type="dxa"/>
            <w:vAlign w:val="bottom"/>
            <w:shd w:val="clear" w:color="auto" w:fill="CCEEFF"/>
          </w:tcPr>
          <w:p>
            <w:pPr>
              <w:spacing w:after="0"/>
              <w:rPr>
                <w:sz w:val="19"/>
                <w:szCs w:val="19"/>
                <w:color w:val="auto"/>
              </w:rPr>
            </w:pPr>
          </w:p>
        </w:tc>
        <w:tc>
          <w:tcPr>
            <w:tcW w:w="40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No Other Representations and Warranties; Non-Reliance</w:t>
            </w:r>
          </w:p>
        </w:tc>
        <w:tc>
          <w:tcPr>
            <w:tcW w:w="3420" w:type="dxa"/>
            <w:vAlign w:val="bottom"/>
            <w:gridSpan w:val="8"/>
            <w:shd w:val="clear" w:color="auto" w:fill="CCEEFF"/>
          </w:tcPr>
          <w:p>
            <w:pPr>
              <w:spacing w:after="0"/>
              <w:rPr>
                <w:sz w:val="19"/>
                <w:szCs w:val="19"/>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r>
      <w:tr>
        <w:trPr>
          <w:trHeight w:val="243"/>
        </w:trPr>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89"/>
        </w:trPr>
        <w:tc>
          <w:tcPr>
            <w:tcW w:w="80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V COVENANTS</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Conduct of Business by the Company Pending the Closing</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A-31</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8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Access to Information; Confidentiality</w:t>
            </w:r>
          </w:p>
        </w:tc>
        <w:tc>
          <w:tcPr>
            <w:tcW w:w="4720" w:type="dxa"/>
            <w:vAlign w:val="bottom"/>
            <w:gridSpan w:val="15"/>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A-34</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EE"/>
              </w:rPr>
              <w:t>Acquisition Proposals</w:t>
            </w:r>
          </w:p>
        </w:tc>
        <w:tc>
          <w:tcPr>
            <w:tcW w:w="4720" w:type="dxa"/>
            <w:vAlign w:val="bottom"/>
            <w:gridSpan w:val="15"/>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A-35</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Stockholder Meeting; Proxy Statement</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A-39</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Regulatory and Other Authorizations; Notices and Consents</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A-40</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Certain Notices</w:t>
            </w:r>
          </w:p>
        </w:tc>
        <w:tc>
          <w:tcPr>
            <w:tcW w:w="6380" w:type="dxa"/>
            <w:vAlign w:val="bottom"/>
            <w:gridSpan w:val="35"/>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A-42</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Public Announcements</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A-42</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0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Employee Benefit Matters</w:t>
            </w:r>
          </w:p>
        </w:tc>
        <w:tc>
          <w:tcPr>
            <w:tcW w:w="5600" w:type="dxa"/>
            <w:vAlign w:val="bottom"/>
            <w:gridSpan w:val="21"/>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A-42</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Indemnification</w:t>
            </w:r>
          </w:p>
        </w:tc>
        <w:tc>
          <w:tcPr>
            <w:tcW w:w="5600" w:type="dxa"/>
            <w:vAlign w:val="bottom"/>
            <w:gridSpan w:val="21"/>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A-44</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10.</w:t>
            </w:r>
          </w:p>
        </w:tc>
        <w:tc>
          <w:tcPr>
            <w:tcW w:w="180" w:type="dxa"/>
            <w:vAlign w:val="bottom"/>
            <w:shd w:val="clear" w:color="auto" w:fill="CCEEFF"/>
          </w:tcPr>
          <w:p>
            <w:pPr>
              <w:spacing w:after="0"/>
              <w:rPr>
                <w:sz w:val="16"/>
                <w:szCs w:val="16"/>
                <w:color w:val="auto"/>
              </w:rPr>
            </w:pPr>
          </w:p>
        </w:tc>
        <w:tc>
          <w:tcPr>
            <w:tcW w:w="7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Financing</w:t>
            </w:r>
          </w:p>
        </w:tc>
        <w:tc>
          <w:tcPr>
            <w:tcW w:w="6780" w:type="dxa"/>
            <w:vAlign w:val="bottom"/>
            <w:gridSpan w:val="40"/>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A-45</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11.</w:t>
            </w: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Debt Financing Cooperation</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A-47</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12.</w:t>
            </w:r>
          </w:p>
        </w:tc>
        <w:tc>
          <w:tcPr>
            <w:tcW w:w="180" w:type="dxa"/>
            <w:vAlign w:val="bottom"/>
            <w:shd w:val="clear" w:color="auto" w:fill="CCEEFF"/>
          </w:tcPr>
          <w:p>
            <w:pPr>
              <w:spacing w:after="0"/>
              <w:rPr>
                <w:sz w:val="16"/>
                <w:szCs w:val="16"/>
                <w:color w:val="auto"/>
              </w:rPr>
            </w:pPr>
          </w:p>
        </w:tc>
        <w:tc>
          <w:tcPr>
            <w:tcW w:w="346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Parent Agreements Concerning Acquisition Sub</w:t>
            </w:r>
          </w:p>
        </w:tc>
        <w:tc>
          <w:tcPr>
            <w:tcW w:w="4040" w:type="dxa"/>
            <w:vAlign w:val="bottom"/>
            <w:gridSpan w:val="11"/>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13.</w:t>
            </w:r>
          </w:p>
        </w:tc>
        <w:tc>
          <w:tcPr>
            <w:tcW w:w="180" w:type="dxa"/>
            <w:vAlign w:val="bottom"/>
          </w:tcPr>
          <w:p>
            <w:pPr>
              <w:spacing w:after="0"/>
              <w:rPr>
                <w:sz w:val="16"/>
                <w:szCs w:val="16"/>
                <w:color w:val="auto"/>
              </w:rPr>
            </w:pPr>
          </w:p>
        </w:tc>
        <w:tc>
          <w:tcPr>
            <w:tcW w:w="346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Takeover Laws</w:t>
            </w:r>
          </w:p>
        </w:tc>
        <w:tc>
          <w:tcPr>
            <w:tcW w:w="4040" w:type="dxa"/>
            <w:vAlign w:val="bottom"/>
            <w:gridSpan w:val="11"/>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A-48</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14.</w:t>
            </w:r>
          </w:p>
        </w:tc>
        <w:tc>
          <w:tcPr>
            <w:tcW w:w="180" w:type="dxa"/>
            <w:vAlign w:val="bottom"/>
            <w:shd w:val="clear" w:color="auto" w:fill="CCEEFF"/>
          </w:tcPr>
          <w:p>
            <w:pPr>
              <w:spacing w:after="0"/>
              <w:rPr>
                <w:sz w:val="16"/>
                <w:szCs w:val="16"/>
                <w:color w:val="auto"/>
              </w:rPr>
            </w:pPr>
          </w:p>
        </w:tc>
        <w:tc>
          <w:tcPr>
            <w:tcW w:w="1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Section 16 Matters</w:t>
            </w:r>
          </w:p>
        </w:tc>
        <w:tc>
          <w:tcPr>
            <w:tcW w:w="6140" w:type="dxa"/>
            <w:vAlign w:val="bottom"/>
            <w:gridSpan w:val="32"/>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15.</w:t>
            </w:r>
          </w:p>
        </w:tc>
        <w:tc>
          <w:tcPr>
            <w:tcW w:w="180" w:type="dxa"/>
            <w:vAlign w:val="bottom"/>
          </w:tcPr>
          <w:p>
            <w:pPr>
              <w:spacing w:after="0"/>
              <w:rPr>
                <w:sz w:val="16"/>
                <w:szCs w:val="16"/>
                <w:color w:val="auto"/>
              </w:rPr>
            </w:pPr>
          </w:p>
        </w:tc>
        <w:tc>
          <w:tcPr>
            <w:tcW w:w="13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Further Actions</w:t>
            </w:r>
          </w:p>
        </w:tc>
        <w:tc>
          <w:tcPr>
            <w:tcW w:w="6140" w:type="dxa"/>
            <w:vAlign w:val="bottom"/>
            <w:gridSpan w:val="32"/>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A-48</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16.</w:t>
            </w:r>
          </w:p>
        </w:tc>
        <w:tc>
          <w:tcPr>
            <w:tcW w:w="180" w:type="dxa"/>
            <w:vAlign w:val="bottom"/>
            <w:shd w:val="clear" w:color="auto" w:fill="CCEEFF"/>
          </w:tcPr>
          <w:p>
            <w:pPr>
              <w:spacing w:after="0"/>
              <w:rPr>
                <w:sz w:val="16"/>
                <w:szCs w:val="16"/>
                <w:color w:val="auto"/>
              </w:rPr>
            </w:pPr>
          </w:p>
        </w:tc>
        <w:tc>
          <w:tcPr>
            <w:tcW w:w="16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Stockholder Litigation</w:t>
            </w:r>
          </w:p>
        </w:tc>
        <w:tc>
          <w:tcPr>
            <w:tcW w:w="5880" w:type="dxa"/>
            <w:vAlign w:val="bottom"/>
            <w:gridSpan w:val="26"/>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17.</w:t>
            </w: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Stock Exchange Delisting</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18.</w:t>
            </w:r>
          </w:p>
        </w:tc>
        <w:tc>
          <w:tcPr>
            <w:tcW w:w="180" w:type="dxa"/>
            <w:vAlign w:val="bottom"/>
            <w:shd w:val="clear" w:color="auto" w:fill="CCEEFF"/>
          </w:tcPr>
          <w:p>
            <w:pPr>
              <w:spacing w:after="0"/>
              <w:rPr>
                <w:sz w:val="16"/>
                <w:szCs w:val="16"/>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Resignation of Directors</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A-49</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19.</w:t>
            </w:r>
          </w:p>
        </w:tc>
        <w:tc>
          <w:tcPr>
            <w:tcW w:w="180" w:type="dxa"/>
            <w:vAlign w:val="bottom"/>
          </w:tcPr>
          <w:p>
            <w:pPr>
              <w:spacing w:after="0"/>
              <w:rPr>
                <w:sz w:val="16"/>
                <w:szCs w:val="16"/>
                <w:color w:val="auto"/>
              </w:rPr>
            </w:pPr>
          </w:p>
        </w:tc>
        <w:tc>
          <w:tcPr>
            <w:tcW w:w="17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Payoff Letters</w:t>
            </w:r>
          </w:p>
        </w:tc>
        <w:tc>
          <w:tcPr>
            <w:tcW w:w="5740" w:type="dxa"/>
            <w:vAlign w:val="bottom"/>
            <w:gridSpan w:val="23"/>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20.</w:t>
            </w:r>
          </w:p>
        </w:tc>
        <w:tc>
          <w:tcPr>
            <w:tcW w:w="180" w:type="dxa"/>
            <w:vAlign w:val="bottom"/>
            <w:shd w:val="clear" w:color="auto" w:fill="CCEEFF"/>
          </w:tcPr>
          <w:p>
            <w:pPr>
              <w:spacing w:after="0"/>
              <w:rPr>
                <w:sz w:val="16"/>
                <w:szCs w:val="16"/>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Agreements</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A-49</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21.</w:t>
            </w:r>
          </w:p>
        </w:tc>
        <w:tc>
          <w:tcPr>
            <w:tcW w:w="180" w:type="dxa"/>
            <w:vAlign w:val="bottom"/>
          </w:tcPr>
          <w:p>
            <w:pPr>
              <w:spacing w:after="0"/>
              <w:rPr>
                <w:sz w:val="16"/>
                <w:szCs w:val="16"/>
                <w:color w:val="auto"/>
              </w:rPr>
            </w:pPr>
          </w:p>
        </w:tc>
        <w:tc>
          <w:tcPr>
            <w:tcW w:w="13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Fairness Opinion</w:t>
            </w:r>
          </w:p>
        </w:tc>
        <w:tc>
          <w:tcPr>
            <w:tcW w:w="6120" w:type="dxa"/>
            <w:vAlign w:val="bottom"/>
            <w:gridSpan w:val="31"/>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22.</w:t>
            </w:r>
          </w:p>
        </w:tc>
        <w:tc>
          <w:tcPr>
            <w:tcW w:w="180" w:type="dxa"/>
            <w:vAlign w:val="bottom"/>
            <w:shd w:val="clear" w:color="auto" w:fill="CCEEFF"/>
          </w:tcPr>
          <w:p>
            <w:pPr>
              <w:spacing w:after="0"/>
              <w:rPr>
                <w:sz w:val="16"/>
                <w:szCs w:val="16"/>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Cash; Marketable Securities; Repatriation</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A-49</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23.</w:t>
            </w:r>
          </w:p>
        </w:tc>
        <w:tc>
          <w:tcPr>
            <w:tcW w:w="180" w:type="dxa"/>
            <w:vAlign w:val="bottom"/>
          </w:tcPr>
          <w:p>
            <w:pPr>
              <w:spacing w:after="0"/>
              <w:rPr>
                <w:sz w:val="16"/>
                <w:szCs w:val="16"/>
                <w:color w:val="auto"/>
              </w:rPr>
            </w:pPr>
          </w:p>
        </w:tc>
        <w:tc>
          <w:tcPr>
            <w:tcW w:w="300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German Real Estate Transfer Tax</w:t>
            </w:r>
          </w:p>
        </w:tc>
        <w:tc>
          <w:tcPr>
            <w:tcW w:w="4500" w:type="dxa"/>
            <w:vAlign w:val="bottom"/>
            <w:gridSpan w:val="14"/>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A-49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5.</w:t>
            </w:r>
            <w:r>
              <w:rPr>
                <w:rFonts w:ascii="Times New Roman" w:cs="Times New Roman" w:eastAsia="Times New Roman" w:hAnsi="Times New Roman"/>
                <w:sz w:val="18"/>
                <w:szCs w:val="18"/>
                <w:u w:val="single" w:color="auto"/>
                <w:color w:val="0000EE"/>
                <w:w w:val="94"/>
              </w:rPr>
              <w:t>24.</w:t>
            </w:r>
          </w:p>
        </w:tc>
        <w:tc>
          <w:tcPr>
            <w:tcW w:w="180" w:type="dxa"/>
            <w:vAlign w:val="bottom"/>
            <w:shd w:val="clear" w:color="auto" w:fill="CCEEFF"/>
          </w:tcPr>
          <w:p>
            <w:pPr>
              <w:spacing w:after="0"/>
              <w:rPr>
                <w:sz w:val="19"/>
                <w:szCs w:val="19"/>
                <w:color w:val="auto"/>
              </w:rPr>
            </w:pPr>
          </w:p>
        </w:tc>
        <w:tc>
          <w:tcPr>
            <w:tcW w:w="16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Specified Proceedings</w:t>
            </w:r>
          </w:p>
        </w:tc>
        <w:tc>
          <w:tcPr>
            <w:tcW w:w="5900" w:type="dxa"/>
            <w:vAlign w:val="bottom"/>
            <w:gridSpan w:val="27"/>
            <w:shd w:val="clear" w:color="auto" w:fill="CCEEFF"/>
          </w:tcPr>
          <w:p>
            <w:pPr>
              <w:spacing w:after="0"/>
              <w:rPr>
                <w:sz w:val="19"/>
                <w:szCs w:val="19"/>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A-50</w:t>
            </w:r>
          </w:p>
        </w:tc>
      </w:tr>
      <w:tr>
        <w:trPr>
          <w:trHeight w:val="243"/>
        </w:trPr>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89"/>
        </w:trPr>
        <w:tc>
          <w:tcPr>
            <w:tcW w:w="80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VI CONDITIONS TO THE MERGER</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A-50</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Conditions to Obligations of Each Party Under this Agreement</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A-50</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7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Conditions to Obligations of the Company Under this Agreement</w:t>
            </w:r>
          </w:p>
        </w:tc>
        <w:tc>
          <w:tcPr>
            <w:tcW w:w="2800" w:type="dxa"/>
            <w:vAlign w:val="bottom"/>
            <w:gridSpan w:val="2"/>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A-50</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6.</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Conditions to Obligations of Parent and Acquisition Sub Under this Agreement</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A-50</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189"/>
        </w:trPr>
        <w:tc>
          <w:tcPr>
            <w:tcW w:w="804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color w:val="0000EE"/>
              </w:rPr>
              <w:t>ARTICLE VII TERMINATION, AMENDMENT AND WAIVER</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A-51</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A-51</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Effect of Termination</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A-52</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Termination Fee</w:t>
            </w:r>
          </w:p>
        </w:tc>
        <w:tc>
          <w:tcPr>
            <w:tcW w:w="5580" w:type="dxa"/>
            <w:vAlign w:val="bottom"/>
            <w:gridSpan w:val="20"/>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A-53</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Parent Termination Fee</w:t>
            </w:r>
          </w:p>
        </w:tc>
        <w:tc>
          <w:tcPr>
            <w:tcW w:w="5580" w:type="dxa"/>
            <w:vAlign w:val="bottom"/>
            <w:gridSpan w:val="20"/>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A-54</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Payments; Limitation on Recourse</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A-54</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Amendment</w:t>
            </w:r>
          </w:p>
        </w:tc>
        <w:tc>
          <w:tcPr>
            <w:tcW w:w="5020" w:type="dxa"/>
            <w:vAlign w:val="bottom"/>
            <w:gridSpan w:val="17"/>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A-55</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7.</w:t>
            </w:r>
            <w:r>
              <w:rPr>
                <w:rFonts w:ascii="Times New Roman" w:cs="Times New Roman" w:eastAsia="Times New Roman" w:hAnsi="Times New Roman"/>
                <w:sz w:val="18"/>
                <w:szCs w:val="18"/>
                <w:u w:val="single" w:color="auto"/>
                <w:color w:val="0000EE"/>
                <w:w w:val="88"/>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50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Waiver</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A-56</w:t>
            </w:r>
          </w:p>
        </w:tc>
      </w:tr>
      <w:tr>
        <w:trPr>
          <w:trHeight w:val="243"/>
        </w:trPr>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gridSpan w:val="2"/>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189"/>
        </w:trPr>
        <w:tc>
          <w:tcPr>
            <w:tcW w:w="804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ARTICLE VIII GENERAL PROVISIONS</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A-56</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Non-Survival of Representations and Warranties</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A-56</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Fees and Expenses</w:t>
            </w:r>
          </w:p>
        </w:tc>
        <w:tc>
          <w:tcPr>
            <w:tcW w:w="6140" w:type="dxa"/>
            <w:vAlign w:val="bottom"/>
            <w:gridSpan w:val="32"/>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A-56</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Notices</w:t>
            </w:r>
          </w:p>
        </w:tc>
        <w:tc>
          <w:tcPr>
            <w:tcW w:w="6140" w:type="dxa"/>
            <w:vAlign w:val="bottom"/>
            <w:gridSpan w:val="32"/>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A-56</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Certain Definitions</w:t>
            </w:r>
          </w:p>
        </w:tc>
        <w:tc>
          <w:tcPr>
            <w:tcW w:w="6120" w:type="dxa"/>
            <w:vAlign w:val="bottom"/>
            <w:gridSpan w:val="31"/>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A-57</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w w:val="97"/>
              </w:rPr>
              <w:t>Terms Defined Elsewhere</w:t>
            </w:r>
          </w:p>
        </w:tc>
        <w:tc>
          <w:tcPr>
            <w:tcW w:w="5640" w:type="dxa"/>
            <w:vAlign w:val="bottom"/>
            <w:gridSpan w:val="22"/>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A-65</w:t>
            </w:r>
          </w:p>
        </w:tc>
      </w:tr>
      <w:tr>
        <w:trPr>
          <w:trHeight w:val="20"/>
        </w:trPr>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3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500" w:type="dxa"/>
            <w:vAlign w:val="bottom"/>
            <w:gridSpan w:val="9"/>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Headings</w:t>
            </w:r>
          </w:p>
        </w:tc>
        <w:tc>
          <w:tcPr>
            <w:tcW w:w="380" w:type="dxa"/>
            <w:vAlign w:val="bottom"/>
            <w:gridSpan w:val="2"/>
            <w:shd w:val="clear" w:color="auto" w:fill="CCEEFF"/>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EE"/>
                <w:w w:val="97"/>
              </w:rPr>
              <w:t>A-66</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Severability</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A-66</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Entire Agreement</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5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Assignment</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8.</w:t>
            </w:r>
            <w:r>
              <w:rPr>
                <w:rFonts w:ascii="Times New Roman" w:cs="Times New Roman" w:eastAsia="Times New Roman" w:hAnsi="Times New Roman"/>
                <w:sz w:val="18"/>
                <w:szCs w:val="18"/>
                <w:u w:val="single" w:color="auto"/>
                <w:color w:val="0000EE"/>
                <w:w w:val="94"/>
              </w:rPr>
              <w:t>10.</w:t>
            </w:r>
          </w:p>
        </w:tc>
        <w:tc>
          <w:tcPr>
            <w:tcW w:w="180" w:type="dxa"/>
            <w:vAlign w:val="bottom"/>
            <w:shd w:val="clear" w:color="auto" w:fill="CCEEFF"/>
          </w:tcPr>
          <w:p>
            <w:pPr>
              <w:spacing w:after="0"/>
              <w:rPr>
                <w:sz w:val="16"/>
                <w:szCs w:val="16"/>
                <w:color w:val="auto"/>
              </w:rPr>
            </w:pPr>
          </w:p>
        </w:tc>
        <w:tc>
          <w:tcPr>
            <w:tcW w:w="21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No Third-Party Beneficiaries</w:t>
            </w:r>
          </w:p>
        </w:tc>
        <w:tc>
          <w:tcPr>
            <w:tcW w:w="5400" w:type="dxa"/>
            <w:vAlign w:val="bottom"/>
            <w:gridSpan w:val="3"/>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8.</w:t>
            </w:r>
            <w:r>
              <w:rPr>
                <w:rFonts w:ascii="Times New Roman" w:cs="Times New Roman" w:eastAsia="Times New Roman" w:hAnsi="Times New Roman"/>
                <w:sz w:val="18"/>
                <w:szCs w:val="18"/>
                <w:u w:val="single" w:color="auto"/>
                <w:color w:val="0000EE"/>
                <w:w w:val="94"/>
              </w:rPr>
              <w:t>11.</w:t>
            </w:r>
          </w:p>
        </w:tc>
        <w:tc>
          <w:tcPr>
            <w:tcW w:w="180" w:type="dxa"/>
            <w:vAlign w:val="bottom"/>
          </w:tcPr>
          <w:p>
            <w:pPr>
              <w:spacing w:after="0"/>
              <w:rPr>
                <w:sz w:val="16"/>
                <w:szCs w:val="16"/>
                <w:color w:val="auto"/>
              </w:rPr>
            </w:pPr>
          </w:p>
        </w:tc>
        <w:tc>
          <w:tcPr>
            <w:tcW w:w="75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Mutual Drafting; Interpretation</w:t>
            </w: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A-67</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8.</w:t>
            </w:r>
            <w:r>
              <w:rPr>
                <w:rFonts w:ascii="Times New Roman" w:cs="Times New Roman" w:eastAsia="Times New Roman" w:hAnsi="Times New Roman"/>
                <w:sz w:val="18"/>
                <w:szCs w:val="18"/>
                <w:u w:val="single" w:color="auto"/>
                <w:color w:val="0000EE"/>
                <w:w w:val="94"/>
              </w:rPr>
              <w:t>12.</w:t>
            </w:r>
          </w:p>
        </w:tc>
        <w:tc>
          <w:tcPr>
            <w:tcW w:w="180" w:type="dxa"/>
            <w:vAlign w:val="bottom"/>
            <w:shd w:val="clear" w:color="auto" w:fill="CCEEFF"/>
          </w:tcPr>
          <w:p>
            <w:pPr>
              <w:spacing w:after="0"/>
              <w:rPr>
                <w:sz w:val="16"/>
                <w:szCs w:val="16"/>
                <w:color w:val="auto"/>
              </w:rPr>
            </w:pPr>
          </w:p>
        </w:tc>
        <w:tc>
          <w:tcPr>
            <w:tcW w:w="46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Governing Law; Consent to Jurisdiction; Waiver of Trial by Jury</w:t>
            </w:r>
          </w:p>
        </w:tc>
        <w:tc>
          <w:tcPr>
            <w:tcW w:w="28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A-68</w:t>
            </w:r>
          </w:p>
        </w:tc>
      </w:tr>
      <w:tr>
        <w:trPr>
          <w:trHeight w:val="34"/>
        </w:trPr>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20" w:type="dxa"/>
            <w:vAlign w:val="bottom"/>
            <w:tcBorders>
              <w:top w:val="single" w:sz="8" w:color="0000EE"/>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4"/>
              </w:rPr>
              <w:t>8.</w:t>
            </w:r>
            <w:r>
              <w:rPr>
                <w:rFonts w:ascii="Times New Roman" w:cs="Times New Roman" w:eastAsia="Times New Roman" w:hAnsi="Times New Roman"/>
                <w:sz w:val="18"/>
                <w:szCs w:val="18"/>
                <w:u w:val="single" w:color="auto"/>
                <w:color w:val="0000EE"/>
                <w:w w:val="94"/>
              </w:rPr>
              <w:t>13.</w:t>
            </w:r>
          </w:p>
        </w:tc>
        <w:tc>
          <w:tcPr>
            <w:tcW w:w="180" w:type="dxa"/>
            <w:vAlign w:val="bottom"/>
          </w:tcPr>
          <w:p>
            <w:pPr>
              <w:spacing w:after="0"/>
              <w:rPr>
                <w:sz w:val="16"/>
                <w:szCs w:val="16"/>
                <w:color w:val="auto"/>
              </w:rPr>
            </w:pPr>
          </w:p>
        </w:tc>
        <w:tc>
          <w:tcPr>
            <w:tcW w:w="46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Counterparts</w:t>
            </w:r>
          </w:p>
        </w:tc>
        <w:tc>
          <w:tcPr>
            <w:tcW w:w="2840" w:type="dxa"/>
            <w:vAlign w:val="bottom"/>
          </w:tcPr>
          <w:p>
            <w:pPr>
              <w:spacing w:after="0"/>
              <w:rPr>
                <w:sz w:val="16"/>
                <w:szCs w:val="16"/>
                <w:color w:val="auto"/>
              </w:rPr>
            </w:pPr>
          </w:p>
        </w:tc>
        <w:tc>
          <w:tcPr>
            <w:tcW w:w="3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A-69</w:t>
            </w:r>
          </w:p>
        </w:tc>
      </w:tr>
      <w:tr>
        <w:trPr>
          <w:trHeight w:val="34"/>
        </w:trPr>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8.</w:t>
            </w:r>
            <w:r>
              <w:rPr>
                <w:rFonts w:ascii="Times New Roman" w:cs="Times New Roman" w:eastAsia="Times New Roman" w:hAnsi="Times New Roman"/>
                <w:sz w:val="18"/>
                <w:szCs w:val="18"/>
                <w:u w:val="single" w:color="auto"/>
                <w:color w:val="0000EE"/>
                <w:w w:val="94"/>
              </w:rPr>
              <w:t>14.</w:t>
            </w:r>
          </w:p>
        </w:tc>
        <w:tc>
          <w:tcPr>
            <w:tcW w:w="180" w:type="dxa"/>
            <w:vAlign w:val="bottom"/>
            <w:shd w:val="clear" w:color="auto" w:fill="CCEEFF"/>
          </w:tcPr>
          <w:p>
            <w:pPr>
              <w:spacing w:after="0"/>
              <w:rPr>
                <w:sz w:val="16"/>
                <w:szCs w:val="16"/>
                <w:color w:val="auto"/>
              </w:rPr>
            </w:pPr>
          </w:p>
        </w:tc>
        <w:tc>
          <w:tcPr>
            <w:tcW w:w="7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Specific Performance</w:t>
            </w:r>
          </w:p>
        </w:tc>
        <w:tc>
          <w:tcPr>
            <w:tcW w:w="3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7"/>
              </w:rPr>
              <w:t>A-69</w:t>
            </w: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20" w:type="dxa"/>
            <w:vAlign w:val="bottom"/>
            <w:tcBorders>
              <w:top w:val="single" w:sz="8" w:color="CCEEFF"/>
            </w:tcBorders>
            <w:shd w:val="clear" w:color="auto" w:fill="CCEEFF"/>
          </w:tcPr>
          <w:p>
            <w:pPr>
              <w:spacing w:after="0"/>
              <w:rPr>
                <w:sz w:val="6"/>
                <w:szCs w:val="6"/>
                <w:color w:val="auto"/>
              </w:rPr>
            </w:pPr>
          </w:p>
        </w:tc>
        <w:tc>
          <w:tcPr>
            <w:tcW w:w="2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This AGREEMENT AND PLAN OF MERGER, dated as of September 17,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Athena Purchaser,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Athena Merger Sub, Inc., a Delaware corporation and a wholly owned subsidiary of Parent (“</w:t>
      </w:r>
      <w:r>
        <w:rPr>
          <w:rFonts w:ascii="Times New Roman" w:cs="Times New Roman" w:eastAsia="Times New Roman" w:hAnsi="Times New Roman"/>
          <w:sz w:val="18"/>
          <w:szCs w:val="18"/>
          <w:u w:val="single" w:color="auto"/>
          <w:color w:val="auto"/>
        </w:rPr>
        <w:t>Acquisition Sub</w:t>
      </w:r>
      <w:r>
        <w:rPr>
          <w:rFonts w:ascii="Times New Roman" w:cs="Times New Roman" w:eastAsia="Times New Roman" w:hAnsi="Times New Roman"/>
          <w:sz w:val="18"/>
          <w:szCs w:val="18"/>
          <w:color w:val="auto"/>
        </w:rPr>
        <w:t>”), and Mistras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have the meanings assigned to such terms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A. The Company, Parent and Acquisition Sub desire to effect the merger of Acquisition Sub with and into the Company, with the Company continuing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this Agreement and in accordance with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pursuant to which each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$0.01 per share, of the Company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issued and outstanding immediately prior to the Effective Time (other than Shares to be canceled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other than Dissenting Shares) will be converted into the right to receive the Merger Consideration.</w:t>
      </w:r>
    </w:p>
    <w:p>
      <w:pPr>
        <w:spacing w:after="0" w:line="8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 The board of directors of each of Parent and Acquisition Sub has approved and declared it advisable for each of Parent and Acquisition Sub to enter into this Agreement and consummate the transactions contemplated hereby, including the Merger.</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C. Parent as the sole stockholder of Acquisition Sub has duly executed and delivered to Acquisition Sub and the Company a written consent, to be effective by its terms immediately following execution of this Agreement, adopting this Agreement.</w:t>
      </w:r>
    </w:p>
    <w:p>
      <w:pPr>
        <w:spacing w:after="0" w:line="68"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D.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hereby, including the Merger; and (iii) recommended that the Company’s stockholders adopt this Agreement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E. Parent, Acquisition Sub and the Company desire to make certain representations, warranties, covenants and agreements in connection with the Merger and also to prescribe various conditions to the Merger.</w:t>
      </w:r>
    </w:p>
    <w:p>
      <w:pPr>
        <w:spacing w:after="0" w:line="54"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F. Concurrently with the execution of this Agreement, Parent has delivered to the Company the limited Guarantee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H.I.G. Middle Market LBO Fund IV, L.P.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dated as of the date hereof, and pursuant to which the Guarantor has guaranteed payment of certain of Parent’s and Acquisition Sub’s obligations under this Agreement, on the terms and subject to the conditions set forth in the Guarantee.</w:t>
      </w:r>
    </w:p>
    <w:p>
      <w:pPr>
        <w:spacing w:after="0" w:line="7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G. Simultaneously with the execution and delivery of this Agreement, certain stockholders of the Company are entering into voting agreements (each, a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pursuant to which such stockholders will agree to take specified actions in furtherance of the Merger.</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the other certificates contemplated hereby, and for other good and valuable consideration, the receipt and adequacy of which are hereby acknowledged, and intending to be legally bound, the parties to this Agreement agree as follows:</w:t>
      </w:r>
    </w:p>
    <w:p>
      <w:pPr>
        <w:spacing w:after="0" w:line="3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Upon the terms and subject to the conditions set forth in this Agreement, and in accordance with the DGCL, at the Effective Time, Acquisition Sub will be merged with and into the Company. As a result of the Merger, the separate corporate existence of Acquisition Sub will cease, and the Company will continue as the surviving corporation of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The Merger and other transactions contemplated by this Agreement (including the Voting Agreements) are referred to 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Closing of the Merger</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on the third (3rd) Business Day after satisfaction or waiver of all of the applicable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at the Closing, but subject to fulfillment or waiver of those conditions at the Closing) or such other date as Parent and the Company shall mutually designate, remotely via the electronic exchange of documents and signatures, unless another date or place is agreed to in writing by the parties hereto.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Filing and Effective Time of the Merger</w:t>
      </w:r>
      <w:r>
        <w:rPr>
          <w:rFonts w:ascii="Times New Roman" w:cs="Times New Roman" w:eastAsia="Times New Roman" w:hAnsi="Times New Roman"/>
          <w:sz w:val="18"/>
          <w:szCs w:val="18"/>
          <w:color w:val="auto"/>
        </w:rPr>
        <w:t>. On the Closing Date, or on such other date as Parent and the Company may agree, Parent, Acquisition Sub and the Company shall cause the Merger to be consummated under the DGCL by filing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in such form as required by, and executed in accordance with, the DGCL with the Secretary of State of the State of Delaware (the time and day of such filing and acceptance by the Secretary of State of the State of Delaware, or such later time and day as may be agreed in writing by Parent, Acquisition Sub and the Company and specified in the Certificate of Merger, being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i w:val="1"/>
          <w:iCs w:val="1"/>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and the applicable provisions of the DGCL. Without limiting the generality of the foregoing, and subject thereto, at the Effective Time all of the property, rights, privileges, powers and franchises of the Company and Acquisition Sub shall vest in the Surviving Corporation, and all debts, liabilities and duties of the Company and Acquisition Sub shall become the debts, liabilities and duties of the Surviving Corporation.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i w:val="1"/>
          <w:iCs w:val="1"/>
          <w:color w:val="auto"/>
        </w:rPr>
        <w:t>Organizational Documents; Directors and Officers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39" w:firstLine="352"/>
        <w:spacing w:after="0" w:line="272" w:lineRule="auto"/>
        <w:tabs>
          <w:tab w:leader="none" w:pos="1265"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by virtue of the Merger, the certificate of incorporation of the Surviving Corporation will be amended so as to read in its entirety in the form set forth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as so amended, will be the certificate of incorporation of the Surviving Corporation until thereafter changed or amended as provided therein or by applicable Law. In addition, the Company and the Surviving Corporation will take all necessary action such that, at the Effective Time, the bylaws of the Surviving Corporation will be the bylaws of Acquisition Sub as in effect immediately prior to the Effective Time (other than with respect to the name thereof, which shall be changed to the name of the Company), and as so amended will be the bylaws of the Surviving Corporation until thereafter changed or amended as provided therein or by applicable Law.</w:t>
      </w:r>
    </w:p>
    <w:p>
      <w:pPr>
        <w:spacing w:after="0" w:line="63" w:lineRule="exact"/>
        <w:rPr>
          <w:rFonts w:ascii="Times New Roman" w:cs="Times New Roman" w:eastAsia="Times New Roman" w:hAnsi="Times New Roman"/>
          <w:sz w:val="17"/>
          <w:szCs w:val="17"/>
          <w:color w:val="auto"/>
        </w:rPr>
      </w:pPr>
    </w:p>
    <w:p>
      <w:pPr>
        <w:ind w:left="660" w:right="519" w:firstLine="352"/>
        <w:spacing w:after="0" w:line="261" w:lineRule="auto"/>
        <w:tabs>
          <w:tab w:leader="none" w:pos="12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the directors of Acquisition Sub immediately prior to the Effective Time or such other individuals designated by Parent as of the Effective Time will become the directors of the Surviving Corporation, each to hold office, from and after the Effective Time, in accordance with the certificate of incorporation and bylaws of the Surviving Corporation.</w:t>
      </w:r>
    </w:p>
    <w:p>
      <w:pPr>
        <w:spacing w:after="0" w:line="71" w:lineRule="exact"/>
        <w:rPr>
          <w:rFonts w:ascii="Times New Roman" w:cs="Times New Roman" w:eastAsia="Times New Roman" w:hAnsi="Times New Roman"/>
          <w:sz w:val="18"/>
          <w:szCs w:val="18"/>
          <w:color w:val="auto"/>
        </w:rPr>
      </w:pPr>
    </w:p>
    <w:p>
      <w:pPr>
        <w:ind w:left="660" w:right="539" w:firstLine="352"/>
        <w:spacing w:after="0" w:line="266" w:lineRule="auto"/>
        <w:tabs>
          <w:tab w:leader="none" w:pos="12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Company immediately prior to the Effective Time will continue as the officers of the Surviving Corporation from and after the Effective Time and each to hold office in accordance with the certificate of incorporation and bylaws of the Surviving Corporation.</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97" w:lineRule="exact"/>
        <w:rPr>
          <w:sz w:val="20"/>
          <w:szCs w:val="20"/>
          <w:color w:val="auto"/>
        </w:rPr>
      </w:pPr>
    </w:p>
    <w:p>
      <w:pPr>
        <w:ind w:left="300" w:right="3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i w:val="1"/>
          <w:iCs w:val="1"/>
          <w:color w:val="auto"/>
        </w:rPr>
        <w:t>Conversion of Securities</w:t>
      </w:r>
      <w:r>
        <w:rPr>
          <w:rFonts w:ascii="Times New Roman" w:cs="Times New Roman" w:eastAsia="Times New Roman" w:hAnsi="Times New Roman"/>
          <w:sz w:val="18"/>
          <w:szCs w:val="18"/>
          <w:color w:val="auto"/>
        </w:rPr>
        <w:t>. At the Effective Time, by virtue of the Merger and without any action on the part of Parent, Acquisition Sub, the Company or the holders of any of the following securities:</w:t>
      </w:r>
    </w:p>
    <w:p>
      <w:pPr>
        <w:spacing w:after="0" w:line="52" w:lineRule="exact"/>
        <w:rPr>
          <w:sz w:val="20"/>
          <w:szCs w:val="20"/>
          <w:color w:val="auto"/>
        </w:rPr>
      </w:pPr>
    </w:p>
    <w:p>
      <w:pPr>
        <w:ind w:left="660" w:right="379" w:firstLine="352"/>
        <w:spacing w:after="0" w:line="254" w:lineRule="auto"/>
        <w:tabs>
          <w:tab w:leader="none" w:pos="12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Shares</w:t>
      </w:r>
      <w:r>
        <w:rPr>
          <w:rFonts w:ascii="Times New Roman" w:cs="Times New Roman" w:eastAsia="Times New Roman" w:hAnsi="Times New Roman"/>
          <w:sz w:val="18"/>
          <w:szCs w:val="18"/>
          <w:color w:val="auto"/>
        </w:rPr>
        <w:t xml:space="preserve">. Each Share issued and outstanding immediately prior to the Effective Time (other than Shares to be cancelled or converted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Dissenting Shares) will be converted automatically into the right to receive $20.35 per Share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payable net to each holder in cash, without interest, with the aggregate amount of such payment to each holder to be rounded to the nearest cent, subject to any withholding of Taxes required by applicable Law as provided in</w:t>
      </w:r>
    </w:p>
    <w:p>
      <w:pPr>
        <w:spacing w:after="0" w:line="3" w:lineRule="exact"/>
        <w:rPr>
          <w:rFonts w:ascii="Times New Roman" w:cs="Times New Roman" w:eastAsia="Times New Roman" w:hAnsi="Times New Roman"/>
          <w:sz w:val="18"/>
          <w:szCs w:val="18"/>
          <w:color w:val="auto"/>
        </w:rPr>
      </w:pPr>
    </w:p>
    <w:p>
      <w:pPr>
        <w:ind w:left="66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upon surrender of the Certificates or Book-Entry Shares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As of the Effective Time, all such Shares will no longer be outstanding and will automatically be cancelled and will cease to exist, and will thereafter represent only the right to receive the Merger Consideration to be paid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firstLine="352"/>
        <w:spacing w:after="0" w:line="258" w:lineRule="auto"/>
        <w:tabs>
          <w:tab w:leader="none" w:pos="127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Treasury Shares and Parent-Owned Shares</w:t>
      </w:r>
      <w:r>
        <w:rPr>
          <w:rFonts w:ascii="Times New Roman" w:cs="Times New Roman" w:eastAsia="Times New Roman" w:hAnsi="Times New Roman"/>
          <w:sz w:val="18"/>
          <w:szCs w:val="18"/>
          <w:color w:val="auto"/>
        </w:rPr>
        <w:t>. Each Share held by the Company as treasury stock or held directly by Parent or Acquisition Sub (or any direct or indirect wholly owned subsidiaries of Parent or Acquisition Sub), in each case, immediately prior to the Effective Time, will be automatically cancelled and will cease to exist, and no consideration or payment will be delivered in exchange therefor or in respect thereof.</w:t>
      </w:r>
    </w:p>
    <w:p>
      <w:pPr>
        <w:spacing w:after="0" w:line="75" w:lineRule="exact"/>
        <w:rPr>
          <w:rFonts w:ascii="Times New Roman" w:cs="Times New Roman" w:eastAsia="Times New Roman" w:hAnsi="Times New Roman"/>
          <w:sz w:val="18"/>
          <w:szCs w:val="18"/>
          <w:color w:val="auto"/>
        </w:rPr>
      </w:pPr>
    </w:p>
    <w:p>
      <w:pPr>
        <w:ind w:left="660" w:right="419" w:firstLine="352"/>
        <w:spacing w:after="0" w:line="266" w:lineRule="auto"/>
        <w:tabs>
          <w:tab w:leader="none" w:pos="12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Sub Equity Interests</w:t>
      </w:r>
      <w:r>
        <w:rPr>
          <w:rFonts w:ascii="Times New Roman" w:cs="Times New Roman" w:eastAsia="Times New Roman" w:hAnsi="Times New Roman"/>
          <w:sz w:val="18"/>
          <w:szCs w:val="18"/>
          <w:color w:val="auto"/>
        </w:rPr>
        <w:t>. Each outstanding share of capital stock of Acquisition Sub held immediately prior to the Effective Time will be converted into and become one newly and validly issued, fully paid and non-assessable share of common stock of the Surviving Corporation.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i w:val="1"/>
          <w:iCs w:val="1"/>
          <w:color w:val="auto"/>
        </w:rPr>
        <w:t>Payment for Securities; Surrender of Certificates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52" w:lineRule="auto"/>
        <w:tabs>
          <w:tab w:leader="none" w:pos="12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At or prior to the Effective Time, Parent will designate a reputable bank or trust company to act as the paying agent (the identity and terms of designation and appointment of which will be reasonably acceptable to the Company) for purposes of effecting the payment of the Merger Consideration in connection with the Merger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Parent will cause to be paid the fees and expenses of the Paying Agent. At the Closing and substantially concurrently with the Effective Time, Parent will cause to be deposited with the Paying Agent the aggregate Merger Consideration to which holders of Shares (other than Shares to be cancelled or converted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Dissenting Shares) will be entitled at the Effective Time pursuant to this Agreement. Funds made available to the Paying Agent will, if Parent so elects, be invested by the Paying Agent, as directed by Parent, in short-term obligations of, or short-term obligations fully guaranteed as to principal and interest by, the United States of America with maturities of no more than five days or in commercial paper obligations rated A-1 or P1 or better by Moody’s Investors Service, Inc. or Standard &amp; Poor’s Corporation, pending payment thereof by the Paying Agent to the holders of Shares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earnings from such investments will be the sole and exclusive property of Parent (or at its direction, the Surviving Corporation), and no part of such earnings will accrue to the benefit of holders of Shares.</w:t>
      </w:r>
    </w:p>
    <w:p>
      <w:pPr>
        <w:spacing w:after="0" w:line="128"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As soon as practicable after the Effective Time (and in no event later than</w:t>
      </w:r>
    </w:p>
    <w:p>
      <w:pPr>
        <w:spacing w:after="0" w:line="29" w:lineRule="exact"/>
        <w:rPr>
          <w:sz w:val="20"/>
          <w:szCs w:val="20"/>
          <w:color w:val="auto"/>
        </w:rPr>
      </w:pPr>
    </w:p>
    <w:p>
      <w:pPr>
        <w:ind w:left="1020" w:right="319"/>
        <w:spacing w:after="0" w:line="250" w:lineRule="auto"/>
        <w:rPr>
          <w:sz w:val="20"/>
          <w:szCs w:val="20"/>
          <w:color w:val="auto"/>
        </w:rPr>
      </w:pPr>
      <w:r>
        <w:rPr>
          <w:rFonts w:ascii="Times New Roman" w:cs="Times New Roman" w:eastAsia="Times New Roman" w:hAnsi="Times New Roman"/>
          <w:sz w:val="18"/>
          <w:szCs w:val="18"/>
          <w:color w:val="auto"/>
        </w:rPr>
        <w:t>three (3) Business Days after the Effective Time), the Surviving Corporation will cause the Paying Agent to mail to each Person that was, immediately prior to the Effective Time, a holder of record of Shares represented by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which Shares were converted into the right to receive the Merger Consideration at the Effective Time pursuant to this Agreement: (A) a letter of transmittal, which will specify that delivery will be effected, and risk of loss and title to the Certificates will pass, only upon delivery of the Certificates to the Paying Agent, and will otherwise be in such form as Parent and the Paying Agent will reasonably agree; and (B) instructions for effecting the surrender of the Certificates (or affidavits of loss in lieu of the Certificates as provided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in exchange for payment of the Merger Consideration. Upon surrender of a Certificate (or affidavit of loss in lieu of the Certificate as provided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to the Paying Agent or to such other agent or agents as may be appointed by Parent, together with delivery of a letter of transmittal, duly executed and in proper form, with respect to such Certificates, the holder of such Certificates will be entitled to receive the Merger Consideration for each Share formerly represented by such Certificates (less any required Tax withholdings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any Certificate so surrendered will promptly be cancelled. If payment of the Merger Consideration is to be made to a Person other than the Person in whose name any surrendered Certificate is registered, it will be a condition precedent of payment that the Certificate so surrendered be properly endorsed or be otherwise in proper form for transfer, and the Person requesting such payment will have paid any transfer and other similar Taxes required by reason of the payment of the Merger Consideration to a Person other than the registered holder of the Certificate so surrendered and will have established to the satisfaction of the Surviving Corporation that such Taxes either have been paid or are not required to be paid. No interest will be paid or accrued on any amount payable upon due surrender of the Certificates. Until surrendered as contemplated hereby, each Certificate will be deemed at any time after the Effective Time to represent only the right to receive the Merger Consideration in cash as contemplated by this Agreement, except for Certificates representing Dissenting Shares, which will be deemed to represent only the right to receive payment of the fair value of such Shares in accordance with and to the extent provided by Section 262 of the DGCL.</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20" w:right="319" w:firstLine="352"/>
        <w:spacing w:after="0" w:line="253" w:lineRule="auto"/>
        <w:tabs>
          <w:tab w:leader="none" w:pos="164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Book-Entry Shares</w:t>
      </w:r>
      <w:r>
        <w:rPr>
          <w:rFonts w:ascii="Times New Roman" w:cs="Times New Roman" w:eastAsia="Times New Roman" w:hAnsi="Times New Roman"/>
          <w:sz w:val="18"/>
          <w:szCs w:val="18"/>
          <w:color w:val="auto"/>
        </w:rPr>
        <w:t>. Notwithstanding anything to the contrary contained in this Agreement,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holder of non-certificated Shares represented by book-entry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will automatically upon the Effective Time be entitled to receive the Merger Consideration, and Parent will cause payment of the Merger Consideration with respect to Book-Entry Shares (less any required Tax withholdings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to be made to the person in whose name such Book-Entry Shares are registered promptly following the Effective Time (but in no event more than three (3) Business Days thereafter) without any action on the part of the person in whose name such Book-Entry Shares are registered. No interest will be paid or accrue on any portion of the Merger Consideration payable upon surrender of any Certificate (or affidavit of loss in lieu thereof in accordance with</w:t>
      </w:r>
    </w:p>
    <w:p>
      <w:pPr>
        <w:ind w:left="102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or in respect of any Book-Entry Share. Payment of the Merger Consideration with respect to Book-Entry Shares so surrendered will only be made to the Person in whose name such Book-Entry Shares are registered. No interest will be paid or accrued on any amount payable upon due surrender of Book-Entry Shares. Until paid or surrendered as contemplated hereby, each Book-Entry Share will be deemed at any time after the Effective Time to represent only the right to receive the Merger Consideration in cash as contemplated by this Agreement, except for Book-Entry Shares representing Dissenting Shares, which will be deemed to represent the right to receive payment of the fair value of such Shares in accordance with and to the extent provided by Section 262 of the DGCL.</w:t>
      </w:r>
    </w:p>
    <w:p>
      <w:pPr>
        <w:spacing w:after="0" w:line="85" w:lineRule="exact"/>
        <w:rPr>
          <w:rFonts w:ascii="Times New Roman" w:cs="Times New Roman" w:eastAsia="Times New Roman" w:hAnsi="Times New Roman"/>
          <w:sz w:val="18"/>
          <w:szCs w:val="18"/>
          <w:color w:val="auto"/>
        </w:rPr>
      </w:pPr>
    </w:p>
    <w:p>
      <w:pPr>
        <w:ind w:left="660" w:right="379" w:firstLine="352"/>
        <w:spacing w:after="0" w:line="255" w:lineRule="auto"/>
        <w:tabs>
          <w:tab w:leader="none" w:pos="12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At the Effective Time, the stock transfer books of the Company will be closed and thereafter there will be no further registration of transfers of Shares on the records of the Company. From and after the Effective Time, the holders of Certificates and Book-Entry Shares outstanding immediately prior to the Effective Time will cease to have any rights with respect to such Shares except as otherwise provided for herein or by applicable Law. If, after the Effective Time, Certificates are presented to the Surviving Corporation for any reason, they will be cancelled and exchanged as provided in this Agreement.</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7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tendered its Certificates or Book-Entry Shares for the Merger Consideration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prior to such time will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respect of such holder’s surrender of their Certificates or Book-Entry Shares and compliance with the procedures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Any portion of the Merger Consideration remaining unclaimed by the holders of Certificates or Book-Entry Shares immediately prior to the earlier of (i) the date five (5) years from the Closing Date and (ii)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Acquisition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to pay for Shares for which appraisal rights have been perfected will be returned to the Surviving Corporation, upon demand.</w:t>
      </w:r>
    </w:p>
    <w:p>
      <w:pPr>
        <w:spacing w:after="0" w:line="81" w:lineRule="exact"/>
        <w:rPr>
          <w:rFonts w:ascii="Times New Roman" w:cs="Times New Roman" w:eastAsia="Times New Roman" w:hAnsi="Times New Roman"/>
          <w:sz w:val="18"/>
          <w:szCs w:val="18"/>
          <w:color w:val="auto"/>
        </w:rPr>
      </w:pPr>
    </w:p>
    <w:p>
      <w:pPr>
        <w:ind w:left="660" w:right="399" w:firstLine="352"/>
        <w:spacing w:after="0" w:line="254" w:lineRule="auto"/>
        <w:tabs>
          <w:tab w:leader="none" w:pos="12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Certificates have been lost, stolen or destroyed, the Paying Agent will issue in exchange for such lost, stolen or destroyed Certificates, upon the making of an affidavit of that fact by the holder thereof, the Merger Consideration payable in respect thereof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Parent or the Paying Agent may, in their reasonable discretion and as a condition precedent to the payment of such Merger Consideration, require the owners of such lost, stolen or destroyed Certificates to deliver a bond in a reasonable sum as it may reasonably direct as indemnity against any claim that may be made against Parent, Acquisition Sub, the Surviving Corporation or the Paying Agent with respect to the Certificates alleged to have been lost, stolen or destroyed.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Dissenting Shares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53" w:lineRule="auto"/>
        <w:tabs>
          <w:tab w:leader="none" w:pos="126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Shares outstanding immediately prior to the Effective Time and held by a holder who is entitled to demand and has properly demanded statutory appraisal for such Shares in accordance with, and who complies in all respects with, Section 262 of the DGCL (such shares,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will not be converted into the right to receive the Merger Consideration. At the Effective Time, all Dissenting Shares will be cancelled and cease to exist, and the holders of Dissenting Shares will only be entitled to the rights granted to them under Section 262 of the DGCL. If any such holder fails to perfect or otherwise waives, withdraws or loses his right to appraisal under Section 262 of the DGCL or other applicable Law, then the right of such holder to be paid the fair value of such Dissenting Shares will cease and such Dissenting Shares will be deemed to have been converted, as of the Effective Time, into and be exchangeable solely for the right to receive the Merger Consideration, without interest and subject to any withholding of Taxes required by applicable Law as provided in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60" w:right="459" w:firstLine="352"/>
        <w:spacing w:after="0" w:line="255" w:lineRule="auto"/>
        <w:tabs>
          <w:tab w:leader="none" w:pos="127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give Parent prompt notice (and in any event within forty-eight (48) hours) of any demands received by the Company for appraisal of Shares, withdrawals of such demands, and any other instruments served pursuant to the DGCL and received by the Company relating to rights to be paid the fair value of Dissenting Shares, and Parent will have the right to participate in and direct all negotiations, proceedings and settlements with respect to such demands. Prior to the Effective Time, the Company will not, except with the prior written consent of Parent, voluntarily make any payment with respect to, or settle or compromise, any such demands, or agree to do any of the foregoing.</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i w:val="1"/>
          <w:iCs w:val="1"/>
          <w:color w:val="auto"/>
        </w:rPr>
        <w:t>Treatment of Options, Restricted Stock Units and Company Equity Plans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39" w:firstLine="352"/>
        <w:spacing w:after="0" w:line="254" w:lineRule="auto"/>
        <w:tabs>
          <w:tab w:leader="none" w:pos="12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whether or not 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then underlying the Company Option and (ii) the excess, if any, of the Merger Consideration over the applicable exercise price per share of the Company Common Stock subject to such Company Option, less applicable Tax withholdings. Any Company Option that has a per share exercise price that is equal to or greater than the Merger Consideration will be cancelled as of the Effective Time for no consideration.</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56" w:lineRule="auto"/>
        <w:tabs>
          <w:tab w:leader="none" w:pos="12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RSU, whether vested or unvested,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RSU immediately prior to the Effective Time, and (ii) the Merger Consideration, less applicable Tax withholdings.</w:t>
      </w:r>
    </w:p>
    <w:p>
      <w:pPr>
        <w:spacing w:after="0" w:line="79"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outstanding Company PRSU, whether vested or unvested, that is</w:t>
      </w:r>
    </w:p>
    <w:p>
      <w:pPr>
        <w:spacing w:after="0" w:line="27" w:lineRule="exact"/>
        <w:rPr>
          <w:rFonts w:ascii="Times New Roman" w:cs="Times New Roman" w:eastAsia="Times New Roman" w:hAnsi="Times New Roman"/>
          <w:sz w:val="18"/>
          <w:szCs w:val="18"/>
          <w:color w:val="auto"/>
        </w:rPr>
      </w:pPr>
    </w:p>
    <w:p>
      <w:pPr>
        <w:ind w:left="6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and (ii) the Merger Consideration, less applicable Tax withholdings. The Compensation Committee of the Company Board shall determine the number of shares of Company Common Stock deemed to be earned under each Company PRSU at least three (3) Business Days prior to the Effective Time based on actual performance through the Closing Date.</w:t>
      </w:r>
    </w:p>
    <w:p>
      <w:pPr>
        <w:spacing w:after="0" w:line="84" w:lineRule="exact"/>
        <w:rPr>
          <w:rFonts w:ascii="Times New Roman" w:cs="Times New Roman" w:eastAsia="Times New Roman" w:hAnsi="Times New Roman"/>
          <w:sz w:val="18"/>
          <w:szCs w:val="18"/>
          <w:color w:val="auto"/>
        </w:rPr>
      </w:pPr>
    </w:p>
    <w:p>
      <w:pPr>
        <w:ind w:left="660" w:right="499" w:firstLine="352"/>
        <w:spacing w:after="0" w:line="255" w:lineRule="auto"/>
        <w:tabs>
          <w:tab w:leader="none" w:pos="12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Surviving Corporation</w:t>
      </w:r>
      <w:r>
        <w:rPr>
          <w:rFonts w:ascii="Times New Roman" w:cs="Times New Roman" w:eastAsia="Times New Roman" w:hAnsi="Times New Roman"/>
          <w:sz w:val="18"/>
          <w:szCs w:val="18"/>
          <w:color w:val="auto"/>
        </w:rPr>
        <w:t xml:space="preserve">. The Surviving Corporation will, and Parent will cause the Surviving Corporation to, pay to the holders of Company Options, Company RSUs and Company PRSUs the amounts described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as promptly as practicable but in any event no later than the first regularly scheduled payroll date of the Surviving Corporation that is at least</w:t>
      </w:r>
    </w:p>
    <w:p>
      <w:pPr>
        <w:spacing w:after="0" w:line="2" w:lineRule="exact"/>
        <w:rPr>
          <w:rFonts w:ascii="Times New Roman" w:cs="Times New Roman" w:eastAsia="Times New Roman" w:hAnsi="Times New Roman"/>
          <w:sz w:val="18"/>
          <w:szCs w:val="18"/>
          <w:color w:val="auto"/>
        </w:rPr>
      </w:pPr>
    </w:p>
    <w:p>
      <w:pPr>
        <w:ind w:left="66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(3) Business Days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payments shall be made at such other time or times following the Effective Time consistent with the terms of the Company RSU or Company PRSU, as applicable, to the extent necessary to avoid the imposition of additional income tax under Section 409A of the Code. The foregoing payments will be less Taxes required to be withheld with respect to such payments.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firstLine="352"/>
        <w:spacing w:after="0" w:line="254" w:lineRule="auto"/>
        <w:tabs>
          <w:tab w:leader="none" w:pos="12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Actions</w:t>
      </w:r>
      <w:r>
        <w:rPr>
          <w:rFonts w:ascii="Times New Roman" w:cs="Times New Roman" w:eastAsia="Times New Roman" w:hAnsi="Times New Roman"/>
          <w:sz w:val="18"/>
          <w:szCs w:val="18"/>
          <w:color w:val="auto"/>
        </w:rPr>
        <w:t xml:space="preserve">. Prior to the Effective Time, the Company Board (or an authorized committee thereof) will adopt appropriate resolutions and take such other actions as are reasonably necessary and reasonably appropriate (and the Company shall use reasonable best efforts to obtain any required consents) to effectuate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Not later than three (3) Business Days prior to the Effective Time (or any earlier date by which such actions are required or proposed to be taken), the Company shall provide Parent with drafts of all notices, resolutions, consents and other written actions as may be required to effectuate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for Parent’s reasonable review and comment, and the Company shall not unreasonably omit incorporating any reasonable comments provided by Parent.</w:t>
      </w:r>
    </w:p>
    <w:p>
      <w:pPr>
        <w:spacing w:after="0" w:line="8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i w:val="1"/>
          <w:iCs w:val="1"/>
          <w:color w:val="auto"/>
        </w:rPr>
        <w:t>Withholding Rights</w:t>
      </w:r>
      <w:r>
        <w:rPr>
          <w:rFonts w:ascii="Times New Roman" w:cs="Times New Roman" w:eastAsia="Times New Roman" w:hAnsi="Times New Roman"/>
          <w:sz w:val="18"/>
          <w:szCs w:val="18"/>
          <w:color w:val="auto"/>
        </w:rPr>
        <w:t xml:space="preserve"> The Company, Parent, Acquisition Sub, the Surviving Corporation and the Paying Agent, as the case may be (and any agent or Subsidiary thereof), will be entitled to deduct and withhold from any amounts otherwise payable pursuant to this Agreement such amounts as are required to be deducted and withheld with respect to the making of such payment under the Code or any other provision of applicable Law. To the extent that amounts are so deducted or withheld, such amounts will be paid to the appropriate Governmental Entity and treated for all purposes of this Agreement as having been paid to the Person in respect of which such deduction or withholding was made. Notwithstanding anything to the contrary in this Agreement, all compensatory amounts subject to payroll reporting and withholding payable pursuant to or as contemplated by this Agreement will be paid through the applicable payroll system in accordance with applicable payroll procedures.</w:t>
      </w:r>
    </w:p>
    <w:p>
      <w:pPr>
        <w:spacing w:after="0" w:line="80"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xml:space="preserve">. In the event that, between the date of this Agreement and the Effective Time, any change in the outstanding Shares occurs as a result of any stock split, reverse stock split, stock dividend (including any dividend or distribution of Equity Interests convertible into or exchangeable for shares of Company Common Stock), recapitalization, reclassification, combination, exchange of shares or other similar event, the Merger Consideration will be equitably adjusted to reflect such event and to provide to holders of Shares (as well as holders of Company Options, Company RSUs, Company PRSUs and other Equity Interests in the Company) the same economic effect as contemplated by this Agreement prior to such event; provided that nothing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will be deemed to permit or authorize the Company to take any such action or effect any such change that it is not otherwise authorized or permitted to take pursuant to this Agreement (including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9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Except (a) as set forth in the separate disclosure letter delivered by the Company to Parent and Acquisition Sub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concurrent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to which the information in such schedule relates; provided, that disclosure in the Company Disclosure Letter as to a specific representation or warranty will qualify any other sections of this Agreement to the extent (notwithstanding the absence of a specific cross reference) it is reasonably apparent on the face of such disclosure that such disclosure should relate to such other sections), and (b) except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3.19</w:t>
      </w:r>
      <w:r>
        <w:rPr>
          <w:rFonts w:ascii="Times New Roman" w:cs="Times New Roman" w:eastAsia="Times New Roman" w:hAnsi="Times New Roman"/>
          <w:sz w:val="18"/>
          <w:szCs w:val="18"/>
          <w:color w:val="auto"/>
        </w:rPr>
        <w:t>, as otherwise disclosed or identified in the reports, schedules, forms, statements, registration statements, prospectuses and other documents, including any amendments thereto, in each case, filed or furnished to the SEC between January 1, 2024 and the date which is two (2) Business Days prior to the date hereof (the “</w:t>
      </w:r>
      <w:r>
        <w:rPr>
          <w:rFonts w:ascii="Times New Roman" w:cs="Times New Roman" w:eastAsia="Times New Roman" w:hAnsi="Times New Roman"/>
          <w:sz w:val="18"/>
          <w:szCs w:val="18"/>
          <w:u w:val="single" w:color="auto"/>
          <w:color w:val="auto"/>
        </w:rPr>
        <w:t>Filed Company SEC Documents</w:t>
      </w:r>
      <w:r>
        <w:rPr>
          <w:rFonts w:ascii="Times New Roman" w:cs="Times New Roman" w:eastAsia="Times New Roman" w:hAnsi="Times New Roman"/>
          <w:sz w:val="18"/>
          <w:szCs w:val="18"/>
          <w:color w:val="auto"/>
        </w:rPr>
        <w:t>”) but excluding any information (other than statements of fact)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Summary of 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Cautionary</w:t>
      </w:r>
    </w:p>
    <w:p>
      <w:pPr>
        <w:spacing w:after="0" w:line="4" w:lineRule="exact"/>
        <w:rPr>
          <w:sz w:val="20"/>
          <w:szCs w:val="20"/>
          <w:color w:val="auto"/>
        </w:rPr>
      </w:pPr>
    </w:p>
    <w:p>
      <w:pPr>
        <w:ind w:left="300" w:right="599"/>
        <w:spacing w:after="0" w:line="253" w:lineRule="auto"/>
        <w:rPr>
          <w:sz w:val="20"/>
          <w:szCs w:val="20"/>
          <w:color w:val="auto"/>
        </w:rPr>
      </w:pP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of such Filed Company SEC Documents or other disclosures contained or referenced in such Filed Company SEC Documents of information, factors or risks that are predictive, cautionary or forward-looking in nature, the Company hereby represents and warrants to Parent and Acquisition Sub as follows:</w:t>
      </w:r>
    </w:p>
    <w:p>
      <w:pPr>
        <w:spacing w:after="0" w:line="79"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Corporate Organization</w:t>
      </w:r>
      <w:r>
        <w:rPr>
          <w:rFonts w:ascii="Times New Roman" w:cs="Times New Roman" w:eastAsia="Times New Roman" w:hAnsi="Times New Roman"/>
          <w:sz w:val="18"/>
          <w:szCs w:val="18"/>
          <w:color w:val="auto"/>
        </w:rPr>
        <w:t>. Each of the Company and its Subsidiaries is a corporation or other legal entity duly organized, validly existing and, to the extent applicable, in good standing under the laws of the jurisdiction of its incorporation or organization, except with respect to the Company’s Subsidiaries where the failure to be in good standing has not had and would not reasonably be expected to have, individually or in the aggregate, a Company Material Adverse Effect, and has the requisite corporate or organizational, as the case may be, power and authority to own or lease its properties and assets and to carry on its business as it is now being conducted. Each of the Company and its Subsidiaries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copies of the Certificate of Incorporation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and Bylaws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of the Company, as most recently filed with the Filed Company SEC Documents, are true and complete copies of such documents as in effect as of the date of this Agreement. The Company is not in violation of any of the provisions of the Company Charter or the Company Bylaws. None of the Company’s Subsidiaries is in violation of any of the provisions of the comparable organizational documents of any of the Company’s Subsidiaries, copies of which have been made available to Parent, except, in each case, for any such violations that, individually or in the aggregate, have not had, and would not reasonably be expected to have, a Company Material Adverse Effect.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68" w:lineRule="auto"/>
        <w:tabs>
          <w:tab w:leader="none" w:pos="1265"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the Company consists of 200,000,000 shares of Company Common Stock and 10,000,000 shares of preferred stock, par value $0.01 per share (“</w:t>
      </w:r>
      <w:r>
        <w:rPr>
          <w:rFonts w:ascii="Times New Roman" w:cs="Times New Roman" w:eastAsia="Times New Roman" w:hAnsi="Times New Roman"/>
          <w:sz w:val="17"/>
          <w:szCs w:val="17"/>
          <w:u w:val="single" w:color="auto"/>
          <w:color w:val="auto"/>
        </w:rPr>
        <w:t>Company Preferred Stock</w:t>
      </w:r>
      <w:r>
        <w:rPr>
          <w:rFonts w:ascii="Times New Roman" w:cs="Times New Roman" w:eastAsia="Times New Roman" w:hAnsi="Times New Roman"/>
          <w:sz w:val="17"/>
          <w:szCs w:val="17"/>
          <w:color w:val="auto"/>
        </w:rPr>
        <w:t>”). As of September 16, 2026 (the “</w:t>
      </w:r>
      <w:r>
        <w:rPr>
          <w:rFonts w:ascii="Times New Roman" w:cs="Times New Roman" w:eastAsia="Times New Roman" w:hAnsi="Times New Roman"/>
          <w:sz w:val="17"/>
          <w:szCs w:val="17"/>
          <w:u w:val="single" w:color="auto"/>
          <w:color w:val="auto"/>
        </w:rPr>
        <w:t>Reference Date</w:t>
      </w:r>
      <w:r>
        <w:rPr>
          <w:rFonts w:ascii="Times New Roman" w:cs="Times New Roman" w:eastAsia="Times New Roman" w:hAnsi="Times New Roman"/>
          <w:sz w:val="17"/>
          <w:szCs w:val="17"/>
          <w:color w:val="auto"/>
        </w:rPr>
        <w:t>”), (i) 31,860,352 shares of Company Common Stock (other than treasury shares) were issued and outstanding, all of which were validly issued and fully paid, nonassessable and free of preemptive rights, (ii) 0 shares of Company Common Stock were held in the treasury of the Company or by its Subsidiaries, (iii) 685,000 shares of Company Common Stock were subject to outstanding Company Options, (iv) 1,192,908 shares of Company Common Stock were subject to outstanding Company RSUs,</w:t>
      </w:r>
    </w:p>
    <w:p>
      <w:pPr>
        <w:spacing w:after="0" w:line="2" w:lineRule="exact"/>
        <w:rPr>
          <w:rFonts w:ascii="Times New Roman" w:cs="Times New Roman" w:eastAsia="Times New Roman" w:hAnsi="Times New Roman"/>
          <w:sz w:val="17"/>
          <w:szCs w:val="17"/>
          <w:color w:val="auto"/>
        </w:rPr>
      </w:pPr>
    </w:p>
    <w:p>
      <w:pPr>
        <w:ind w:left="900" w:hanging="248"/>
        <w:spacing w:after="0"/>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324,065 shares of Company Common Stock were subject to outstanding Company PRSUs (at target), and</w:t>
      </w:r>
    </w:p>
    <w:p>
      <w:pPr>
        <w:spacing w:after="0" w:line="9" w:lineRule="exact"/>
        <w:rPr>
          <w:rFonts w:ascii="Times New Roman" w:cs="Times New Roman" w:eastAsia="Times New Roman" w:hAnsi="Times New Roman"/>
          <w:sz w:val="18"/>
          <w:szCs w:val="18"/>
          <w:color w:val="auto"/>
        </w:rPr>
      </w:pPr>
    </w:p>
    <w:p>
      <w:pPr>
        <w:ind w:left="660" w:right="299" w:hanging="8"/>
        <w:spacing w:after="0" w:line="251" w:lineRule="auto"/>
        <w:tabs>
          <w:tab w:leader="none" w:pos="96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Company Preferred Stock were issued and outstanding. Except for such Company Options, Company RSUs and Company PRSUs, there are no options, restricted stock awards, warrants or other rights, agreements, arrangements or commitments of any character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to issue or sell any, or make any payment based on the value of, shares of its capital stock or other Equity Interests, or securities convertible into or exchangeable for such capital stock of, or other Equity Interests in, the Company. Since the Reference Date and prior to the date of this Agreement, except for the issuance of shares of Company Common Stock pursuant to the exercise, vesting or settlement of Company Options, Company RSUs or Company PRSUs that were outstanding as of the Reference Date in accordance with their terms, the Company has not issued any shares of its capital stock or other Equity Interests, or securities convertible into or exchangeable for such capital stock or other Equity Interests.</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68" w:lineRule="auto"/>
        <w:tabs>
          <w:tab w:leader="none" w:pos="1275"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3.2(b)</w:t>
      </w:r>
      <w:r>
        <w:rPr>
          <w:rFonts w:ascii="Times New Roman" w:cs="Times New Roman" w:eastAsia="Times New Roman" w:hAnsi="Times New Roman"/>
          <w:sz w:val="17"/>
          <w:szCs w:val="17"/>
          <w:color w:val="auto"/>
        </w:rPr>
        <w:t xml:space="preserve"> of the Company Disclosure Letter sets forth, as of the Reference Date, each outstanding Company Option, Company RSU and Company PRSU and to the extent applicable, the holder thereof, the holder’s country of residence, the grant date thereof, the number of shares issuable thereunder or subject thereto, the exercise price or purchase price and expiration date thereof, the current vesting status or vesting terms as of the Reference Date, and with respect to each holder who resides outside the United States, whether the cash-out of such award pursuant to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would result in any obligation of the Company or any of its Subsidiaries to pay employer social security contributions, employer national insurance contributions or similar employer-side payroll Taxes in the applicable jurisdiction and the Company’s good-faith estimate of the aggregate amount of such employer-side liability in each such jurisdiction. Each Company Option, Company RSU and Company PRSU (i) has been granted pursuant to a Company Equity Plan, and (ii) has been granted in material compliance with all applicable Laws and the requirements of the applicable Company Equity Plan. The treatment of Company Options, Company RSUs and Company PRSUs contemplated by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is permitted by, and may be effected in accordance with, the terms and conditions of the applicable Company Equity Plan and the applicable award agreements governing such Company Options, Company RSUs and Company PRSUs. All Shares subject to issuance under the applicable Company Equity Plan, upon issuance prior to the Effective Time on the terms and conditions specified in the instruments pursuant to which they are issuable, will be duly authorized, validly issued, fully paid, nonassessable and free of preemptive rights.</w:t>
      </w:r>
    </w:p>
    <w:p>
      <w:pPr>
        <w:spacing w:after="0" w:line="69" w:lineRule="exact"/>
        <w:rPr>
          <w:rFonts w:ascii="Times New Roman" w:cs="Times New Roman" w:eastAsia="Times New Roman" w:hAnsi="Times New Roman"/>
          <w:sz w:val="17"/>
          <w:szCs w:val="17"/>
          <w:color w:val="auto"/>
        </w:rPr>
      </w:pPr>
    </w:p>
    <w:p>
      <w:pPr>
        <w:ind w:left="1260" w:hanging="248"/>
        <w:spacing w:after="0"/>
        <w:tabs>
          <w:tab w:leader="none" w:pos="12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contractual obligations of the Company or any of its Subsidiaries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restricting the transfer of, (ii) affecting the voting rights of (including any voting trusts or proxies),</w:t>
      </w:r>
    </w:p>
    <w:p>
      <w:pPr>
        <w:spacing w:after="0" w:line="9" w:lineRule="exact"/>
        <w:rPr>
          <w:sz w:val="20"/>
          <w:szCs w:val="20"/>
          <w:color w:val="auto"/>
        </w:rPr>
      </w:pPr>
    </w:p>
    <w:p>
      <w:pPr>
        <w:ind w:left="660" w:right="379" w:hanging="8"/>
        <w:spacing w:after="0" w:line="277" w:lineRule="auto"/>
        <w:tabs>
          <w:tab w:leader="none" w:pos="97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repurchase, redemption or disposition of, or containing any right of first refusal with respect to, (iv) requiring the registration for sale of, or (v) granting any preemptive or antidilutive right with respect to, any shares of Company Common Stock or any capital stock of, or other Equity Interests in, the Company 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719"/>
        <w:spacing w:after="0" w:line="266" w:lineRule="auto"/>
        <w:rPr>
          <w:sz w:val="20"/>
          <w:szCs w:val="20"/>
          <w:color w:val="auto"/>
        </w:rPr>
      </w:pPr>
      <w:r>
        <w:rPr>
          <w:rFonts w:ascii="Times New Roman" w:cs="Times New Roman" w:eastAsia="Times New Roman" w:hAnsi="Times New Roman"/>
          <w:sz w:val="18"/>
          <w:szCs w:val="18"/>
          <w:color w:val="auto"/>
        </w:rPr>
        <w:t>any of its Subsidiaries. The Company does not have in place, nor is it subject to, a stockholder rights plan, “poison pill” or similar plan or instrument. There are no accrued and unpaid dividends with respect to any shares of Company Common Stock or other Equity Interests of the Company.</w:t>
      </w:r>
    </w:p>
    <w:p>
      <w:pPr>
        <w:spacing w:after="0" w:line="68" w:lineRule="exact"/>
        <w:rPr>
          <w:sz w:val="20"/>
          <w:szCs w:val="20"/>
          <w:color w:val="auto"/>
        </w:rPr>
      </w:pPr>
    </w:p>
    <w:p>
      <w:pPr>
        <w:ind w:left="660" w:right="419" w:firstLine="352"/>
        <w:spacing w:after="0" w:line="252" w:lineRule="auto"/>
        <w:tabs>
          <w:tab w:leader="none" w:pos="12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of the Company Disclosure Letter sets forth a true and complete list of all of the Subsidiaries of the Company and the authorized, issued and outstanding Equity Interests of each such Subsidiary. None of the Company or any of its Subsidiaries holds an Equity Interest in any other Person. Each outstanding share of capital stock of or other Equity Interest in each Subsidiary of the Company is duly authorized, validly issued, fully paid, nonassessable and free of preemptive rights and is owned, beneficially and of record, by the Company or one or more of its wholly owned Subsidiaries free and clear of all Liens, other than Permitted Liens. There are no options, warrants or other rights, agreements, arrangements or commitments of any character to which any Subsidiary of the Company is a party or by which any Subsidiary of the Company is bound relating to the issued or unissued capital stock or other Equity Interests of such Subsidiary, or securities convertible into or exchangeable for such capital stock or other Equity Interests, or obligating any Subsidiary of the Company to issue or sell any shares of its capital stock or other Equity Interests, or securities convertible into or exchangeable for such capital stock of, or other Equity Interests in, such Subsidiary. There are no outstanding contractual obligations of the Company or any of its Subsidiaries to provide funds to, or make any investment (in the form of a loan, capital contribution or otherwise) in, any Subsidiary of the Company or any other Person, other than guarantees by the Company of any indebtedness or other obligations of any wholly owned Subsidiary of the Company.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Authority; Execution and Delivery; Enforceability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52" w:lineRule="auto"/>
        <w:tabs>
          <w:tab w:leader="none" w:pos="12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and each other agreement contemplated hereby to which it is or, pursuant to the terms hereof, will be a party, to perform and comply with each of its obligations under this Agreement and such other agreements and, subject to the receipt of the Requisite Stockholder Approval solely with respect to the Merger, to consummate the Transactions. The execution and delivery by the Company of this Agreement and such other agreements, the performance and compliance by the Company with each of its obligations herein and therein, and the consummation by it of the Transactions have been duly authorized by all necessary corporate action on the part of the Company, subject to receipt of the Requisite Stockholder Approval solely with respect to the Merger, and no other corporate proceedings on the part of the Company and no other stockholder votes are necessary to authorize this Agreement or the consummation by the Company of the Transactions. The Company has duly and validly executed and delivered this Agreement and each other agreement contemplated hereby to which it is a party and, assuming the due authorization, execution and delivery by Parent and Acquisition Sub of this Agreement and such other agreements, this Agreement and such other agreements each constitute a legal, valid and binding obligation of the Company, enforceable against the Company in accordance with its terms, except as limited by bankruptcy, insolvency, reorganization, moratorium, or similar Laws affecting the enforcement of creditors’ rights generally, rules of Law governing specific performance, injunctive relief and other equitable remedies (regardless of whether enforcement is sought in a proceeding of law or in equity)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Bankruptcy and Equitable Exceptions</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jc w:val="both"/>
        <w:ind w:left="660" w:right="459" w:firstLine="352"/>
        <w:spacing w:after="0" w:line="261" w:lineRule="auto"/>
        <w:tabs>
          <w:tab w:leader="none" w:pos="127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accuracy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Company Board has taken all necessary actions so that the restrictions on business combinations set forth in Section 203 of the DGCL and any other similar Law are not applicable to this Agreement and the Transactions, including the Merger. To the Knowledge of the Company, no Takeover Law applies to the Merger or the other Transactions.</w:t>
      </w:r>
    </w:p>
    <w:p>
      <w:pPr>
        <w:spacing w:after="0" w:line="71" w:lineRule="exact"/>
        <w:rPr>
          <w:rFonts w:ascii="Times New Roman" w:cs="Times New Roman" w:eastAsia="Times New Roman" w:hAnsi="Times New Roman"/>
          <w:sz w:val="18"/>
          <w:szCs w:val="18"/>
          <w:color w:val="auto"/>
        </w:rPr>
      </w:pPr>
    </w:p>
    <w:p>
      <w:pPr>
        <w:ind w:left="660" w:right="339" w:firstLine="352"/>
        <w:spacing w:after="0" w:line="256" w:lineRule="auto"/>
        <w:tabs>
          <w:tab w:leader="none" w:pos="12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a majority of the outstanding shares of Company Common Stock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is the only vote of the holders of any class or series of the Company’s capital stock necessary under applicable Law and the Company’s certificate of incorporation and bylaws to adopt, approve, or authorize this Agreement and consummate the Merger, and other transactions contemplated hereby in their capacity as stockholders of the Company. No other vote of the holders of any Equity Interests of the Company is necessary to consummate the Transactions, including the Merger.</w:t>
      </w:r>
    </w:p>
    <w:p>
      <w:pPr>
        <w:spacing w:after="0" w:line="79" w:lineRule="exact"/>
        <w:rPr>
          <w:rFonts w:ascii="Times New Roman" w:cs="Times New Roman" w:eastAsia="Times New Roman" w:hAnsi="Times New Roman"/>
          <w:sz w:val="18"/>
          <w:szCs w:val="18"/>
          <w:color w:val="auto"/>
        </w:rPr>
      </w:pPr>
    </w:p>
    <w:p>
      <w:pPr>
        <w:ind w:left="660" w:right="499" w:firstLine="352"/>
        <w:spacing w:after="0" w:line="289" w:lineRule="auto"/>
        <w:tabs>
          <w:tab w:leader="none" w:pos="127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at a meeting duly called and held at which all members of the Company Board were present, unanimously adopted resolutions (i) determining that this Agreement and the Transactions, including the Merger, are fair to and in the best interests of the Company and its stockholders, (ii) approving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spacing w:after="0" w:line="255" w:lineRule="auto"/>
        <w:rPr>
          <w:sz w:val="20"/>
          <w:szCs w:val="20"/>
          <w:color w:val="auto"/>
        </w:rPr>
      </w:pPr>
      <w:r>
        <w:rPr>
          <w:rFonts w:ascii="Times New Roman" w:cs="Times New Roman" w:eastAsia="Times New Roman" w:hAnsi="Times New Roman"/>
          <w:sz w:val="18"/>
          <w:szCs w:val="18"/>
          <w:color w:val="auto"/>
        </w:rPr>
        <w:t>and declaring advisable this Agreement and the Transactions, including the Merger, (iii) directing that this Agreement be submitted to the stockholders of the Company for its adoption, (iv) making the Company Board Recommendation, (v) rendering the limitations on business combinations contained in Section 203 of the DGCL inapplicable to the Merger, this Agreement, the Voting Agreements, the other agreements contemplated hereby and thereby, and the Transactions, and (vi) electing that the Merger and the transactions contemplated by the Voting Agreements not be subject to any Takeover Laws, which resolutions have not been rescinded, modified or withdrawn in any way.</w:t>
      </w:r>
    </w:p>
    <w:p>
      <w:pPr>
        <w:spacing w:after="0" w:line="81" w:lineRule="exact"/>
        <w:rPr>
          <w:sz w:val="20"/>
          <w:szCs w:val="20"/>
          <w:color w:val="auto"/>
        </w:rPr>
      </w:pPr>
    </w:p>
    <w:p>
      <w:pPr>
        <w:ind w:left="660" w:right="319" w:firstLine="352"/>
        <w:spacing w:after="0" w:line="266" w:lineRule="auto"/>
        <w:tabs>
          <w:tab w:leader="none" w:pos="126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or failed to take any action, that would result in the termination of, or excuse any party thereto (other than Parent) from performing its obligations under, any Voting Agreement.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53" w:lineRule="auto"/>
        <w:tabs>
          <w:tab w:leader="none" w:pos="12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and the consummation of the Transactions, does not and will not, and the performance of this Agreement or the other agreements contemplated hereby, including the Merger, by the Company will not, (i) assuming the Requisite Stockholder Approval is obtained, conflict with or violate any provision of the Company Charter or the Company Bylaws or any equivalent organizational documents of any Subsidiary of the Company, (ii) assuming that all consents, approvals, authorizations and permits described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have been obtained and all filings and notifications described in</w:t>
      </w:r>
    </w:p>
    <w:p>
      <w:pPr>
        <w:spacing w:after="0" w:line="5" w:lineRule="exact"/>
        <w:rPr>
          <w:rFonts w:ascii="Times New Roman" w:cs="Times New Roman" w:eastAsia="Times New Roman" w:hAnsi="Times New Roman"/>
          <w:sz w:val="18"/>
          <w:szCs w:val="18"/>
          <w:color w:val="auto"/>
        </w:rPr>
      </w:pPr>
    </w:p>
    <w:p>
      <w:pPr>
        <w:ind w:left="660" w:right="3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of its Subsidiaries or by which any property or asset of the Company or any of its Subsidiaries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the Company or any of its Subsidiaries pursuant to, any Contract or Permit to which the Company or any of its Subsidiaries is party, except, with respect to clauses (ii) and (iii) for any such conflicts, violations, breaches, defaults or other occurrences which would not, individually or in the aggregate, reasonably be expected to have a Company Material Adverse Effect.</w:t>
      </w:r>
    </w:p>
    <w:p>
      <w:pPr>
        <w:spacing w:after="0" w:line="84" w:lineRule="exact"/>
        <w:rPr>
          <w:rFonts w:ascii="Times New Roman" w:cs="Times New Roman" w:eastAsia="Times New Roman" w:hAnsi="Times New Roman"/>
          <w:sz w:val="18"/>
          <w:szCs w:val="18"/>
          <w:color w:val="auto"/>
        </w:rPr>
      </w:pPr>
    </w:p>
    <w:p>
      <w:pPr>
        <w:ind w:left="660" w:right="339" w:firstLine="352"/>
        <w:spacing w:after="0" w:line="254" w:lineRule="auto"/>
        <w:tabs>
          <w:tab w:leader="none" w:pos="12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does not and will not, and the consummation by the Company of the Transactions and compliance by the Company and its Subsidiaries, as applicable, with any of the terms or provisions hereof and the other agreements governing the Transactions will not, require any consent, approval, authorization or permit of, or filing with or notification to, any Governmental Entity, except (i) under the Exchange Act and the rules and regulations of the NYSE, (ii) as set forth on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of the Company Disclosure Letter, (iii) the filing and recordation of the Certificate of Merger as required by the DGCL, and (iv) where failure to obtain such consents, approvals, authorizations or permits, or to make such filings or notifications, would not, individually or in the aggregate, reasonably be expected to be material to the Company and its Subsidiaries, taken as a whole.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i w:val="1"/>
          <w:iCs w:val="1"/>
          <w:color w:val="auto"/>
        </w:rPr>
        <w:t>SEC Documents; Financial Statements; Undisclosed Liabilities; Fairness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19" w:firstLine="352"/>
        <w:spacing w:after="0" w:line="254" w:lineRule="auto"/>
        <w:tabs>
          <w:tab w:leader="none" w:pos="12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all reports, schedules, forms, statements, registration statements, prospectuses and other documents required to be filed or furnished by the Company with the SEC under the Securities Act or the Exchange Act since December 31, 2023 (the reports, schedules, forms, statements, registration statements, prospectuses and other documents filed or furnished to the SEC and those filed or furnished to the SEC subsequent to the date of this Agreement, including any amendments thereto,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No Subsidiary of the Company is required to make any filings with the SEC or any comparable regulator in any other jurisdiction. All fees required to be paid to the SEC with respect to the Company SEC Documents have been paid in full.</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77" w:lineRule="auto"/>
        <w:tabs>
          <w:tab w:leader="none" w:pos="127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its respective filing date (or, if amended or superseded prior to the Reference Date, on the date of such filing) each Company SEC Document complied, or if not yet filed or furnished will comply, in all material respects with the requirements of the Exchange Act or the Securities Act, as the case may be, and the rules and regulations of the SEC promulgated thereunder applicable to such Company SEC Document and did not, or if not yet filed or furnished will not, contain any untrue statement of a material fact or omit to state a material fact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39"/>
        <w:spacing w:after="0" w:line="261" w:lineRule="auto"/>
        <w:rPr>
          <w:sz w:val="20"/>
          <w:szCs w:val="20"/>
          <w:color w:val="auto"/>
        </w:rPr>
      </w:pPr>
      <w:r>
        <w:rPr>
          <w:rFonts w:ascii="Times New Roman" w:cs="Times New Roman" w:eastAsia="Times New Roman" w:hAnsi="Times New Roman"/>
          <w:sz w:val="18"/>
          <w:szCs w:val="18"/>
          <w:color w:val="auto"/>
        </w:rPr>
        <w:t>required to be stated therein or necessary in order to make the statements therein, in light of the circumstances under which they were made, not misleading. Since December 31, 2023, the Company has not received any written comments from the SEC staff that remain unresolved or any written inquiry from the SEC regarding any potential material violation of securities Laws.</w:t>
      </w:r>
    </w:p>
    <w:p>
      <w:pPr>
        <w:spacing w:after="0" w:line="72" w:lineRule="exact"/>
        <w:rPr>
          <w:sz w:val="20"/>
          <w:szCs w:val="20"/>
          <w:color w:val="auto"/>
        </w:rPr>
      </w:pPr>
    </w:p>
    <w:p>
      <w:pPr>
        <w:ind w:left="660" w:right="319" w:firstLine="352"/>
        <w:spacing w:after="0" w:line="253" w:lineRule="auto"/>
        <w:tabs>
          <w:tab w:leader="none" w:pos="12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Filed Company SEC Documents (including, in each case, any notes or schedules thereto) (the “</w:t>
      </w:r>
      <w:r>
        <w:rPr>
          <w:rFonts w:ascii="Times New Roman" w:cs="Times New Roman" w:eastAsia="Times New Roman" w:hAnsi="Times New Roman"/>
          <w:sz w:val="18"/>
          <w:szCs w:val="18"/>
          <w:u w:val="single" w:color="auto"/>
          <w:color w:val="auto"/>
        </w:rPr>
        <w:t>Filed Company SEC Financial Statements</w:t>
      </w:r>
      <w:r>
        <w:rPr>
          <w:rFonts w:ascii="Times New Roman" w:cs="Times New Roman" w:eastAsia="Times New Roman" w:hAnsi="Times New Roman"/>
          <w:sz w:val="18"/>
          <w:szCs w:val="18"/>
          <w:color w:val="auto"/>
        </w:rPr>
        <w:t>”) fairly present, in all material respects, the financial condition and the results of operations, cash flows and changes in stockholders’ equity of the Company and its Subsidiaries (on a consolidated basis) as of the respective dates of and for the periods referred to in the Filed Company SEC Financial Statements, and were prepared, or if not yet filed or furnished will be prepared, in accordance with GAAP consistently applied during the periods involved (except as may be indicated in the notes thereto or, in the case of unaudited statements, as permitted by Form 10-Q of the SEC), subject, in the case of unaudited Filed Company SEC Financial Statements, to normal year-end adjustments and the absence of notes, none of which are material, either individually or in the aggregate. At all times since December 31, 2023, the books and records of the Company and its Subsidiaries have been maintained in all material respects in accordance with GAAP and applicable Law.</w:t>
      </w:r>
    </w:p>
    <w:p>
      <w:pPr>
        <w:spacing w:after="0" w:line="81" w:lineRule="exact"/>
        <w:rPr>
          <w:rFonts w:ascii="Times New Roman" w:cs="Times New Roman" w:eastAsia="Times New Roman" w:hAnsi="Times New Roman"/>
          <w:sz w:val="18"/>
          <w:szCs w:val="18"/>
          <w:color w:val="auto"/>
        </w:rPr>
      </w:pPr>
    </w:p>
    <w:p>
      <w:pPr>
        <w:ind w:left="660" w:right="299" w:firstLine="352"/>
        <w:spacing w:after="0" w:line="253" w:lineRule="auto"/>
        <w:tabs>
          <w:tab w:leader="none" w:pos="127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principal executive officer and the principal financial officer of the Company has made all certifications required by Rule 13a-14 or 15d-14 under the Exchange Act or Sections 302 and 906 of the Sarbanes-Oxley Act of 2002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and the rules and regulations of the SEC promulgated thereunder with respect to the Company SEC Documents, and the statements contained in such certifications were true and correct as of the date made and remain true and correct. For purposes of the preceding sentence hereof, “principal executive officer” and “principal financial officer” shall have the meanings given to such terms in SOX. Neither the Company nor any of its Subsidiaries has outstanding, or has arranged any outstanding, “extensions of credit” to directors or executive officers within the meaning of Section 402 of SOX. The Company maintains disclosure controls and procedures required by Rule 13a-15 or Rule 15d-15 under the Exchange Act, which such controls and procedures are effective to ensure that all material information concerning the Company and its Subsidiaries is made known on a timely basis to the individuals responsible for the preparation of the Company SEC Documents.</w:t>
      </w:r>
    </w:p>
    <w:p>
      <w:pPr>
        <w:spacing w:after="0" w:line="81"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none of the Company, its Subsidiaries or, to the Knowledge of the</w:t>
      </w:r>
    </w:p>
    <w:p>
      <w:pPr>
        <w:spacing w:after="0" w:line="27" w:lineRule="exact"/>
        <w:rPr>
          <w:rFonts w:ascii="Times New Roman" w:cs="Times New Roman" w:eastAsia="Times New Roman" w:hAnsi="Times New Roman"/>
          <w:sz w:val="18"/>
          <w:szCs w:val="18"/>
          <w:color w:val="auto"/>
        </w:rPr>
      </w:pPr>
    </w:p>
    <w:p>
      <w:pPr>
        <w:ind w:left="660" w:right="3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the Company’s and its Subsidiaries’ independent registered accountant has identified or been made aware of (i) any significant deficiency or material weakness in the design or operation of internal control over financial reporting utilized by the Company, (ii) any fraud, whether or not material, that involves the management or other employees of the Company or any of its Subsidiaries who have a significant role in the Company’s preparation of financial statements or internal control over financial reporting, or (iii) any claim or allegation regarding any of the foregoing. The Company, based on its most recent evaluation of internal control over financial reporting, has not identified any significant deficiencies or material weaknesses in the design or operation of its internal control over financial reporting. Since December 31, 2023, neither the Company nor any of its Subsidiaries has received any written complaint, allegation, assertion or claim regarding the accounting or auditing practices, procedures, methodologies or methods of the Company or any of its Subsidiaries or their respective internal accounting controls, including any written complaint, allegation, assertion or claim that the Company or any of its Subsidiaries has engaged in questionable accounting or auditing practices. For purposes of this </w:t>
      </w:r>
      <w:r>
        <w:rPr>
          <w:rFonts w:ascii="Times New Roman" w:cs="Times New Roman" w:eastAsia="Times New Roman" w:hAnsi="Times New Roman"/>
          <w:sz w:val="18"/>
          <w:szCs w:val="18"/>
          <w:u w:val="single" w:color="auto"/>
          <w:color w:val="auto"/>
        </w:rPr>
        <w:t>Section 3.5(e)</w:t>
      </w:r>
      <w:r>
        <w:rPr>
          <w:rFonts w:ascii="Times New Roman" w:cs="Times New Roman" w:eastAsia="Times New Roman" w:hAnsi="Times New Roman"/>
          <w:sz w:val="18"/>
          <w:szCs w:val="18"/>
          <w:color w:val="auto"/>
        </w:rPr>
        <w:t>, the terms “significant deficiency” and “material weakness” shall have the meanings assigned to them in the Release 2004-001 of the Public Company Accounting Oversight Board, as in effect on the date hereof.</w:t>
      </w:r>
    </w:p>
    <w:p>
      <w:pPr>
        <w:spacing w:after="0" w:line="82" w:lineRule="exact"/>
        <w:rPr>
          <w:rFonts w:ascii="Times New Roman" w:cs="Times New Roman" w:eastAsia="Times New Roman" w:hAnsi="Times New Roman"/>
          <w:sz w:val="18"/>
          <w:szCs w:val="18"/>
          <w:color w:val="auto"/>
        </w:rPr>
      </w:pPr>
    </w:p>
    <w:p>
      <w:pPr>
        <w:ind w:left="660" w:right="359" w:firstLine="352"/>
        <w:spacing w:after="0" w:line="254" w:lineRule="auto"/>
        <w:tabs>
          <w:tab w:leader="none" w:pos="124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liabilities or obligations of any nature (whether absolute or contingent, asserted or unasserted, known or unknown, primary or secondary, direct or indirect, and whether or not accrued), whether or not required by GAAP to be reflected or reserved on a consolidated balance sheet of the Company (or the notes thereto), except (i) as disclosed, reflected or reserved against in the most recent audited balance sheet included in the Filed Company SEC Financial Statements or the notes thereto, (ii) for liabilities and obligations incurred in the ordinary course of business since the date of the most recent balance sheet included in the Filed Company SEC Financial Statements (none of which arises out of or relates to any breach of contract, breach of warranty, tort, infringement, Proceeding or violation of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699" w:hanging="8"/>
        <w:spacing w:after="0" w:line="266" w:lineRule="auto"/>
        <w:tabs>
          <w:tab w:leader="none" w:pos="9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and obligations arising out of or in connection with this Agreement, the Merger or the Transactions and (iv) for liabilities and obligations that, individually or in the aggregate, have not had, and would not reasonably be expected to have, a Company Material Adverse Effect.</w:t>
      </w:r>
    </w:p>
    <w:p>
      <w:pPr>
        <w:spacing w:after="0" w:line="67" w:lineRule="exact"/>
        <w:rPr>
          <w:rFonts w:ascii="Times New Roman" w:cs="Times New Roman" w:eastAsia="Times New Roman" w:hAnsi="Times New Roman"/>
          <w:sz w:val="18"/>
          <w:szCs w:val="18"/>
          <w:color w:val="auto"/>
        </w:rPr>
      </w:pPr>
    </w:p>
    <w:p>
      <w:pPr>
        <w:ind w:left="660" w:right="379" w:firstLine="352"/>
        <w:spacing w:after="0" w:line="256" w:lineRule="auto"/>
        <w:tabs>
          <w:tab w:leader="none" w:pos="127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joint venture, off-balance sheet, partnership or any similar contract or arrangement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i w:val="1"/>
          <w:iCs w:val="1"/>
          <w:color w:val="auto"/>
        </w:rPr>
        <w:t>Absence of Certain Changes or Events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58" w:lineRule="auto"/>
        <w:tabs>
          <w:tab w:leader="none" w:pos="126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through the date of this Agreement, (i) the Company and its Subsidiaries have conducted their businesses in all material respects in the ordinary course and in a manner consistent with past practice and (ii) there has not been any change, event, development, condition or occurrence that, individually or in the aggregate, has had or would reasonably be expected to have a Company Material Adverse Effect.</w:t>
      </w:r>
    </w:p>
    <w:p>
      <w:pPr>
        <w:spacing w:after="0" w:line="75" w:lineRule="exact"/>
        <w:rPr>
          <w:rFonts w:ascii="Times New Roman" w:cs="Times New Roman" w:eastAsia="Times New Roman" w:hAnsi="Times New Roman"/>
          <w:sz w:val="18"/>
          <w:szCs w:val="18"/>
          <w:color w:val="auto"/>
        </w:rPr>
      </w:pPr>
    </w:p>
    <w:p>
      <w:pPr>
        <w:ind w:left="660" w:right="339" w:firstLine="352"/>
        <w:spacing w:after="0" w:line="258" w:lineRule="auto"/>
        <w:tabs>
          <w:tab w:leader="none" w:pos="12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December 31, 2025 through the date of this Agreement, neither the Company nor any of its Subsidiaries has taken any action that would have constituted a breach of, or required Parent’s consent pursuant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5.1(x)</w:t>
      </w:r>
      <w:r>
        <w:rPr>
          <w:rFonts w:ascii="Times New Roman" w:cs="Times New Roman" w:eastAsia="Times New Roman" w:hAnsi="Times New Roman"/>
          <w:sz w:val="18"/>
          <w:szCs w:val="18"/>
          <w:color w:val="auto"/>
        </w:rPr>
        <w:t xml:space="preserve"> with respect to any of the foregoing, in each case, were such an action to be taken after the date hereof.</w:t>
      </w:r>
    </w:p>
    <w:p>
      <w:pPr>
        <w:spacing w:after="0" w:line="73"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None of the information supplied or to be supplied by the Company for inclusion or incorporation by reference in the Proxy Statement or any other document required to be filed by the Company with the SEC in connection with the Merger (collectively, the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will, at the time such Company Disclosure Document or any amendment or supplement thereto is filed with the SEC, the date it is first mailed or disseminated to holders of Shares and at the time of the Company Stockholder Meeting, contain any untrue statement of a material fact or omit to state a material fact required to be stated therein or necessary to make the statements therein, in light of the circumstances in which they are made, not misleading (except that no representation or warranty is made by the Company to statements made therein based on information supplied by or on behalf of Parent or Acquisition Sub for inclusion or incorporation by reference therein). The Company Disclosure Documents will comply as to form in all material respects with the requirements of the Exchange Act and other applicable Law.</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i w:val="1"/>
          <w:iCs w:val="1"/>
          <w:color w:val="auto"/>
        </w:rPr>
        <w:t>Legal Proceedings and Orders</w:t>
      </w:r>
      <w:r>
        <w:rPr>
          <w:rFonts w:ascii="Times New Roman" w:cs="Times New Roman" w:eastAsia="Times New Roman" w:hAnsi="Times New Roman"/>
          <w:sz w:val="18"/>
          <w:szCs w:val="18"/>
          <w:color w:val="auto"/>
        </w:rPr>
        <w:t>. There are no, and since January 1, 2023, there have been no, Proceedings pending or threatened in writing or, to the Knowledge of the Company, threatened otherwise, against the Company or any of its Subsidiaries or any of their respective assets or properties or any of the officers or directors of the Company (in their capacity as such), except, in each case, for those that, individually or in the aggregate, have not had, and would not reasonably be expected to have, a Company Material Adverse Effect. Neither the Company nor any of its Subsidiaries, nor any of their respective assets or properties is or are subject to any Order, except for those that, individually or in the aggregate, have not had, and would not reasonably be expected to have, a Company Material Adverse Effect nor is the Company, any of its Subsidiaries or, to the Knowledge of the Company, any director, officer, employee or independent contractor of the foregoing (in their capacity as such), under investigation by any Governmental Entity except for those that, individually or in the aggregate, have not had, and would not reasonably be expected to have, a Company Material Adverse Effect. There is no Order enjoining or requiring the Company or any of its Subsidiaries to take any action of any kind with respect to its business, assets or properties except for those that, individually or in the aggregate, have not had, and would not reasonably be expected to have, a Company Material Adverse Effect.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39" w:firstLine="352"/>
        <w:spacing w:after="0" w:line="277" w:lineRule="auto"/>
        <w:tabs>
          <w:tab w:leader="none" w:pos="126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any of their respective directors, officers, Affiliates, employees, nor, to the Knowledge of the Company, any of their agents is, or since April 24, 2019, has been, a Sanctions Target. The Company and its Subsidiaries are, and in the past five (5) years (or, in the case of Sanctions, since April 24, 2019), have at all times been, in compliance in all material respects with International Trade Laws. Neither the Company nor any of its Subsidiaries nor any of their respective directors,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8"/>
          <w:szCs w:val="18"/>
          <w:color w:val="auto"/>
        </w:rPr>
        <w:t>officers, Affiliates, employees, nor, to the Knowledge of the Company, any agents has engaged in, nor is now engaged in, any dealings or transactions with or for the benefit of any Sanctions Target or in any Sanctioned Country, in each case directly or indirectly, including through any of their distributors, agents or other persons acting on their behalf.</w:t>
      </w:r>
    </w:p>
    <w:p>
      <w:pPr>
        <w:spacing w:after="0" w:line="72" w:lineRule="exact"/>
        <w:rPr>
          <w:sz w:val="20"/>
          <w:szCs w:val="20"/>
          <w:color w:val="auto"/>
        </w:rPr>
      </w:pPr>
    </w:p>
    <w:p>
      <w:pPr>
        <w:ind w:left="660" w:right="319" w:firstLine="352"/>
        <w:spacing w:after="0" w:line="256" w:lineRule="auto"/>
        <w:tabs>
          <w:tab w:leader="none" w:pos="12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operations of the Company and its Subsidiaries are and, in the past five (5) years, have been conducted at all times in compliance in all material respects with applicable financial recordkeeping and reporting requirements of the Currency and Foreign Transactions Reporting Act of 1970, the </w:t>
      </w:r>
      <w:r>
        <w:rPr>
          <w:rFonts w:ascii="Times New Roman" w:cs="Times New Roman" w:eastAsia="Times New Roman" w:hAnsi="Times New Roman"/>
          <w:sz w:val="18"/>
          <w:szCs w:val="18"/>
          <w:i w:val="1"/>
          <w:iCs w:val="1"/>
          <w:color w:val="auto"/>
        </w:rPr>
        <w:t>Proceeds of Crime</w:t>
      </w:r>
      <w:r>
        <w:rPr>
          <w:rFonts w:ascii="Times New Roman" w:cs="Times New Roman" w:eastAsia="Times New Roman" w:hAnsi="Times New Roman"/>
          <w:sz w:val="18"/>
          <w:szCs w:val="18"/>
          <w:color w:val="auto"/>
        </w:rPr>
        <w:t xml:space="preserve"> (Money Laundering) and </w:t>
      </w:r>
      <w:r>
        <w:rPr>
          <w:rFonts w:ascii="Times New Roman" w:cs="Times New Roman" w:eastAsia="Times New Roman" w:hAnsi="Times New Roman"/>
          <w:sz w:val="18"/>
          <w:szCs w:val="18"/>
          <w:i w:val="1"/>
          <w:iCs w:val="1"/>
          <w:color w:val="auto"/>
        </w:rPr>
        <w:t>Terrorist Financing Act</w:t>
      </w:r>
      <w:r>
        <w:rPr>
          <w:rFonts w:ascii="Times New Roman" w:cs="Times New Roman" w:eastAsia="Times New Roman" w:hAnsi="Times New Roman"/>
          <w:sz w:val="18"/>
          <w:szCs w:val="18"/>
          <w:color w:val="auto"/>
        </w:rPr>
        <w:t xml:space="preserve"> (Canada), the money laundering statutes of all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660" w:right="379" w:firstLine="352"/>
        <w:spacing w:after="0" w:line="261" w:lineRule="auto"/>
        <w:tabs>
          <w:tab w:leader="none" w:pos="12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written or, to the Knowledge of the Company, verbal notice of any action, suit, proceeding or investigation against it with respect to International Trade Laws or Money Laundering Laws from any Governmental Entity at any time in the past five years (or, in the case of Sanctions, since April 24, 2019).</w:t>
      </w:r>
    </w:p>
    <w:p>
      <w:pPr>
        <w:spacing w:after="0" w:line="71"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their respective officers, directors, employees, and, to the</w:t>
      </w:r>
    </w:p>
    <w:p>
      <w:pPr>
        <w:spacing w:after="0" w:line="27" w:lineRule="exact"/>
        <w:rPr>
          <w:rFonts w:ascii="Times New Roman" w:cs="Times New Roman" w:eastAsia="Times New Roman" w:hAnsi="Times New Roman"/>
          <w:sz w:val="18"/>
          <w:szCs w:val="18"/>
          <w:color w:val="auto"/>
        </w:rPr>
      </w:pPr>
    </w:p>
    <w:p>
      <w:pPr>
        <w:ind w:left="6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of the Company, their other Representatives are in compliance in all material respects with and in the past five (5) years have complied in all material respects with (i) the U.S. Foreign Corrupt Practices Act of 1977, as amended, (ii) the UK Bribery Act 2010, (iii) the </w:t>
      </w:r>
      <w:r>
        <w:rPr>
          <w:rFonts w:ascii="Times New Roman" w:cs="Times New Roman" w:eastAsia="Times New Roman" w:hAnsi="Times New Roman"/>
          <w:sz w:val="18"/>
          <w:szCs w:val="18"/>
          <w:i w:val="1"/>
          <w:iCs w:val="1"/>
          <w:color w:val="auto"/>
        </w:rPr>
        <w:t>Corruption of Foreign Public Officials Act</w:t>
      </w:r>
      <w:r>
        <w:rPr>
          <w:rFonts w:ascii="Times New Roman" w:cs="Times New Roman" w:eastAsia="Times New Roman" w:hAnsi="Times New Roman"/>
          <w:sz w:val="18"/>
          <w:szCs w:val="18"/>
          <w:color w:val="auto"/>
        </w:rPr>
        <w:t xml:space="preserve"> (Canada) and (iv) the provisions of all anti-bribery and anti-corruption Laws of each jurisdiction in which the Company and its Subsidiaries operate or have operated and in which any agent thereof is conducting or has conducted business involving the Company or any of its Subsidiaries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Without limiting the foregoing, in the past five (5) years, none of the Company, any of its Subsidiaries or their respective officers, directors, employees or, to the Knowledge of the Company, any other Representatives have paid, received, offered or promised to pay, or authorized or ratified the payment, directly or indirectly, of any monies or anything of value to or from any Government Official or any other Person for the purpose of improperly influencing any act or decision of such official or of any Governmental Entity or Person to obtain or retain business, or direct business to any Person or to secure any other improper benefit or advantage in each case in violation in any material respect of the Anti-Corruption Laws. None of the Company, any of its Subsidiaries or, their respective officers, directors or employees, or, to the Knowledge of the Company, any other Representatives has been the subject of any investigations, reviews, audits, or inquiries by a Governmental Entity related to Anti-Corruption Laws, and no investigation, review, audit, or inquiry by any Governmental Entity or any other Person with respect to Anti-Corruption Laws is pending or threatened. Each of the Company and its Subsidiaries have in place compliance policies, procedures and internal controls reasonably calculated to ensure compliance with all Anti-Corruption Laws, Money Laundering Laws and International Trade Laws.</w:t>
      </w:r>
    </w:p>
    <w:p>
      <w:pPr>
        <w:spacing w:after="0" w:line="80" w:lineRule="exact"/>
        <w:rPr>
          <w:rFonts w:ascii="Times New Roman" w:cs="Times New Roman" w:eastAsia="Times New Roman" w:hAnsi="Times New Roman"/>
          <w:sz w:val="18"/>
          <w:szCs w:val="18"/>
          <w:color w:val="auto"/>
        </w:rPr>
      </w:pPr>
    </w:p>
    <w:p>
      <w:pPr>
        <w:ind w:left="660" w:right="399" w:firstLine="352"/>
        <w:spacing w:after="0" w:line="255" w:lineRule="auto"/>
        <w:tabs>
          <w:tab w:leader="none" w:pos="12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at all times since January 1, 2023 has been, in compliance with all applicable Laws, except where the failure to be in compliance has not had, and would not reasonably be expected to have, individually or in the aggregate, a Company Material Adverse Effect. Since January 1, 2023, none of the Company or any of its Subsidiaries has been given written notice or, to the Knowledge of the Company, other notice of any unresolved violation of any Law, except, in each case, for any such violation that has not had and would not reasonably be expected to have, individually or in the aggregate, a Company Material Adverse Effect.</w:t>
      </w:r>
    </w:p>
    <w:p>
      <w:pPr>
        <w:spacing w:after="0" w:line="79"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i w:val="1"/>
          <w:iCs w:val="1"/>
          <w:color w:val="auto"/>
        </w:rPr>
        <w:t>Permits</w:t>
      </w:r>
      <w:r>
        <w:rPr>
          <w:rFonts w:ascii="Times New Roman" w:cs="Times New Roman" w:eastAsia="Times New Roman" w:hAnsi="Times New Roman"/>
          <w:sz w:val="17"/>
          <w:szCs w:val="17"/>
          <w:color w:val="auto"/>
        </w:rPr>
        <w:t>. The Company and each of its Subsidiaries have, and at all times since January 1, 2023 have held, all required governmental licenses, permits, certificates, approvals, clearances, registrations, product listings, billing and authorizations (“</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necessary for the conduct of their business and the use of their properties and assets, as presently conducted and used or as conducted and used at such time, as applicable, and each of the Permits is valid, subsisting and in full force and effect, and no suspension or cancellation of any of the Permits is pending, threatened in writing or, to the Knowledge of the Company, threatened verbally, except where the failure to have or maintain such Permit, individually or in the aggregate, has not had and would not reasonably be expected to have, a Company Material Adverse Effect. The operation of the Company and its Subsidiaries as currently conducted is not, and has not been since January 1, 2023, in violation of, nor is the Company or its Subsidiaries in default or violation under, any Permit (except for such past violation or default as has been remedied and imposes no continuing obligations or costs on the Company or its Subsidiaries), except where such default or violation of such Permit,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individually or in the aggregate, has not had and would not reasonably be expected to have, a Company Material Adverse Effect. There are no actions pending, threatened in writing or, to the Knowledge of the Company, threatened verbally, that seek the revocation, cancellation or modification of any Permit, except where such revocation, cancellation or modification, individually or in the aggregate, has not had and would not reasonably be expected to have, a Company Material Adverse Effect.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39" w:firstLine="352"/>
        <w:spacing w:after="0" w:line="255" w:lineRule="auto"/>
        <w:tabs>
          <w:tab w:leader="none" w:pos="126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Letter sets forth a true and complete list of all material Company Benefit Plans (other than any employment contracts or consultancy agreements for employees or consultants who are natural persons that (i) are terminable by the Company or any of its Subsidiaries “at will” and do not provide for severance benefits or other termination-related payments or benefits or (ii) are in all material respects consistent with a standard form previously made available to Parent where the severance period or required notice of termination provided is not in excess of sixty (60) days or such longer period as is required by applicable Law).</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2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Company Benefit Plan required to be identified on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Letter, copies of the following have been made available to Parent (to the extent applicable to such Company Benefit Plan): (i) the current plan document and all amendments thereto, or, in the case of an unwritten Company Benefit Plan, a written description thereof; (ii) all trust agreements, insurance contracts, and annuity contracts serving as funding vehicles for such Company Benefit Plan, in each case, as currently in effect; (iii) the most recent summary plan description, and any summaries of material modifications related thereto, distributed to participants in such Company Benefit Plan; (iv) the most recent annual report on Form 5500 (and all schedules and attachments thereto) required to be filed with respect to such Company Benefit Plan; (v) if such Company Benefit Plan is intended to be qualified under Section 401(a) of the Code, the most recent determination, opinion or advisory letter received from the IRS; and (vi) all material non-routine correspondence to or from any Governmental Entity relating to such Company Benefit Plan since January 1, 2023.</w:t>
      </w:r>
    </w:p>
    <w:p>
      <w:pPr>
        <w:spacing w:after="0" w:line="81" w:lineRule="exact"/>
        <w:rPr>
          <w:rFonts w:ascii="Times New Roman" w:cs="Times New Roman" w:eastAsia="Times New Roman" w:hAnsi="Times New Roman"/>
          <w:sz w:val="18"/>
          <w:szCs w:val="18"/>
          <w:color w:val="auto"/>
        </w:rPr>
      </w:pPr>
    </w:p>
    <w:p>
      <w:pPr>
        <w:ind w:left="660" w:right="499" w:firstLine="352"/>
        <w:spacing w:after="0" w:line="261" w:lineRule="auto"/>
        <w:tabs>
          <w:tab w:leader="none" w:pos="126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maintained, funded, operated, and administered in all material respects in accordance with its terms and in compliance with all applicable Laws. To the Knowledge of the Company, no other party to any Company Benefit Plan is in material breach or material default thereunder.</w:t>
      </w:r>
    </w:p>
    <w:p>
      <w:pPr>
        <w:spacing w:after="0" w:line="71" w:lineRule="exact"/>
        <w:rPr>
          <w:rFonts w:ascii="Times New Roman" w:cs="Times New Roman" w:eastAsia="Times New Roman" w:hAnsi="Times New Roman"/>
          <w:sz w:val="18"/>
          <w:szCs w:val="18"/>
          <w:color w:val="auto"/>
        </w:rPr>
      </w:pPr>
    </w:p>
    <w:p>
      <w:pPr>
        <w:ind w:left="660" w:right="339" w:firstLine="352"/>
        <w:spacing w:after="0" w:line="256" w:lineRule="auto"/>
        <w:tabs>
          <w:tab w:leader="none" w:pos="12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which is intended to be qualified under Section 401(a) of the Code has received a favorable determination letter from the IRS as to its qualified status or utilizes a prototype or volume submitter plan document that is the subject of a favorable opinion or advisory letter issued by the IRS to the sponsor of such prototype or volume submitter plan, and, to the Company’s Knowledge, no fact or event has occurred that would reasonably be expected to adversely affect the qualified status of any such Company Benefit Plan or the exempt status of any trust associated therewith.</w:t>
      </w:r>
    </w:p>
    <w:p>
      <w:pPr>
        <w:spacing w:after="0" w:line="79" w:lineRule="exact"/>
        <w:rPr>
          <w:rFonts w:ascii="Times New Roman" w:cs="Times New Roman" w:eastAsia="Times New Roman" w:hAnsi="Times New Roman"/>
          <w:sz w:val="18"/>
          <w:szCs w:val="18"/>
          <w:color w:val="auto"/>
        </w:rPr>
      </w:pPr>
    </w:p>
    <w:p>
      <w:pPr>
        <w:ind w:left="660" w:right="399" w:firstLine="352"/>
        <w:spacing w:after="0" w:line="281" w:lineRule="auto"/>
        <w:tabs>
          <w:tab w:leader="none" w:pos="1265"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result in a material liability to the Company or any of its Subsidiaries, none of the Company, any of its Subsidiaries, or, to the Knowledge of the Company, any other Person has engaged in a non-exempt prohibited transaction (within the meaning of Section 406 of ERISA or Section 4975 of the Code) with respect to any Company Benefit Plan that is subject to ERISA or the Code.</w:t>
      </w:r>
    </w:p>
    <w:p>
      <w:pPr>
        <w:spacing w:after="0" w:line="56" w:lineRule="exact"/>
        <w:rPr>
          <w:rFonts w:ascii="Times New Roman" w:cs="Times New Roman" w:eastAsia="Times New Roman" w:hAnsi="Times New Roman"/>
          <w:sz w:val="17"/>
          <w:szCs w:val="17"/>
          <w:color w:val="auto"/>
        </w:rPr>
      </w:pPr>
    </w:p>
    <w:p>
      <w:pPr>
        <w:ind w:left="660" w:right="479" w:firstLine="352"/>
        <w:spacing w:after="0" w:line="261" w:lineRule="auto"/>
        <w:tabs>
          <w:tab w:leader="none" w:pos="124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claim or Proceeding has been brought, threatened in writing or, to the Knowledge of the Company, threatened verbally, against or with respect to any Company Benefit Plan, including any audit or inquiry by any Governmental Entity (other than routine benefits claims, appeals of such claims, and domestic relations order Proceedings).</w:t>
      </w:r>
    </w:p>
    <w:p>
      <w:pPr>
        <w:spacing w:after="0" w:line="71" w:lineRule="exact"/>
        <w:rPr>
          <w:rFonts w:ascii="Times New Roman" w:cs="Times New Roman" w:eastAsia="Times New Roman" w:hAnsi="Times New Roman"/>
          <w:sz w:val="18"/>
          <w:szCs w:val="18"/>
          <w:color w:val="auto"/>
        </w:rPr>
      </w:pPr>
    </w:p>
    <w:p>
      <w:pPr>
        <w:ind w:left="660" w:right="479" w:firstLine="352"/>
        <w:spacing w:after="0" w:line="282" w:lineRule="auto"/>
        <w:tabs>
          <w:tab w:leader="none" w:pos="12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incurred, or is reasonably expected to be subject to, any material Tax or penalty under Section 4980B, 4980D, 4980H, 6721 or 6722 of the Code.</w:t>
      </w:r>
    </w:p>
    <w:p>
      <w:pPr>
        <w:spacing w:after="0" w:line="53" w:lineRule="exact"/>
        <w:rPr>
          <w:rFonts w:ascii="Times New Roman" w:cs="Times New Roman" w:eastAsia="Times New Roman" w:hAnsi="Times New Roman"/>
          <w:sz w:val="18"/>
          <w:szCs w:val="18"/>
          <w:color w:val="auto"/>
        </w:rPr>
      </w:pPr>
    </w:p>
    <w:p>
      <w:pPr>
        <w:ind w:left="660" w:right="359" w:firstLine="352"/>
        <w:spacing w:after="0" w:line="269" w:lineRule="auto"/>
        <w:tabs>
          <w:tab w:leader="none" w:pos="1275"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of its Subsidiaries, or any Company ERISA Affiliate has, at any time during the past six (6) years, sponsored, maintained, contributed to or been obligated to contribute to, and none of the Company, any of its Subsidiaries, or any Company ERISA Affiliate has any actual or contingent liability or obligation under or with respect to (i) any “defined benefit plan” (as defined in Section 3(35) of ERISA) or other plan that is or was subject to Section 302 of ERISA, Title IV of ERISA or Section 412 of the Code,</w:t>
      </w:r>
    </w:p>
    <w:p>
      <w:pPr>
        <w:spacing w:after="0" w:line="2" w:lineRule="exact"/>
        <w:rPr>
          <w:rFonts w:ascii="Times New Roman" w:cs="Times New Roman" w:eastAsia="Times New Roman" w:hAnsi="Times New Roman"/>
          <w:sz w:val="17"/>
          <w:szCs w:val="17"/>
          <w:color w:val="auto"/>
        </w:rPr>
      </w:pPr>
    </w:p>
    <w:p>
      <w:pPr>
        <w:ind w:left="920" w:hanging="268"/>
        <w:spacing w:after="0"/>
        <w:tabs>
          <w:tab w:leader="none" w:pos="9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3.11(h)(ii)</w:t>
      </w:r>
      <w:r>
        <w:rPr>
          <w:rFonts w:ascii="Times New Roman" w:cs="Times New Roman" w:eastAsia="Times New Roman" w:hAnsi="Times New Roman"/>
          <w:sz w:val="18"/>
          <w:szCs w:val="18"/>
          <w:color w:val="auto"/>
        </w:rPr>
        <w:t xml:space="preserve"> of the Company Disclosure Letter, any “multiemployer plan,” as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53" w:lineRule="auto"/>
        <w:rPr>
          <w:sz w:val="20"/>
          <w:szCs w:val="20"/>
          <w:color w:val="auto"/>
        </w:rPr>
      </w:pPr>
      <w:r>
        <w:rPr>
          <w:rFonts w:ascii="Times New Roman" w:cs="Times New Roman" w:eastAsia="Times New Roman" w:hAnsi="Times New Roman"/>
          <w:sz w:val="18"/>
          <w:szCs w:val="18"/>
          <w:color w:val="auto"/>
        </w:rPr>
        <w:t xml:space="preserve">defined in Section 3(37) of ERISA, (iii) any “multiple employer welfare arrangement,” as defined in Section 3(40) of ERISA, or (iv) any “multiple employer plan” within the meaning of Section 413(c) of the Code or Section 210 of ERISA. Neither the Company nor any of its Subsidiaries is bound by any contract or has any liability or obligation described in Section 4204 of ERISA. With respect to each multiemployer plan required to be identified on Section 3.11(h)(ii) of the Company Disclosure Letter, (A) none of the Company, any of its Subsidiaries, or any Company ERISA Affiliate has incurred or could reasonably be expected to incur (whether or not liability has been assessed), a complete withdrawal or a partial withdrawal (within the meaning of Title IV of ERISA) except as described on </w:t>
      </w:r>
      <w:r>
        <w:rPr>
          <w:rFonts w:ascii="Times New Roman" w:cs="Times New Roman" w:eastAsia="Times New Roman" w:hAnsi="Times New Roman"/>
          <w:sz w:val="18"/>
          <w:szCs w:val="18"/>
          <w:u w:val="single" w:color="auto"/>
          <w:color w:val="auto"/>
        </w:rPr>
        <w:t>Section 3.11(h)(ii)(A)</w:t>
      </w:r>
      <w:r>
        <w:rPr>
          <w:rFonts w:ascii="Times New Roman" w:cs="Times New Roman" w:eastAsia="Times New Roman" w:hAnsi="Times New Roman"/>
          <w:sz w:val="18"/>
          <w:szCs w:val="18"/>
          <w:color w:val="auto"/>
        </w:rPr>
        <w:t xml:space="preserve"> of the Company Disclosure Letter; (B) all contributions and payments (including installments) required to be made by the Company, any of its Subsidiaries, or any Company ERISA Affiliate have been timely made in all material respects; and (C) the Company has provided to Parent any estimates of withdrawal liability the Company has received in the past three years.</w:t>
      </w:r>
    </w:p>
    <w:p>
      <w:pPr>
        <w:spacing w:after="0" w:line="82" w:lineRule="exact"/>
        <w:rPr>
          <w:sz w:val="20"/>
          <w:szCs w:val="20"/>
          <w:color w:val="auto"/>
        </w:rPr>
      </w:pPr>
    </w:p>
    <w:p>
      <w:pPr>
        <w:ind w:left="660" w:right="379" w:firstLine="352"/>
        <w:spacing w:after="0" w:line="253" w:lineRule="auto"/>
        <w:tabs>
          <w:tab w:leader="none" w:pos="12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Transactions (alone or in conjunction with any other event) would reasonably be expected to (i) entitle any current or former director, officer, employee or individual independent contractor of the Company or any of its Subsidiaries to any compensation or benefit (including any transaction bonus, retention bonus or severance pay) under any of the Company Benefit Plans or otherwise, (ii) accelerate the time of payment or vesting or result in any payment or funding (through a grantor trust or otherwise) or increase of compensation or benefits under any of the Company Benefit Plans or otherwise, (iii) directly or indirectly cause or require the Company to transfer or set aside any assets to fund any benefits under any Company Benefit Plan, (iv) result in any restriction on the right of the Company or any of its Subsidiaries or, after the consummation of the Merger or the Transactions, the Surviving Corporation, to merge, amend or terminate any Company Benefit Plan, or (v) directly or indirectly, result in the payment of any “excess parachute payment” within the meaning of Code Section 280G or in the imposition of an excise Tax under Section 4999 of the Code.</w:t>
      </w:r>
    </w:p>
    <w:p>
      <w:pPr>
        <w:spacing w:after="0" w:line="81" w:lineRule="exact"/>
        <w:rPr>
          <w:rFonts w:ascii="Times New Roman" w:cs="Times New Roman" w:eastAsia="Times New Roman" w:hAnsi="Times New Roman"/>
          <w:sz w:val="18"/>
          <w:szCs w:val="18"/>
          <w:color w:val="auto"/>
        </w:rPr>
      </w:pPr>
    </w:p>
    <w:p>
      <w:pPr>
        <w:ind w:left="660" w:right="399" w:firstLine="352"/>
        <w:spacing w:after="0" w:line="258" w:lineRule="auto"/>
        <w:tabs>
          <w:tab w:leader="none" w:pos="12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its Subsidiaries has promised to provide, post-employment, retiree or post-service medical or life insurance benefits to any current or former director, officer, employee or individual independent contractor or any of their dependents, other than as required by Section 4980B of the Code or similar applicable Law and for which the recipient pays the full cost of coverage.</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56" w:lineRule="auto"/>
        <w:tabs>
          <w:tab w:leader="none" w:pos="127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constitutes a “nonqualified deferred compensation plan” (as defined in Section 409A(d)(1) of the Code) has been operated and maintained, in form and operation, in material compliance with Section 409A of the Code and applicable guidance of the Department of Treasury and the IRS. Neither the Company nor any of its Subsidiaries maintain any obligation to gross-up, indemnify or otherwise reimburse any individual with respect to any additional Tax imposed under Section 409A or 4999 of the Code or otherwise.</w:t>
      </w:r>
    </w:p>
    <w:p>
      <w:pPr>
        <w:spacing w:after="0" w:line="79" w:lineRule="exact"/>
        <w:rPr>
          <w:rFonts w:ascii="Times New Roman" w:cs="Times New Roman" w:eastAsia="Times New Roman" w:hAnsi="Times New Roman"/>
          <w:sz w:val="18"/>
          <w:szCs w:val="18"/>
          <w:color w:val="auto"/>
        </w:rPr>
      </w:pPr>
    </w:p>
    <w:p>
      <w:pPr>
        <w:ind w:left="660" w:right="299" w:firstLine="352"/>
        <w:spacing w:after="0" w:line="252" w:lineRule="auto"/>
        <w:tabs>
          <w:tab w:leader="none" w:pos="12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Company Benefit Plan that is subject to the Laws of a jurisdiction other than the United States (each such plan, a “</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xml:space="preserve">”) that is required to be registered has been registered and, except as would not reasonably be expected to result in a material liability to the Company or any of its Subsidiaries, has been maintained in good standing with applicable regulatory authorities and has been funded, operated and administered in accordance with applicable Laws and applicable Collective Bargaining Agreements; (ii) except as set forth on </w:t>
      </w:r>
      <w:r>
        <w:rPr>
          <w:rFonts w:ascii="Times New Roman" w:cs="Times New Roman" w:eastAsia="Times New Roman" w:hAnsi="Times New Roman"/>
          <w:sz w:val="18"/>
          <w:szCs w:val="18"/>
          <w:u w:val="single" w:color="auto"/>
          <w:color w:val="auto"/>
        </w:rPr>
        <w:t>Section 3.11(l)(ii)</w:t>
      </w:r>
      <w:r>
        <w:rPr>
          <w:rFonts w:ascii="Times New Roman" w:cs="Times New Roman" w:eastAsia="Times New Roman" w:hAnsi="Times New Roman"/>
          <w:sz w:val="18"/>
          <w:szCs w:val="18"/>
          <w:color w:val="auto"/>
        </w:rPr>
        <w:t xml:space="preserve"> of the Company Disclosure Letter, no Non-U.S. Company Benefit Plan is a defined benefit plan (as defined in ERISA, whether or not subject to ERISA or under applicable Laws) or a multi-employer pension plan under applicable Laws and no liability has been or may be imposed on the Company and its Subsidiaries under section 144 of the Pension Schemes Act 1993 or sections 75 or 75A of the Pensions Act 1995 (or any equivalent provision relating to a public service pension scheme) to make any payment to any UK occupational pension scheme; and (iii) except as set forth on Section 3.11(l)(iii) of the Company Disclosure Letter, no material unfunded or underfunded liabilities exist with respect to any Non-U.S. Company Benefit Plan. To the Knowledge of the Company, no event has occurred that would reasonably be expected to adversely affect the registered status of any Non-U.S. Company Benefit Plan. The Company and its Subsidiaries have timely made all payments (including contributions, insurance premiums, levies, debts, taxes and expenses) required to have been made by them with respect to any Non-U.S. Company Benefit Plan and to any plan or arrangement.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firstLine="352"/>
        <w:spacing w:after="0" w:line="266" w:lineRule="auto"/>
        <w:tabs>
          <w:tab w:leader="none" w:pos="132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at all times complied with its obligations under Part 1 of the Pensions Act 2008 and no regulatory action or claims have been or, are likely to be, taken or raised in respect of those duties.</w:t>
      </w:r>
    </w:p>
    <w:p>
      <w:pPr>
        <w:spacing w:after="0" w:line="67" w:lineRule="exact"/>
        <w:rPr>
          <w:rFonts w:ascii="Times New Roman" w:cs="Times New Roman" w:eastAsia="Times New Roman" w:hAnsi="Times New Roman"/>
          <w:sz w:val="18"/>
          <w:szCs w:val="18"/>
          <w:color w:val="auto"/>
        </w:rPr>
      </w:pPr>
    </w:p>
    <w:p>
      <w:pPr>
        <w:ind w:left="660" w:right="399" w:firstLine="352"/>
        <w:spacing w:after="0" w:line="258" w:lineRule="auto"/>
        <w:tabs>
          <w:tab w:leader="none" w:pos="127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(as defined in the Transfer of Undertakings (Protection of Employment) Regulations 1981 or 2006) of the Company or any Subsidiary whose employment has previously transferred to the Company or the relevant Subsidiary under those regulations has a right to (i) enhanced benefits on redundancy or on early retirement or (ii) a set amount of employer contributions that is higher than has been disclosed to Parent.</w:t>
      </w:r>
    </w:p>
    <w:p>
      <w:pPr>
        <w:spacing w:after="0" w:line="75" w:lineRule="exact"/>
        <w:rPr>
          <w:rFonts w:ascii="Times New Roman" w:cs="Times New Roman" w:eastAsia="Times New Roman" w:hAnsi="Times New Roman"/>
          <w:sz w:val="18"/>
          <w:szCs w:val="18"/>
          <w:color w:val="auto"/>
        </w:rPr>
      </w:pPr>
    </w:p>
    <w:p>
      <w:pPr>
        <w:ind w:left="660" w:right="359" w:firstLine="352"/>
        <w:spacing w:after="0" w:line="281" w:lineRule="auto"/>
        <w:tabs>
          <w:tab w:leader="none" w:pos="127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contribution notice, financial support direction or restoration order (as defined in sections 38 to 56 of the Pensions Act 2004) has been issued which relates or refers to Company or any Subsidiary or to any current or former director, officer, employee or worker of Company or any Subsidiary and there are no circumstances (including Closing) which could or might result in such a notice, direction or order being issued.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i w:val="1"/>
          <w:iCs w:val="1"/>
          <w:color w:val="auto"/>
        </w:rPr>
        <w:t>Employee and Labor Matters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539" w:firstLine="352"/>
        <w:spacing w:after="0" w:line="257" w:lineRule="auto"/>
        <w:tabs>
          <w:tab w:leader="none" w:pos="1265"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is a party to, bound by, or otherwise subject to, a Collective Bargaining Agreement and no such agreement is being negotiated by the Company or any of its Subsidiaries and (ii) no employee of the Company or any of its Subsidiaries is represented by a Union and</w:t>
      </w:r>
    </w:p>
    <w:p>
      <w:pPr>
        <w:spacing w:after="0" w:line="1" w:lineRule="exact"/>
        <w:rPr>
          <w:rFonts w:ascii="Times New Roman" w:cs="Times New Roman" w:eastAsia="Times New Roman" w:hAnsi="Times New Roman"/>
          <w:sz w:val="18"/>
          <w:szCs w:val="18"/>
          <w:color w:val="auto"/>
        </w:rPr>
      </w:pPr>
    </w:p>
    <w:p>
      <w:pPr>
        <w:ind w:left="660" w:right="319" w:hanging="8"/>
        <w:spacing w:after="0" w:line="265" w:lineRule="auto"/>
        <w:tabs>
          <w:tab w:leader="none" w:pos="97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3.12(a)(iii)</w:t>
      </w:r>
      <w:r>
        <w:rPr>
          <w:rFonts w:ascii="Times New Roman" w:cs="Times New Roman" w:eastAsia="Times New Roman" w:hAnsi="Times New Roman"/>
          <w:sz w:val="17"/>
          <w:szCs w:val="17"/>
          <w:color w:val="auto"/>
        </w:rPr>
        <w:t xml:space="preserve"> of the Company Disclosure Letter, neither the Company nor any of its Subsidiaries is subject to (A) any mandatory information, consultation or co-determination rights (including any requirement to inform or consult with any works council, trade union, employee representative body or similar body) in connection with the execution of this Agreement or the consummation of the Transactions, or (B) any consent, agreement or approval that must be obtained prior to the consummation of the Transactions. Since January 1, 2023, with respect to any employee of the Company and its Subsidiaries, there have not been, and there are no pending, threatened in writing or, to the Knowledge of the Company, verbally threatened (a) representation or certification proceedings or unfair labor practice complaints, grievance or charges brought before or filed with the National Labor Relations Board or any other applicable tribunal or authority, (b) Union organizing efforts or campaigns or petition for certification of recognition by a Union or</w:t>
      </w:r>
    </w:p>
    <w:p>
      <w:pPr>
        <w:spacing w:after="0" w:line="1" w:lineRule="exact"/>
        <w:rPr>
          <w:rFonts w:ascii="Times New Roman" w:cs="Times New Roman" w:eastAsia="Times New Roman" w:hAnsi="Times New Roman"/>
          <w:sz w:val="17"/>
          <w:szCs w:val="17"/>
          <w:color w:val="auto"/>
        </w:rPr>
      </w:pPr>
    </w:p>
    <w:p>
      <w:pPr>
        <w:ind w:left="660" w:right="499" w:hanging="8"/>
        <w:spacing w:after="0" w:line="260" w:lineRule="auto"/>
        <w:tabs>
          <w:tab w:leader="none" w:pos="9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strikes, disputes, lockouts, slowdowns, stoppages, picketing, or other organized work interruption or material labor-related grievances.</w:t>
      </w:r>
    </w:p>
    <w:p>
      <w:pPr>
        <w:spacing w:after="0" w:line="73" w:lineRule="exact"/>
        <w:rPr>
          <w:rFonts w:ascii="Times New Roman" w:cs="Times New Roman" w:eastAsia="Times New Roman" w:hAnsi="Times New Roman"/>
          <w:sz w:val="18"/>
          <w:szCs w:val="18"/>
          <w:color w:val="auto"/>
        </w:rPr>
      </w:pPr>
    </w:p>
    <w:p>
      <w:pPr>
        <w:ind w:left="660" w:right="339" w:firstLine="352"/>
        <w:spacing w:after="0" w:line="252" w:lineRule="auto"/>
        <w:tabs>
          <w:tab w:leader="none" w:pos="127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or would not reasonably be expected to have, individually or in the aggregate, a Company Material Adverse Effect, the Company and its Subsidiaries are, and at all times since January 1, 2023 have been, in compliance with all applicable Laws respecting employment and employment practices, including all Laws respecting terms and conditions of employment, human rights, health and safety, all forms of remuneration and wage payment (including overtime and minimum wage) and withholding and deductions, holiday pay, wages and hours, working time obligations more generally, child labor, immigration and work authorizations, background checks and drug testing, classification and payment of employees and independent contractors, pay equity, non-harassment and non-retaliation in employment, statutory leaves (including family and medical leaves), occupational health and safety, employment discrimination, disability rights or benefits, equal opportunity, plant closures and layoffs, affirmative action, workers’ compensation, labor relations, social welfare obligations, language of work and unemployment insurance. The Company and each of its Subsidiaries has complied in all material respects with all obligations to inform and consult with any works council, trade union, employee representative body or similar body (including any such obligations under applicable Law or pursuant to any Collective Bargaining Agreement or other Contract), and no current or past non-compliance subsists or, to the Knowledge of the Company, has been threatened. There are not, and since January 1, 2023, there have not been, any Proceedings pending, threatened in writing or, to the Knowledge of the Company, threatened verbally, by or before any Governmental Entity against or affecting the Company or any of its Subsidiaries, concerning employment-related matters or brought by or on behalf of any current or former applicant, employee or independent contractor of the Company or any of its Subsidiaries, except, in each case, for those that, individually or in the aggregate, have not had, and would not reasonably be expected to have, a Company Material Adverse Effect.</w:t>
      </w:r>
    </w:p>
    <w:p>
      <w:pPr>
        <w:spacing w:after="0" w:line="79" w:lineRule="exact"/>
        <w:rPr>
          <w:rFonts w:ascii="Times New Roman" w:cs="Times New Roman" w:eastAsia="Times New Roman" w:hAnsi="Times New Roman"/>
          <w:sz w:val="18"/>
          <w:szCs w:val="18"/>
          <w:color w:val="auto"/>
        </w:rPr>
      </w:pPr>
    </w:p>
    <w:p>
      <w:pPr>
        <w:ind w:left="660" w:right="759" w:firstLine="352"/>
        <w:spacing w:after="0" w:line="282" w:lineRule="auto"/>
        <w:tabs>
          <w:tab w:leader="none" w:pos="126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has been laid off or terminated but retains recall or reinstatement rights pursuant to applicable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firstLine="352"/>
        <w:spacing w:after="0" w:line="261" w:lineRule="auto"/>
        <w:tabs>
          <w:tab w:leader="none" w:pos="127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since January 1, 2023, taken any action that would constitute a “Mass Layoff” or “Plant Closing” or collective dismissal within the meaning of, or would otherwise trigger notice requirements or liability under, the Worker Adjustment Retraining and Notification Act of 1988, as amended, or any similar Law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660" w:right="339" w:firstLine="352"/>
        <w:spacing w:after="0" w:line="255" w:lineRule="auto"/>
        <w:tabs>
          <w:tab w:leader="none" w:pos="126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neither the Company nor any of its Subsidiaries (i) has been found in violation in any material respect of any Laws relating to occupational health and safety, (ii) is or has been a party to, or otherwise bound by, any material consent decree with, or material citation or Order by, any Governmental Entity relating to current or former employees or employment practices, or (iii) is or has been subject to any material audit or investigation by the Occupational Safety and Health Administration, the Department of Labor, U.S. Citizenship and Immigration Services, or any comparable Governmental Entity, or subject to material fines, penalties, or assessments associated with such audits or investigations.</w:t>
      </w:r>
    </w:p>
    <w:p>
      <w:pPr>
        <w:spacing w:after="0" w:line="80" w:lineRule="exact"/>
        <w:rPr>
          <w:rFonts w:ascii="Times New Roman" w:cs="Times New Roman" w:eastAsia="Times New Roman" w:hAnsi="Times New Roman"/>
          <w:sz w:val="18"/>
          <w:szCs w:val="18"/>
          <w:color w:val="auto"/>
        </w:rPr>
      </w:pPr>
    </w:p>
    <w:p>
      <w:pPr>
        <w:ind w:left="1240" w:hanging="228"/>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duly registered and in good standing with the applicable</w:t>
      </w:r>
    </w:p>
    <w:p>
      <w:pPr>
        <w:spacing w:after="0" w:line="27" w:lineRule="exact"/>
        <w:rPr>
          <w:rFonts w:ascii="Times New Roman" w:cs="Times New Roman" w:eastAsia="Times New Roman" w:hAnsi="Times New Roman"/>
          <w:sz w:val="18"/>
          <w:szCs w:val="18"/>
          <w:color w:val="auto"/>
        </w:rPr>
      </w:pPr>
    </w:p>
    <w:p>
      <w:pPr>
        <w:ind w:left="66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boards as required by applicable Laws. There are no material outstanding assessments, penalties, fines, liens, charges, surcharges, or other amounts due or owing pursuant to any workplace safety and insurance legislation and neither the Company nor any of its Subsidiaries has been reassessed in any material respect under such legislation since January 1, 2023. There are no claims or potential claims which may materially adversely affect the accident cost experience of the Company or any of its Subsidiaries.</w:t>
      </w:r>
    </w:p>
    <w:p>
      <w:pPr>
        <w:spacing w:after="0" w:line="78" w:lineRule="exact"/>
        <w:rPr>
          <w:rFonts w:ascii="Times New Roman" w:cs="Times New Roman" w:eastAsia="Times New Roman" w:hAnsi="Times New Roman"/>
          <w:sz w:val="18"/>
          <w:szCs w:val="18"/>
          <w:color w:val="auto"/>
        </w:rPr>
      </w:pPr>
    </w:p>
    <w:p>
      <w:pPr>
        <w:ind w:left="660" w:right="319" w:firstLine="352"/>
        <w:spacing w:after="0" w:line="251" w:lineRule="auto"/>
        <w:tabs>
          <w:tab w:leader="none" w:pos="127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True and complete information as to the name, employing entity, location of work, current job title, terms and conditions of employment and annual base compensation for all current employees of the Company and its Subsidiaries has been provided to Parent. Except as set forth on </w:t>
      </w:r>
      <w:r>
        <w:rPr>
          <w:rFonts w:ascii="Times New Roman" w:cs="Times New Roman" w:eastAsia="Times New Roman" w:hAnsi="Times New Roman"/>
          <w:sz w:val="18"/>
          <w:szCs w:val="18"/>
          <w:u w:val="single" w:color="auto"/>
          <w:color w:val="auto"/>
        </w:rPr>
        <w:t>Section 3.11(i)</w:t>
      </w:r>
      <w:r>
        <w:rPr>
          <w:rFonts w:ascii="Times New Roman" w:cs="Times New Roman" w:eastAsia="Times New Roman" w:hAnsi="Times New Roman"/>
          <w:sz w:val="18"/>
          <w:szCs w:val="18"/>
          <w:color w:val="auto"/>
        </w:rPr>
        <w:t xml:space="preserve"> and Section 3.11(j) of the Company Disclosure Letter, none of the employees of the Company or any of its Subsidiaries are entitled to any rights, whether legal, contractual, customary or other, with regard to the termination of their employment for any reason including redundancy and/or retirement (such as the right to increased severance indemnity, extended prior notice, or termination only for specific reasons) other than the minimum rights provided by applicable law. The Company and its Subsidiaries do not have any practice of paying enhanced indemnities in case of termination of employment for any reason whatsoever, including redundancy or retirement. To the Knowledge of the Company, as of the date hereof, no current executive, key employee or group of employees has given notice of termination of employment or otherwise disclosed plans to terminate employment with the Company or any of its Subsidiaries within the twelve (12)-month period following the date hereof. No executive or key employee of the Company or any of its Subsidiaries is employed under a non-immigrant work visa or other work authorization that is limited in duration and all foreign employees have been properly equipped with valid work and residence permits. Since January 1, 2023, no current or former employee or independent contractor has notified the Company or any Subsidiary of an allegation of sex-based discrimination, sexual harassment or sexual misconduct by any director, officer, executive, manager, or supervisor of the Company or any of its Subsidiaries and, to the Knowledge of the Company, no director, officer, or executive of the Company or any of its Subsidiaries has been subject to any such allegation. Neither the Company nor any of its Subsidiaries is party to a material settlement agreement with any director, officer, executive, manager, or supervisor of the Company or any of its Subsidiaries that arises primarily out of material allegations of sexual harassment by any such director, officer, or executive of the Company or any of its Subsidiaries.</w:t>
      </w:r>
    </w:p>
    <w:p>
      <w:pPr>
        <w:spacing w:after="0" w:line="95" w:lineRule="exact"/>
        <w:rPr>
          <w:sz w:val="20"/>
          <w:szCs w:val="20"/>
          <w:color w:val="auto"/>
        </w:rPr>
      </w:pPr>
    </w:p>
    <w:p>
      <w:pPr>
        <w:ind w:left="300" w:right="379" w:firstLine="360"/>
        <w:spacing w:after="0" w:line="28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w:t>
      </w:r>
    </w:p>
    <w:p>
      <w:pPr>
        <w:spacing w:after="0" w:line="52" w:lineRule="exact"/>
        <w:rPr>
          <w:sz w:val="20"/>
          <w:szCs w:val="20"/>
          <w:color w:val="auto"/>
        </w:rPr>
      </w:pPr>
    </w:p>
    <w:p>
      <w:pPr>
        <w:ind w:left="660" w:right="419" w:firstLine="352"/>
        <w:spacing w:after="0" w:line="256" w:lineRule="auto"/>
        <w:tabs>
          <w:tab w:leader="none" w:pos="126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is in, and at all times since January 1, 2023, has been in, compliance with all, and is not subject to any liability with respect to noncompliance with any, applicable Environmental Laws, (ii) has and holds all Environmental Permits necessary for the conduct of their business and the ownership, operation or use of their properties and assets, as currently conducted and used and as conducted or used since January 1, 2023, and (iii) is in, and at all times since January 1, 2023 has been in, material compliance with their respective Environmental Permits.</w:t>
      </w:r>
    </w:p>
    <w:p>
      <w:pPr>
        <w:spacing w:after="0" w:line="79" w:lineRule="exact"/>
        <w:rPr>
          <w:rFonts w:ascii="Times New Roman" w:cs="Times New Roman" w:eastAsia="Times New Roman" w:hAnsi="Times New Roman"/>
          <w:sz w:val="18"/>
          <w:szCs w:val="18"/>
          <w:color w:val="auto"/>
        </w:rPr>
      </w:pPr>
    </w:p>
    <w:p>
      <w:pPr>
        <w:ind w:left="660" w:right="359" w:firstLine="352"/>
        <w:spacing w:after="0" w:line="289" w:lineRule="auto"/>
        <w:tabs>
          <w:tab w:leader="none" w:pos="127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Environmental Claims pending, threatened in writing nor, to the Knowledge of the Company, threatened verbally against the Company or any of its Subsidiaries, and none of the Company or any of its Subsidiaries has received any written notice or Order regarding any violation of or liability under 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Environmental Law, including but not limited to any notification of any allegation of actual or potential responsibility for any Release or threatened Release of any Hazardous Materials and any notification or request for information under Section 104(e) of the Comprehensive Environmental Response, Compensation and Liability Act, 42 U.S.C. 9601 et seq.</w:t>
      </w:r>
    </w:p>
    <w:p>
      <w:pPr>
        <w:spacing w:after="0" w:line="72" w:lineRule="exact"/>
        <w:rPr>
          <w:sz w:val="20"/>
          <w:szCs w:val="20"/>
          <w:color w:val="auto"/>
        </w:rPr>
      </w:pPr>
    </w:p>
    <w:p>
      <w:pPr>
        <w:ind w:left="660" w:right="359" w:firstLine="352"/>
        <w:spacing w:after="0" w:line="256" w:lineRule="auto"/>
        <w:tabs>
          <w:tab w:leader="none" w:pos="126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third party, has treated, stored, disposed of, arranged for disposal of, transported, handled, managed, manufactured, repaired, installed, distributed, exposed any Person to, or Released, any Hazardous Materials, including at, under or from the Company Owned Real Property or the Company Leased Real Property (or any other real property now or formerly leased, owned or operated by the Company or any of its Subsidiaries), in each case so as to give rise to any material liability of the Company or any of its Subsidiaries pursuant to Environmental Laws.</w:t>
      </w:r>
    </w:p>
    <w:p>
      <w:pPr>
        <w:spacing w:after="0" w:line="79" w:lineRule="exact"/>
        <w:rPr>
          <w:rFonts w:ascii="Times New Roman" w:cs="Times New Roman" w:eastAsia="Times New Roman" w:hAnsi="Times New Roman"/>
          <w:sz w:val="18"/>
          <w:szCs w:val="18"/>
          <w:color w:val="auto"/>
        </w:rPr>
      </w:pPr>
    </w:p>
    <w:p>
      <w:pPr>
        <w:ind w:left="660" w:right="359" w:firstLine="352"/>
        <w:spacing w:after="0" w:line="255" w:lineRule="auto"/>
        <w:tabs>
          <w:tab w:leader="none" w:pos="12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 has entered into or agreed to any consent decree or consent order or is otherwise subject to any judgment, decree, or judicial or administrative order relating to compliance with Environmental Laws, Environmental Permits or to the investigation, remediation, response, removal or cleanup of Hazardous Materials and no Proceeding is pending, threatened in writing or, to the Knowledge of the Company, threatened verbally with respect thereto, or (ii) is an indemnitor by contract or otherwise or has assumed any liability of any third party under any Environmental Law or otherwise relating to any Hazardous Materials.</w:t>
      </w:r>
    </w:p>
    <w:p>
      <w:pPr>
        <w:spacing w:after="0" w:line="80" w:lineRule="exact"/>
        <w:rPr>
          <w:rFonts w:ascii="Times New Roman" w:cs="Times New Roman" w:eastAsia="Times New Roman" w:hAnsi="Times New Roman"/>
          <w:sz w:val="18"/>
          <w:szCs w:val="18"/>
          <w:color w:val="auto"/>
        </w:rPr>
      </w:pPr>
    </w:p>
    <w:p>
      <w:pPr>
        <w:ind w:left="660" w:right="379" w:firstLine="352"/>
        <w:spacing w:after="0" w:line="274" w:lineRule="auto"/>
        <w:tabs>
          <w:tab w:leader="none" w:pos="126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made available all material environmental assessments, audits, reports and other material environmental, worker health and safety documents relating to the Company or any of its Subsidiaries that are in the Company’s or its Subsidiaries’ possession or under its reasonable control, including documents that regard the compliance of the Company or any of its Subsidiaries with Environmental Laws or the environmental condition of any of the Company Owned Real Property or Company Leased Real Property or any other real property currently or formerly owned or operated by the Company or any of its Subsidiaries.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i w:val="1"/>
          <w:iCs w:val="1"/>
          <w:color w:val="auto"/>
        </w:rPr>
        <w:t>Real Property; Title to Assets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39" w:firstLine="352"/>
        <w:spacing w:after="0" w:line="273" w:lineRule="auto"/>
        <w:tabs>
          <w:tab w:leader="none" w:pos="1264"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3.14(a)</w:t>
      </w:r>
      <w:r>
        <w:rPr>
          <w:rFonts w:ascii="Times New Roman" w:cs="Times New Roman" w:eastAsia="Times New Roman" w:hAnsi="Times New Roman"/>
          <w:sz w:val="17"/>
          <w:szCs w:val="17"/>
          <w:color w:val="auto"/>
        </w:rPr>
        <w:t xml:space="preserve"> of the Company Disclosure Letter sets forth a true and complete list of all real property owned in fee by the Company or any of its Subsidiaries (collectively, the “</w:t>
      </w:r>
      <w:r>
        <w:rPr>
          <w:rFonts w:ascii="Times New Roman" w:cs="Times New Roman" w:eastAsia="Times New Roman" w:hAnsi="Times New Roman"/>
          <w:sz w:val="17"/>
          <w:szCs w:val="17"/>
          <w:u w:val="single" w:color="auto"/>
          <w:color w:val="auto"/>
        </w:rPr>
        <w:t>Company Owned Real Property</w:t>
      </w:r>
      <w:r>
        <w:rPr>
          <w:rFonts w:ascii="Times New Roman" w:cs="Times New Roman" w:eastAsia="Times New Roman" w:hAnsi="Times New Roman"/>
          <w:sz w:val="17"/>
          <w:szCs w:val="17"/>
          <w:color w:val="auto"/>
        </w:rPr>
        <w:t>”) and the address for each Company Owned Real Property. The Company or any of its Subsidiaries, as the case may be, holds good and valid fee title to the Company Owned Real Property, free and clear of all Liens, except for Permitted Liens. All buildings, structures, improvements and fixtures located on the Company Owned Real Property are in a state of good operating condition and repair in all material respects and are sufficient for the continued conduct of business in the ordinary course, subject to reasonable wear and tear.</w:t>
      </w:r>
    </w:p>
    <w:p>
      <w:pPr>
        <w:spacing w:after="0" w:line="63" w:lineRule="exact"/>
        <w:rPr>
          <w:rFonts w:ascii="Times New Roman" w:cs="Times New Roman" w:eastAsia="Times New Roman" w:hAnsi="Times New Roman"/>
          <w:sz w:val="17"/>
          <w:szCs w:val="17"/>
          <w:color w:val="auto"/>
        </w:rPr>
      </w:pPr>
    </w:p>
    <w:p>
      <w:pPr>
        <w:ind w:left="660" w:right="519" w:firstLine="352"/>
        <w:spacing w:after="0" w:line="272" w:lineRule="auto"/>
        <w:tabs>
          <w:tab w:leader="none" w:pos="1275"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3.14(b)</w:t>
      </w:r>
      <w:r>
        <w:rPr>
          <w:rFonts w:ascii="Times New Roman" w:cs="Times New Roman" w:eastAsia="Times New Roman" w:hAnsi="Times New Roman"/>
          <w:sz w:val="17"/>
          <w:szCs w:val="17"/>
          <w:color w:val="auto"/>
        </w:rPr>
        <w:t xml:space="preserve"> of the Company Disclosure Letter sets forth (i) a true and complete list of all real property leased, subleased or otherwise occupied by the Company or any of its Subsidiaries (collectively, the “</w:t>
      </w:r>
      <w:r>
        <w:rPr>
          <w:rFonts w:ascii="Times New Roman" w:cs="Times New Roman" w:eastAsia="Times New Roman" w:hAnsi="Times New Roman"/>
          <w:sz w:val="17"/>
          <w:szCs w:val="17"/>
          <w:u w:val="single" w:color="auto"/>
          <w:color w:val="auto"/>
        </w:rPr>
        <w:t>Company Leased Real Property</w:t>
      </w:r>
      <w:r>
        <w:rPr>
          <w:rFonts w:ascii="Times New Roman" w:cs="Times New Roman" w:eastAsia="Times New Roman" w:hAnsi="Times New Roman"/>
          <w:sz w:val="17"/>
          <w:szCs w:val="17"/>
          <w:color w:val="auto"/>
        </w:rPr>
        <w:t>”), (ii) the address for each parcel of Company Leased Real Property, and</w:t>
      </w:r>
    </w:p>
    <w:p>
      <w:pPr>
        <w:spacing w:after="0" w:line="1" w:lineRule="exact"/>
        <w:rPr>
          <w:rFonts w:ascii="Times New Roman" w:cs="Times New Roman" w:eastAsia="Times New Roman" w:hAnsi="Times New Roman"/>
          <w:sz w:val="17"/>
          <w:szCs w:val="17"/>
          <w:color w:val="auto"/>
        </w:rPr>
      </w:pPr>
    </w:p>
    <w:p>
      <w:pPr>
        <w:ind w:left="660" w:right="339" w:hanging="8"/>
        <w:spacing w:after="0" w:line="255" w:lineRule="auto"/>
        <w:tabs>
          <w:tab w:leader="none" w:pos="9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applicable lease, sublease or other agreement therefore and any and all amendments and modifications relating thereto. No Company Lease Agreement is subject to any Lien, including any right to the use or occupancy of any Company Leased Real Property, other than Permitted Liens.</w:t>
      </w:r>
    </w:p>
    <w:p>
      <w:pPr>
        <w:spacing w:after="0" w:line="77" w:lineRule="exact"/>
        <w:rPr>
          <w:rFonts w:ascii="Times New Roman" w:cs="Times New Roman" w:eastAsia="Times New Roman" w:hAnsi="Times New Roman"/>
          <w:sz w:val="18"/>
          <w:szCs w:val="18"/>
          <w:color w:val="auto"/>
        </w:rPr>
      </w:pPr>
    </w:p>
    <w:p>
      <w:pPr>
        <w:ind w:left="660" w:right="399" w:firstLine="352"/>
        <w:spacing w:after="0" w:line="254" w:lineRule="auto"/>
        <w:tabs>
          <w:tab w:leader="none" w:pos="126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Real Property and the Company Leased Real Property are referred to collectively herein as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The Company Real Property constitutes all of the real property owned, leased, subleased or otherwise occupied by the Company or any of its Subsidiaries. Except as has not had and would not reasonably be expected to have, individually or in the aggregate, a Company Material Adverse Effect, (A) each parcel of Company Real Property is in compliance with all existing Laws applicable to such Company Real Property, and (B) neither the Company nor any of its Subsidiaries has received written notice of any Proceedings in eminent domain, condemnation or other similar Proceedings that are pending or threatened in writing, and to the Company’s Knowledge there are no such Proceedings verbally threatened, affecting any portion of the Company Real Property.</w:t>
      </w:r>
    </w:p>
    <w:p>
      <w:pPr>
        <w:spacing w:after="0" w:line="80" w:lineRule="exact"/>
        <w:rPr>
          <w:rFonts w:ascii="Times New Roman" w:cs="Times New Roman" w:eastAsia="Times New Roman" w:hAnsi="Times New Roman"/>
          <w:sz w:val="18"/>
          <w:szCs w:val="18"/>
          <w:color w:val="auto"/>
        </w:rPr>
      </w:pPr>
    </w:p>
    <w:p>
      <w:pPr>
        <w:ind w:left="660" w:right="379" w:firstLine="352"/>
        <w:spacing w:after="0" w:line="258" w:lineRule="auto"/>
        <w:tabs>
          <w:tab w:leader="none" w:pos="127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of the Company has good and marketable title to, or a valid and binding leasehold or other interest in, all tangible personal property necessary for the conduct of the business of the Company and its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99" w:firstLine="352"/>
        <w:spacing w:after="0" w:line="255" w:lineRule="auto"/>
        <w:tabs>
          <w:tab w:leader="none" w:pos="12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that are required to be filed by or with respect to any of the Company or its Subsidiaries have been timely and properly filed (taking into account any extension of time within which to file), and all such Tax Returns are true, complete, and accurate in all material respects. The Company and its Subsidiaries have complied, in all material respects, with applicable Law relating to sales, use, value-added and similar material Taxes, including receipt and retention of material Tax exemption certificates and other supporting documentation qualifying sales, leases or the provision of services as exempt from such Taxes.</w:t>
      </w:r>
    </w:p>
    <w:p>
      <w:pPr>
        <w:spacing w:after="0" w:line="80" w:lineRule="exact"/>
        <w:rPr>
          <w:rFonts w:ascii="Times New Roman" w:cs="Times New Roman" w:eastAsia="Times New Roman" w:hAnsi="Times New Roman"/>
          <w:sz w:val="18"/>
          <w:szCs w:val="18"/>
          <w:color w:val="auto"/>
        </w:rPr>
      </w:pPr>
    </w:p>
    <w:p>
      <w:pPr>
        <w:ind w:left="660" w:right="439" w:firstLine="352"/>
        <w:spacing w:after="0" w:line="261" w:lineRule="auto"/>
        <w:tabs>
          <w:tab w:leader="none" w:pos="127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timely and properly paid all material amounts of Taxes due and owing by it and has withheld and timely paid to the proper Governmental Entity any material Taxes required to be withheld from amounts owing to, or collected from, any employee, creditor, or other third party (in each case, whether or not shown on any Tax Return).</w:t>
      </w:r>
    </w:p>
    <w:p>
      <w:pPr>
        <w:spacing w:after="0" w:line="71" w:lineRule="exact"/>
        <w:rPr>
          <w:rFonts w:ascii="Times New Roman" w:cs="Times New Roman" w:eastAsia="Times New Roman" w:hAnsi="Times New Roman"/>
          <w:sz w:val="18"/>
          <w:szCs w:val="18"/>
          <w:color w:val="auto"/>
        </w:rPr>
      </w:pPr>
    </w:p>
    <w:p>
      <w:pPr>
        <w:ind w:left="660" w:right="679" w:firstLine="352"/>
        <w:spacing w:after="0" w:line="282" w:lineRule="auto"/>
        <w:tabs>
          <w:tab w:leader="none" w:pos="12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charged, collected and remitted on a timely basis all Taxes as required under applicable Law on any sale, supply or delivery whatsoever, made by it.</w:t>
      </w:r>
    </w:p>
    <w:p>
      <w:pPr>
        <w:spacing w:after="0" w:line="53" w:lineRule="exact"/>
        <w:rPr>
          <w:rFonts w:ascii="Times New Roman" w:cs="Times New Roman" w:eastAsia="Times New Roman" w:hAnsi="Times New Roman"/>
          <w:sz w:val="18"/>
          <w:szCs w:val="18"/>
          <w:color w:val="auto"/>
        </w:rPr>
      </w:pPr>
    </w:p>
    <w:p>
      <w:pPr>
        <w:ind w:left="660" w:right="399" w:firstLine="352"/>
        <w:spacing w:after="0" w:line="256" w:lineRule="auto"/>
        <w:tabs>
          <w:tab w:leader="none" w:pos="127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material Taxes have been claimed, proposed or assessed by any Governmental Entity in writing against the Company or any of its Subsidiaries except for deficiencies which have been fully satisfied by payment, settled or withdrawn. The Company and each of its Subsidiaries are in compliance, in all material respects, with all terms, conditions, and obligations under any tax installment, amnesty, or similar program to which they have adhered, and neither the Company nor any of its Subsidiaries is in default thereunder or, to the Knowledge of the Company, at risk of exclusion from any such program.</w:t>
      </w:r>
    </w:p>
    <w:p>
      <w:pPr>
        <w:spacing w:after="0" w:line="79" w:lineRule="exact"/>
        <w:rPr>
          <w:rFonts w:ascii="Times New Roman" w:cs="Times New Roman" w:eastAsia="Times New Roman" w:hAnsi="Times New Roman"/>
          <w:sz w:val="18"/>
          <w:szCs w:val="18"/>
          <w:color w:val="auto"/>
        </w:rPr>
      </w:pPr>
    </w:p>
    <w:p>
      <w:pPr>
        <w:ind w:left="660" w:right="459" w:firstLine="352"/>
        <w:spacing w:after="0" w:line="266" w:lineRule="auto"/>
        <w:tabs>
          <w:tab w:leader="none" w:pos="12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 examination, investigation or other proceeding with respect to any income or other material Taxes of the Company or any of its Subsidiaries is pending, in progress, threatened in writing or, to the Knowledge of the Company, threatened verbally.</w:t>
      </w:r>
    </w:p>
    <w:p>
      <w:pPr>
        <w:spacing w:after="0" w:line="67" w:lineRule="exact"/>
        <w:rPr>
          <w:rFonts w:ascii="Times New Roman" w:cs="Times New Roman" w:eastAsia="Times New Roman" w:hAnsi="Times New Roman"/>
          <w:sz w:val="18"/>
          <w:szCs w:val="18"/>
          <w:color w:val="auto"/>
        </w:rPr>
      </w:pPr>
    </w:p>
    <w:p>
      <w:pPr>
        <w:ind w:left="660" w:right="379" w:firstLine="352"/>
        <w:spacing w:after="0" w:line="266" w:lineRule="auto"/>
        <w:tabs>
          <w:tab w:leader="none" w:pos="124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Entity in a jurisdiction where the Company or its Subsidiaries do not file Tax Returns that the Company or any of its Subsidiaries is or may be required to file income or other material Tax Returns or subject to income or other material taxation in that jurisdiction.</w:t>
      </w:r>
    </w:p>
    <w:p>
      <w:pPr>
        <w:spacing w:after="0" w:line="67" w:lineRule="exact"/>
        <w:rPr>
          <w:rFonts w:ascii="Times New Roman" w:cs="Times New Roman" w:eastAsia="Times New Roman" w:hAnsi="Times New Roman"/>
          <w:sz w:val="18"/>
          <w:szCs w:val="18"/>
          <w:color w:val="auto"/>
        </w:rPr>
      </w:pPr>
    </w:p>
    <w:p>
      <w:pPr>
        <w:ind w:left="660" w:right="339" w:firstLine="352"/>
        <w:spacing w:after="0" w:line="266" w:lineRule="auto"/>
        <w:tabs>
          <w:tab w:leader="none" w:pos="127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waived or extended any statute of limitations with respect to material Taxes or agreed to any extension of time with respect to a material Tax assessment or deficiency, which waiver or extension remains in effect.</w:t>
      </w:r>
    </w:p>
    <w:p>
      <w:pPr>
        <w:spacing w:after="0" w:line="67"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a “</w:t>
      </w:r>
      <w:r>
        <w:rPr>
          <w:rFonts w:ascii="Times New Roman" w:cs="Times New Roman" w:eastAsia="Times New Roman" w:hAnsi="Times New Roman"/>
          <w:sz w:val="18"/>
          <w:szCs w:val="18"/>
          <w:u w:val="single" w:color="auto"/>
          <w:color w:val="auto"/>
        </w:rPr>
        <w:t>distributing corporation</w:t>
      </w:r>
      <w:r>
        <w:rPr>
          <w:rFonts w:ascii="Times New Roman" w:cs="Times New Roman" w:eastAsia="Times New Roman" w:hAnsi="Times New Roman"/>
          <w:sz w:val="18"/>
          <w:szCs w:val="18"/>
          <w:color w:val="auto"/>
        </w:rPr>
        <w:t>” or a</w:t>
      </w:r>
    </w:p>
    <w:p>
      <w:pPr>
        <w:spacing w:after="0" w:line="27" w:lineRule="exact"/>
        <w:rPr>
          <w:sz w:val="20"/>
          <w:szCs w:val="20"/>
          <w:color w:val="auto"/>
        </w:rPr>
      </w:pPr>
    </w:p>
    <w:p>
      <w:pPr>
        <w:jc w:val="both"/>
        <w:ind w:left="660" w:right="53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corporation</w:t>
      </w:r>
      <w:r>
        <w:rPr>
          <w:rFonts w:ascii="Times New Roman" w:cs="Times New Roman" w:eastAsia="Times New Roman" w:hAnsi="Times New Roman"/>
          <w:sz w:val="18"/>
          <w:szCs w:val="18"/>
          <w:color w:val="auto"/>
        </w:rPr>
        <w:t>” (within the meaning of Section 355(a)(1)(A) of the Code) in a distribution of stock intended to qualify for tax-free treatment under Section 355(a) of the Code (or any similar provision of state, local, or non-U.S. Law) in the two (2) years prior to the date of this Agreement.</w:t>
      </w:r>
    </w:p>
    <w:p>
      <w:pPr>
        <w:spacing w:after="0" w:line="78" w:lineRule="exact"/>
        <w:rPr>
          <w:sz w:val="20"/>
          <w:szCs w:val="20"/>
          <w:color w:val="auto"/>
        </w:rPr>
      </w:pPr>
    </w:p>
    <w:p>
      <w:pPr>
        <w:ind w:left="660" w:right="399" w:firstLine="352"/>
        <w:spacing w:after="0" w:line="289" w:lineRule="auto"/>
        <w:tabs>
          <w:tab w:leader="none" w:pos="123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or bound by any income or other material Tax allocation, sharing, indemnity, or reimbursement agreement or arrangement (other than any agreement entered into in the ordinary course of business the primary purpose of which is not related to Taxes).</w:t>
      </w:r>
    </w:p>
    <w:p>
      <w:pPr>
        <w:spacing w:after="0" w:line="49" w:lineRule="exact"/>
        <w:rPr>
          <w:rFonts w:ascii="Times New Roman" w:cs="Times New Roman" w:eastAsia="Times New Roman" w:hAnsi="Times New Roman"/>
          <w:sz w:val="17"/>
          <w:szCs w:val="17"/>
          <w:color w:val="auto"/>
        </w:rPr>
      </w:pPr>
    </w:p>
    <w:p>
      <w:pPr>
        <w:ind w:left="660" w:right="319" w:firstLine="352"/>
        <w:spacing w:after="0" w:line="255" w:lineRule="auto"/>
        <w:tabs>
          <w:tab w:leader="none" w:pos="12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have been a member of a consolidated tax group (or any analogous combined, affiliated, or unitary group defined under state, local or foreign Law), other than such a group of which the Company or one of its Subsidiaries has been the common parent, or (ii) has any liability for income or other material Taxes of any Person under Treasury Regulations Section 1.1502-6 (or any similar provision of state, local or foreign Law), as a transferee or successor, by any contract, or otherwise (other than pursuant to an agreement entered into in the ordinary course of business the primary purpose of which is not related to Taxes).</w:t>
      </w:r>
    </w:p>
    <w:p>
      <w:pPr>
        <w:spacing w:after="0" w:line="80" w:lineRule="exact"/>
        <w:rPr>
          <w:rFonts w:ascii="Times New Roman" w:cs="Times New Roman" w:eastAsia="Times New Roman" w:hAnsi="Times New Roman"/>
          <w:sz w:val="18"/>
          <w:szCs w:val="18"/>
          <w:color w:val="auto"/>
        </w:rPr>
      </w:pPr>
    </w:p>
    <w:p>
      <w:pPr>
        <w:ind w:left="660" w:right="519" w:firstLine="352"/>
        <w:spacing w:after="0" w:line="277" w:lineRule="auto"/>
        <w:tabs>
          <w:tab w:leader="none" w:pos="127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will be required to include any material item of income in, or exclude any material item of deduction from, taxable income for any taxable period (or portion thereof) ending after the Closing Date, as a result of any (i) change in method of accounting or use of an improper method of accounting in each case prior to the Closing, (ii) installment sale, any intercompany transaction, or open transaction disposition made or entered into prior to the Closing, (iii) prepaid amount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61" w:lineRule="auto"/>
        <w:rPr>
          <w:sz w:val="20"/>
          <w:szCs w:val="20"/>
          <w:color w:val="auto"/>
        </w:rPr>
      </w:pPr>
      <w:r>
        <w:rPr>
          <w:rFonts w:ascii="Times New Roman" w:cs="Times New Roman" w:eastAsia="Times New Roman" w:hAnsi="Times New Roman"/>
          <w:sz w:val="18"/>
          <w:szCs w:val="18"/>
          <w:color w:val="auto"/>
        </w:rPr>
        <w:t>deposit received on or prior to the Closing, (iv) “</w:t>
      </w:r>
      <w:r>
        <w:rPr>
          <w:rFonts w:ascii="Times New Roman" w:cs="Times New Roman" w:eastAsia="Times New Roman" w:hAnsi="Times New Roman"/>
          <w:sz w:val="18"/>
          <w:szCs w:val="18"/>
          <w:u w:val="single" w:color="auto"/>
          <w:color w:val="auto"/>
        </w:rPr>
        <w:t>closing agreement</w:t>
      </w:r>
      <w:r>
        <w:rPr>
          <w:rFonts w:ascii="Times New Roman" w:cs="Times New Roman" w:eastAsia="Times New Roman" w:hAnsi="Times New Roman"/>
          <w:sz w:val="18"/>
          <w:szCs w:val="18"/>
          <w:color w:val="auto"/>
        </w:rPr>
        <w:t>” within the meaning of Section 7121 of the Code (or any similar provision of state, local or non-U.S. Law) entered into prior to the Closing, (v) Taxes due under Section 965 of the Code, or (vi) gross income under Sections 951 or 951A of the Code as a result of activities or earnings prior to the Closing.</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 The Company is not and has not been for the five-year period ending on the Closing Date,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real property holding corporation</w:t>
      </w:r>
      <w:r>
        <w:rPr>
          <w:rFonts w:ascii="Times New Roman" w:cs="Times New Roman" w:eastAsia="Times New Roman" w:hAnsi="Times New Roman"/>
          <w:sz w:val="18"/>
          <w:szCs w:val="18"/>
          <w:color w:val="auto"/>
        </w:rPr>
        <w:t>” within the meaning of Section 897(c)(2) of the Code.</w:t>
      </w:r>
    </w:p>
    <w:p>
      <w:pPr>
        <w:spacing w:after="0" w:line="99" w:lineRule="exact"/>
        <w:rPr>
          <w:sz w:val="20"/>
          <w:szCs w:val="20"/>
          <w:color w:val="auto"/>
        </w:rPr>
      </w:pPr>
    </w:p>
    <w:p>
      <w:pPr>
        <w:ind w:left="660" w:right="399" w:firstLine="352"/>
        <w:spacing w:after="0" w:line="282" w:lineRule="auto"/>
        <w:tabs>
          <w:tab w:leader="none" w:pos="132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upon any property or assets of the Company or its Subsidiaries, except for Permitted Liens.</w:t>
      </w:r>
    </w:p>
    <w:p>
      <w:pPr>
        <w:spacing w:after="0" w:line="53" w:lineRule="exact"/>
        <w:rPr>
          <w:rFonts w:ascii="Times New Roman" w:cs="Times New Roman" w:eastAsia="Times New Roman" w:hAnsi="Times New Roman"/>
          <w:sz w:val="18"/>
          <w:szCs w:val="18"/>
          <w:color w:val="auto"/>
        </w:rPr>
      </w:pPr>
    </w:p>
    <w:p>
      <w:pPr>
        <w:ind w:left="660" w:right="519" w:firstLine="352"/>
        <w:spacing w:after="0" w:line="266" w:lineRule="auto"/>
        <w:tabs>
          <w:tab w:leader="none" w:pos="127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w:t>
      </w:r>
      <w:r>
        <w:rPr>
          <w:rFonts w:ascii="Times New Roman" w:cs="Times New Roman" w:eastAsia="Times New Roman" w:hAnsi="Times New Roman"/>
          <w:sz w:val="18"/>
          <w:szCs w:val="18"/>
          <w:u w:val="single" w:color="auto"/>
          <w:color w:val="auto"/>
        </w:rPr>
        <w:t>listed transaction</w:t>
      </w:r>
      <w:r>
        <w:rPr>
          <w:rFonts w:ascii="Times New Roman" w:cs="Times New Roman" w:eastAsia="Times New Roman" w:hAnsi="Times New Roman"/>
          <w:sz w:val="18"/>
          <w:szCs w:val="18"/>
          <w:color w:val="auto"/>
        </w:rPr>
        <w:t>” within the meaning of U.S. Treasury Regulation Sections 1.6011-4(b)(2) (or any similar provision of state, local or non-U.S. Law).</w:t>
      </w:r>
    </w:p>
    <w:p>
      <w:pPr>
        <w:spacing w:after="0" w:line="67" w:lineRule="exact"/>
        <w:rPr>
          <w:rFonts w:ascii="Times New Roman" w:cs="Times New Roman" w:eastAsia="Times New Roman" w:hAnsi="Times New Roman"/>
          <w:sz w:val="18"/>
          <w:szCs w:val="18"/>
          <w:color w:val="auto"/>
        </w:rPr>
      </w:pPr>
    </w:p>
    <w:p>
      <w:pPr>
        <w:ind w:left="660" w:right="399" w:firstLine="352"/>
        <w:spacing w:after="0" w:line="256" w:lineRule="auto"/>
        <w:tabs>
          <w:tab w:leader="none" w:pos="127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its Subsidiaries did not as of the date of the most recent Filed Company SEC Financial Statements exceed the reserve for Taxes (excluding any reserve for deferred Taxes established to reflect timing differences between book and Tax income) set forth on the face of the most recent Filed Company SEC Financial Statements (rather than in any notes thereto). Since the date of the most recent Filed Company SEC Financial Statements until the date hereof, the Company and its Subsidiaries have not incurred any material liability for Taxes outside the ordinary course of business.</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54" w:lineRule="auto"/>
        <w:tabs>
          <w:tab w:leader="none" w:pos="127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neither the Company nor any of its Subsidiaries has made, changed or revoked any material Tax election; elected or changed any material method of accounting for Tax purposes or Tax accounting period; amended any income or other material Tax Return; filed any income or other material Tax Return in a manner materially inconsistent with past practice; surrendered any right to, or filed any claim for, a material Tax refund; settled any dispute, audit, investigation, proceeding or claim in respect of material Taxes; entered into any contractual obligation in respect of income or other material Taxes with any Governmental Entity or consented to any extension or waiver of the limitation period applicable to any material Tax claim or assessment relating to the Company or any of its Subsidiaries.</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66" w:lineRule="auto"/>
        <w:tabs>
          <w:tab w:leader="none" w:pos="127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 permanent establishment (within the meaning of an applicable Tax treaty or otherwise under applicable Law) or otherwise has an office or a fixed place of business in a country other than a country in which it is organized.</w:t>
      </w:r>
    </w:p>
    <w:p>
      <w:pPr>
        <w:spacing w:after="0" w:line="67" w:lineRule="exact"/>
        <w:rPr>
          <w:rFonts w:ascii="Times New Roman" w:cs="Times New Roman" w:eastAsia="Times New Roman" w:hAnsi="Times New Roman"/>
          <w:sz w:val="18"/>
          <w:szCs w:val="18"/>
          <w:color w:val="auto"/>
        </w:rPr>
      </w:pPr>
    </w:p>
    <w:p>
      <w:pPr>
        <w:ind w:left="1240" w:hanging="228"/>
        <w:spacing w:after="0"/>
        <w:tabs>
          <w:tab w:leader="none" w:pos="12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organized outside the United States has (i) an investment in</w:t>
      </w:r>
    </w:p>
    <w:p>
      <w:pPr>
        <w:spacing w:after="0" w:line="27" w:lineRule="exact"/>
        <w:rPr>
          <w:sz w:val="20"/>
          <w:szCs w:val="20"/>
          <w:color w:val="auto"/>
        </w:rPr>
      </w:pPr>
    </w:p>
    <w:p>
      <w:pPr>
        <w:ind w:left="660" w:right="559"/>
        <w:spacing w:after="0" w:line="260" w:lineRule="auto"/>
        <w:rPr>
          <w:sz w:val="20"/>
          <w:szCs w:val="20"/>
          <w:color w:val="auto"/>
        </w:rPr>
      </w:pPr>
      <w:r>
        <w:rPr>
          <w:rFonts w:ascii="Times New Roman" w:cs="Times New Roman" w:eastAsia="Times New Roman" w:hAnsi="Times New Roman"/>
          <w:sz w:val="18"/>
          <w:szCs w:val="18"/>
          <w:color w:val="auto"/>
        </w:rPr>
        <w:t>“United States property” within the meaning of Section 956 of the Code, or (ii) a United States real property interest within the meaning of Section 897 of the Code.</w:t>
      </w:r>
    </w:p>
    <w:p>
      <w:pPr>
        <w:spacing w:after="0" w:line="73" w:lineRule="exact"/>
        <w:rPr>
          <w:sz w:val="20"/>
          <w:szCs w:val="20"/>
          <w:color w:val="auto"/>
        </w:rPr>
      </w:pPr>
    </w:p>
    <w:p>
      <w:pPr>
        <w:ind w:left="660" w:right="419" w:firstLine="352"/>
        <w:spacing w:after="0" w:line="312" w:lineRule="auto"/>
        <w:tabs>
          <w:tab w:leader="none" w:pos="125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Subsidiary of the Company is, and neither the Company nor any Subsidiary of the Company holds an interest in, any passive foreign investment company within the meaning of Section 1297 of the Code.</w:t>
      </w:r>
    </w:p>
    <w:p>
      <w:pPr>
        <w:spacing w:after="0" w:line="31" w:lineRule="exact"/>
        <w:rPr>
          <w:rFonts w:ascii="Times New Roman" w:cs="Times New Roman" w:eastAsia="Times New Roman" w:hAnsi="Times New Roman"/>
          <w:sz w:val="17"/>
          <w:szCs w:val="17"/>
          <w:color w:val="auto"/>
        </w:rPr>
      </w:pPr>
    </w:p>
    <w:p>
      <w:pPr>
        <w:ind w:left="660" w:right="499" w:firstLine="352"/>
        <w:spacing w:after="0" w:line="261" w:lineRule="auto"/>
        <w:tabs>
          <w:tab w:leader="none" w:pos="123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consideration paid or received by the Canadian Subsidiaries for the acquisition, sale, transfer or provision of property (including intangibles) or the provision of services from or to a non-arm’s length Person (for purposes of the ITA) is equal to the estimated fair market value of such property acquired, provided or sold or services purchased or provided.</w:t>
      </w:r>
    </w:p>
    <w:p>
      <w:pPr>
        <w:spacing w:after="0" w:line="71" w:lineRule="exact"/>
        <w:rPr>
          <w:rFonts w:ascii="Times New Roman" w:cs="Times New Roman" w:eastAsia="Times New Roman" w:hAnsi="Times New Roman"/>
          <w:sz w:val="18"/>
          <w:szCs w:val="18"/>
          <w:color w:val="auto"/>
        </w:rPr>
      </w:pPr>
    </w:p>
    <w:p>
      <w:pPr>
        <w:ind w:left="660" w:right="359" w:firstLine="352"/>
        <w:spacing w:after="0" w:line="261" w:lineRule="auto"/>
        <w:tabs>
          <w:tab w:leader="none" w:pos="12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transactions or events that have resulted, and there are no circumstances that exist and would reasonably be expected to result in, or have existed and resulted in, the application of any of sections 15, 17, 78, 79, 79.1 or 80 to 80.04, inclusive, of the ITA (or any corresponding or similar provision of Canadian provincial Law) to the Canadian Subsidiaries.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599" w:firstLine="352"/>
        <w:spacing w:after="0" w:line="261" w:lineRule="auto"/>
        <w:tabs>
          <w:tab w:leader="none" w:pos="126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Letter sets forth a true and complete list, as of the date hereof, of each of the following Contracts (other than any Company Benefit Plan) to which the Company or any of its Subsidiaries is a party or by which the Company or any of its Subsidiaries or any of their assets or businesses are bound (and any amendments, supplements and modifications thereto):</w:t>
      </w:r>
    </w:p>
    <w:p>
      <w:pPr>
        <w:spacing w:after="0" w:line="71" w:lineRule="exact"/>
        <w:rPr>
          <w:rFonts w:ascii="Times New Roman" w:cs="Times New Roman" w:eastAsia="Times New Roman" w:hAnsi="Times New Roman"/>
          <w:sz w:val="18"/>
          <w:szCs w:val="18"/>
          <w:color w:val="auto"/>
        </w:rPr>
      </w:pPr>
    </w:p>
    <w:p>
      <w:pPr>
        <w:ind w:left="1020" w:right="339" w:firstLine="352"/>
        <w:spacing w:after="0" w:line="266" w:lineRule="auto"/>
        <w:tabs>
          <w:tab w:leader="none" w:pos="159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any of the top 20 largest suppliers by purchases made by the Company or any of its Subsidiaries during the twelve (12) month period ended December 31, 2025 and the six (6) month period ended June 30, 2026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firstLine="352"/>
        <w:spacing w:after="0" w:line="266" w:lineRule="auto"/>
        <w:tabs>
          <w:tab w:leader="none" w:pos="16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any of the top 20 largest customers by purchases made by such customer during the twelve (12) month period ended December 31, 2025 and the six (6) month period ended June 30, 2026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right="339" w:firstLine="352"/>
        <w:spacing w:after="0" w:line="261" w:lineRule="auto"/>
        <w:tabs>
          <w:tab w:leader="none" w:pos="16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not otherwise required to be set forth on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Letter that provide for the payment or receipt of more than $10,000,000 during the 12-month period ended June 30, 2026, or which by their terms requires such payment or receipt in the 12-month period ending December 31, 2026;</w:t>
      </w:r>
    </w:p>
    <w:p>
      <w:pPr>
        <w:spacing w:after="0" w:line="71" w:lineRule="exact"/>
        <w:rPr>
          <w:rFonts w:ascii="Times New Roman" w:cs="Times New Roman" w:eastAsia="Times New Roman" w:hAnsi="Times New Roman"/>
          <w:sz w:val="18"/>
          <w:szCs w:val="18"/>
          <w:color w:val="auto"/>
        </w:rPr>
      </w:pPr>
    </w:p>
    <w:p>
      <w:pPr>
        <w:ind w:left="1020" w:right="659" w:firstLine="352"/>
        <w:spacing w:after="0" w:line="282" w:lineRule="auto"/>
        <w:tabs>
          <w:tab w:leader="none" w:pos="16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concerning the establishment or operation of a partnership, joint venture or limited liability company;</w:t>
      </w:r>
    </w:p>
    <w:p>
      <w:pPr>
        <w:spacing w:after="0" w:line="53" w:lineRule="exact"/>
        <w:rPr>
          <w:rFonts w:ascii="Times New Roman" w:cs="Times New Roman" w:eastAsia="Times New Roman" w:hAnsi="Times New Roman"/>
          <w:sz w:val="18"/>
          <w:szCs w:val="18"/>
          <w:color w:val="auto"/>
        </w:rPr>
      </w:pPr>
    </w:p>
    <w:p>
      <w:pPr>
        <w:ind w:left="1020" w:right="299" w:firstLine="352"/>
        <w:spacing w:after="0" w:line="253" w:lineRule="auto"/>
        <w:tabs>
          <w:tab w:leader="none" w:pos="16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 pursuant to which the Company or its Subsidiaries has acquired or granted the right to use any Intellectual Property that is material to the business of the Company or its Subsidiaries (excluding any open source or free software, any non-exclusive licenses to Software Programs that are generally commercially available, and through non-exclusive licenses granted to customers or service providers in the ordinary course of business), (ii) for the development or acquisition of any material Intellectual Property by or for the benefit of the Company or any of its Subsidiaries (other than agreements with employees entered into in the ordinary course of business and agreements with contractors entered into in the ordinary course of business on the Company’s or any of its Subsidiaries’ form) or (iii) that materially affect the use or enforcement by the Company or its Subsidiaries of any Intellectual Property (including exclusive licenses, settlement agreements, covenants not to assert, and consents to use), excluding confidentiality or non-disclosure agreements, agreements with employees or contractors, in each case, entered into in the ordinary course of business;</w:t>
      </w:r>
    </w:p>
    <w:p>
      <w:pPr>
        <w:spacing w:after="0" w:line="81" w:lineRule="exact"/>
        <w:rPr>
          <w:rFonts w:ascii="Times New Roman" w:cs="Times New Roman" w:eastAsia="Times New Roman" w:hAnsi="Times New Roman"/>
          <w:sz w:val="18"/>
          <w:szCs w:val="18"/>
          <w:color w:val="auto"/>
        </w:rPr>
      </w:pPr>
    </w:p>
    <w:p>
      <w:pPr>
        <w:ind w:left="1020" w:right="719" w:firstLine="352"/>
        <w:spacing w:after="0" w:line="282" w:lineRule="auto"/>
        <w:tabs>
          <w:tab w:leader="none" w:pos="16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agreements of the Company or any of its Subsidiaries that pertain to each parcel of Company Leased Real Property (each, a “</w:t>
      </w:r>
      <w:r>
        <w:rPr>
          <w:rFonts w:ascii="Times New Roman" w:cs="Times New Roman" w:eastAsia="Times New Roman" w:hAnsi="Times New Roman"/>
          <w:sz w:val="18"/>
          <w:szCs w:val="18"/>
          <w:u w:val="single" w:color="auto"/>
          <w:color w:val="auto"/>
        </w:rPr>
        <w:t>Company Lease Agreement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right="399" w:firstLine="352"/>
        <w:spacing w:after="0" w:line="258" w:lineRule="auto"/>
        <w:tabs>
          <w:tab w:leader="none" w:pos="1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containing (A) any covenant restricting the ability of the Company or any of its Subsidiaries to engage in any line of business in any geographic area or to compete with any Person, to market any product or to solicit customers, (B) a provision granting the other party “most favored nation” status or equivalent preferential pricing terms or (C) a provision granting the other party exclusivity or similar rights in respect of the business of the Company or any of its Subsidiaries;</w:t>
      </w:r>
    </w:p>
    <w:p>
      <w:pPr>
        <w:spacing w:after="0" w:line="75" w:lineRule="exact"/>
        <w:rPr>
          <w:rFonts w:ascii="Times New Roman" w:cs="Times New Roman" w:eastAsia="Times New Roman" w:hAnsi="Times New Roman"/>
          <w:sz w:val="18"/>
          <w:szCs w:val="18"/>
          <w:color w:val="auto"/>
        </w:rPr>
      </w:pPr>
    </w:p>
    <w:p>
      <w:pPr>
        <w:ind w:left="1020" w:right="319" w:firstLine="352"/>
        <w:spacing w:after="0" w:line="254" w:lineRule="auto"/>
        <w:tabs>
          <w:tab w:leader="none" w:pos="17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 comprising indentures, credit agreements, loan agreements and similar instruments pursuant to which the Company or any of its Subsidiaries has or will incur or assume any indebtedness or has or will guarantee or otherwise become liable for any indebtedness of or in respect of any debt securities issued by any other Person, (ii) constituting debt securities or warrants or other rights to acquire any debt securities of the Company or any of its Subsidiaries, (iii) constituting a “keep well” or other agreement to maintain any financial statement condition of another person, or (iv) relating to any outstanding letters of credit, surety bonds, performance bonds, bankers’ acceptances or similar credit support instruments, except, in each case, for any such contract or agreement between the Company and any of its Subsidiaries;</w:t>
      </w:r>
    </w:p>
    <w:p>
      <w:pPr>
        <w:spacing w:after="0" w:line="80" w:lineRule="exact"/>
        <w:rPr>
          <w:rFonts w:ascii="Times New Roman" w:cs="Times New Roman" w:eastAsia="Times New Roman" w:hAnsi="Times New Roman"/>
          <w:sz w:val="18"/>
          <w:szCs w:val="18"/>
          <w:color w:val="auto"/>
        </w:rPr>
      </w:pPr>
    </w:p>
    <w:p>
      <w:pPr>
        <w:ind w:left="1020" w:right="359" w:firstLine="352"/>
        <w:spacing w:after="0" w:line="282" w:lineRule="auto"/>
        <w:tabs>
          <w:tab w:leader="none" w:pos="16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under which there has been imposed a Lien (other than a Permitted Lien) on any of the assets, tangible or intangible, of the Company or any of its Subsidiaries;</w:t>
      </w:r>
    </w:p>
    <w:p>
      <w:pPr>
        <w:spacing w:after="0" w:line="53" w:lineRule="exact"/>
        <w:rPr>
          <w:rFonts w:ascii="Times New Roman" w:cs="Times New Roman" w:eastAsia="Times New Roman" w:hAnsi="Times New Roman"/>
          <w:sz w:val="18"/>
          <w:szCs w:val="18"/>
          <w:color w:val="auto"/>
        </w:rPr>
      </w:pPr>
    </w:p>
    <w:p>
      <w:pPr>
        <w:ind w:left="1020" w:right="499" w:firstLine="352"/>
        <w:spacing w:after="0" w:line="256" w:lineRule="auto"/>
        <w:tabs>
          <w:tab w:leader="none" w:pos="16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relates to the acquisition or disposition of any material business, assets or properties (whether by merger, amalgamation, sale of stock, sale of assets or otherwise) that was entered into after January 1, 2021 or pursuant to which any earn-out, indemnification obligations (other than indemnification obligations for fundamental representations of the Company or its Subsidiaries under which there are no pending claims), deferred or contingent payment obligations, or other material obligations remain outstanding;</w:t>
      </w:r>
    </w:p>
    <w:p>
      <w:pPr>
        <w:spacing w:after="0" w:line="119" w:lineRule="exact"/>
        <w:rPr>
          <w:rFonts w:ascii="Times New Roman" w:cs="Times New Roman" w:eastAsia="Times New Roman" w:hAnsi="Times New Roman"/>
          <w:sz w:val="18"/>
          <w:szCs w:val="18"/>
          <w:color w:val="auto"/>
        </w:rPr>
      </w:pPr>
    </w:p>
    <w:p>
      <w:pPr>
        <w:ind w:left="1680" w:hanging="308"/>
        <w:spacing w:after="0"/>
        <w:tabs>
          <w:tab w:leader="none" w:pos="16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117" w:lineRule="exact"/>
        <w:rPr>
          <w:rFonts w:ascii="Times New Roman" w:cs="Times New Roman" w:eastAsia="Times New Roman" w:hAnsi="Times New Roman"/>
          <w:sz w:val="18"/>
          <w:szCs w:val="18"/>
          <w:color w:val="auto"/>
        </w:rPr>
      </w:pPr>
    </w:p>
    <w:p>
      <w:pPr>
        <w:ind w:left="1020" w:right="379" w:firstLine="352"/>
        <w:spacing w:after="0" w:line="281" w:lineRule="auto"/>
        <w:tabs>
          <w:tab w:leader="none" w:pos="173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Contracts relating to sales to customers made in the ordinary course of business, any Contract which requires the Company or any of its Subsidiaries, directly or indirectly, to make any advance, loan, extension of credit or capital contribution to, or other investment in, any Person (other than the Company or any of its wholly owned Subsidiaries) in any such case which is in excess of $1,000,000;</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59" w:firstLine="352"/>
        <w:spacing w:after="0" w:line="256" w:lineRule="auto"/>
        <w:tabs>
          <w:tab w:leader="none" w:pos="178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to which the Company or any of its Subsidiaries is a party entered into since January 1, 2023 in connection with the settlement or other resolution of any actual or threatened Proceeding, in each case in which the Company or its Subsidiaries made or received a payment in excess of $1,000,000, or is a settlement, conciliation, or similar agreement with any Governmental Entity, or pursuant to which the Company or any of its Subsidiaries will have any material outstanding obligations after the date of this Agreement;</w:t>
      </w:r>
    </w:p>
    <w:p>
      <w:pPr>
        <w:spacing w:after="0" w:line="79" w:lineRule="exact"/>
        <w:rPr>
          <w:rFonts w:ascii="Times New Roman" w:cs="Times New Roman" w:eastAsia="Times New Roman" w:hAnsi="Times New Roman"/>
          <w:sz w:val="18"/>
          <w:szCs w:val="18"/>
          <w:color w:val="auto"/>
        </w:rPr>
      </w:pPr>
    </w:p>
    <w:p>
      <w:pPr>
        <w:ind w:left="1020" w:right="619" w:firstLine="352"/>
        <w:spacing w:after="0" w:line="266" w:lineRule="auto"/>
        <w:tabs>
          <w:tab w:leader="none" w:pos="177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or group of related Contracts with the same counterparty (or Affiliate thereof) that, individually or in the aggregate, if terminated or subject to a default by any party thereto, would have or would reasonably be expected to have a Company Material Adverse Effect; or</w:t>
      </w:r>
    </w:p>
    <w:p>
      <w:pPr>
        <w:spacing w:after="0" w:line="67" w:lineRule="exact"/>
        <w:rPr>
          <w:rFonts w:ascii="Times New Roman" w:cs="Times New Roman" w:eastAsia="Times New Roman" w:hAnsi="Times New Roman"/>
          <w:sz w:val="18"/>
          <w:szCs w:val="18"/>
          <w:color w:val="auto"/>
        </w:rPr>
      </w:pPr>
    </w:p>
    <w:p>
      <w:pPr>
        <w:ind w:left="1020" w:right="439" w:firstLine="352"/>
        <w:spacing w:after="0" w:line="256" w:lineRule="auto"/>
        <w:tabs>
          <w:tab w:leader="none" w:pos="172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with any holder of Shares or any of its or their respective directors, officers or Affiliates (other than any Voting Agreement and agreements solely between the Company and its wholly owned Subsidiaries), (B) that is of the type that would be required to be disclosed under Item 404 of Regulation S-K of the SEC, or (C) pursuant to which the Company or any of its Subsidiaries has any ongoing obligation to make payments to any current or former director, officer or employee (other than pursuant to a Company Benefit Plan or standard employment arrangements);</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51" w:lineRule="auto"/>
        <w:tabs>
          <w:tab w:leader="none" w:pos="127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be material to the Company and its Subsidiaries, taken as a whole, (A) all Contracts set forth or required to be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 xml:space="preserve"> of the Company Disclosure Letter or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Company Disclosure Letter (Government Contracts) or filed or required to be filed as exhibits to the Company SEC Documents as “material contracts” as such term is defined in Item 601(b)(10) of Regulation S-K of the SEC (in each case, excluding any Company Benefit Plan)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are valid, binding and in full force and effect and are enforceable by the Company or the applicable Subsidiary in accordance with their terms, except as limited by the Bankruptcy and Equitable Exceptions, (B) the Company, or the applicable Subsidiary, has performed in all material respects all obligations required to be performed by it under the Company Material Contracts, and it is not (with or without notice or lapse of time, or both) in material breach or default thereunder and, to the Knowledge of the Company, no other party to any Company Material Contract is (with or without notice or lapse of time, or both) in material breach or default thereunder, (C) since January 1, 2023, neither the Company nor any of its Subsidiaries has received written notice or, to the Knowledge of the Company, verbal notice of any actual, alleged, or potential material violation of, or failure to comply in any material respect with, any term or requirement of any Company Material Contract, (D) neither the Company nor its Subsidiaries has received any written notice or, to the Knowledge of the Company, verbal notice that any party intends to terminate, cancel, or not renew any Company Material Contract, and (E) neither the Company nor any of its Subsidiaries has waived any material rights under any Company Material Contract (which shall not include the non-exercise of an option or other right under a Company Lease Agreement). Other than any Company Material Contracts filed as exhibits to the Company SEC Documents, the Company has made available to Parent a true, complete and unredacted copy of each of the Company Material Contracts, including all amendments, supplements and modifications thereto.</w:t>
      </w: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i w:val="1"/>
          <w:iCs w:val="1"/>
          <w:color w:val="auto"/>
        </w:rPr>
        <w:t>Intellectual Property.</w:t>
      </w:r>
    </w:p>
    <w:p>
      <w:pPr>
        <w:spacing w:after="0" w:line="119" w:lineRule="exact"/>
        <w:rPr>
          <w:sz w:val="20"/>
          <w:szCs w:val="20"/>
          <w:color w:val="auto"/>
        </w:rPr>
      </w:pPr>
    </w:p>
    <w:p>
      <w:pPr>
        <w:ind w:left="660" w:right="339" w:firstLine="352"/>
        <w:spacing w:after="0" w:line="253" w:lineRule="auto"/>
        <w:tabs>
          <w:tab w:leader="none" w:pos="12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sets forth a list of all (i) issued patents and pending patent applications, (ii) trademark and service mark registrations and applications, (iii) copyright registrations and applications, and (iv) internet domain name registrations, in each case that are included within the Company Owned Intellectual Property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All items of Company Registered Intellectual Property are in material compliance with all formal legal requirements and have been duly maintained (including the payment of maintenance fees) and are not expired, cancelled or abandoned, except for such issuances, registrations or applications that the Company or one of its Subsidiaries have permitted to expire or has cancelled or abandoned in its reasonable business judgment. The Company Registered Intellectual Property is valid, subsisting, and to the Knowledge of the Company, enforceable. No Proceeding has occurred since January 1, 2023 (including any opposition, cancellation, interferences, inter partes review, or re-examination) nor is any Proceeding pending, threatened in writing or, to the Knowledge of the Company, threatened verbally, in each case that has challenged the legality, validity, enforceability, registration, use or ownership of any Company Registered Intellectual Property.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firstLine="352"/>
        <w:spacing w:after="0" w:line="255" w:lineRule="auto"/>
        <w:tabs>
          <w:tab w:leader="none" w:pos="127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or one of its Subsidiaries (A) is the sole owner of and possesses all right, title and interest in and to the Company Owned Intellectual Property, free and clear of all Liens (other than Permitted Liens), (B) has the right to use, sell, license and otherwise exploit, as the case may be, all other Intellectual Property as the same is currently used, sold, licensed and otherwise exploited by the Company and its Subsidiaries, and (C) will continue to own or have the right to use all such Intellectual Property immediately following the Closing to the same extent as prior to the Closing.</w:t>
      </w:r>
    </w:p>
    <w:p>
      <w:pPr>
        <w:spacing w:after="0" w:line="80" w:lineRule="exact"/>
        <w:rPr>
          <w:rFonts w:ascii="Times New Roman" w:cs="Times New Roman" w:eastAsia="Times New Roman" w:hAnsi="Times New Roman"/>
          <w:sz w:val="18"/>
          <w:szCs w:val="18"/>
          <w:color w:val="auto"/>
        </w:rPr>
      </w:pPr>
    </w:p>
    <w:p>
      <w:pPr>
        <w:ind w:left="660" w:right="459" w:firstLine="352"/>
        <w:spacing w:after="0" w:line="258" w:lineRule="auto"/>
        <w:tabs>
          <w:tab w:leader="none" w:pos="126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neither the execution and delivery of this Agreement by the Company, nor the performance of this Agreement by the Company, will result in the loss, forfeiture, termination, or impairment of, or give rise to a right of any Person to limit, terminate, or consent to the continued use of, any rights of the Company or any of its Subsidiaries in any Company Material Intellectual Property.</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7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neither the Company nor any of its Subsidiaries is infringing, misappropriating, diluting, or otherwise violating the Intellectual Property rights of any Person and since January 1, 2023 has not infringed, misappropriated, diluted, or otherwise violated the Intellectual Property rights of any Person. Neither the Company nor any of its Subsidiaries has received any written charge, complaint, claim, demand, or notice since January 1, 2023 (or earlier, if presently not resolved) alleging any such infringement, misappropriation, dilution, or violation (including any written claim that the Company or any of its Subsidiaries must license or refrain from using any Intellectual Property rights of any Person). Except as would not, individually or in the aggregate, reasonably be expected to have a Company Material Adverse Effect, during the period commencing on January 1, 2023 and ending on the date of this Agreement, there has been no Proceeding pending, threatened in writing or, to the Knowledge of the Company, threatened verbally against the Company or any of its Subsidiaries, alleging that the Company or any of its Subsidiaries infringes, misappropriates, dilutes, or otherwise violates the Intellectual Property rights of any Person. To the Knowledge of the Company, (i) no Person is infringing, misappropriating, diluting or otherwise violating, (ii) nor has any Person infringed, misappropriated, diluted or otherwise violated, any material Company Owned Intellectual Property. Neither the Company nor any of its Subsidiaries has made or asserted any written charge, complaint, claim, demand or notice since January 1, 2023 (or earlier, if presently not resolved) alleging any such infringement, misappropriation, dilution, or violation.</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54" w:lineRule="auto"/>
        <w:tabs>
          <w:tab w:leader="none" w:pos="126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all Company Owned Intellectual Property that derives independent economic value, actual or potential, from not being generally known to the public or to other persons who can obtain economic value from its disclosure or use, and any trade secrets or other material confidential information included in the Company Owned Intellectual Property, is and has been maintained in confidence in accordance with protection procedures that are adequate for protection, and in accordance with procedures customarily used in the industry to protect rights of like importance. To the Knowledge of the Company, there has been no unauthorized use or disclosure of any material Company Material Intellectual Property since January 1, 2023.</w:t>
      </w:r>
    </w:p>
    <w:p>
      <w:pPr>
        <w:spacing w:after="0" w:line="83" w:lineRule="exact"/>
        <w:rPr>
          <w:rFonts w:ascii="Times New Roman" w:cs="Times New Roman" w:eastAsia="Times New Roman" w:hAnsi="Times New Roman"/>
          <w:sz w:val="18"/>
          <w:szCs w:val="18"/>
          <w:color w:val="auto"/>
        </w:rPr>
      </w:pPr>
    </w:p>
    <w:p>
      <w:pPr>
        <w:ind w:left="660" w:right="359" w:firstLine="352"/>
        <w:spacing w:after="0" w:line="253" w:lineRule="auto"/>
        <w:tabs>
          <w:tab w:leader="none" w:pos="124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 and have taken commercially reasonable actions to protect and preserve the confidentiality of their trade secrets and other material confidential information and the security of their material Software Programs, websites and systems (including the confidential data transmitted thereby or stored therein), including implementing a policy requiring employees and contractors who are reasonably expected to receive access to material trade secrets or other material confidential information to sign nondisclosure agreements with confidentiality obligations and use restrictions. All past or current employees and independent contractors of the Company or any of its Subsidiaries who have developed material Intellectual Property for the Company or its Subsidiaries have executed written agreements assigning all rights to such Intellectual Property to the Company or its Subsidiaries or all rights to such Intellectual Property have vested automatically in the Company or its Subsidiaries by operation of Law. To the Knowledge of the Company, no Person has materially breached any Contract or duty referenced in this section.</w:t>
      </w:r>
    </w:p>
    <w:p>
      <w:pPr>
        <w:spacing w:after="0" w:line="83" w:lineRule="exact"/>
        <w:rPr>
          <w:rFonts w:ascii="Times New Roman" w:cs="Times New Roman" w:eastAsia="Times New Roman" w:hAnsi="Times New Roman"/>
          <w:sz w:val="18"/>
          <w:szCs w:val="18"/>
          <w:color w:val="auto"/>
        </w:rPr>
      </w:pPr>
    </w:p>
    <w:p>
      <w:pPr>
        <w:ind w:left="660" w:right="419" w:firstLine="352"/>
        <w:spacing w:after="0" w:line="281" w:lineRule="auto"/>
        <w:tabs>
          <w:tab w:leader="none" w:pos="127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Company Material Adverse Effect, neither the Company nor any of its Subsidiaries has (i) granted, directly or indirectly, any current or contingent rights, licenses or interests in or to any source code of any product or service currently developed, marketed, licensed, sold, performed, distributed or otherwise made available by the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4" w:lineRule="auto"/>
        <w:rPr>
          <w:sz w:val="20"/>
          <w:szCs w:val="20"/>
          <w:color w:val="auto"/>
        </w:rPr>
      </w:pPr>
      <w:r>
        <w:rPr>
          <w:rFonts w:ascii="Times New Roman" w:cs="Times New Roman" w:eastAsia="Times New Roman" w:hAnsi="Times New Roman"/>
          <w:sz w:val="18"/>
          <w:szCs w:val="18"/>
          <w:color w:val="auto"/>
        </w:rPr>
        <w:t>Company or any of its Subsidiaries (the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or (ii) provided or disclosed any source code of any Product to any third-party Person who is not bound by non-disclosure obligations with respect to such source code. Except as would not, individually or in the aggregate, reasonably be expected to have a Company Material Adverse Effect, each Product performs substantially in accordance with its documented specifications. Except as would not, individually or in the aggregate, reasonably be expected to have a Company Material Adverse Effect, the Products do not contain and have not contained any Malicious Code. The Company and its Subsidiaries use industry standard methods (but in no event less than reasonable methods) intended to detect and prevent Malicious Code that may be present in the Products.</w:t>
      </w:r>
    </w:p>
    <w:p>
      <w:pPr>
        <w:spacing w:after="0" w:line="84" w:lineRule="exact"/>
        <w:rPr>
          <w:sz w:val="20"/>
          <w:szCs w:val="20"/>
          <w:color w:val="auto"/>
        </w:rPr>
      </w:pPr>
    </w:p>
    <w:p>
      <w:pPr>
        <w:ind w:left="660" w:right="519" w:firstLine="352"/>
        <w:spacing w:after="0" w:line="253" w:lineRule="auto"/>
        <w:tabs>
          <w:tab w:leader="none" w:pos="127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neither the Company nor any of its Subsidiaries use or, since January 1, 2023 have used, any open source software or any modification or derivative thereof (i) in a manner that would grant or purport to grant to any Person any rights to or immunities under any of the Products, or (ii) under any license requiring the Company or one of its Subsidiaries to disclose or distribute the source code to any of the Products, to license or provide the source code to any of the Products for the purpose of making derivative works, or to make available for redistribution to any Person the source code to any of the Products at no or minimal charge. Except as would not, individually or in the aggregate, reasonably be expected to have a Company Material Adverse Effect, the Company and its Subsidiaries have been, and are currently in compliance with, all applicable Contracts with respect to any third-party Software Programs used by the Company or one of its Subsidiaries, including open source software.</w:t>
      </w:r>
    </w:p>
    <w:p>
      <w:pPr>
        <w:spacing w:after="0" w:line="83" w:lineRule="exact"/>
        <w:rPr>
          <w:rFonts w:ascii="Times New Roman" w:cs="Times New Roman" w:eastAsia="Times New Roman" w:hAnsi="Times New Roman"/>
          <w:sz w:val="18"/>
          <w:szCs w:val="18"/>
          <w:color w:val="auto"/>
        </w:rPr>
      </w:pPr>
    </w:p>
    <w:p>
      <w:pPr>
        <w:ind w:left="660" w:right="359" w:firstLine="352"/>
        <w:spacing w:after="0" w:line="268" w:lineRule="auto"/>
        <w:tabs>
          <w:tab w:leader="none" w:pos="123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Company Material Adverse Effect, the computer systems, servers, network equipment, switches, endpoints, Software Programs, platforms, firmware and other computer hardware and related information technology or outsourced services that are owned, leased, licensed, operated, or otherwise used by the Company and its Subsidiaries (“</w:t>
      </w:r>
      <w:r>
        <w:rPr>
          <w:rFonts w:ascii="Times New Roman" w:cs="Times New Roman" w:eastAsia="Times New Roman" w:hAnsi="Times New Roman"/>
          <w:sz w:val="17"/>
          <w:szCs w:val="17"/>
          <w:u w:val="single" w:color="auto"/>
          <w:color w:val="auto"/>
        </w:rPr>
        <w:t>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are adequate and sufficient for the operation of the business of the Company and its Subsidiaries as currently conducted and the Company or its applicable Subsidiary will continue to lawfully own, lease, license or have access to such rights immediately after the Closing. Except as would not, individually or in the aggregate, reasonably be expected to have a Company Material Adverse Effect, since January 1, 2023, there has been no Security Breach of, unauthorized access to, unauthorized use of, or Malicious Code in, any of the IT Systems or any product offerings of the Company or any of its Subsidiaries. The Company and its Subsidiaries have each implemented, and currently maintain, commercially reasonable data security, data backup, data storage, data recovery, system redundancy, disaster avoidance and recovery procedures with respect to the IT Systems. The Company and its Subsidiaries test such plans and procedures on a regular basis, and such plans and procedures have been proven effective in all material respects upon such testing.</w:t>
      </w:r>
    </w:p>
    <w:p>
      <w:pPr>
        <w:spacing w:after="0" w:line="75" w:lineRule="exact"/>
        <w:rPr>
          <w:rFonts w:ascii="Times New Roman" w:cs="Times New Roman" w:eastAsia="Times New Roman" w:hAnsi="Times New Roman"/>
          <w:sz w:val="17"/>
          <w:szCs w:val="17"/>
          <w:color w:val="auto"/>
        </w:rPr>
      </w:pPr>
    </w:p>
    <w:p>
      <w:pPr>
        <w:ind w:left="660" w:right="299" w:firstLine="352"/>
        <w:spacing w:after="0" w:line="252"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written policies and procedures regarding privacy and data security and maintain reasonable organizational, administrative, technical, and physical safeguards intended to protect Personal Data under their possession or control from unauthorized access. Since January 1, 2023, the Company and its Subsidiaries have not suffered any Security Breach except as would not, either individually or in the aggregate, be expected to have a Company Material Adverse Effect. Since January 1, 2023, neither the Company nor its Subsidiaries have notified in writing, or been required by applicable Law, Governmental Entity or other Information Privacy Laws to notify in writing, any Person of any Security Breach in each case that has permitted or resulted in any unauthorized access to or disclosure of Personal Data. Except as would not, individually or in the aggregate, reasonably be expected to have a Company Material Adverse Effect, the Company and its Subsidiaries have complied with (i) Information Privacy Laws, (ii) all privacy and security standards applicable to the industry in which the Company and its Subsidiaries operate or to its products and services, including any restrictions applicable to government contractors, the Payment Card Industry Data Security Standard (PCI DSS), and any restrictions to which the Company agrees to comply or has publicly attested to or affirmed its compliance, (iii) the Company’s and its Subsidiaries’ own internal and external-facing privacy policies, and (iv) all their obligations relating to the collection, protection, storage, use, processing, transfer, or disposition of data under all Contracts to which the Company or any of its Subsidiaries is party. There have been no complaints, claims, or Proceedings filed, commenced, threatened in writing or, to the Knowledge of the Company, threatened verbally against, the Company or any of its Subsidiaries alleging any failure to comply with any Information Privacy Laws.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firstLine="352"/>
        <w:spacing w:after="0" w:line="252" w:lineRule="auto"/>
        <w:tabs>
          <w:tab w:leader="none" w:pos="127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and any of its Subsidiaries use all Generative AI Tools in compliance with the applicable license terms, consents, Contracts, and Laws. Except as would not, individually or in the aggregate, reasonably be expected to have a Company Material Adverse Effect, the Company and its Subsidiaries have not included and do not include any sensitive Personal Data, trade secrets or confidential or proprietary information of the Company or any of its Subsidiaries, or of any third Person under an obligation of confidentiality by the Company or one of its Subsidiaries, in any prompts or inputs into any Generative AI Tools, except in cases where such Generative AI Tools do not use such prompts or inputs to train the machine learning or algorithm of such tools or improve the services related to such tools or where such training or improvement of the Generative AI Tool is performed solely for the benefit of the Company or one of its Subsidiaries and in compliance with any applicable license terms, consents, Contracts and Laws. The Company and any of its Subsidiaries have not used Generative AI Tools to develop any Company Material Intellectual Property that the Company or one of its Subsidiaries intended to maintain as proprietary in a manner that the Company or one of its Subsidiaries believes would materially affect the Company’s or one of its Subsidiaries’ ownership or rights therein.</w:t>
      </w:r>
    </w:p>
    <w:p>
      <w:pPr>
        <w:spacing w:after="0" w:line="86"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xml:space="preserve">. Except for the financial advisors’ fees set forth in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of the Company Disclosure Letter, neither the Company nor any of its Subsidiaries nor any of their respective officers or directors on behalf of the Company or such Subsidiaries has employed any financial advisor, broker or finder or incurred any liability for any financial advisory, broker’s fees, commissions or finder’s fees in connection with any of the Transactions. The Company has delivered to Parent complete and accurate copies of all Contracts under which any such fees or expenses are payable and all indemnification and other agreements related to the foregoing.</w:t>
      </w:r>
    </w:p>
    <w:p>
      <w:pPr>
        <w:spacing w:after="0" w:line="74"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Robert W. Baird &amp; Co. Incorporated, the Company’s financial advisor, has delivered to the Company Board its opinion in writing or orally, in which case, such opinion will be subsequently confirmed in writing, to the effect that, as of the date thereof and based upon and subject to the factors and assumptions set forth in such opinion, the Merger Consideration to be received by the holders of Shares (other than Shares held by Parent or any Affiliate of Parent) pursuant to and in accordance with this Agreement is fair from a financial point of view to such holders.</w:t>
      </w:r>
    </w:p>
    <w:p>
      <w:pPr>
        <w:spacing w:after="0" w:line="7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Subsidiaries maintain insurance coverage with reputable insurers in such amounts and covering such reasonably insurable risks as are in accordance with normal industry practice for companies engaged in businesses similar to that of the Company and its Subsidiaries. With respect to each insurance policy that is material to the Company and its Subsidiaries, taken as a whole, neither the Company nor any of its Subsidiaries is in material breach or default (including any breach or default with respect to the payment of premiums), and, to the Company’s Knowledge, no event has occurred which, with notice or the lapse of time, would constitute such a breach or default, or permit termination or modification, under any such policy. Since January 1, 2023, (i) the Company has not received any written communication notifying it of any cancellation or invalidation of any material insurance policy, denial of any material coverage or rejection of any material claim, or material adjustment in the amount of premiums payable under any material insurance policy and (ii) no excess liability or protection and indemnity insurance policy has been canceled by the insurer, and to the Company’s Knowledge, no threat in writing has been made to cancel (excluding cancellation upon expiration or failure to renew) any such material insurance policy of the Company or any of its Subsidiaries, and (iii) none of the Company or any of its Subsidiaries has any material claim pending under any such insurance policies as to which coverage has been questioned, denied or disputed by any insurer.</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i w:val="1"/>
          <w:iCs w:val="1"/>
          <w:color w:val="auto"/>
        </w:rPr>
        <w:t>Government Contracts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319" w:firstLine="352"/>
        <w:spacing w:after="0" w:line="272" w:lineRule="auto"/>
        <w:tabs>
          <w:tab w:leader="none" w:pos="1264"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of the Company Disclosure Letter lists each Government Contract of the Company and its Subsidiaries which is in effect as of the date hereof (x) between the Company or any of its Subsidiaries and any federal Governmental Entity, (y) under which the Company or any of its Subsidiaries is a prime contractor, or</w:t>
      </w:r>
    </w:p>
    <w:p>
      <w:pPr>
        <w:spacing w:after="0" w:line="1" w:lineRule="exact"/>
        <w:rPr>
          <w:rFonts w:ascii="Times New Roman" w:cs="Times New Roman" w:eastAsia="Times New Roman" w:hAnsi="Times New Roman"/>
          <w:sz w:val="17"/>
          <w:szCs w:val="17"/>
          <w:color w:val="auto"/>
        </w:rPr>
      </w:pPr>
    </w:p>
    <w:p>
      <w:pPr>
        <w:ind w:left="660" w:right="439" w:hanging="8"/>
        <w:spacing w:after="0" w:line="252" w:lineRule="auto"/>
        <w:tabs>
          <w:tab w:leader="none" w:pos="90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Company or any of its Subsidiaries and any state, provincial, territorial or local Governmental Entity that exceeds $2,000,000 in annual net revenues attributable to such Government Contract by the Company and its Subsidiaries, taken as a whole (collectively, “</w:t>
      </w:r>
      <w:r>
        <w:rPr>
          <w:rFonts w:ascii="Times New Roman" w:cs="Times New Roman" w:eastAsia="Times New Roman" w:hAnsi="Times New Roman"/>
          <w:sz w:val="18"/>
          <w:szCs w:val="18"/>
          <w:u w:val="single" w:color="auto"/>
          <w:color w:val="auto"/>
        </w:rPr>
        <w:t>Key Government Contracts</w:t>
      </w:r>
      <w:r>
        <w:rPr>
          <w:rFonts w:ascii="Times New Roman" w:cs="Times New Roman" w:eastAsia="Times New Roman" w:hAnsi="Times New Roman"/>
          <w:sz w:val="18"/>
          <w:szCs w:val="18"/>
          <w:color w:val="auto"/>
        </w:rPr>
        <w:t>”). Each Key Government Contract is valid, binding on the Company or its Subsidiaries, in full force and effect and, to the Knowledge of the Company, was legally awarded. The Company and its Subsidiaries do not have any bids on Government Contracts outstanding directly with a Governmental Entity that, if accepted or awarded, would reasonably be expected to result in a material loss to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firstLine="352"/>
        <w:spacing w:after="0" w:line="254" w:lineRule="auto"/>
        <w:tabs>
          <w:tab w:leader="none" w:pos="127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or, to the Knowledge of the Company, any other party thereto is in material breach of or default under (or is alleged in writing, to be in breach of or default under), or has provided or received any notice of termination or default, or cure notice or show cause notice under any Government Contract. The Company and its Subsidiaries have not received any written notice that (i) the parties to any Government Contract will not fulfill their obligations thereunder in all material respects, or</w:t>
      </w:r>
    </w:p>
    <w:p>
      <w:pPr>
        <w:spacing w:after="0" w:line="3" w:lineRule="exact"/>
        <w:rPr>
          <w:rFonts w:ascii="Times New Roman" w:cs="Times New Roman" w:eastAsia="Times New Roman" w:hAnsi="Times New Roman"/>
          <w:sz w:val="18"/>
          <w:szCs w:val="18"/>
          <w:color w:val="auto"/>
        </w:rPr>
      </w:pPr>
    </w:p>
    <w:p>
      <w:pPr>
        <w:jc w:val="both"/>
        <w:ind w:left="660" w:right="319" w:hanging="8"/>
        <w:spacing w:after="0" w:line="253" w:lineRule="auto"/>
        <w:tabs>
          <w:tab w:leader="none" w:pos="92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of its Government Contract counterparties has ceased, or intends to cease after the Closing, to use its goods or services or to otherwise terminate or materially reduce its relationship with the Company. None of the Company or its Subsidiaries’ Government Contracts have been terminated since January 1, 2023, other than as a result of final completion in accordance with its terms.</w:t>
      </w:r>
    </w:p>
    <w:p>
      <w:pPr>
        <w:spacing w:after="0" w:line="80" w:lineRule="exact"/>
        <w:rPr>
          <w:rFonts w:ascii="Times New Roman" w:cs="Times New Roman" w:eastAsia="Times New Roman" w:hAnsi="Times New Roman"/>
          <w:sz w:val="18"/>
          <w:szCs w:val="18"/>
          <w:color w:val="auto"/>
        </w:rPr>
      </w:pPr>
    </w:p>
    <w:p>
      <w:pPr>
        <w:ind w:left="660" w:right="339" w:firstLine="352"/>
        <w:spacing w:after="0" w:line="253" w:lineRule="auto"/>
        <w:tabs>
          <w:tab w:leader="none" w:pos="126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property, equipment, fixture and Software that (i) was in the possession of, or directly acquired by, a Governmental Entity and (ii) is currently loaned, bailed or otherwise furnished to or held by the Company or any of its Subsidiaries (or any sub-contractor on its behalf) in connection with any Government Contract by or on behalf of any Governmental Entity (such property, equipment, fixtures and Software herein referred to as “</w:t>
      </w:r>
      <w:r>
        <w:rPr>
          <w:rFonts w:ascii="Times New Roman" w:cs="Times New Roman" w:eastAsia="Times New Roman" w:hAnsi="Times New Roman"/>
          <w:sz w:val="18"/>
          <w:szCs w:val="18"/>
          <w:u w:val="single" w:color="auto"/>
          <w:color w:val="auto"/>
        </w:rPr>
        <w:t>Government Tangible Property</w:t>
      </w:r>
      <w:r>
        <w:rPr>
          <w:rFonts w:ascii="Times New Roman" w:cs="Times New Roman" w:eastAsia="Times New Roman" w:hAnsi="Times New Roman"/>
          <w:sz w:val="18"/>
          <w:szCs w:val="18"/>
          <w:color w:val="auto"/>
        </w:rPr>
        <w:t>”), the Company and its Subsidiaries have certified to the applicable Governmental Entity in a timely manner that all Government Tangible Property is in good working order, reasonable wear and tear excepted, and otherwise meets the requirements of the applicable Government Contract and all applicable Laws. No outstanding loss, damage or destruction reports have been (or should have been) submitted to any Governmental Entity in respect of any material Government Tangible Property.</w:t>
      </w:r>
    </w:p>
    <w:p>
      <w:pPr>
        <w:spacing w:after="0" w:line="86" w:lineRule="exact"/>
        <w:rPr>
          <w:rFonts w:ascii="Times New Roman" w:cs="Times New Roman" w:eastAsia="Times New Roman" w:hAnsi="Times New Roman"/>
          <w:sz w:val="18"/>
          <w:szCs w:val="18"/>
          <w:color w:val="auto"/>
        </w:rPr>
      </w:pPr>
    </w:p>
    <w:p>
      <w:pPr>
        <w:jc w:val="both"/>
        <w:ind w:left="660" w:right="439" w:firstLine="352"/>
        <w:spacing w:after="0" w:line="281" w:lineRule="auto"/>
        <w:tabs>
          <w:tab w:leader="none" w:pos="1275"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not delivered to the U.S. Government under any Government Contract any Company proprietary technical data or Software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developed exclusively at private expense) unless it properly notified the U.S. Government in accordance with the terms of such Government Contracts and FAR and DFARS regulations that the U.S. Government’s rights were limited or restricted.</w:t>
      </w:r>
    </w:p>
    <w:p>
      <w:pPr>
        <w:spacing w:after="0" w:line="56" w:lineRule="exact"/>
        <w:rPr>
          <w:rFonts w:ascii="Times New Roman" w:cs="Times New Roman" w:eastAsia="Times New Roman" w:hAnsi="Times New Roman"/>
          <w:sz w:val="17"/>
          <w:szCs w:val="17"/>
          <w:color w:val="auto"/>
        </w:rPr>
      </w:pPr>
    </w:p>
    <w:p>
      <w:pPr>
        <w:ind w:left="660" w:right="339" w:firstLine="352"/>
        <w:spacing w:after="0" w:line="254" w:lineRule="auto"/>
        <w:tabs>
          <w:tab w:leader="none" w:pos="126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in all material respects with all terms and conditions of each such Government Contract and with the requirements of all Laws pertaining to each such Government Contract. Each of the Company and its Subsidiaries has complied in all material respects with the Truthful Cost or Pricing Data Act, FAR Part 31, and any other cost allowability and allocability provisions applicable to the Government Contracts or Government Contract Bids. The cost and accounting and procurement systems, practices and procedures used by the Company and its Subsidiaries and the associated entries reflected in the financial records of the Company and its Subsidiaries with respect to Government Contracts are and have been in compliance in all material respects with all applicable Laws and such Contracts.</w:t>
      </w:r>
    </w:p>
    <w:p>
      <w:pPr>
        <w:spacing w:after="0" w:line="83" w:lineRule="exact"/>
        <w:rPr>
          <w:rFonts w:ascii="Times New Roman" w:cs="Times New Roman" w:eastAsia="Times New Roman" w:hAnsi="Times New Roman"/>
          <w:sz w:val="18"/>
          <w:szCs w:val="18"/>
          <w:color w:val="auto"/>
        </w:rPr>
      </w:pPr>
    </w:p>
    <w:p>
      <w:pPr>
        <w:ind w:left="660" w:right="539" w:firstLine="352"/>
        <w:spacing w:after="0" w:line="281" w:lineRule="auto"/>
        <w:tabs>
          <w:tab w:leader="none" w:pos="1245"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have been no claims, cost disallowances or payment withholds or setoffs against (except payment withholds in the ordinary course of business as provided by the payment terms of such Government Contract), and to the Knowledge of the Company, there have been no material misrepresentations by the Company or its Subsidiaries arising under or related to any such Government Contract.</w:t>
      </w:r>
    </w:p>
    <w:p>
      <w:pPr>
        <w:spacing w:after="0" w:line="56" w:lineRule="exact"/>
        <w:rPr>
          <w:rFonts w:ascii="Times New Roman" w:cs="Times New Roman" w:eastAsia="Times New Roman" w:hAnsi="Times New Roman"/>
          <w:sz w:val="17"/>
          <w:szCs w:val="17"/>
          <w:color w:val="auto"/>
        </w:rPr>
      </w:pPr>
    </w:p>
    <w:p>
      <w:pPr>
        <w:ind w:left="660" w:right="339" w:firstLine="352"/>
        <w:spacing w:after="0" w:line="255" w:lineRule="auto"/>
        <w:tabs>
          <w:tab w:leader="none" w:pos="127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all test and inspection results, if any, provided by the Company or its Subsidiaries to any Governmental Entity or to any other Person pursuant to a Government Contract, or as a part of the delivery to any Governmental Entity or other Person pursuant to a Government Contract were complete and correct in all material respects as of the date so provided and, to the Knowledge of the Company, the Company and its Subsidiaries have provided all test and inspection results to the Governmental Entity or to any other Person pursuant to each such Government Contract as required by Law and the terms of such Government Contract.</w:t>
      </w:r>
    </w:p>
    <w:p>
      <w:pPr>
        <w:spacing w:after="0" w:line="80" w:lineRule="exact"/>
        <w:rPr>
          <w:rFonts w:ascii="Times New Roman" w:cs="Times New Roman" w:eastAsia="Times New Roman" w:hAnsi="Times New Roman"/>
          <w:sz w:val="18"/>
          <w:szCs w:val="18"/>
          <w:color w:val="auto"/>
        </w:rPr>
      </w:pPr>
    </w:p>
    <w:p>
      <w:pPr>
        <w:ind w:left="660" w:right="379" w:firstLine="352"/>
        <w:spacing w:after="0" w:line="272" w:lineRule="auto"/>
        <w:tabs>
          <w:tab w:leader="none" w:pos="1275"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of its Subsidiaries or, to the Knowledge of the Company, their respective officers and directors, nor any of their respective other Representatives, has been the subject of any investigations, reviews, audits, or inquiries by a Governmental Entity related to any Government Contract, and no investigation, review, audit, or inquiry by any Governmental Entity or any other Person with respect to any Government Contract is pending, threatened in writing or, to the Knowledge of the Company, threatened verbally. Since January 1, 2023, the Company has not conducted or initiated any internal investigation or made a voluntary or mandatory disclosure to any Governmental Entity with respect to any alleged irregularity, act, misstatement or omission arising under or relating to a Government Contract or Government Contract Bid.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459"/>
        <w:spacing w:after="0" w:line="266" w:lineRule="auto"/>
        <w:rPr>
          <w:sz w:val="20"/>
          <w:szCs w:val="20"/>
          <w:color w:val="auto"/>
        </w:rPr>
      </w:pPr>
      <w:r>
        <w:rPr>
          <w:rFonts w:ascii="Times New Roman" w:cs="Times New Roman" w:eastAsia="Times New Roman" w:hAnsi="Times New Roman"/>
          <w:sz w:val="18"/>
          <w:szCs w:val="18"/>
          <w:color w:val="auto"/>
        </w:rPr>
        <w:t>Except as has not had and would not reasonably be expected to have a material and adverse effect, each of the Company and its Subsidiaries have in place compliance policies, procedures and internal controls reasonably calculated to ensure compliance with all Government Contracts.</w:t>
      </w:r>
    </w:p>
    <w:p>
      <w:pPr>
        <w:spacing w:after="0" w:line="68" w:lineRule="exact"/>
        <w:rPr>
          <w:sz w:val="20"/>
          <w:szCs w:val="20"/>
          <w:color w:val="auto"/>
        </w:rPr>
      </w:pPr>
    </w:p>
    <w:p>
      <w:pPr>
        <w:ind w:left="660" w:right="319" w:firstLine="352"/>
        <w:spacing w:after="0" w:line="254" w:lineRule="auto"/>
        <w:tabs>
          <w:tab w:leader="none" w:pos="12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 is in receipt or possession of any competitor’s or Governmental Entity’s proprietary or procurement sensitive information under circumstances where there is reason to believe that such receipt or possession is unlawful or unauthorized, (ii) is subject to any active administrative agreement pertaining to its eligibility for the award of Government Contracts or stop work order relating to any Government Contract that is still in effect, or (iii) has been debarred, suspended or similarly disqualified from participation in the award of Contracts with any Governmental Entity. To the Knowledge of the Company, there are no facts or circumstances that would warrant the institution of suspension, debarment or other disqualification proceedings or the finding of non-responsibility or ineligibility on the part of the Company or any of its Subsidiaries or any director, officer or employee thereof.</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3.21(j)</w:t>
      </w:r>
      <w:r>
        <w:rPr>
          <w:rFonts w:ascii="Times New Roman" w:cs="Times New Roman" w:eastAsia="Times New Roman" w:hAnsi="Times New Roman"/>
          <w:sz w:val="18"/>
          <w:szCs w:val="18"/>
          <w:color w:val="auto"/>
        </w:rPr>
        <w:t xml:space="preserve"> of the Company Disclosure Letter, since January 1, 2023, (i) the Company and its Subsidiaries have not been awarded and have not submitted a bid for any Government Contract with a term that expires after the Closing Date under which the Company certified or represented that it was a small business, veteran-owned small business, HUBZone small business, small disadvantaged business, service disabled veteran owned business, 8(a) certified business, or women-owned small business under the Small Business Act, as amended, or any other similar federal, state or local Law; (ii) to the Knowledge of the Company, the Company and its Subsidiaries have not been identified or otherwise included in any subcontracting plan or similar plan as a small business, veteran-owned small business, HUBZone small business, small disadvantaged business, service disabled veteran owned business, 8(a) certified business, or a women-owned small business under the Small Business Act, as amended, or any other similar federal, state or local Law by any prime contractor providing services to any Governmental Entity; and (iii) none of the Company or its Subsidiaries’ Government Contracts listed on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Company Disclosure Letter were awarded to the Company or its Subsidiaries as small business set-asides, HUBZone small business set-asides, veteran-owned small business set asides, service disabled veteran owned set asides, small disadvantaged set-asides or any other similar federal, state or local government set-aside.</w:t>
      </w:r>
    </w:p>
    <w:p>
      <w:pPr>
        <w:spacing w:after="0" w:line="87" w:lineRule="exact"/>
        <w:rPr>
          <w:rFonts w:ascii="Times New Roman" w:cs="Times New Roman" w:eastAsia="Times New Roman" w:hAnsi="Times New Roman"/>
          <w:sz w:val="18"/>
          <w:szCs w:val="18"/>
          <w:color w:val="auto"/>
        </w:rPr>
      </w:pPr>
    </w:p>
    <w:p>
      <w:pPr>
        <w:ind w:left="660" w:right="339" w:firstLine="352"/>
        <w:spacing w:after="0" w:line="258" w:lineRule="auto"/>
        <w:tabs>
          <w:tab w:leader="none" w:pos="12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conduct, in a manner consistent with standard industry practices, an estimate-to-completion analysis of each Government Contract and, on the basis of such analyses, the Company has no reason to expect or anticipate that costs actually incurred in connection with Government Contracts will, at such time when performance thereunder concludes, materially exceed the price or any funding limitation or authorizations applicable to such Government Contract.</w:t>
      </w:r>
    </w:p>
    <w:p>
      <w:pPr>
        <w:spacing w:after="0" w:line="75" w:lineRule="exact"/>
        <w:rPr>
          <w:rFonts w:ascii="Times New Roman" w:cs="Times New Roman" w:eastAsia="Times New Roman" w:hAnsi="Times New Roman"/>
          <w:sz w:val="18"/>
          <w:szCs w:val="18"/>
          <w:color w:val="auto"/>
        </w:rPr>
      </w:pPr>
    </w:p>
    <w:p>
      <w:pPr>
        <w:jc w:val="both"/>
        <w:ind w:left="660" w:right="299" w:firstLine="352"/>
        <w:spacing w:after="0" w:line="258" w:lineRule="auto"/>
        <w:tabs>
          <w:tab w:leader="none" w:pos="12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neither the Company nor any of its Subsidiaries nor any of their employees, officers or directors has had a personal security clearance revoked, excluding terminations of such personal security clearances as may have occurred in the ordinary course of business. The Company and its Subsidiaries hold and at all relevant times have held at least a “satisfactory” rating from the Defense Counterintelligence and Security Agency (or its predecessor) with respect to their facility security clearances.</w:t>
      </w:r>
    </w:p>
    <w:p>
      <w:pPr>
        <w:spacing w:after="0" w:line="75" w:lineRule="exact"/>
        <w:rPr>
          <w:rFonts w:ascii="Times New Roman" w:cs="Times New Roman" w:eastAsia="Times New Roman" w:hAnsi="Times New Roman"/>
          <w:sz w:val="18"/>
          <w:szCs w:val="18"/>
          <w:color w:val="auto"/>
        </w:rPr>
      </w:pPr>
    </w:p>
    <w:p>
      <w:pPr>
        <w:ind w:left="660" w:right="379" w:firstLine="352"/>
        <w:spacing w:after="0" w:line="254" w:lineRule="auto"/>
        <w:tabs>
          <w:tab w:leader="none" w:pos="132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3.21(m)</w:t>
      </w:r>
      <w:r>
        <w:rPr>
          <w:rFonts w:ascii="Times New Roman" w:cs="Times New Roman" w:eastAsia="Times New Roman" w:hAnsi="Times New Roman"/>
          <w:sz w:val="18"/>
          <w:szCs w:val="18"/>
          <w:color w:val="auto"/>
        </w:rPr>
        <w:t xml:space="preserve"> of the Company Disclosure Letter sets forth the number of personnel security clearances issued by the U.S. Government and the level of such clearances and all facility security clearances used or held for use by the Company and its Subsidiaries. All requisite personnel security clearances and facility security clearances are valid and in full force and effect, and the Company and its Subsidiaries are in compliance with all applicable requirements under each of its Government Contracts relating to the safeguarding of and access to classified information and all applicable Laws and regulations regarding national security. There is no proposed, threatened in writing or, to the Knowledge of the Company, verbally threatened termination of any such facility or personnel security clearances.</w:t>
      </w:r>
    </w:p>
    <w:p>
      <w:pPr>
        <w:spacing w:after="0" w:line="82"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The Company and its Subsidiaries have no liabilities in respect of Indebtedness except as set forth 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Company Disclosure Letter. For each item of Indebtedness,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Company Disclosure Letter sets forth the debtor, the Contract governing the Indebtedness, the principal amount of the Indebtedness as of June 30, 2026, the creditor, the maturity date, and the collateral, if any, securing the Indebtedness (and all Contracts governing all related Liens). Neither the Company nor any of its Subsidiaries has any liability in respect of a guarantee of any Indebtedness or other liability of any other Person (other than the Company or its other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i w:val="1"/>
          <w:iCs w:val="1"/>
          <w:color w:val="auto"/>
        </w:rPr>
        <w:t>Material Customers and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Company Disclosure Letter sets forth a true and complete list of (i) the Material Customers, together with the dollar amount of net revenues attributable to each such Material Customer during the twelve (12) month period ended December 31, 2025 and the six (6) month period ended June 30, 2026, and (ii) the Material Suppliers, together with the dollar amount of purchases from each such Material Supplier during the twelve (12) month period ended December 31, 2025 and the six (6) month period ended June 30, 2026. Since December 31, 2023, neither the Company nor any of its Subsidiaries has received any written notice, or to the Knowledge of the Company, any verbal notice, from any Material Customer or Material Supplier to the effect that such Material Customer or Material Supplier intends to stop, fail to renew any Contract for, materially decrease the rate of, audit or materially and adversely change the terms (whether related to payment, price, margin, length of term or otherwise) with respect to, purchasing products or services from, or supplying products or services to, the Company or any of its Subsidiaries (whether as a result of the consummation of the Transactions or otherwise). Since December 31, 2023, no Material Customer or Material Supplier has stopped, or materially decreased the rate of, purchasing products or services from, or supplying products or services to, the Company or any of its Subsidiaries.</w:t>
      </w:r>
    </w:p>
    <w:p>
      <w:pPr>
        <w:spacing w:after="0" w:line="77"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 xml:space="preserve">. The Company has conducted its own independent review and analysis of the business, operations, assets, liabilities, results of operations, financial condition and prospects of Parent and Acquisition Sub and acknowledges that it and its Representatives have received access to such books, records and other information of Parent and Acquisition Sub that it and its Representatives have requested. Except for the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other certificates and agreements delivered in connection herewith, none of the Company, any of its Affiliates or any other Person on behalf of the Company makes any express or implied representation or warranty (and there is and has been no reliance by Parent, Acquisition Sub or any of their respective Affiliates or Representatives on any such representation or warranty) with respect to the Company, its Subsidiaries or their respective businesses or with respect to any other information provided, or made available, to Parent, Acquisition Sub or their respective Representatives or Affiliates in connection with the Transactions, including the accuracy or completeness thereof. The Company acknowledges that neither Parent nor Acquisition Sub nor any Person on behalf of Parent or Acquisition Sub makes, and the Company has not relied upon, any express or implied representation or warranty with respect to Parent or Acquisition Sub or with respect to any other information provided to the Company in connection with the Transactions, including the accuracy or completeness thereof, other than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other agreements and certificates delivered in connection herewith. The Company acknowledges and agrees that, to the fullest extent permitted by applicable Law, Parent, Acquisition Sub, and their respective Affiliates, stockholders, controlling persons or Representatives will not have any liability or responsibility whatsoever to the Company or its Affiliates, stockholders, controlling persons or Representatives on any basis (including in contract or tort, under federal or state securities Laws or otherwise) based upon any information provided or made available, or statements made (or any omissions therefrom), to the Company or any of its Affiliates, stockholders, controlling persons or Representatives, except as and only to the extent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other agreements and certificates delivered in connection herewith. Without limiting the foregoing, neither the Company nor any other Person will have or be subject to any liability or other obligation to Parent, Acquisition Sub or their Representatives or Affiliates or any other Person resulting from Parent’s, Acquisition Sub’s or their Representatives’ or Affiliates’ use of any information, documents, projections, forecasts or other material made available to Parent, Acquisition Sub or their Representatives or Affiliates, including any information made available in the electronic data room maintained by the Company for purposes of the Transactions, teaser, marketing material, confidential information memorandum, management presentations, functional “</w:t>
      </w:r>
      <w:r>
        <w:rPr>
          <w:rFonts w:ascii="Times New Roman" w:cs="Times New Roman" w:eastAsia="Times New Roman" w:hAnsi="Times New Roman"/>
          <w:sz w:val="18"/>
          <w:szCs w:val="18"/>
          <w:u w:val="single" w:color="auto"/>
          <w:color w:val="auto"/>
        </w:rPr>
        <w:t>break-out</w:t>
      </w:r>
      <w:r>
        <w:rPr>
          <w:rFonts w:ascii="Times New Roman" w:cs="Times New Roman" w:eastAsia="Times New Roman" w:hAnsi="Times New Roman"/>
          <w:sz w:val="18"/>
          <w:szCs w:val="18"/>
          <w:color w:val="auto"/>
        </w:rPr>
        <w:t xml:space="preserve">” discussions, responses to questions submitted on behalf of Parent, Acquisition Sub or their respective Representatives or in any other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other certificates and agreements delivered in connection herewith.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ACQUISITION SUB</w:t>
      </w:r>
    </w:p>
    <w:p>
      <w:pPr>
        <w:spacing w:after="0" w:line="99" w:lineRule="exact"/>
        <w:rPr>
          <w:sz w:val="20"/>
          <w:szCs w:val="20"/>
          <w:color w:val="auto"/>
        </w:rPr>
      </w:pPr>
    </w:p>
    <w:p>
      <w:pPr>
        <w:ind w:left="300" w:right="599" w:firstLine="360"/>
        <w:spacing w:after="0" w:line="289" w:lineRule="auto"/>
        <w:rPr>
          <w:sz w:val="20"/>
          <w:szCs w:val="20"/>
          <w:color w:val="auto"/>
        </w:rPr>
      </w:pPr>
      <w:r>
        <w:rPr>
          <w:rFonts w:ascii="Times New Roman" w:cs="Times New Roman" w:eastAsia="Times New Roman" w:hAnsi="Times New Roman"/>
          <w:sz w:val="17"/>
          <w:szCs w:val="17"/>
          <w:color w:val="auto"/>
        </w:rPr>
        <w:t>Except as set forth in the separate disclosure letter delivered by Parent and Acquisition Sub to the Company (the “</w:t>
      </w:r>
      <w:r>
        <w:rPr>
          <w:rFonts w:ascii="Times New Roman" w:cs="Times New Roman" w:eastAsia="Times New Roman" w:hAnsi="Times New Roman"/>
          <w:sz w:val="17"/>
          <w:szCs w:val="17"/>
          <w:u w:val="single" w:color="auto"/>
          <w:color w:val="auto"/>
        </w:rPr>
        <w:t>Parent Disclosure Letter</w:t>
      </w:r>
      <w:r>
        <w:rPr>
          <w:rFonts w:ascii="Times New Roman" w:cs="Times New Roman" w:eastAsia="Times New Roman" w:hAnsi="Times New Roman"/>
          <w:sz w:val="17"/>
          <w:szCs w:val="17"/>
          <w:color w:val="auto"/>
        </w:rPr>
        <w:t xml:space="preserve">”) prior to the execution of this Agreement (with specific reference to the representations and warranties in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to which the information in such schedule relates; provided,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disclosure in the Parent Disclosure Letter as to a specific representation or warranty qualifies any other sections of this Agreement to the extent (notwithstanding the absence of a specific cross reference) it is reasonably apparent that such disclosure relates to such other sections), Parent and Acquisition Sub hereby represent and warrant to the Company as follows:</w:t>
      </w:r>
    </w:p>
    <w:p>
      <w:pPr>
        <w:spacing w:after="0" w:line="70"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Corporate Organization</w:t>
      </w:r>
      <w:r>
        <w:rPr>
          <w:rFonts w:ascii="Times New Roman" w:cs="Times New Roman" w:eastAsia="Times New Roman" w:hAnsi="Times New Roman"/>
          <w:sz w:val="18"/>
          <w:szCs w:val="18"/>
          <w:color w:val="auto"/>
        </w:rPr>
        <w:t>. Parent is a limited liability company and Acquisition Sub is a corporation, each duly organized, validly existing and, to the extent applicable, in good standing under the laws of the jurisdiction of its organization and has the requisite limited liability company or corporate (as applicable) power and authority to own or lease all of its properties and assets and to carry on its business as it is now being conducted. Each of Parent and Acquisition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spacing w:after="0" w:line="7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Authority, Execution and Delivery; Enforceability</w:t>
      </w:r>
      <w:r>
        <w:rPr>
          <w:rFonts w:ascii="Times New Roman" w:cs="Times New Roman" w:eastAsia="Times New Roman" w:hAnsi="Times New Roman"/>
          <w:sz w:val="18"/>
          <w:szCs w:val="18"/>
          <w:color w:val="auto"/>
        </w:rPr>
        <w:t>. Each of Parent and Acquisition Sub has all necessary limited liability company or corporate (as applicable) power and authority to execute and deliver this Agreement, to perform and comply with each of its obligations under this Agreement and to consummate the Transactions applicable to such party. The execution and delivery by each of Parent and Acquisition Sub of this Agreement, the performance and compliance by Parent and Acquisition Sub with each of its obligations herein and the consummation by Parent and Acquisition Sub of the Transactions applicable to it have been duly authorized by all necessary limited liability company or corporate (as applicable) action on the part of Parent and Acquisition Sub, and no other limited liability company or corporate (as applicable) proceedings on the part of Parent or Acquisition Sub and no stockholder votes are necessary to authorize this Agreement or the consummation by Parent and Acquisition Sub of the Transactions to which it is a party. Each of Parent and Acquisition Sub has duly and validly executed and delivered this Agreement and, assuming the due authorization, execution and delivery by the Company of this Agreement, this Agreement constitutes Parent’s and Acquisition Sub’s legal, valid and binding obligation, enforceable against each of Parent and Acquisition Sub in accordance with its terms, except as limited by the Bankruptcy and Equitable Exceptions.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39" w:firstLine="352"/>
        <w:spacing w:after="0" w:line="255" w:lineRule="auto"/>
        <w:tabs>
          <w:tab w:leader="none" w:pos="12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Parent and Acquisition Sub, does not and will not, and the performance of this Agreement by Parent and Acquisition Sub will not, (i) conflict with or violate any provision of the certificate of incorporation, bylaws or similar organizational documents of Parent or Acquisition Sub, (ii) assuming that all consents, approvals, authorizations and permits described in</w:t>
      </w:r>
    </w:p>
    <w:p>
      <w:pPr>
        <w:spacing w:after="0" w:line="2" w:lineRule="exact"/>
        <w:rPr>
          <w:rFonts w:ascii="Times New Roman" w:cs="Times New Roman" w:eastAsia="Times New Roman" w:hAnsi="Times New Roman"/>
          <w:sz w:val="18"/>
          <w:szCs w:val="18"/>
          <w:color w:val="auto"/>
        </w:rPr>
      </w:pPr>
    </w:p>
    <w:p>
      <w:pPr>
        <w:ind w:left="6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Parent, Acquisition Sub or any other Subsidiary of Parent (each,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or by which any property or asset of Parent or any Parent Subsidiary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including Acquisition Sub, pursuant to, any Contract or Permit to which Parent or any Parent Subsidiary is a party, except, with respect to clauses (ii) and (iii), for any such consents, approvals, conflicts, violations, breaches, loss, change of control, defaults, right, Lien or other occurrences which would not, individually or in the aggregate, reasonably be expected to have a Parent Material Adverse Effect.</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73" w:lineRule="auto"/>
        <w:tabs>
          <w:tab w:leader="none" w:pos="127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accuracy of the representations and warranties of the Company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and the other certificates and agreements contemplated hereby, the execution and delivery of this Agreement by Parent and Acquisition Sub does not and will not, and the consummation by Parent and Acquisition Sub of the Transactions and compliance by Parent and Acquisition Sub with any of the terms or provisions hereof will not, require any consent, approval, authorization or permit of, or filing with or notification to, any Governmental Entity, except (i) under the Exchange Act and the rules and regulations of the NYSE or under state securities Laws, (ii) as required or advisable under any applicable Competition Laws, (iii) the filing and recordation 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519"/>
        <w:spacing w:after="0" w:line="266" w:lineRule="auto"/>
        <w:rPr>
          <w:sz w:val="20"/>
          <w:szCs w:val="20"/>
          <w:color w:val="auto"/>
        </w:rPr>
      </w:pPr>
      <w:r>
        <w:rPr>
          <w:rFonts w:ascii="Times New Roman" w:cs="Times New Roman" w:eastAsia="Times New Roman" w:hAnsi="Times New Roman"/>
          <w:sz w:val="18"/>
          <w:szCs w:val="18"/>
          <w:color w:val="auto"/>
        </w:rPr>
        <w:t>the Certificate of Merger as required by the DGCL and (iv) where failure to obtain such consents, approvals, authorizations or permits, or to make such filings or notifications would not, individually or in the aggregate, reasonably be expected to have a Parent Material Adverse Effect.</w:t>
      </w:r>
    </w:p>
    <w:p>
      <w:pPr>
        <w:spacing w:after="0" w:line="66"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There is no Proceeding pending, threatened in writing or, to the Knowledge of Parent, threatened verbally that, individually or in the aggregate, has had or would reasonably be expected to have a Parent Material Adverse Effect, and neither Parent nor Acquisition Sub is subject to any outstanding Order that, individually or in the aggregate, has had or would reasonably be expected to have a Parent Material Adverse Effect.</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39" w:firstLine="352"/>
        <w:spacing w:after="0" w:line="271" w:lineRule="auto"/>
        <w:tabs>
          <w:tab w:leader="none" w:pos="1265"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has delivered to the Company a true and complete copy of the executed Debt Commitment Letter and Equity Commitment Letter as in effect on the date hereof (with, in the case of the Debt Commitment Letter and any related Debt Fee Letter,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As of the date hereof, neither Parent nor any of its Affiliates has entered into any agreement, side letter or other arrangement relating to funding of the Debt Financing and Equity Financing, other than as set forth in the Commitment Letters and, in the case of the Debt Financing, for the Debt Fee Letter (including any “market flex” provisions set forth therein).</w:t>
      </w:r>
    </w:p>
    <w:p>
      <w:pPr>
        <w:spacing w:after="0" w:line="65" w:lineRule="exact"/>
        <w:rPr>
          <w:rFonts w:ascii="Times New Roman" w:cs="Times New Roman" w:eastAsia="Times New Roman" w:hAnsi="Times New Roman"/>
          <w:sz w:val="17"/>
          <w:szCs w:val="17"/>
          <w:color w:val="auto"/>
        </w:rPr>
      </w:pPr>
    </w:p>
    <w:p>
      <w:pPr>
        <w:ind w:left="660" w:right="319" w:firstLine="352"/>
        <w:spacing w:after="0" w:line="266" w:lineRule="auto"/>
        <w:tabs>
          <w:tab w:leader="none" w:pos="1275"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Closing Date, subject to the terms and conditions set forth in the Commitment Letters and in this Agreement and assuming the satisfaction of the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and the conditions set forth in the Commitment Letters, the aggregate proceeds of the Financing (both before and after giving effect to the exercise of any or all “market flex” provisions related thereto) will be sufficient for the payment by or on behalf of Parent of all amounts required to be paid by it on the Closing Date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including the payment of the Merger Consideration on the Closing Date and all related fees and expenses and prepayment of debt under the Credit Facilities on the Closing Date (collectively, the “</w:t>
      </w:r>
      <w:r>
        <w:rPr>
          <w:rFonts w:ascii="Times New Roman" w:cs="Times New Roman" w:eastAsia="Times New Roman" w:hAnsi="Times New Roman"/>
          <w:sz w:val="17"/>
          <w:szCs w:val="17"/>
          <w:u w:val="single" w:color="auto"/>
          <w:color w:val="auto"/>
        </w:rPr>
        <w:t>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To Parent’s Knowledge as of the date hereof, the respective commitments contained in the Commitment Letters have not been withdrawn or rescinded in any respect. As of the date hereof, the Commitment Letters in the form so delivered are in full force and effect against Parent and represent a valid, binding and enforceable obligation of Parent and, to Parent’s Knowledge, each other party thereto, to provide the financing contemplated thereby subject only to the satisfaction or waiver of the conditions set forth in the Commitment Letters as of the date hereof and except as limited by the Bankruptcy and Equitable Exceptions. Parent has fully paid (or caused to be fully paid) any and all commitment fees and other amounts that are due and payable on or prior to the date of this Agreement in connection with the Financing. As of the date hereof, no event has occurred which, with or without notice, lapse of time or both, would reasonably be expected to constitute a breach or default on the part of Parent or, to the Knowledge of Parent, any other party thereto under any of the Commitment Letters. As of the date hereof, assuming the representations and warranties made by the Company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are true and correct in all material respects, the satisfaction of the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and the Company’s compliance with its obligations under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Parent has no reason to believe that it or any other party thereto will be unable to satisfy on a timely basis any term of the Commitment Letters or that the full amount of the Financing will not be made on a timely basis. The only conditions precedent or other contingencies related to the funding of the Debt Financing on the Closing Date are the conditions set forth in the Commitment Letters as of the date hereof. As of the date hereof, assuming the representations and warranties made by the Company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are true and correct in all material respects, the satisfaction of the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and the Company’s compliance with its obligations under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Parent has no reason to believe that (i) any of such conditions will not be satisfied or (ii) the Financing will not be made available to Parent on the Closing Date.</w:t>
      </w:r>
    </w:p>
    <w:p>
      <w:pPr>
        <w:spacing w:after="0" w:line="306" w:lineRule="exact"/>
        <w:rPr>
          <w:rFonts w:ascii="Times New Roman" w:cs="Times New Roman" w:eastAsia="Times New Roman" w:hAnsi="Times New Roman"/>
          <w:sz w:val="17"/>
          <w:szCs w:val="17"/>
          <w:color w:val="auto"/>
        </w:rPr>
      </w:pPr>
    </w:p>
    <w:p>
      <w:pPr>
        <w:ind w:left="660" w:right="459" w:firstLine="352"/>
        <w:spacing w:after="0" w:line="261" w:lineRule="auto"/>
        <w:tabs>
          <w:tab w:leader="none" w:pos="126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 any way expanding or amending the remedies available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Parent understands and acknowledges that under the terms of this Agreement, Parent’s obtaining of any financing or the availability, grant, provision or extension of any financing to Parent is not a condition to Parent’s obligations hereunder.</w:t>
      </w:r>
    </w:p>
    <w:p>
      <w:pPr>
        <w:spacing w:after="0" w:line="70" w:lineRule="exact"/>
        <w:rPr>
          <w:sz w:val="20"/>
          <w:szCs w:val="20"/>
          <w:color w:val="auto"/>
        </w:rPr>
      </w:pPr>
    </w:p>
    <w:p>
      <w:pPr>
        <w:ind w:left="300" w:right="539" w:firstLine="360"/>
        <w:spacing w:after="0" w:line="315"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i w:val="1"/>
          <w:iCs w:val="1"/>
          <w:color w:val="auto"/>
        </w:rPr>
        <w:t>Guarantee</w:t>
      </w:r>
      <w:r>
        <w:rPr>
          <w:rFonts w:ascii="Times New Roman" w:cs="Times New Roman" w:eastAsia="Times New Roman" w:hAnsi="Times New Roman"/>
          <w:sz w:val="17"/>
          <w:szCs w:val="17"/>
          <w:color w:val="auto"/>
        </w:rPr>
        <w:t>. Concurrently with the execution of this Agreement, the Guarantor has delivered to the Company the Guarantee dated as of the date hereof. As of the date hereof, the Guarantee is in full force and effect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and is a valid and binding obligation of the Guarantor, enforceable against the Guarantor in accordance with its terms, except as limited by the Bankruptcy and Equitable Exceptions. No event has occurred which, with or without notice, lapse of time or both, would constitute a default on the part of Guarantor under the Guarantee.</w:t>
      </w:r>
    </w:p>
    <w:p>
      <w:pPr>
        <w:spacing w:after="0" w:line="66" w:lineRule="exact"/>
        <w:rPr>
          <w:sz w:val="20"/>
          <w:szCs w:val="20"/>
          <w:color w:val="auto"/>
        </w:rPr>
      </w:pPr>
    </w:p>
    <w:p>
      <w:pPr>
        <w:ind w:left="300" w:right="519" w:firstLine="360"/>
        <w:spacing w:after="0" w:line="273"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i w:val="1"/>
          <w:iCs w:val="1"/>
          <w:color w:val="auto"/>
        </w:rPr>
        <w:t>Proxy Statement</w:t>
      </w:r>
      <w:r>
        <w:rPr>
          <w:rFonts w:ascii="Times New Roman" w:cs="Times New Roman" w:eastAsia="Times New Roman" w:hAnsi="Times New Roman"/>
          <w:sz w:val="17"/>
          <w:szCs w:val="17"/>
          <w:color w:val="auto"/>
        </w:rPr>
        <w:t>. None of the information supplied or to be supplied by Parent or Acquisition Sub specifically for inclusion or incorporation by reference in the Proxy Statement will, at the date that the Proxy Statement or any amendment or supplement thereto is mailed to holders of Shares and at the time of the Company Stockholder Meeting, contain any untrue statement of a material fact or omit to state a material fact necessary to make the statements therein, in light of the circumstances in which they are made, not misleading (except that no representation or warranty is made by Parent or Acquisition Sub to statements made therein based on information supplied by or on behalf of the Company or any other Person for inclusion or incorporation by reference therein).</w:t>
      </w:r>
    </w:p>
    <w:p>
      <w:pPr>
        <w:spacing w:after="0" w:line="63"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i w:val="1"/>
          <w:iCs w:val="1"/>
          <w:color w:val="auto"/>
        </w:rPr>
        <w:t>Ownership of Company Capital Stock</w:t>
      </w:r>
      <w:r>
        <w:rPr>
          <w:rFonts w:ascii="Times New Roman" w:cs="Times New Roman" w:eastAsia="Times New Roman" w:hAnsi="Times New Roman"/>
          <w:sz w:val="18"/>
          <w:szCs w:val="18"/>
          <w:color w:val="auto"/>
        </w:rPr>
        <w:t>. None of Parent, Acquisition Sub or any Parent Subsidiary beneficially owns any Shares or other Equity Interests in the Company as of the date hereof. Neither Parent nor Acquisition Sub nor any of its “affiliates” or “associates” is, nor at any time during the last three (3) years has it been, an “interested stockholder” of the Company as defined in Section 203 of the DGCL (other than as contemplated by this Agreement).</w:t>
      </w:r>
    </w:p>
    <w:p>
      <w:pPr>
        <w:spacing w:after="0" w:line="75"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xml:space="preserve">. Assuming (i) the satisfaction of all conditions to Parent’s and Acquisition Sub’s obligations to consummate the Transactions, or the waiver of such conditions, (ii) the accuracy, in all material respects, of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certificates and agreements contemplated hereby (without giving effect to any limitations as to “materiality” or “Material Adverse Effect” or similar materiality qualifiers set forth therein) and the compliance, in all material respects, by the Company and its Subsidiaries with the covenants contained in this Agreement and (iii) the most recent financial statements included in an Annual Report on Form 10-K or Quarterly Report on Form 10-Q filed by the Company with the SEC present fairly in all material respects the consolidated financial position of the Company and its Subsidiaries at the end of the periods covered thereby and the consolidated results of operations of the Company and its Subsidiaries for the periods covered thereby, then immediately after giving effect to the consummation of the Merger, the Company and its Subsidiaries, taken as a whole, will be solvent. For purposes of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the term “solvent,” when used with respect to any Person, means that, as of any date of determination, (a) the amount of the “fair saleable value” (determined on a going concern basis) of the assets of such Person will, as of such date, exceed the value of all “liabilities of such Person, including contingent and other liabilities,” as of such date, as such quoted terms are generally determined in accordance with applicable federal laws governing determinations of the insolvency of debtors (including a reasonable estimate of the amount of contingent liabilities);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(including a reasonable estimate of the amount of contingent liabilities). For purposes of this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lines of credit, or a combination thereof, to meet its obligations as they become due.</w:t>
      </w:r>
    </w:p>
    <w:p>
      <w:pPr>
        <w:spacing w:after="0" w:line="7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i w:val="1"/>
          <w:iCs w:val="1"/>
          <w:color w:val="auto"/>
        </w:rPr>
        <w:t>Ownership of Parent and Acquisition Sub</w:t>
      </w:r>
      <w:r>
        <w:rPr>
          <w:rFonts w:ascii="Times New Roman" w:cs="Times New Roman" w:eastAsia="Times New Roman" w:hAnsi="Times New Roman"/>
          <w:sz w:val="18"/>
          <w:szCs w:val="18"/>
          <w:color w:val="auto"/>
        </w:rPr>
        <w:t>. All of the outstanding Equity Interests of Parent and Acquisition Sub have been duly authorized and validly issued. All of the issued and outstanding Equity Interests of Acquisition Sub are, and at the Effective Time will be, owned directly or indirectly by Parent. Acquisition Sub was formed for purposes of the Merger and, except for matters incident to formation and execution and delivery of this Agreement and the performance of the Transactions, (i) has not prior to the date hereof engaged and will not engage in any business or other activities and (ii) has, and will have as of immediately prior to the Effective Time, no liabilities other than those contemplated by this Agreement.</w:t>
      </w:r>
    </w:p>
    <w:p>
      <w:pPr>
        <w:spacing w:after="0" w:line="75" w:lineRule="exact"/>
        <w:rPr>
          <w:sz w:val="20"/>
          <w:szCs w:val="20"/>
          <w:color w:val="auto"/>
        </w:rPr>
      </w:pPr>
    </w:p>
    <w:p>
      <w:pPr>
        <w:ind w:left="300" w:right="299" w:firstLine="360"/>
        <w:spacing w:after="0" w:line="275"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i w:val="1"/>
          <w:iCs w:val="1"/>
          <w:color w:val="auto"/>
        </w:rPr>
        <w:t>No Stockholder and Management and Other Arrangements</w:t>
      </w:r>
      <w:r>
        <w:rPr>
          <w:rFonts w:ascii="Times New Roman" w:cs="Times New Roman" w:eastAsia="Times New Roman" w:hAnsi="Times New Roman"/>
          <w:sz w:val="17"/>
          <w:szCs w:val="17"/>
          <w:color w:val="auto"/>
        </w:rPr>
        <w:t>. Except for this Agreement and the Voting Agreements, or as expressly authorized by the Company Board, as of the date hereof, neither Parent or Acquisition Sub, nor any of their respective Affiliates, is a party to any Contracts, or has made or entered into any formal or informal arrangements or other understandings (including as to continuing employment), with any stockholder, director or officer of the Company relating to this Agreement, the Merger or any other Transactions, or the Surviving Corporation or any of its subsidiaries, businesses or operations from and after the Effective Time. None of Parent,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Acquisition Sub or any of their respective Affiliates has entered into any Contract with any commercial bank which by its terms prohibits such commercial bank from providing or seeking to provide debt financing to any person in connection with a transaction involving the Company or any of its Subsidiaries in connection with the Merger (other than customary and ordinary “tree” arrangements).</w:t>
      </w:r>
    </w:p>
    <w:p>
      <w:pPr>
        <w:spacing w:after="0" w:line="70"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i w:val="1"/>
          <w:iCs w:val="1"/>
          <w:color w:val="auto"/>
        </w:rPr>
        <w:t>Brokers</w:t>
      </w:r>
      <w:r>
        <w:rPr>
          <w:rFonts w:ascii="Times New Roman" w:cs="Times New Roman" w:eastAsia="Times New Roman" w:hAnsi="Times New Roman"/>
          <w:sz w:val="17"/>
          <w:szCs w:val="17"/>
          <w:color w:val="auto"/>
        </w:rPr>
        <w:t>.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 except those to be borne by Parent, any Parent Subsidiary or the Surviving Corporation, as applicable.</w:t>
      </w:r>
    </w:p>
    <w:p>
      <w:pPr>
        <w:spacing w:after="0" w:line="56"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i w:val="1"/>
          <w:iCs w:val="1"/>
          <w:color w:val="auto"/>
        </w:rPr>
        <w:t>Foreign Ownership, Control and Influence</w:t>
      </w:r>
      <w:r>
        <w:rPr>
          <w:rFonts w:ascii="Times New Roman" w:cs="Times New Roman" w:eastAsia="Times New Roman" w:hAnsi="Times New Roman"/>
          <w:sz w:val="18"/>
          <w:szCs w:val="18"/>
          <w:color w:val="auto"/>
        </w:rPr>
        <w:t>. (a) Neither Parent nor Acquisition Sub is a “foreign person” within the meaning of the regulations promulgated pursuant to the Defense Production Act of 1950, as amended, including Section 721 thereof (50 U.S.C. § 4565), and (b) neither Parent nor Acquisition Sub is under the “control” (as defined in 31 C.F.R. § 800.208) of a “foreign person” (as defined in 31 C.F.R. § 800.224), except in each case as would not reasonably be expected to prevent or materially delay the consummation of the Transactions.</w:t>
      </w:r>
    </w:p>
    <w:p>
      <w:pPr>
        <w:spacing w:after="0" w:line="75"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i w:val="1"/>
          <w:iCs w:val="1"/>
          <w:color w:val="auto"/>
        </w:rPr>
        <w:t>No Other Representations and Warranties; Non-Reliance</w:t>
      </w:r>
      <w:r>
        <w:rPr>
          <w:rFonts w:ascii="Times New Roman" w:cs="Times New Roman" w:eastAsia="Times New Roman" w:hAnsi="Times New Roman"/>
          <w:sz w:val="18"/>
          <w:szCs w:val="18"/>
          <w:color w:val="auto"/>
        </w:rPr>
        <w:t xml:space="preserve">. Each of Parent and Acquisition Sub has conducted its own independent review and analysis of the business, operations, assets, Intellectual Property, technology, liabilities, results of operations, financial condition and prospects of the Company and each of them acknowledges that it and its Representatives have received access to books and records, facilities, equipment, contracts and other assets of the Company to review, and that it and its Representatives have had an opportunity to meet with the management of the Company and to discuss the business and assets of the Company. Each of Parent and Acquisition Sub acknowledges that neither the Company nor any Person on behalf of the Company makes, and none of Parent or Acquisition Sub has relied upon, any express or implied representation or warranty with respect to the Company or any of its Subsidiaries or with respect to any other information provided to Parent or Acquisition Sub in connection with the Transactions, including the accuracy or completeness thereof, other than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other agreements and certificates delivered in connection herewith. Each of Parent and Acquisition Sub acknowledges and agrees that, to the fullest extent permitted by applicable Law, the Company and its Subsidiaries, and their respective Affiliates, stockholders, controlling persons or Representatives will not have any liability or responsibility whatsoever to Parent, Acquisition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Acquisition Sub, any Parent Subsidiary, or any of their respective Affiliates, stockholders, controlling persons or Representatives, except as and only to the extent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other certificates and agreements delivered in connection herewith. Except for the representations and warranties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the other certificates and agreements delivered in connection herewith, none of Parent, Acquisition Sub, any of their respective Affiliates or any other Person on behalf of Parent or Acquisition Sub makes any express or implied representation or warranty (and there is and has been no reliance by the Company or any of its Affiliates or Representatives on any such representation or warranty) with respect to Parent, Acquisition Sub or their respective businesses or with respect to any other information provided, or made available, to the Company or its Representatives or Affiliates in connection with the Transactions, including the accuracy or completeness thereof. Without limiting the foregoing, neither Parent, Acquisition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any form in connection with the Transactions,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other certificates and agreements delivered in connection herewith.</w:t>
      </w:r>
    </w:p>
    <w:p>
      <w:pPr>
        <w:spacing w:after="0" w:line="2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COVENANT</w:t>
      </w:r>
    </w:p>
    <w:p>
      <w:pPr>
        <w:spacing w:after="0" w:line="97" w:lineRule="exact"/>
        <w:rPr>
          <w:sz w:val="20"/>
          <w:szCs w:val="20"/>
          <w:color w:val="auto"/>
        </w:rPr>
      </w:pPr>
    </w:p>
    <w:p>
      <w:pPr>
        <w:jc w:val="both"/>
        <w:ind w:left="300" w:right="619" w:firstLine="360"/>
        <w:spacing w:after="0" w:line="290"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i w:val="1"/>
          <w:iCs w:val="1"/>
          <w:color w:val="auto"/>
        </w:rPr>
        <w:t>Conduct of Business by the Company Pending the Closing</w:t>
      </w:r>
      <w:r>
        <w:rPr>
          <w:rFonts w:ascii="Times New Roman" w:cs="Times New Roman" w:eastAsia="Times New Roman" w:hAnsi="Times New Roman"/>
          <w:sz w:val="17"/>
          <w:szCs w:val="17"/>
          <w:color w:val="auto"/>
        </w:rPr>
        <w:t xml:space="preserve"> Between the date of this Agreement and the earlier of the Effective Time and the termination of this Agreement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of the Company Disclosure Letter, as required by applicable Law or as expressly required by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this Agreement, or with the prior written consent of Parent (not to be unreasonably withheld, conditioned or delayed), the Company will, and will cause each of its Subsidiaries to, (i) conduct its operations only in the ordinary course of business in a manner consistent with past practice, (ii) use its reasonable best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business relations, and (iii) pay its debts in the ordinary course of business in a manner consistent with past practice and uncontested Taxes when due. Without limiting the foregoing, except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Letter or as otherwise expressly required by any other provision of this Agreement, the Company will not, and will not permit any of its Subsidiaries to, between the date of this Agreement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directly or indirectly, take any of the following actions without the prior written consent of Parent (not to be unreasonably withheld, conditioned or delayed):</w:t>
      </w:r>
    </w:p>
    <w:p>
      <w:pPr>
        <w:spacing w:after="0" w:line="82" w:lineRule="exact"/>
        <w:rPr>
          <w:sz w:val="20"/>
          <w:szCs w:val="20"/>
          <w:color w:val="auto"/>
        </w:rPr>
      </w:pPr>
    </w:p>
    <w:p>
      <w:pPr>
        <w:ind w:left="660" w:right="379" w:firstLine="352"/>
        <w:spacing w:after="0" w:line="266" w:lineRule="auto"/>
        <w:tabs>
          <w:tab w:leader="none" w:pos="12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bylaws or equivalent organizational documents (including, for the avoidance of doubt, any certificate of designation of any class or series of preferred stock or any similar instrument);</w:t>
      </w:r>
    </w:p>
    <w:p>
      <w:pPr>
        <w:spacing w:after="0" w:line="67" w:lineRule="exact"/>
        <w:rPr>
          <w:rFonts w:ascii="Times New Roman" w:cs="Times New Roman" w:eastAsia="Times New Roman" w:hAnsi="Times New Roman"/>
          <w:sz w:val="18"/>
          <w:szCs w:val="18"/>
          <w:color w:val="auto"/>
        </w:rPr>
      </w:pPr>
    </w:p>
    <w:p>
      <w:pPr>
        <w:ind w:left="660" w:right="379" w:firstLine="352"/>
        <w:spacing w:after="0" w:line="255" w:lineRule="auto"/>
        <w:tabs>
          <w:tab w:leader="none" w:pos="12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any shares of capital stock of, or other Equity Interests in, the Company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the issuance of Shares upon the exercise of Company Options or settlement of Company RSUs or Company PRSUs, in each case outstanding as of the date hereof in accordance with their terms as in effect on the date hereof;</w:t>
      </w:r>
    </w:p>
    <w:p>
      <w:pPr>
        <w:spacing w:after="0" w:line="80" w:lineRule="exact"/>
        <w:rPr>
          <w:rFonts w:ascii="Times New Roman" w:cs="Times New Roman" w:eastAsia="Times New Roman" w:hAnsi="Times New Roman"/>
          <w:sz w:val="18"/>
          <w:szCs w:val="18"/>
          <w:color w:val="auto"/>
        </w:rPr>
      </w:pPr>
    </w:p>
    <w:p>
      <w:pPr>
        <w:ind w:left="660" w:right="379" w:firstLine="352"/>
        <w:spacing w:after="0" w:line="254" w:lineRule="auto"/>
        <w:tabs>
          <w:tab w:leader="none" w:pos="12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guarantee or encumber any property or assets (other than Intellectual Property) (including any product, product segment or business unit) of the Company or any of its Subsidiaries, except (i) pursuant to existing Contracts set forth in the Company Disclosure Letter, (ii) the sale, purchase or non-exclusive license of inventory, property and goods or the provision of services, in the ordinary course of business consistent with past practice, (iii) obsolete or worn out equipment in the ordinary course of business in a manner consistent with past practice, or (iv) property or assets not deemed by the Company to be material to the business and having a value less than $2,500,000 individually or $5,000,000 in the aggregate;</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61" w:lineRule="auto"/>
        <w:tabs>
          <w:tab w:leader="none" w:pos="12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pledge, transfer, license, abandon, lease, encumber, abandon, permit to lapse, or otherwise dispose of any Company Material Intellectual Property, except for non-exclusive licenses in the ordinary course of business consistent with past practice, nor disclose any of its material trade secrets to a third party other than pursuant to a confidentiality agreement;</w:t>
      </w:r>
    </w:p>
    <w:p>
      <w:pPr>
        <w:spacing w:after="0" w:line="71" w:lineRule="exact"/>
        <w:rPr>
          <w:rFonts w:ascii="Times New Roman" w:cs="Times New Roman" w:eastAsia="Times New Roman" w:hAnsi="Times New Roman"/>
          <w:sz w:val="18"/>
          <w:szCs w:val="18"/>
          <w:color w:val="auto"/>
        </w:rPr>
      </w:pPr>
    </w:p>
    <w:p>
      <w:pPr>
        <w:ind w:left="660" w:right="499" w:firstLine="352"/>
        <w:spacing w:after="0" w:line="261" w:lineRule="auto"/>
        <w:tabs>
          <w:tab w:leader="none" w:pos="12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except for dividends paid by a wholly owned Subsidiary of the Company to the Company or another wholly owned Subsidiary of the Company in the ordinary course of business consistent with past practice;</w:t>
      </w:r>
    </w:p>
    <w:p>
      <w:pPr>
        <w:spacing w:after="0" w:line="71" w:lineRule="exact"/>
        <w:rPr>
          <w:rFonts w:ascii="Times New Roman" w:cs="Times New Roman" w:eastAsia="Times New Roman" w:hAnsi="Times New Roman"/>
          <w:sz w:val="18"/>
          <w:szCs w:val="18"/>
          <w:color w:val="auto"/>
        </w:rPr>
      </w:pPr>
    </w:p>
    <w:p>
      <w:pPr>
        <w:ind w:left="660" w:right="319" w:firstLine="352"/>
        <w:spacing w:after="0" w:line="261" w:lineRule="auto"/>
        <w:tabs>
          <w:tab w:leader="none" w:pos="124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with respect to any wholly owned Subsidiary of the Company or pursuant to the terms of Company Options, Company RSUs or Company PRSUs outstanding as of the date hereof in accordance with their terms;</w:t>
      </w:r>
    </w:p>
    <w:p>
      <w:pPr>
        <w:spacing w:after="0" w:line="71" w:lineRule="exact"/>
        <w:rPr>
          <w:rFonts w:ascii="Times New Roman" w:cs="Times New Roman" w:eastAsia="Times New Roman" w:hAnsi="Times New Roman"/>
          <w:sz w:val="18"/>
          <w:szCs w:val="18"/>
          <w:color w:val="auto"/>
        </w:rPr>
      </w:pPr>
    </w:p>
    <w:p>
      <w:pPr>
        <w:ind w:left="660" w:right="319" w:firstLine="352"/>
        <w:spacing w:after="0" w:line="266" w:lineRule="auto"/>
        <w:tabs>
          <w:tab w:leader="none" w:pos="12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amalgamate or consolidate the Company or any of its Subsidiaries with any Person or adopt a plan of complete or partial liquidation or resolutions providing for a complete or partial liquidation, dissolution, restructuring, recapitalization or other reorganization of the Company or any of its Subsidiaries;</w:t>
      </w:r>
    </w:p>
    <w:p>
      <w:pPr>
        <w:spacing w:after="0" w:line="67" w:lineRule="exact"/>
        <w:rPr>
          <w:rFonts w:ascii="Times New Roman" w:cs="Times New Roman" w:eastAsia="Times New Roman" w:hAnsi="Times New Roman"/>
          <w:sz w:val="18"/>
          <w:szCs w:val="18"/>
          <w:color w:val="auto"/>
        </w:rPr>
      </w:pPr>
    </w:p>
    <w:p>
      <w:pPr>
        <w:ind w:left="660" w:right="319" w:firstLine="352"/>
        <w:spacing w:after="0" w:line="289" w:lineRule="auto"/>
        <w:tabs>
          <w:tab w:leader="none" w:pos="1275"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(including by merger, amalgamation, consolidation, or acquisition of stock or assets) any Person or assets, other than (i) acquisitions of inventory, raw materials and other property in the ordinary course of business consistent with past practice or (ii) acquisitions for which the aggregate consideration payable 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61" w:lineRule="auto"/>
        <w:rPr>
          <w:sz w:val="20"/>
          <w:szCs w:val="20"/>
          <w:color w:val="auto"/>
        </w:rPr>
      </w:pPr>
      <w:r>
        <w:rPr>
          <w:rFonts w:ascii="Times New Roman" w:cs="Times New Roman" w:eastAsia="Times New Roman" w:hAnsi="Times New Roman"/>
          <w:sz w:val="18"/>
          <w:szCs w:val="18"/>
          <w:color w:val="auto"/>
        </w:rPr>
        <w:t>the Company does not exceed $2,500,000 individually or $10,000,000 in the aggregate (each such acquisition permitted under clause (ii), a “</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provided, that a description of the material terms of such Permitted Acquisition, in reasonable detail, has been made available to Parent prior to the earlier of entry therein and consummation thereof;</w:t>
      </w:r>
    </w:p>
    <w:p>
      <w:pPr>
        <w:spacing w:after="0" w:line="72" w:lineRule="exact"/>
        <w:rPr>
          <w:sz w:val="20"/>
          <w:szCs w:val="20"/>
          <w:color w:val="auto"/>
        </w:rPr>
      </w:pPr>
    </w:p>
    <w:p>
      <w:pPr>
        <w:ind w:left="660" w:right="319" w:firstLine="352"/>
        <w:spacing w:after="0" w:line="256" w:lineRule="auto"/>
        <w:tabs>
          <w:tab w:leader="none" w:pos="123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issue any debt securities or assume, guarantee or endorse, or otherwise as an accommodation become responsible for (whether directly, contingently or otherwise), the obligations of any Person (other than a wholly owned Subsidiary of the Company) for borrowed money, except for revolving credit borrowings under the Company’s Credit Facilities (as in effect on the date of this Agreement) for working capital purposes or Equipment Leases for purchase money equipment financing, in each case, in the ordinary course of business and consistent with past practice;</w:t>
      </w:r>
    </w:p>
    <w:p>
      <w:pPr>
        <w:spacing w:after="0" w:line="79" w:lineRule="exact"/>
        <w:rPr>
          <w:rFonts w:ascii="Times New Roman" w:cs="Times New Roman" w:eastAsia="Times New Roman" w:hAnsi="Times New Roman"/>
          <w:sz w:val="18"/>
          <w:szCs w:val="18"/>
          <w:color w:val="auto"/>
        </w:rPr>
      </w:pPr>
    </w:p>
    <w:p>
      <w:pPr>
        <w:ind w:left="660" w:right="559" w:firstLine="352"/>
        <w:spacing w:after="0" w:line="282" w:lineRule="auto"/>
        <w:tabs>
          <w:tab w:leader="none" w:pos="123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any wholly owned Subsidiary of the Company), in excess of $1,000,000 in the aggregate;</w:t>
      </w:r>
    </w:p>
    <w:p>
      <w:pPr>
        <w:spacing w:after="0" w:line="53" w:lineRule="exact"/>
        <w:rPr>
          <w:rFonts w:ascii="Times New Roman" w:cs="Times New Roman" w:eastAsia="Times New Roman" w:hAnsi="Times New Roman"/>
          <w:sz w:val="18"/>
          <w:szCs w:val="18"/>
          <w:color w:val="auto"/>
        </w:rPr>
      </w:pPr>
    </w:p>
    <w:p>
      <w:pPr>
        <w:ind w:left="660" w:right="319" w:firstLine="352"/>
        <w:spacing w:after="0" w:line="261" w:lineRule="auto"/>
        <w:tabs>
          <w:tab w:leader="none" w:pos="127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secure indebtedness and other obligations under the Credit Facilities (as in effect on the date of this Agreement) or Equipment Leases for purchase money equipment financing in the ordinary course of business and consistent with past practice, create or incur any Lien on any material assets of the Company or its subsidiaries other than Permitted Liens;</w:t>
      </w:r>
    </w:p>
    <w:p>
      <w:pPr>
        <w:spacing w:after="0" w:line="71" w:lineRule="exact"/>
        <w:rPr>
          <w:rFonts w:ascii="Times New Roman" w:cs="Times New Roman" w:eastAsia="Times New Roman" w:hAnsi="Times New Roman"/>
          <w:sz w:val="18"/>
          <w:szCs w:val="18"/>
          <w:color w:val="auto"/>
        </w:rPr>
      </w:pPr>
    </w:p>
    <w:p>
      <w:pPr>
        <w:ind w:left="660" w:right="319" w:firstLine="352"/>
        <w:spacing w:after="0" w:line="281" w:lineRule="auto"/>
        <w:tabs>
          <w:tab w:leader="none" w:pos="1235"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loans or advances to, guarantees for the benefit of, or enter into any other material transaction with any director, officer, employee or individual independent contractor of the Company or its Subsidiaries, other than advances for business, travel-related, relocation or other similar expenses in accordance with any currently existing Company policy in the ordinary course of business and consistent with past practice;</w:t>
      </w:r>
    </w:p>
    <w:p>
      <w:pPr>
        <w:spacing w:after="0" w:line="56" w:lineRule="exact"/>
        <w:rPr>
          <w:rFonts w:ascii="Times New Roman" w:cs="Times New Roman" w:eastAsia="Times New Roman" w:hAnsi="Times New Roman"/>
          <w:sz w:val="17"/>
          <w:szCs w:val="17"/>
          <w:color w:val="auto"/>
        </w:rPr>
      </w:pPr>
    </w:p>
    <w:p>
      <w:pPr>
        <w:ind w:left="660" w:right="339" w:firstLine="352"/>
        <w:spacing w:after="0" w:line="258" w:lineRule="auto"/>
        <w:tabs>
          <w:tab w:leader="none" w:pos="132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renew, or agree to any material amendment to or waiver or release under any Company Material Contract or any material Government Contract, or enter into or amend any Contract that, if existing on the date hereof, would be a Company Material Contract or a material Government Contract, in each case other than renewals in the ordinary course of business consistent with past practice and terminations solely as a result of any such Contract expiring in accordance with its terms;</w:t>
      </w:r>
    </w:p>
    <w:p>
      <w:pPr>
        <w:spacing w:after="0" w:line="75" w:lineRule="exact"/>
        <w:rPr>
          <w:rFonts w:ascii="Times New Roman" w:cs="Times New Roman" w:eastAsia="Times New Roman" w:hAnsi="Times New Roman"/>
          <w:sz w:val="18"/>
          <w:szCs w:val="18"/>
          <w:color w:val="auto"/>
        </w:rPr>
      </w:pPr>
    </w:p>
    <w:p>
      <w:pPr>
        <w:jc w:val="both"/>
        <w:ind w:left="660" w:right="319" w:firstLine="352"/>
        <w:spacing w:after="0" w:line="261" w:lineRule="auto"/>
        <w:tabs>
          <w:tab w:leader="none" w:pos="127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expenditure or series of related capital expenditures in excess of the Company’s capital expenditure budget attached to </w:t>
      </w:r>
      <w:r>
        <w:rPr>
          <w:rFonts w:ascii="Times New Roman" w:cs="Times New Roman" w:eastAsia="Times New Roman" w:hAnsi="Times New Roman"/>
          <w:sz w:val="18"/>
          <w:szCs w:val="18"/>
          <w:u w:val="single" w:color="auto"/>
          <w:color w:val="auto"/>
        </w:rPr>
        <w:t>Section 5.1(n)</w:t>
      </w:r>
      <w:r>
        <w:rPr>
          <w:rFonts w:ascii="Times New Roman" w:cs="Times New Roman" w:eastAsia="Times New Roman" w:hAnsi="Times New Roman"/>
          <w:sz w:val="18"/>
          <w:szCs w:val="18"/>
          <w:color w:val="auto"/>
        </w:rPr>
        <w:t xml:space="preserve"> of the Company Disclosure Letter, other than capital expenditures or series of related capital expenditures that are not, individually in excess of $1,500,000, or in the aggregate in excess of $5,000,000;</w:t>
      </w:r>
    </w:p>
    <w:p>
      <w:pPr>
        <w:spacing w:after="0" w:line="71" w:lineRule="exact"/>
        <w:rPr>
          <w:rFonts w:ascii="Times New Roman" w:cs="Times New Roman" w:eastAsia="Times New Roman" w:hAnsi="Times New Roman"/>
          <w:sz w:val="18"/>
          <w:szCs w:val="18"/>
          <w:color w:val="auto"/>
        </w:rPr>
      </w:pPr>
    </w:p>
    <w:p>
      <w:pPr>
        <w:ind w:left="660" w:right="319" w:firstLine="352"/>
        <w:spacing w:after="0" w:line="267" w:lineRule="auto"/>
        <w:tabs>
          <w:tab w:leader="none" w:pos="1275"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by the terms of this Agreement, required pursuant to the terms of any Company Benefit Plan in effect as of the date of this Agreement or as otherwise required by applicable Law, (A) grant or provide any severance or termination payments or benefits to any current or former director, officer, employee or individual independent contractor of the Company or its Subsidiaries, (B) increase the compensation or benefits payable to any current or former director, officer, employee or individual independent contractor of the Company or its Subsidiaries, (C) establish, adopt, amend or terminate any Company Benefit Plan, (D) take any action to accelerate the vesting or payment, or fund or in any other way secure the payment, of compensation or benefits under any Company Benefit Plan (including with respect to Company Options, Company PRSUs and Company RSUs) or otherwise, (E) announce or grant any new compensation or benefits, or amend or modify the terms of any outstanding awards (including any Company Options, Company PRSUs or Company RSUs),</w:t>
      </w:r>
    </w:p>
    <w:p>
      <w:pPr>
        <w:spacing w:after="0" w:line="3" w:lineRule="exact"/>
        <w:rPr>
          <w:rFonts w:ascii="Times New Roman" w:cs="Times New Roman" w:eastAsia="Times New Roman" w:hAnsi="Times New Roman"/>
          <w:sz w:val="17"/>
          <w:szCs w:val="17"/>
          <w:color w:val="auto"/>
        </w:rPr>
      </w:pPr>
    </w:p>
    <w:p>
      <w:pPr>
        <w:ind w:left="660" w:right="319" w:hanging="8"/>
        <w:spacing w:after="0" w:line="252" w:lineRule="auto"/>
        <w:tabs>
          <w:tab w:leader="none" w:pos="92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terminate (other than for cause), furlough, or temporarily layoff any director, officer, employee or individual independent contractor, (G) hire, terminate (other than for cause), furlough, or temporarily layoff the employment of any Executive Officer, or (H) communicate with any current or former officers, directors, employees or individual independent contractors of the Company or any of its Subsidiaries with respect to the compensation, benefits or other treatment they will receive following the Effective Time except for such communication approved by Parent in advance of such communication and communications consistent with those already made by Parent;</w:t>
      </w:r>
    </w:p>
    <w:p>
      <w:pPr>
        <w:spacing w:after="0" w:line="80" w:lineRule="exact"/>
        <w:rPr>
          <w:rFonts w:ascii="Times New Roman" w:cs="Times New Roman" w:eastAsia="Times New Roman" w:hAnsi="Times New Roman"/>
          <w:sz w:val="18"/>
          <w:szCs w:val="18"/>
          <w:color w:val="auto"/>
        </w:rPr>
      </w:pPr>
    </w:p>
    <w:p>
      <w:pPr>
        <w:ind w:left="660" w:right="1019" w:firstLine="352"/>
        <w:spacing w:after="0" w:line="282" w:lineRule="auto"/>
        <w:tabs>
          <w:tab w:leader="none" w:pos="1275"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reductions in force or layoffs that would reasonably be expected to trigger notice obligations under the WARN Act;</w:t>
      </w:r>
    </w:p>
    <w:p>
      <w:pPr>
        <w:spacing w:after="0" w:line="53" w:lineRule="exact"/>
        <w:rPr>
          <w:rFonts w:ascii="Times New Roman" w:cs="Times New Roman" w:eastAsia="Times New Roman" w:hAnsi="Times New Roman"/>
          <w:sz w:val="18"/>
          <w:szCs w:val="18"/>
          <w:color w:val="auto"/>
        </w:rPr>
      </w:pPr>
    </w:p>
    <w:p>
      <w:pPr>
        <w:ind w:left="660" w:right="639" w:firstLine="352"/>
        <w:spacing w:after="0" w:line="282" w:lineRule="auto"/>
        <w:tabs>
          <w:tab w:leader="none" w:pos="1275"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enter into, amend or extend any Collective Bargaining Agreement, except as required by Law after providing prior written notice to Parent;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639" w:firstLine="352"/>
        <w:spacing w:after="0" w:line="282" w:lineRule="auto"/>
        <w:tabs>
          <w:tab w:leader="none" w:pos="1245"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other than as required by GAAP or by a Governmental Entity;</w:t>
      </w:r>
    </w:p>
    <w:p>
      <w:pPr>
        <w:spacing w:after="0" w:line="53" w:lineRule="exact"/>
        <w:rPr>
          <w:rFonts w:ascii="Times New Roman" w:cs="Times New Roman" w:eastAsia="Times New Roman" w:hAnsi="Times New Roman"/>
          <w:sz w:val="18"/>
          <w:szCs w:val="18"/>
          <w:color w:val="auto"/>
        </w:rPr>
      </w:pPr>
    </w:p>
    <w:p>
      <w:pPr>
        <w:jc w:val="both"/>
        <w:ind w:left="660" w:right="419" w:firstLine="352"/>
        <w:spacing w:after="0" w:line="258" w:lineRule="auto"/>
        <w:tabs>
          <w:tab w:leader="none" w:pos="1255"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compromise, settle or agree to settle any Proceeding other than, subject to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compromises, settlements or agreements in the ordinary course of business consistent with past practice that involve only the payment of monetary damages not in excess of $1,500,000 individually or $5,000,000 in the aggregate, in any case without the imposition of equitable relief on, or the admission of wrongdoing by, the Company or any of its Subsidiaries;</w:t>
      </w:r>
    </w:p>
    <w:p>
      <w:pPr>
        <w:spacing w:after="0" w:line="75" w:lineRule="exact"/>
        <w:rPr>
          <w:rFonts w:ascii="Times New Roman" w:cs="Times New Roman" w:eastAsia="Times New Roman" w:hAnsi="Times New Roman"/>
          <w:sz w:val="18"/>
          <w:szCs w:val="18"/>
          <w:color w:val="auto"/>
        </w:rPr>
      </w:pPr>
    </w:p>
    <w:p>
      <w:pPr>
        <w:ind w:left="660" w:right="359" w:firstLine="352"/>
        <w:spacing w:after="0" w:line="268" w:lineRule="auto"/>
        <w:tabs>
          <w:tab w:leader="none" w:pos="1235"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change or revoke any material Tax election, (ii) elect or change any material method of accounting for Tax purposes or Tax accounting periods, (iii) file any amended Tax Return with respect to any material Taxes, (iv) agree to any extension of the statute of limitations in respect of any material Tax claim or assessment, (v) surrender any right to claim a material Tax refund, (vi) prepare any income or other material Tax Return in a manner materially inconsistent with past practice, (vii) initiate, settle or compromise any material Tax dispute, audit, investigation, proceeding, claim, assessment or liability, (viii) request any ruling or similar guidance with respect to Taxes, (ix) incur any material Taxes outside the ordinary course of business, or</w:t>
      </w:r>
    </w:p>
    <w:p>
      <w:pPr>
        <w:spacing w:after="0" w:line="2" w:lineRule="exact"/>
        <w:rPr>
          <w:rFonts w:ascii="Times New Roman" w:cs="Times New Roman" w:eastAsia="Times New Roman" w:hAnsi="Times New Roman"/>
          <w:sz w:val="17"/>
          <w:szCs w:val="17"/>
          <w:color w:val="auto"/>
        </w:rPr>
      </w:pPr>
    </w:p>
    <w:p>
      <w:pPr>
        <w:ind w:left="660" w:right="499" w:hanging="8"/>
        <w:spacing w:after="0" w:line="260" w:lineRule="auto"/>
        <w:tabs>
          <w:tab w:leader="none" w:pos="96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contractual obligation in respect of income or other material Taxes with any Governmental Entity;</w:t>
      </w:r>
    </w:p>
    <w:p>
      <w:pPr>
        <w:spacing w:after="0" w:line="73" w:lineRule="exact"/>
        <w:rPr>
          <w:rFonts w:ascii="Times New Roman" w:cs="Times New Roman" w:eastAsia="Times New Roman" w:hAnsi="Times New Roman"/>
          <w:sz w:val="18"/>
          <w:szCs w:val="18"/>
          <w:color w:val="auto"/>
        </w:rPr>
      </w:pPr>
    </w:p>
    <w:p>
      <w:pPr>
        <w:ind w:left="660" w:right="319" w:firstLine="352"/>
        <w:spacing w:after="0" w:line="266" w:lineRule="auto"/>
        <w:tabs>
          <w:tab w:leader="none" w:pos="1275"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fail to renew (upon expiration, on substantially the same terms as in effect on the date hereof) or fail to maintain compliance with the terms of, any material insurance policy of the Company or any of its Subsidiaries;</w:t>
      </w:r>
    </w:p>
    <w:p>
      <w:pPr>
        <w:spacing w:after="0" w:line="121"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w:t>
      </w:r>
    </w:p>
    <w:p>
      <w:pPr>
        <w:spacing w:after="0" w:line="117" w:lineRule="exact"/>
        <w:rPr>
          <w:rFonts w:ascii="Times New Roman" w:cs="Times New Roman" w:eastAsia="Times New Roman" w:hAnsi="Times New Roman"/>
          <w:sz w:val="18"/>
          <w:szCs w:val="18"/>
          <w:color w:val="auto"/>
        </w:rPr>
      </w:pPr>
    </w:p>
    <w:p>
      <w:pPr>
        <w:ind w:left="660" w:right="759" w:firstLine="352"/>
        <w:spacing w:after="0" w:line="289" w:lineRule="auto"/>
        <w:tabs>
          <w:tab w:leader="none" w:pos="1315"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permitted by </w:t>
      </w:r>
      <w:r>
        <w:rPr>
          <w:rFonts w:ascii="Times New Roman" w:cs="Times New Roman" w:eastAsia="Times New Roman" w:hAnsi="Times New Roman"/>
          <w:sz w:val="17"/>
          <w:szCs w:val="17"/>
          <w:u w:val="single" w:color="auto"/>
          <w:color w:val="auto"/>
        </w:rPr>
        <w:t>Section 5.1(o)</w:t>
      </w:r>
      <w:r>
        <w:rPr>
          <w:rFonts w:ascii="Times New Roman" w:cs="Times New Roman" w:eastAsia="Times New Roman" w:hAnsi="Times New Roman"/>
          <w:sz w:val="17"/>
          <w:szCs w:val="17"/>
          <w:color w:val="auto"/>
        </w:rPr>
        <w:t>, enter into any Contract that both (i) would be a Company Material Contract if entered into prior to the date hereof and (ii) contains a change in control or similar provision that would trigger a consent right in favor of the counterparty in connection with the Merger; or</w:t>
      </w:r>
    </w:p>
    <w:p>
      <w:pPr>
        <w:spacing w:after="0" w:line="76" w:lineRule="exact"/>
        <w:rPr>
          <w:rFonts w:ascii="Times New Roman" w:cs="Times New Roman" w:eastAsia="Times New Roman" w:hAnsi="Times New Roman"/>
          <w:sz w:val="17"/>
          <w:szCs w:val="17"/>
          <w:color w:val="auto"/>
        </w:rPr>
      </w:pPr>
    </w:p>
    <w:p>
      <w:pPr>
        <w:ind w:left="1260" w:hanging="248"/>
        <w:spacing w:after="0"/>
        <w:tabs>
          <w:tab w:leader="none" w:pos="12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Contract or otherwise make any commitment to do any of the foregoing.</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Access to Information; Confidentiality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660" w:right="939" w:firstLine="352"/>
        <w:spacing w:after="0" w:line="276" w:lineRule="auto"/>
        <w:tabs>
          <w:tab w:leader="none" w:pos="1265"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the date of this Agreement to the earlier of the Effective Time and the termination of this Agreement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the Company will, and will cause each of its Subsidiaries to</w:t>
      </w:r>
    </w:p>
    <w:p>
      <w:pPr>
        <w:ind w:left="660" w:right="319" w:hanging="8"/>
        <w:spacing w:after="0" w:line="250" w:lineRule="auto"/>
        <w:tabs>
          <w:tab w:leader="none" w:pos="87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to Parent and Acquisition Sub and their respective Representatives reasonable access during normal business hours in such a manner as not to interfere with the ordinary course operation of the business conducted by the Company or any of its Subsidiaries, upon prior notice to the Company, to the officers, management, properties, offices and other facilities of the Company and each of its Subsidiaries and to the books and records thereof and (ii) use reasonable best efforts to furnish during normal business hours upon prior notice such information concerning the business, properties, Contracts, assets and liabilities of the Company and each of its Subsidiaries as Parent or its Representatives may reasonably request and (iii) furnish promptly to Parent a copy of each report, schedule, registration statement and other document filed by it during such period pursuant to the U.S. federal or state securities Laws to the extent such report, schedule, registration statement or other document is not available on the SEC’s Electronic Data Gathering, Analysis, and Retrieval system. Nothing in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will be construed to require the Company to (or to cause any of its Subsidiaries to) afford such access or furnish such information to the extent that the Company believes in good faith, on the advice of outside legal counsel, that doing so would: (A) result in the loss of attorney-client privilege (but the Company will use its reasonable best efforts to allow for such access or disclosure in a manner that does not result in a loss of attorney-client privilege), (B) result in a material breach of any effective Company Material Contract existing, and as in effect, on the date hereof (but the Company will use its reasonable best efforts to provide such access or disclosure in an alternative manner), or (C) breach, contravene or violate any applicable Law (but the Company will use its reasonable best efforts to allow for such access or disclosure in a manner that does not result in a violation of applicable Law). Notwithstanding the foregoing, in the event that the Company does not provide access or disclose information in reliance on the immediately preceding sentence, it shall provide notice to Parent that it is withholding such access or information and shall use its reasonable best efforts to communicate, to the extent feasible, the applicable information in a way that would not waive such privilege or violate the applicable Law, rule, regulation, order, judgment or decree, including entering into a joint defense agreement, common interest agreement or other similar arrangement.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firstLine="352"/>
        <w:spacing w:after="0" w:line="253" w:lineRule="auto"/>
        <w:tabs>
          <w:tab w:leader="none" w:pos="127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Mutual Non-Disclosure Agreement set forth on Section 5.2(b) of the Company Disclosure Letter (the “Confidentiality Agreement”) will apply with respect to information furnished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by the Company, its Subsidiaries and their Representatives. For the avoidance of doubt, the parties acknowledge and agree that Parent and Acquisition Sub, and any insurer or reinsurer receiving confidential information of the Company from or on behalf of Parent, are each a “Representative” of the applicable Affiliate of Parent party to the Confidentiality Agreement thereunder. Notwithstanding the foregoing or anything to the contrary in the Confidentiality Agreement, the disclosure and use of information in connection with the taking by Parent and Acquisition Sub and their respective Representatives of any actions contemplated by this Agreement (including in furtherance of the matters contemplated by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any Voting Agreement shall, in each case, not constitute a breach of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or the Confidentiality Agreement.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39" w:firstLine="352"/>
        <w:spacing w:after="0" w:line="252" w:lineRule="auto"/>
        <w:tabs>
          <w:tab w:leader="none" w:pos="126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date hereof and continuing until 11:59 p.m. Eastern Time on the date that is forty (40) calendar days after the date hereof (the “</w:t>
      </w:r>
      <w:r>
        <w:rPr>
          <w:rFonts w:ascii="Times New Roman" w:cs="Times New Roman" w:eastAsia="Times New Roman" w:hAnsi="Times New Roman"/>
          <w:sz w:val="18"/>
          <w:szCs w:val="18"/>
          <w:u w:val="single" w:color="auto"/>
          <w:color w:val="auto"/>
        </w:rPr>
        <w:t>Go-Shop Period</w:t>
      </w:r>
      <w:r>
        <w:rPr>
          <w:rFonts w:ascii="Times New Roman" w:cs="Times New Roman" w:eastAsia="Times New Roman" w:hAnsi="Times New Roman"/>
          <w:sz w:val="18"/>
          <w:szCs w:val="18"/>
          <w:color w:val="auto"/>
        </w:rPr>
        <w:t>,” and the first calendar day immediately after the Go-Shop Period, the “</w:t>
      </w:r>
      <w:r>
        <w:rPr>
          <w:rFonts w:ascii="Times New Roman" w:cs="Times New Roman" w:eastAsia="Times New Roman" w:hAnsi="Times New Roman"/>
          <w:sz w:val="18"/>
          <w:szCs w:val="18"/>
          <w:u w:val="single" w:color="auto"/>
          <w:color w:val="auto"/>
        </w:rPr>
        <w:t>No-Shop Start Date</w:t>
      </w:r>
      <w:r>
        <w:rPr>
          <w:rFonts w:ascii="Times New Roman" w:cs="Times New Roman" w:eastAsia="Times New Roman" w:hAnsi="Times New Roman"/>
          <w:sz w:val="18"/>
          <w:szCs w:val="18"/>
          <w:color w:val="auto"/>
        </w:rPr>
        <w:t xml:space="preserve">”), the Company and its Subsidiaries and its and their Representatives shall have the right to: (i) solicit, initiate, facilitate and encourage any inquiry, proposal or offer that constitutes or is reasonably expected to lead to an Acquisition Proposal, including by way of providing access to non-public information to any Person pursuant to an Acceptable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promptly (and in any event within twenty-four (24) hours) make available to Parent any non-public information concerning the Company or its Subsidiaries that the Company provides to any Person given such access that was not previously made available to Parent, (ii) engage in, continue, enter into and otherwise participate in any discussion or negotiation with any Person with respect to any inquiry, proposal or offer that constitutes or is reasonably expected to lead to an Acquisition Proposal, and</w:t>
      </w:r>
    </w:p>
    <w:p>
      <w:pPr>
        <w:spacing w:after="0" w:line="3" w:lineRule="exact"/>
        <w:rPr>
          <w:rFonts w:ascii="Times New Roman" w:cs="Times New Roman" w:eastAsia="Times New Roman" w:hAnsi="Times New Roman"/>
          <w:sz w:val="18"/>
          <w:szCs w:val="18"/>
          <w:color w:val="auto"/>
        </w:rPr>
      </w:pPr>
    </w:p>
    <w:p>
      <w:pPr>
        <w:ind w:left="660" w:right="499" w:hanging="8"/>
        <w:spacing w:after="0" w:line="277" w:lineRule="auto"/>
        <w:tabs>
          <w:tab w:leader="none" w:pos="975"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cooperate with, assist, participate in, and facilitate any such inquiry, proposal, offer, discussion or negotiation and any effort or attempt to make any Acquisition Proposal, including through the waiver or release by the Company, at its sole discretion, of any standstill or similar agreement with any Person.</w:t>
      </w:r>
    </w:p>
    <w:p>
      <w:pPr>
        <w:spacing w:after="0" w:line="60" w:lineRule="exact"/>
        <w:rPr>
          <w:rFonts w:ascii="Times New Roman" w:cs="Times New Roman" w:eastAsia="Times New Roman" w:hAnsi="Times New Roman"/>
          <w:sz w:val="17"/>
          <w:szCs w:val="17"/>
          <w:color w:val="auto"/>
        </w:rPr>
      </w:pPr>
    </w:p>
    <w:p>
      <w:pPr>
        <w:ind w:left="660" w:right="339" w:firstLine="352"/>
        <w:spacing w:after="0" w:line="267" w:lineRule="auto"/>
        <w:tabs>
          <w:tab w:leader="none" w:pos="1275"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permitted by and subject to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from and after the No-Shop Start Date, the Company will, and will cause its Subsidiaries and their respective Representatives to, (x) promptly cease and terminate (or cause to be terminated) any discussions or negotiations with any Third Party and its Affiliates and Representatives that may be ongoing with respect to, or which may reasonably be expected to lead to, any Acquisition Proposal, (y) promptly request any such Third Party to promptly return or destroy all confidential information furnished by or on behalf of the Company and its Subsidiaries in accordance with the Acceptable Confidentiality Agreements and (z) terminate access by any Third Party and its Affiliates and Representatives to any data room (virtual, online or otherwise) maintained by or on behalf of the Company and its Subsidiaries. Except as expressly permitted by and subject to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from and after the No-Shop Start Date, or, if earlier, until the termination of this Agreement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the Company will not, and will cause its Subsidiaries and its and their respective Representatives not to, directly or indirectly,</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initiate, solicit, knowingly facilitate or knowingly encourage the submission of any Acquisition Proposal,</w:t>
      </w:r>
    </w:p>
    <w:p>
      <w:pPr>
        <w:spacing w:after="0" w:line="9" w:lineRule="exact"/>
        <w:rPr>
          <w:rFonts w:ascii="Times New Roman" w:cs="Times New Roman" w:eastAsia="Times New Roman" w:hAnsi="Times New Roman"/>
          <w:sz w:val="17"/>
          <w:szCs w:val="17"/>
          <w:color w:val="auto"/>
        </w:rPr>
      </w:pPr>
    </w:p>
    <w:p>
      <w:pPr>
        <w:ind w:left="660" w:right="4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engage in, continue or otherwise participate in any discussions or negotiations that could reasonably be expected to lead to the submission of any Acquisition Proposal (other than to state that the terms of this provision prohibit such discussions), (C) provide any non-public information to any Person in connection with any Acquisition Proposal or any proposal or offer that would reasonably be expected to lead to an Acquisition Proposal, (D) 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Takeover Laws, (E) enter into any acquisition agreement with respect to any Acquisition Proposal, or (F) formally propose, resolve or agree to do any of the foregoing. Without limiting the foregoing, it is agreed that any breach of the restrictions set forth in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by any Representative or Affiliate of the Company or any of its Subsidiaries, whether or not such Person is purporting to act on behalf of the Company or any of its Subsidiaries or otherwise, shall be deemed to be a breach of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by the Company.</w:t>
      </w:r>
    </w:p>
    <w:p>
      <w:pPr>
        <w:spacing w:after="0" w:line="83" w:lineRule="exact"/>
        <w:rPr>
          <w:rFonts w:ascii="Times New Roman" w:cs="Times New Roman" w:eastAsia="Times New Roman" w:hAnsi="Times New Roman"/>
          <w:sz w:val="17"/>
          <w:szCs w:val="17"/>
          <w:color w:val="auto"/>
        </w:rPr>
      </w:pPr>
    </w:p>
    <w:p>
      <w:pPr>
        <w:ind w:left="660" w:right="559" w:firstLine="352"/>
        <w:spacing w:after="0" w:line="289" w:lineRule="auto"/>
        <w:tabs>
          <w:tab w:leader="none" w:pos="1265"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permitted by </w:t>
      </w:r>
      <w:r>
        <w:rPr>
          <w:rFonts w:ascii="Times New Roman" w:cs="Times New Roman" w:eastAsia="Times New Roman" w:hAnsi="Times New Roman"/>
          <w:sz w:val="17"/>
          <w:szCs w:val="17"/>
          <w:u w:val="single" w:color="auto"/>
          <w:color w:val="auto"/>
        </w:rPr>
        <w:t>Section 5.3(g)</w:t>
      </w:r>
      <w:r>
        <w:rPr>
          <w:rFonts w:ascii="Times New Roman" w:cs="Times New Roman" w:eastAsia="Times New Roman" w:hAnsi="Times New Roman"/>
          <w:sz w:val="17"/>
          <w:szCs w:val="17"/>
          <w:color w:val="auto"/>
        </w:rPr>
        <w:t xml:space="preserve">, from and after the date hereof until the earlier of receipt of the Requisite Stockholder Approval and the termination of this Agreement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neither the Company Board nor any committee thereof will (i) adopt, approve or recommend,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3" w:lineRule="auto"/>
        <w:rPr>
          <w:sz w:val="20"/>
          <w:szCs w:val="20"/>
          <w:color w:val="auto"/>
        </w:rPr>
      </w:pPr>
      <w:r>
        <w:rPr>
          <w:rFonts w:ascii="Times New Roman" w:cs="Times New Roman" w:eastAsia="Times New Roman" w:hAnsi="Times New Roman"/>
          <w:sz w:val="18"/>
          <w:szCs w:val="18"/>
          <w:color w:val="auto"/>
        </w:rPr>
        <w:t>publicly propose to adopt, approve or recommend, any Acquisition Proposal or any offer or proposal that would reasonably be expected to lead to an Acquisition Proposal, (ii) withdraw, change or qualify or propose to publicly withdraw, qualify or modify, in a manner adverse to Parent or Acquisition Sub, the Company Board Recommendation, (iii) approve or cause the Company to enter into any merger agreement, letter of intent or other agreement relating to any Acquisition Proposal or that would reasonably be expected to lead to an Acquisition Proposal (other than an Acceptable Confidentiality Agreement), (iv) fail to include the Company Board Recommendation in the Proxy Statement or fail to publicly reaffirm the Company Board Recommendation within five (5) Business Days after Parent reasonably (being not more than once per Acquisition Proposal or material change to an Acquisition Proposal) requests in writing, (v) fail to publicly recommend against any tender offer or exchange offer for the equity securities of the Company, or (vi) formally resolve or agree to do or publicly propose to do any of the foregoing (any action set forth in the foregoing clauses (i) to (v) of this sentence, a “</w:t>
      </w:r>
      <w:r>
        <w:rPr>
          <w:rFonts w:ascii="Times New Roman" w:cs="Times New Roman" w:eastAsia="Times New Roman" w:hAnsi="Times New Roman"/>
          <w:sz w:val="18"/>
          <w:szCs w:val="18"/>
          <w:u w:val="single" w:color="auto"/>
          <w:color w:val="auto"/>
        </w:rPr>
        <w:t>Change of Board Recommendation</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660" w:right="339" w:firstLine="352"/>
        <w:spacing w:after="0" w:line="252" w:lineRule="auto"/>
        <w:tabs>
          <w:tab w:leader="none" w:pos="1275"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Sections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5.3(b)</w:t>
      </w:r>
      <w:r>
        <w:rPr>
          <w:rFonts w:ascii="Times New Roman" w:cs="Times New Roman" w:eastAsia="Times New Roman" w:hAnsi="Times New Roman"/>
          <w:sz w:val="18"/>
          <w:szCs w:val="18"/>
          <w:color w:val="auto"/>
        </w:rPr>
        <w:t xml:space="preserve">, if at any time following the date hereof and prior to receipt of the Requisite Stockholder Approval (i) the Company has received a bona fide written Acquisition Proposal from a Third Party, (ii) such Acquisition Proposal did not otherwise result from a breach or, in accordance with the last sentence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deemed breach,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and (iii) the Company Board determines in good faith, after consultation with its financial advisors and outside counsel, based on information then available, that such Acquisition Proposal constitutes or would reasonably be expected to lead to a Superior Proposal, then subject to providing prior written notice of its decision to take such action to Parent at least twenty-four (24) hours prior to taking such action (which notice shall include a reasonably detailed description of the Third Party, its Acquisition Proposal and the information the Company intends to provide) and compliance with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the Company may</w:t>
      </w:r>
    </w:p>
    <w:p>
      <w:pPr>
        <w:spacing w:after="0" w:line="5" w:lineRule="exact"/>
        <w:rPr>
          <w:rFonts w:ascii="Times New Roman" w:cs="Times New Roman" w:eastAsia="Times New Roman" w:hAnsi="Times New Roman"/>
          <w:sz w:val="18"/>
          <w:szCs w:val="18"/>
          <w:color w:val="auto"/>
        </w:rPr>
      </w:pPr>
    </w:p>
    <w:p>
      <w:pPr>
        <w:ind w:left="660" w:right="359" w:hanging="8"/>
        <w:spacing w:after="0" w:line="251" w:lineRule="auto"/>
        <w:tabs>
          <w:tab w:leader="none" w:pos="91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information with respect to the Company and its Subsidiaries to the Third Party making such Acquisition Proposal, its representatives and potential sources of financing pursuant to one or more Acceptable Confidentiality Agreements and (2) participate in discussions or negotiations with the Third Party making such Acquisition Proposal regarding such Acquisition Proposal; provided, that any information concerning the Company or its Subsidiaries to be provided or made available to any Third Party will, to the extent not previously provided or made available to Parent or Acquisition Sub, be provided or made available to Parent or Acquisition Sub concurrently with but in no event more than 24 hours prior to such time as it is provided or made available to such Third Party. Notwithstanding anything to the contrary herein and without limitation of any requirement to enter into an Acceptable Confidentiality Agreement, any competitively sensitive information or data to be provided by or on behalf of the Company or any of its Subsidiaries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to any Third Party who is, or whose Affiliates include, a competitor, supplier or customer of the Company or any of its Subsidiaries shall be provided in a separate “clean data room” and subject to customary “clean team” arrangements regarding access thereto.</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65"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the Company will promptly (and in any event within 24 hours) notify Parent in the event that the Company receives any Acquisition Proposal or any indication of interest or inquiry that could reasonably be expected to lead to an Acquisition Proposal. The Company will notify Parent promptly (and in any event within 24 hours) of a summary of the material terms of the Acquisition Proposal (including the identity of the Person who submitted such Acquisition Proposal, all pricing and financing information and material conditions) and provide unredacted copies of all written materials provided to or by the Company or its Representatives in connection therewith. Without limiting the foregoing but subject to the Company’s compliance with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the Company will promptly (and in any event within 24 hours after such determination) advise Parent if the Company determines to begin providing information or to engage in discussions or negotiations concerning an Acquisition Proposal and thereafter will keep Parent reasonably informed on a current basis (and in any event within 24 hours) of the status and material terms of any such proposals, any material changes to the status of any such discussions or negotiations, and provide to Parent as soon as practicable after receipt or delivery thereof with un-redacted copies of all transaction documents, financing documents, and copies of any other documents (including any drafts or summaries) evidencing or specifying the terms or conditions of such Acquisition Proposal or related discussions.</w:t>
      </w:r>
    </w:p>
    <w:p>
      <w:pPr>
        <w:spacing w:after="0" w:line="87" w:lineRule="exact"/>
        <w:rPr>
          <w:rFonts w:ascii="Times New Roman" w:cs="Times New Roman" w:eastAsia="Times New Roman" w:hAnsi="Times New Roman"/>
          <w:sz w:val="18"/>
          <w:szCs w:val="18"/>
          <w:color w:val="auto"/>
        </w:rPr>
      </w:pPr>
    </w:p>
    <w:p>
      <w:pPr>
        <w:ind w:left="1240" w:hanging="228"/>
        <w:spacing w:after="0"/>
        <w:tabs>
          <w:tab w:leader="none" w:pos="12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Sections 5.3(a)</w:t>
      </w:r>
      <w:r>
        <w:rPr>
          <w:rFonts w:ascii="Times New Roman" w:cs="Times New Roman" w:eastAsia="Times New Roman" w:hAnsi="Times New Roman"/>
          <w:sz w:val="18"/>
          <w:szCs w:val="18"/>
          <w:color w:val="auto"/>
        </w:rPr>
        <w:t xml:space="preserve"> or Section </w:t>
      </w:r>
      <w:r>
        <w:rPr>
          <w:rFonts w:ascii="Times New Roman" w:cs="Times New Roman" w:eastAsia="Times New Roman" w:hAnsi="Times New Roman"/>
          <w:sz w:val="18"/>
          <w:szCs w:val="18"/>
          <w:u w:val="single" w:color="auto"/>
          <w:color w:val="auto"/>
        </w:rPr>
        <w:t>5.3(b)</w:t>
      </w:r>
      <w:r>
        <w:rPr>
          <w:rFonts w:ascii="Times New Roman" w:cs="Times New Roman" w:eastAsia="Times New Roman" w:hAnsi="Times New Roman"/>
          <w:sz w:val="18"/>
          <w:szCs w:val="18"/>
          <w:color w:val="auto"/>
        </w:rPr>
        <w:t>, if the</w:t>
      </w:r>
    </w:p>
    <w:p>
      <w:pPr>
        <w:spacing w:after="0" w:line="27" w:lineRule="exact"/>
        <w:rPr>
          <w:rFonts w:ascii="Times New Roman" w:cs="Times New Roman" w:eastAsia="Times New Roman" w:hAnsi="Times New Roman"/>
          <w:sz w:val="18"/>
          <w:szCs w:val="18"/>
          <w:color w:val="auto"/>
        </w:rPr>
      </w:pPr>
    </w:p>
    <w:p>
      <w:pPr>
        <w:ind w:left="660" w:right="47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Company has received after the date hereof a bona fide written Acquisition Proposal that the Company Board determines in good faith, after consultation with its financial advisors and outside counsel, constitutes a Superior Proposal, and such Acquisition Proposal did not result from a breach or, in accordance with the last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2" w:lineRule="auto"/>
        <w:rPr>
          <w:sz w:val="20"/>
          <w:szCs w:val="20"/>
          <w:color w:val="auto"/>
        </w:rPr>
      </w:pPr>
      <w:r>
        <w:rPr>
          <w:rFonts w:ascii="Times New Roman" w:cs="Times New Roman" w:eastAsia="Times New Roman" w:hAnsi="Times New Roman"/>
          <w:sz w:val="18"/>
          <w:szCs w:val="18"/>
          <w:color w:val="auto"/>
        </w:rPr>
        <w:t xml:space="preserve">sentence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deemed breach,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the Company Board may at any time prior to receipt of the Requisite Stockholder Approval, (i) effect a Change of Board Recommendation with respect to such Superior Proposal or (ii) terminate this Agreement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in each case only if the Company Board determines in good faith after consultation with its outside counsel that the failure to take such action would be inconsistent with its fiduciary duties to the stockholders of the Company and subject to complying with the requirements of this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Neither the Company Board (nor any committee thereof) may effect a Change of Board Recommendation pursuant to this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or terminate this Agreement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unless the Company has provided to Parent at least four (4) Business Days’ prior written notice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of the Company’s intention to take such action, which notice will include an unredacted copy of such Superior Proposal and all related documentation (including the definitive transaction agreement (and related schedules and exhibits) to be entered into by the Company in respect of such Superior Proposal and, if applicable and to the extent received by the Company, all financing documentation and commitment letters), specify the basis for such Change of Board Recommendation or termination and the identity of the Third Parties making such proposal, and:</w:t>
      </w:r>
    </w:p>
    <w:p>
      <w:pPr>
        <w:spacing w:after="0" w:line="89" w:lineRule="exact"/>
        <w:rPr>
          <w:sz w:val="20"/>
          <w:szCs w:val="20"/>
          <w:color w:val="auto"/>
        </w:rPr>
      </w:pPr>
    </w:p>
    <w:p>
      <w:pPr>
        <w:ind w:left="1020" w:right="319" w:firstLine="352"/>
        <w:spacing w:after="0" w:line="256" w:lineRule="auto"/>
        <w:tabs>
          <w:tab w:leader="none" w:pos="159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if requested by Parent, the Company will have, and will have caused its legal and financial advisors to have, engaged in good faith negotiations with Parent regarding any adjustment or amendment to this Agreement or the Commitment Letters proposed in writing by Parent and intended to cause the relevant Acquisition Proposal to no longer constitute a Superior Proposal and permitted Parent and its Representatives to make a presentation to the Company Board relating to such proposed adjustments and amendments; and</w:t>
      </w:r>
    </w:p>
    <w:p>
      <w:pPr>
        <w:spacing w:after="0" w:line="79" w:lineRule="exact"/>
        <w:rPr>
          <w:rFonts w:ascii="Times New Roman" w:cs="Times New Roman" w:eastAsia="Times New Roman" w:hAnsi="Times New Roman"/>
          <w:sz w:val="18"/>
          <w:szCs w:val="18"/>
          <w:color w:val="auto"/>
        </w:rPr>
      </w:pPr>
    </w:p>
    <w:p>
      <w:pPr>
        <w:ind w:left="1020" w:right="339" w:firstLine="352"/>
        <w:spacing w:after="0" w:line="253" w:lineRule="auto"/>
        <w:tabs>
          <w:tab w:leader="none" w:pos="164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will have considered in good faith any adjustments or proposed amendments to this Agreement or the Commitment Letters (including a change to the price terms hereof) and the other agreements contemplated hereby that may be offered in writing by Parent (the “</w:t>
      </w:r>
      <w:r>
        <w:rPr>
          <w:rFonts w:ascii="Times New Roman" w:cs="Times New Roman" w:eastAsia="Times New Roman" w:hAnsi="Times New Roman"/>
          <w:sz w:val="18"/>
          <w:szCs w:val="18"/>
          <w:u w:val="single" w:color="auto"/>
          <w:color w:val="auto"/>
        </w:rPr>
        <w:t>Proposed Changed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no later than 11:59 p.m., New York City time, on the last day of the Notice Period and have determined in good faith, after consultation with its financial advisors and outside counsel, that, notwithstanding such Proposed Changed Terms, the Superior Proposal continues to constitute a Superior Proposal and that the failure to take such action continues to be inconsistent with its fiduciary duties to the stockholders of the Company if such Proposed Changed Terms were to be given effect. In the event of any revisions to such Superior Proposal offered by the party making such Superior Proposal with respect to any change in purchase price or any other material revision, the Company must deliver a new written notice to Parent and must again comply with the requirements of this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with respect to such new written notice, except that the Notice Period will be two (2) Business Days with respect to any such new written notice.</w:t>
      </w:r>
    </w:p>
    <w:p>
      <w:pPr>
        <w:spacing w:after="0" w:line="79"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7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the Company Board may at any time prior to receipt of the Requisite Stockholder Approval effect a Change of Board Recommendation if (i) the Company Board determines in good faith, after consultation with its financial advisors and outside counsel, that an Intervening Event has occurred and is continuing and (ii) the Company Board determines in good faith, after consultation with outside counsel, that the failure to effect a Change of Board Recommendation in response to such Intervening Event would be inconsistent with its fiduciary duties to the stockholders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Change of Board Recommendation will not occur until a time that is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fourth (4th) Business Day following Parent’s receipt of written notice from the Company advising Parent of the material information and facts relating to such Intervening Event and stating that it intends to make a Change of Board Recommendation and provided that (A) during such four-Business Day period the Company has negotiated in good faith with Parent to the extent Parent wishes to negotiate to make such adjustments to the terms and conditions of this Agreement or the Commitment Letters as would enable the Company Board to proceed with the Company Board Recommendation and (B) at the end of such four-Business Day period, the Company Board maintains its determination described in this clause (ii) (after taking into account any adjustments offered in writing by Parent to the material terms and conditions of this Agreement or the Commitment Letters).</w:t>
      </w:r>
    </w:p>
    <w:p>
      <w:pPr>
        <w:spacing w:after="0" w:line="86" w:lineRule="exact"/>
        <w:rPr>
          <w:rFonts w:ascii="Times New Roman" w:cs="Times New Roman" w:eastAsia="Times New Roman" w:hAnsi="Times New Roman"/>
          <w:sz w:val="18"/>
          <w:szCs w:val="18"/>
          <w:color w:val="auto"/>
        </w:rPr>
      </w:pPr>
    </w:p>
    <w:p>
      <w:pPr>
        <w:ind w:left="660" w:right="419" w:firstLine="352"/>
        <w:spacing w:after="0" w:line="281" w:lineRule="auto"/>
        <w:tabs>
          <w:tab w:leader="none" w:pos="127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contained in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will prohibit the Company Board from disclosing to the stockholders of the Company a position contemplated by Rule 14e-2(a), Rule 14d-9 and Item 1012(a) of Regulation M-A promulgated under the Exchange Act; provided, that the Company may only make any such disclosure that constitutes a Change of Board Recommendation in compliance with </w:t>
      </w:r>
      <w:r>
        <w:rPr>
          <w:rFonts w:ascii="Times New Roman" w:cs="Times New Roman" w:eastAsia="Times New Roman" w:hAnsi="Times New Roman"/>
          <w:sz w:val="17"/>
          <w:szCs w:val="17"/>
          <w:u w:val="single" w:color="auto"/>
          <w:color w:val="auto"/>
        </w:rPr>
        <w:t>Section 5.3(f)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5.3(g)</w:t>
      </w:r>
      <w:r>
        <w:rPr>
          <w:rFonts w:ascii="Times New Roman" w:cs="Times New Roman" w:eastAsia="Times New Roman" w:hAnsi="Times New Roman"/>
          <w:sz w:val="17"/>
          <w:szCs w:val="17"/>
          <w:color w:val="auto"/>
        </w:rPr>
        <w:t>, as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59"/>
        <w:spacing w:after="0" w:line="266" w:lineRule="auto"/>
        <w:rPr>
          <w:sz w:val="20"/>
          <w:szCs w:val="20"/>
          <w:color w:val="auto"/>
        </w:rPr>
      </w:pPr>
      <w:r>
        <w:rPr>
          <w:rFonts w:ascii="Times New Roman" w:cs="Times New Roman" w:eastAsia="Times New Roman" w:hAnsi="Times New Roman"/>
          <w:sz w:val="18"/>
          <w:szCs w:val="18"/>
          <w:color w:val="auto"/>
        </w:rPr>
        <w:t>the case may be. The issuance by the Company or the Company Board of a “stop, look and listen” statement pending disclosure of its position, as contemplated by Rules 14d-9 and 14e-2(a) promulgated under the Exchange Act, will not constitute a Change of Board Recommendation.</w:t>
      </w:r>
    </w:p>
    <w:p>
      <w:pPr>
        <w:spacing w:after="0" w:line="122" w:lineRule="exact"/>
        <w:rPr>
          <w:sz w:val="20"/>
          <w:szCs w:val="20"/>
          <w:color w:val="auto"/>
        </w:rPr>
      </w:pPr>
    </w:p>
    <w:p>
      <w:pPr>
        <w:ind w:left="1220" w:hanging="208"/>
        <w:spacing w:after="0"/>
        <w:tabs>
          <w:tab w:leader="none" w:pos="12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117" w:lineRule="exact"/>
        <w:rPr>
          <w:rFonts w:ascii="Times New Roman" w:cs="Times New Roman" w:eastAsia="Times New Roman" w:hAnsi="Times New Roman"/>
          <w:sz w:val="18"/>
          <w:szCs w:val="18"/>
          <w:color w:val="auto"/>
        </w:rPr>
      </w:pPr>
    </w:p>
    <w:p>
      <w:pPr>
        <w:ind w:left="1020" w:right="319" w:firstLine="352"/>
        <w:spacing w:after="0" w:line="251" w:lineRule="auto"/>
        <w:tabs>
          <w:tab w:leader="none" w:pos="159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offer, inquiry, indication of interest or proposal from a Third Party concerning, whether in a single transaction or a series of transactions, (A) a merger, consolidation or other business combination transaction or series of related transactions involving the Company that, if consummated, would result in (x) any Person or group (as defined under Section 13 of the Exchange Act) becoming the beneficial owner of 20% or more of the outstanding Shares or voting power of the resulting direct or indirect parent of the Company or the surviving entity in such transaction, or (y) the stockholders of the Company immediately preceding such transaction holding less than 80% of the Shares or voting interests in the direct or indirect parent of the Company or the surviving entity in such transaction, (B) any direct or indirect sale, lease, purchase or other disposition by merger, consolidation, business combination, share exchange, joint venture, recapitalization, spin-off or otherwise, of assets of the Company (including Equity Interests of any Subsidiary of the Company) or its Subsidiaries representing 20% or more of the consolidated assets, based on their fair market value as determined in good faith by the Company Board, or net revenue of the Company and its Subsidiaries, (C) any issuance by the Company to, or 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any class of equity securities or voting interests of the Company representing 20% or more of the voting power or Shares of the Company, (D) any tender offer or exchange offer that if consummated would result in any Person or group (as defined under Section 13 of the Exchange Act) beneficially owning 20% or more of the outstanding Shares or voting interests of the Company, or (E) any combination of the foregoing (in each case, other than the Merger).</w:t>
      </w:r>
    </w:p>
    <w:p>
      <w:pPr>
        <w:spacing w:after="0" w:line="314" w:lineRule="exact"/>
        <w:rPr>
          <w:rFonts w:ascii="Times New Roman" w:cs="Times New Roman" w:eastAsia="Times New Roman" w:hAnsi="Times New Roman"/>
          <w:sz w:val="18"/>
          <w:szCs w:val="18"/>
          <w:color w:val="auto"/>
        </w:rPr>
      </w:pPr>
    </w:p>
    <w:p>
      <w:pPr>
        <w:ind w:left="1020" w:right="299" w:firstLine="352"/>
        <w:spacing w:after="0" w:line="252" w:lineRule="auto"/>
        <w:tabs>
          <w:tab w:leader="none" w:pos="164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means any event, change, effect, development, state of facts, condition or occurrence that is material to the Company and its Subsidiaries (I) that first occurs after the date of this Agreement which (a) is unknown to, nor reasonably foreseeable by, the Company Board as of or prior to the date of this Agreement and (b) becomes known to or by the Company Board prior to receipt of the Requisite Stockholder Approval; and (II) that does not involve or relate to (a) an Acquisition Proposal, any inquiries, proposals or offers which constitute, or would reasonably be expected to lead to, an Acquisition Proposal, or any business combination or acquisition opportunity, (b) any Effect resulting from a breach of this Agreement by the Company, (c) changes in the trading price or trading volume of Shares (provided that the underlying cause of such changes may be taken into account in determining whether an Intervening Event has occurred), (d) any overachievement by the Company or any of its Subsidiaries with respect to any revenue, earnings or other financial projections or forecasts (provided that the underlying cause of such overachievement may be taken into account in determining whether an Intervening Event has occurred), or (e) any development or change in the industries the Company and its Subsidiaries operate in as a whole that have not had or would not reasonably be expected to have a disproportionate effect on the Company.</w:t>
      </w:r>
    </w:p>
    <w:p>
      <w:pPr>
        <w:spacing w:after="0" w:line="87" w:lineRule="exact"/>
        <w:rPr>
          <w:rFonts w:ascii="Times New Roman" w:cs="Times New Roman" w:eastAsia="Times New Roman" w:hAnsi="Times New Roman"/>
          <w:sz w:val="18"/>
          <w:szCs w:val="18"/>
          <w:color w:val="auto"/>
        </w:rPr>
      </w:pPr>
    </w:p>
    <w:p>
      <w:pPr>
        <w:ind w:left="1020" w:right="339" w:firstLine="352"/>
        <w:spacing w:after="0" w:line="253" w:lineRule="auto"/>
        <w:tabs>
          <w:tab w:leader="none" w:pos="169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“Superior Proposal” means a bona fide written Acquisition Proposal (except that the references therein to “20%” and “80%” will be replaced by “50.1%”) that did not result from a breach by the Company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and that the Company Board determines in good faith, after consultation with its financial advisors and outside counsel, taking into account such factors as the Company Board considers in good faith to be appropriate (including, among other things, if appropriate, the identity of the Third Party making such Acquisition Proposal, the ability of such Third Party to consummate the transaction, all financial, regulatory, legal and other aspects of such proposal, including the confidentiality, the source and certainty of financing, the expected timing and likelihood of consummation of such proposal, and the nature and extent of regulatory approvals required and the risk of non-consummation), is reasonably likely to be consummated in accordance with its terms and, if consummated, would be more favorable from a financial point of view to the Company’s stockholders than the Merger (taking into account any proposed changes with respect to such Superior Proposal and the Proposed Changed Terms).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Company Stockholder Meeting; Proxy Statement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19" w:firstLine="352"/>
        <w:spacing w:after="0" w:line="252" w:lineRule="auto"/>
        <w:tabs>
          <w:tab w:leader="none" w:pos="126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establish a record date for, call, give notice of, convene and hold a meeting of the Company Stockholders (including any adjournments and postponements thereof, the “Company Stockholder Meeting”) as promptly as practicable following the date hereof (and in any event within thirty (30) calendar days following the date on which the Company is informed that the SEC does not intend to review the Proxy Statement or has no further comments thereon) solely for the purpose of voting upon the adoption of this Agreement in accordance with the DGCL. Once established, the Company shall not change the record date for the Company Stockholder Meeting without the prior written consent of Parent (such consent not to be unreasonably withheld, delayed or conditioned). Notwithstanding anything to the contrary in this Agreement, nothing will prevent the Company from postponing or adjourning the Company Stockholder Meeting (i) if there are holders of an insufficient number of shares of Company Common Stock present or represented by proxy at the Company Stockholder Meeting to constitute a quorum at the Company Stockholder Meeting</w:t>
      </w:r>
    </w:p>
    <w:p>
      <w:pPr>
        <w:spacing w:after="0" w:line="3" w:lineRule="exact"/>
        <w:rPr>
          <w:rFonts w:ascii="Times New Roman" w:cs="Times New Roman" w:eastAsia="Times New Roman" w:hAnsi="Times New Roman"/>
          <w:sz w:val="18"/>
          <w:szCs w:val="18"/>
          <w:color w:val="auto"/>
        </w:rPr>
      </w:pPr>
    </w:p>
    <w:p>
      <w:pPr>
        <w:ind w:left="6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being understood that the Company shall not postpone or adjourn the Company Stockholder Meeting more than two times pursuant to this clause (i) without Parent’s prior written consent) or (ii) if the Company is required to postpone or adjourn the Company Stockholder Meeting by applicable Law, Order or a request from the SEC or its staff. Unless the Company Board has withdrawn the Company Board Recommendation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 Company shall use its reasonable best efforts to cause the definitive Proxy Statement to be mailed to the Company’s stockholders and to solicit from stockholders of the Company proxies in favor of the adoption and approval of this Agreement at the Company Stockholder Meeting and shall take all other action necessary or advisable to secure the vote or consent of the holders of Shares required by applicable Law to effect the Merger. The Company shall adjourn or postpone the Company Stockholder Meeting if requested by Parent in writing at any time up to three (3) Business Days prior to the date of the Company Stockholder Meeting if Parent reasonably believes that such adjournment or postponement is necessary to allow sufficient time to solicit additional proxies in favor of the adoption of this Agreement. Without the prior written consent of Parent, the Company Stockholder Meeting will not be postponed or adjourned by more than ten (10) Business Days for any event giving rise to such a postponement or adjournment. The Company shall use reasonable best efforts to cooperate with Parent with respect to its proxy solicitation efforts (including engaging a proxy voting advisory firm reasonably acceptable to Parent), and shall keep Parent reasonably informed on a reasonably current basis or as otherwise reasonably requested by Parent with respect to the proxy voting results and any substantive communication from any proxy voting advisory firm in connection with the Merger (and the parties shall cooperate with each other in connection with any material correspondence with any such proxy voting advisory firm in connection with the Merger).</w:t>
      </w:r>
    </w:p>
    <w:p>
      <w:pPr>
        <w:spacing w:after="0" w:line="80" w:lineRule="exact"/>
        <w:rPr>
          <w:rFonts w:ascii="Times New Roman" w:cs="Times New Roman" w:eastAsia="Times New Roman" w:hAnsi="Times New Roman"/>
          <w:sz w:val="18"/>
          <w:szCs w:val="18"/>
          <w:color w:val="auto"/>
        </w:rPr>
      </w:pPr>
    </w:p>
    <w:p>
      <w:pPr>
        <w:ind w:left="660" w:right="299" w:firstLine="352"/>
        <w:spacing w:after="0" w:line="251" w:lineRule="auto"/>
        <w:tabs>
          <w:tab w:leader="none" w:pos="127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execution of this Agreement (and in any event within twenty-five (25) days after the date of this Agreement, subject to extension by mutual agreement of Parent and the Company), the Company shall prepare and file with the SEC, the Proxy Statement for use in connection with the solicitation of proxies from the Company’s stockholders for use at the Company Stockholder Meeting. The Company, Parent and Acquisition Sub, as the case may be, shall furnish all information concerning the Company, on the one hand, and Parent and Acquisition Sub (and their respective Affiliates, if applicable), on the other hand, as the other may reasonably request in connection with the preparation and filing with the SEC of the Proxy Statement. The Company will cause the Proxy Statement to comply in all material respects with the applicable requirements of the Exchange Act and the DGCL and the rules and regulations of the SEC and the NYSE. The Company agrees that, on the date of filing, the date of mailing to the Company’s stockholders and at the time of the Company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Subject to applicable Law, the Company shall use reasonable best efforts to cause the Proxy Statement to be disseminated to the Company’s stockholders as promptly as practicable following the filing thereof with the SEC and, in any event, no later than the earlier of (i) the fifth (5th) Business Day following confirmation from the SEC that it will not comment on, or that it has no additional comments on, the Proxy Statement and (ii) the tenth (10th) calendar day following the filing of the Proxy Statement with the SEC if the Company has not received comments from the SEC by such date. Each of the Company, Parent and Acquisition Sub shall promptly correct any information provided by it or any of its respective directors, officers, employees, affiliates, agents or other representatives for use in the Proxy Statement if and to the extent that such information shall be or have become false or misleading in any material respect prior to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2" w:lineRule="auto"/>
        <w:rPr>
          <w:sz w:val="20"/>
          <w:szCs w:val="20"/>
          <w:color w:val="auto"/>
        </w:rPr>
      </w:pPr>
      <w:r>
        <w:rPr>
          <w:rFonts w:ascii="Times New Roman" w:cs="Times New Roman" w:eastAsia="Times New Roman" w:hAnsi="Times New Roman"/>
          <w:sz w:val="18"/>
          <w:szCs w:val="18"/>
          <w:color w:val="auto"/>
        </w:rPr>
        <w:t>Stockholder Meeting. The Company shall take all steps necessary to cause the Proxy Statement, as so corrected, to be filed with the SEC and disseminated to the Company’s stockholders, in each case as and to the extent required by applicable Laws. The Company shall provide Parent, Acquisition Sub and their counsel a reasonable opportunity to review and comment on the Proxy Statement (and any amendments or supplements thereto) prior to the filing thereof with the SEC (which may be shared by or on behalf of Parent with the stockholders party to a Voting Agreement to the extent required for Parent to comply therewith), and the Company shall give due consideration to and incorporate any reasonable comments made by Parent, Acquisition Sub and their counsel (it being understood that Parent, Acquisition Sub and their counsel shall provide any comments thereon as soon as reasonably practicable). The Company shall not file, disseminate or mail any Proxy Statement, or any amendment or supplement thereto, without the prior written consent of Parent (not to be unreasonably withheld, conditioned or delayed). The Company shall provide in writing to Parent, Acquisition Sub and their counsel any comments or other communications, whether written or oral, the Company or its counsel may receive from the SEC or its staff with respect to the Proxy Statement promptly (and in any event within 24 hours) after such receipt, and the Company shall provide Parent, Acquisition Sub and their counsel a reasonable opportunity to participate in the formulation of any response to any such comments of the SEC or its staff (including a reasonable opportunity to review and comment on any such response, to which the Company shall give due consideration and incorporate any reasonable comments made by Parent, Acquisition Sub and their counsel). The Company shall not submit any response to SEC comments without the prior written consent of Parent (not to be unreasonably withheld, conditioned or delayed). The Company shall use its reasonable best efforts to conduct a “broker search” in accordance with Rule 14a-13 of the Exchange Act promptly following the date hereof.</w:t>
      </w:r>
    </w:p>
    <w:p>
      <w:pPr>
        <w:spacing w:after="0" w:line="80" w:lineRule="exact"/>
        <w:rPr>
          <w:sz w:val="20"/>
          <w:szCs w:val="20"/>
          <w:color w:val="auto"/>
        </w:rPr>
      </w:pPr>
    </w:p>
    <w:p>
      <w:pPr>
        <w:jc w:val="both"/>
        <w:ind w:left="660" w:right="959" w:firstLine="352"/>
        <w:spacing w:after="0" w:line="312" w:lineRule="auto"/>
        <w:tabs>
          <w:tab w:leader="none" w:pos="126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this Agreement is earlier terminated pursuant to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subject to the terms of this Agreement, the Company shall include the Company Board Recommendation in the Proxy Statement.</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i w:val="1"/>
          <w:iCs w:val="1"/>
          <w:color w:val="auto"/>
        </w:rPr>
        <w:t>Regulatory and Other Authorizations; Notices and Consents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60" w:hanging="248"/>
        <w:spacing w:after="0"/>
        <w:tabs>
          <w:tab w:leader="none" w:pos="12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will, and will cause their respective Affiliates to, make or cause to be made</w:t>
      </w:r>
    </w:p>
    <w:p>
      <w:pPr>
        <w:spacing w:after="0" w:line="27" w:lineRule="exact"/>
        <w:rPr>
          <w:rFonts w:ascii="Times New Roman" w:cs="Times New Roman" w:eastAsia="Times New Roman" w:hAnsi="Times New Roman"/>
          <w:sz w:val="18"/>
          <w:szCs w:val="18"/>
          <w:color w:val="auto"/>
        </w:rPr>
      </w:pPr>
    </w:p>
    <w:p>
      <w:pPr>
        <w:ind w:left="860" w:hanging="208"/>
        <w:spacing w:after="0"/>
        <w:tabs>
          <w:tab w:leader="none" w:pos="8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HSR Act notifications within ten (10) Business Days after the date of this Agreement, and (ii)</w:t>
      </w:r>
    </w:p>
    <w:p>
      <w:pPr>
        <w:spacing w:after="0" w:line="9" w:lineRule="exact"/>
        <w:rPr>
          <w:rFonts w:ascii="Times New Roman" w:cs="Times New Roman" w:eastAsia="Times New Roman" w:hAnsi="Times New Roman"/>
          <w:sz w:val="18"/>
          <w:szCs w:val="18"/>
          <w:color w:val="auto"/>
        </w:rPr>
      </w:pPr>
    </w:p>
    <w:p>
      <w:pPr>
        <w:ind w:left="660" w:right="2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filings required with respect to any Other Required Regulatory Approvals with respect to the Transactions as promptly as practicable, but in any event within twenty (20) Business Days after the date of this Agreement. Subject to Parent’s obligations under this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Parent and Company will be mutually responsible for and mutually control the coordination of any applications, notifications or filings, obtaining any necessary approvals, and resolving any investigation or other inquiry of any such agency or other Governmental Entity under the HSR Act or any other Competition Laws. Parent shall pay 100% of all filing fees under the HSR Act and any filings with respect to Other Required Regulatory Approvals.</w:t>
      </w:r>
    </w:p>
    <w:p>
      <w:pPr>
        <w:spacing w:after="0" w:line="80" w:lineRule="exact"/>
        <w:rPr>
          <w:rFonts w:ascii="Times New Roman" w:cs="Times New Roman" w:eastAsia="Times New Roman" w:hAnsi="Times New Roman"/>
          <w:sz w:val="18"/>
          <w:szCs w:val="18"/>
          <w:color w:val="auto"/>
        </w:rPr>
      </w:pPr>
    </w:p>
    <w:p>
      <w:pPr>
        <w:ind w:left="660" w:right="319" w:firstLine="352"/>
        <w:spacing w:after="0" w:line="267" w:lineRule="auto"/>
        <w:tabs>
          <w:tab w:leader="none" w:pos="1275"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set forth in this Agreement, each of the parties agrees to use its reasonable best efforts to: (i) obtain all consents, approvals or waivers from third parties, including under any Contract to which the Company or Parent or any of their respective Subsidiaries is party or by which such Person or any of their respective properties or assets may be bound, (ii) obtain all necessary or advisable actions or nonactions, waivers, consents, approvals, orders and authorizations from Governmental Entities, make all necessary or advisable registrations, declarations and filings with and take all steps as may be necessary to obtain an approval or waiver from, or to avoid any Proceeding by, any Governmental Entity (provided, that neither the Company nor any of its Subsidiaries will make or agree to make any payment of a consent fee, “profit sharing” payment or other consideration (including increased or accelerated payments) or concede anything of monetary or economic value for the purposes of obtaining any such third party consents in excess of $500,000 in the aggregate without the prior consent of Parent), (iii) resist, contest or defend any Proceeding (including administrative or judicial Proceedings) challenging the Merger or the completion of the Transactions, including seeking to have vacated, lifted, reversed or overturned any decree, judgment, injunction or other order (whether temporary, preliminary or permanent) that is in effect and that could restrict, prevent or prohibit consummation of the Transactions, (iv) execute and deliver any additional instruments necessary to consummate the Transactions and fully to carry out the purposes of this Agreement, and (v) cause their Affiliates to execute and deliver any notices, filings or applications required to be filed with any Governmental Entity in connection with the Merger and the Transactions. Each of the parties will, and will cause their respective Subsidiaries to, furnish to each other party such necessary information and reasonable assistance as such other party may reasonably request in connection with the foregoing. Subject to applicable Law relating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68" w:lineRule="auto"/>
        <w:rPr>
          <w:sz w:val="20"/>
          <w:szCs w:val="20"/>
          <w:color w:val="auto"/>
        </w:rPr>
      </w:pPr>
      <w:r>
        <w:rPr>
          <w:rFonts w:ascii="Times New Roman" w:cs="Times New Roman" w:eastAsia="Times New Roman" w:hAnsi="Times New Roman"/>
          <w:sz w:val="17"/>
          <w:szCs w:val="17"/>
          <w:color w:val="auto"/>
        </w:rPr>
        <w:t xml:space="preserve">the exchange of information, the Company and Parent will have the right to review in advance, and to the extent practicable each will consult with the other in connection with, all of the information relating to the Company or Parent, as the case may be, and any of their respective Subsidiaries, that appears in any filing made with, or written materials submitted to, any Person or any Governmental Entity in connection with the Merger and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competitively sensitive information of any party is contained therein, such competitively sensitive information will be provided only to the external legal counsel or external expert of the other party and will not be shared by such counsel or expert with any other Person. In exercising the foregoing rights, each of the Company and Parent will act reasonably and as promptly as practicable. Subject to applicable Law and the instructions of any Governmental Entity, the Company and Parent will keep each other reasonably apprised of the status of matters relating to the completion of the Transactions, including promptly furnishing the other with copies of notices or other written substantive communications received by the Company or Parent, as the case may be, or any of their respective Subsidiaries, from any Governmental Entity or Person with respect to such transactions, and, to the extent practicable under the circumstances, will provide the other party and its counsel with the opportunity to participate in any meeting with any Governmental Entity or Person in respect of any substantive filing, investigation or other inquiry in connection with the Transactions. Notwithstanding anything to the contrary herein, this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 xml:space="preserve"> shall not govern any party’s actions under or with respect to Competition Laws or any Other Required Regulatory Approvals, which shall instead be governed by </w:t>
      </w:r>
      <w:r>
        <w:rPr>
          <w:rFonts w:ascii="Times New Roman" w:cs="Times New Roman" w:eastAsia="Times New Roman" w:hAnsi="Times New Roman"/>
          <w:sz w:val="17"/>
          <w:szCs w:val="17"/>
          <w:u w:val="single" w:color="auto"/>
          <w:color w:val="auto"/>
        </w:rPr>
        <w:t>Section 5.5(a)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5.5(e)</w:t>
      </w:r>
      <w:r>
        <w:rPr>
          <w:rFonts w:ascii="Times New Roman" w:cs="Times New Roman" w:eastAsia="Times New Roman" w:hAnsi="Times New Roman"/>
          <w:sz w:val="17"/>
          <w:szCs w:val="17"/>
          <w:color w:val="auto"/>
        </w:rPr>
        <w:t>.</w:t>
      </w:r>
    </w:p>
    <w:p>
      <w:pPr>
        <w:spacing w:after="0" w:line="285" w:lineRule="exact"/>
        <w:rPr>
          <w:sz w:val="20"/>
          <w:szCs w:val="20"/>
          <w:color w:val="auto"/>
        </w:rPr>
      </w:pPr>
    </w:p>
    <w:p>
      <w:pPr>
        <w:ind w:left="660" w:right="319" w:firstLine="352"/>
        <w:spacing w:after="0" w:line="269" w:lineRule="auto"/>
        <w:tabs>
          <w:tab w:leader="none" w:pos="1265"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earlier of the termination of this Agreement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and the Closing, none of the parties hereto will: directly or indirectly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would reasonably be expected to</w:t>
      </w:r>
    </w:p>
    <w:p>
      <w:pPr>
        <w:spacing w:after="0" w:line="2" w:lineRule="exact"/>
        <w:rPr>
          <w:rFonts w:ascii="Times New Roman" w:cs="Times New Roman" w:eastAsia="Times New Roman" w:hAnsi="Times New Roman"/>
          <w:sz w:val="17"/>
          <w:szCs w:val="17"/>
          <w:color w:val="auto"/>
        </w:rPr>
      </w:pPr>
    </w:p>
    <w:p>
      <w:pPr>
        <w:ind w:left="660" w:right="339" w:hanging="8"/>
        <w:spacing w:after="0" w:line="270" w:lineRule="auto"/>
        <w:tabs>
          <w:tab w:leader="none" w:pos="95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impose any material delay in the obtaining of, or materially increase the risk of not obtaining, such permits, orders or other approvals of any Governmental Entity or the expiration or termination of any applicable waiting period, in each case as and to the extent contemplated in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 xml:space="preserve">, (B) materially increase the risk of any Governmental Entity seeking an Order prohibiting the consummation of the Transactions as and to the extent contemplated in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(C) materially increase the risk of not being able to remove any such Order on appeal or otherwise, or (D) materially delay or prevent the consummation of the Transactions.</w:t>
      </w:r>
    </w:p>
    <w:p>
      <w:pPr>
        <w:spacing w:after="0" w:line="66" w:lineRule="exact"/>
        <w:rPr>
          <w:rFonts w:ascii="Times New Roman" w:cs="Times New Roman" w:eastAsia="Times New Roman" w:hAnsi="Times New Roman"/>
          <w:sz w:val="17"/>
          <w:szCs w:val="17"/>
          <w:color w:val="auto"/>
        </w:rPr>
      </w:pPr>
    </w:p>
    <w:p>
      <w:pPr>
        <w:ind w:left="660" w:right="359" w:firstLine="352"/>
        <w:spacing w:after="0" w:line="258" w:lineRule="auto"/>
        <w:tabs>
          <w:tab w:leader="none" w:pos="127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Parent’s express rights or the Company’s express obligations hereunder, nothing contained in this Agreement gives Parent or Acquisition Sub, directly or indirectly, the right to control or direct the operations of the Company prior to the consummation of the Merger and, prior to the Effective Time, the Company will exercise, consistent with the terms and conditions of this Agreement, complete unilateral control and supervision over its business operations.</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6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use its reasonable best efforts to take, or cause to be taken, all actions that are necessary, proper or advisable under the Agreement and applicable Law to cause the expiration or termination of any applicable waiting periods under the HSR Act and any Other Required Regulatory Approval and to obtain all consents, approvals, authorizations, qualifications and orders under any Other Required Regulatory Approvals. Without limiting the generality of the foregoing, Parent shall use (and shall cause its Subsidiaries to use) reasonable best efforts and take (and shall cause its Subsidiaries to take) any and all steps necessary to avoid or eliminate each and every impediment under the HSR Act and with respect to any Other Required Regulatory Approvals that may be asserted by any Governmental Entity or any other Person so as to enable to the parties hereto to expeditiously close the transactions contemplated by this Agreement no later than the Outside Date, including proposing, negotiating, committing to or effecting, by consent decree, hold separate order or otherwise any of: (A) the sale, divestiture or disposition of, or holding separate (through the establishment of a trust or otherwise), the assets, properties and businesses of the Company or any of its Subsidiaries, (B) the termination, modification or extension of existing relationships and contractual rights and obligations of the Company, or any of the Company Subsidiaries, (C) the establishment or creation of relationships and contractual rights and obligations of the Company, or the Company Subsidiaries, or (D) the termination of any relevant venture or other arrangement of the Company, or the Company Subsidiaries.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779"/>
        <w:spacing w:after="0" w:line="261" w:lineRule="auto"/>
        <w:rPr>
          <w:sz w:val="20"/>
          <w:szCs w:val="20"/>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5.5(e)</w:t>
      </w:r>
      <w:r>
        <w:rPr>
          <w:rFonts w:ascii="Times New Roman" w:cs="Times New Roman" w:eastAsia="Times New Roman" w:hAnsi="Times New Roman"/>
          <w:sz w:val="18"/>
          <w:szCs w:val="18"/>
          <w:color w:val="auto"/>
        </w:rPr>
        <w:t xml:space="preserve"> shall require any party to take or commit to take any action, or agree to any condition or restriction, in each case that is not conditioned upon the occurrence of the Closing, and the Company and its Subsidiaries shall not agree to any such action, condition or restriction without the prior written consent of Parent.</w:t>
      </w:r>
    </w:p>
    <w:p>
      <w:pPr>
        <w:spacing w:after="0" w:line="7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i w:val="1"/>
          <w:iCs w:val="1"/>
          <w:color w:val="auto"/>
        </w:rPr>
        <w:t>Certain Notices</w:t>
      </w:r>
      <w:r>
        <w:rPr>
          <w:rFonts w:ascii="Times New Roman" w:cs="Times New Roman" w:eastAsia="Times New Roman" w:hAnsi="Times New Roman"/>
          <w:sz w:val="18"/>
          <w:szCs w:val="18"/>
          <w:color w:val="auto"/>
        </w:rPr>
        <w:t xml:space="preserve">. From and after the date of this Agreement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unless prohibited by applicable Law, each party will give prompt notice to the other parties if any of the following occur: (i) receipt of any notice or other communication in writing from any Person alleging that the consent or approval of such Person is or may be required in connection with the Transactions; (ii) receipt of any notice or other communication from any Governmental Entity or the NYSE (or any other securities market) in connection with the Transactions; or (iii) such party becoming aware of the occurrence of an event that would reasonably be expected to prevent or delay beyond the Outside Date the consummation of the Transactions or that would reasonably be expected to result in any of the conditions to the Merger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being satisfied. Any such notice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will not affect any representation, warranty, covenant or agreement contained in this Agreement and any failure (other than any such failure which is a Willful and Material Breach) to make such notice (in and of itself) will not be taken into account in determining whether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So long as this Agreement is in effect, Parent and Acquisition Sub, on the one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hand, and the Company, on the other, will not issue any press release or make any public statement with respect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or this Agreement without the prior written consent of the other party (which consent will not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unreasonably withheld, conditioned or delayed), except as may be required by applicable Law or the rules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regulations of any applicable United States securities exchange or regulatory or governmental body to which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relevant party is subject, in which case the party required to make the release or announcement will use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reasonable best efforts to allow each other party reasonable time to comment on such release or announcement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advance of such issuance. Notwithstanding the foregoing, the restrictions set forth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will not apply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any public release or public announcement (i) made or proposed to be made by the Company in connection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Acquisition Proposal, a Superior Proposal, a Change of Board Recommendation or an Intervening Event or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action taken pursuant thereto, in each case, that does not violate, and made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made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proposed to be made by Parent in response thereto) or (ii) in connection with any dispute between the parties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regarding this Agreement or the Transactions. The press release announcing the execution and delivery of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will not be issued prior to the approval of each of the Company and Parent. The Company will file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one or more current reports on Form 8-K with the SEC attaching the announcement press release and a copy of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as exhibits. The Company will provide Parent with a draft of such Form 8-K and attachments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Parent’s review prior to such filing, and will consider in good faith any comments provided by Parent.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Notwithstanding the foregoing, Parent, Acquisition Sub and their respective Affiliates may provide ordinary course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communications regarding this Agreement and the transactions contemplated hereby to existing or prospective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and limited partners, equityholders, lenders, members, managers and investors of such Person or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Affiliates of such Person, in each case, who are subject to customary confidentiality restrictions, to the extent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consistent with prior public disclosures by the Parties made in accordance with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i w:val="1"/>
          <w:iCs w:val="1"/>
          <w:color w:val="auto"/>
        </w:rPr>
        <w:t>Employee Benefit Matters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79" w:firstLine="352"/>
        <w:spacing w:after="0" w:line="269" w:lineRule="auto"/>
        <w:tabs>
          <w:tab w:leader="none" w:pos="126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commencing at the Closing Date and ending on the date that is twelve (12) months following the Closing Date, Parent will cause the Surviving Corporation and its applicable Subsidiaries to provide to each employee of the Company and its Subsidiaries as of the Closing who is not represented by a Union and who remains so employed immediately following the Closing (each a “</w:t>
      </w:r>
      <w:r>
        <w:rPr>
          <w:rFonts w:ascii="Times New Roman" w:cs="Times New Roman" w:eastAsia="Times New Roman" w:hAnsi="Times New Roman"/>
          <w:sz w:val="17"/>
          <w:szCs w:val="17"/>
          <w:u w:val="single" w:color="auto"/>
          <w:color w:val="auto"/>
        </w:rPr>
        <w:t>Continuing Employee</w:t>
      </w:r>
      <w:r>
        <w:rPr>
          <w:rFonts w:ascii="Times New Roman" w:cs="Times New Roman" w:eastAsia="Times New Roman" w:hAnsi="Times New Roman"/>
          <w:sz w:val="17"/>
          <w:szCs w:val="17"/>
          <w:color w:val="auto"/>
        </w:rPr>
        <w:t xml:space="preserve">”) for so long as such Continuing Employee continues employment with the Surviving Corporation and its Subsidiaries, (i) a base salary, base hourly wage rate, short-term target cash bonus opportunities or commission opportunities, as applicable (in each case, excluding, except as set forth on </w:t>
      </w:r>
      <w:r>
        <w:rPr>
          <w:rFonts w:ascii="Times New Roman" w:cs="Times New Roman" w:eastAsia="Times New Roman" w:hAnsi="Times New Roman"/>
          <w:sz w:val="17"/>
          <w:szCs w:val="17"/>
          <w:u w:val="single" w:color="auto"/>
          <w:color w:val="auto"/>
        </w:rPr>
        <w:t>Section 5.8(a)</w:t>
      </w:r>
      <w:r>
        <w:rPr>
          <w:rFonts w:ascii="Times New Roman" w:cs="Times New Roman" w:eastAsia="Times New Roman" w:hAnsi="Times New Roman"/>
          <w:sz w:val="17"/>
          <w:szCs w:val="17"/>
          <w:color w:val="auto"/>
        </w:rPr>
        <w:t xml:space="preserve"> of the Company Disclosure Letter, retention, change in control, transaction or similar bonus opportunities or equity or equity-based compensation), that are no less favorable in the aggregate than those provided to such Continuing Employees immediately prior to the Closing, and (ii) broad-based employee benefits (excluding any equity or equity-based compensation, severance, retention, change in control, transaction or similar bonus opportunities, deferred compensation, defined benefit pension, retiree medical or other retiree welfare benefits (“</w:t>
      </w:r>
      <w:r>
        <w:rPr>
          <w:rFonts w:ascii="Times New Roman" w:cs="Times New Roman" w:eastAsia="Times New Roman" w:hAnsi="Times New Roman"/>
          <w:sz w:val="17"/>
          <w:szCs w:val="17"/>
          <w:u w:val="single" w:color="auto"/>
          <w:color w:val="auto"/>
        </w:rPr>
        <w:t>Excluded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Benefits</w:t>
      </w:r>
      <w:r>
        <w:rPr>
          <w:rFonts w:ascii="Times New Roman" w:cs="Times New Roman" w:eastAsia="Times New Roman" w:hAnsi="Times New Roman"/>
          <w:sz w:val="17"/>
          <w:szCs w:val="17"/>
          <w:color w:val="auto"/>
        </w:rPr>
        <w:t>”)) that are substantially comparable in the aggregate to the broad-based employee benefits (other than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5" w:lineRule="auto"/>
        <w:rPr>
          <w:sz w:val="20"/>
          <w:szCs w:val="20"/>
          <w:color w:val="auto"/>
        </w:rPr>
      </w:pPr>
      <w:r>
        <w:rPr>
          <w:rFonts w:ascii="Times New Roman" w:cs="Times New Roman" w:eastAsia="Times New Roman" w:hAnsi="Times New Roman"/>
          <w:sz w:val="18"/>
          <w:szCs w:val="18"/>
          <w:color w:val="auto"/>
        </w:rPr>
        <w:t xml:space="preserve">Excluded Benefits) provided to such Continuing Employee immediately prior to the Closing. For purposes of any compensation-related determinations, Company performance for fiscal year 2026 shall be calculated in accordance with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of the Company Disclosure Letter. Notwithstanding anything in this Agreement to the contrary, the terms and conditions of employment for each employee of the Company and its Subsidiaries as of the Closing who is covered by a Collective Bargaining Agreement shall continue to be governed by the applicable Collective Bargaining Agreement until such Contract’s modification, expiration or termination in accordance with its terms and applicable Law.</w:t>
      </w:r>
    </w:p>
    <w:p>
      <w:pPr>
        <w:spacing w:after="0" w:line="81" w:lineRule="exact"/>
        <w:rPr>
          <w:sz w:val="20"/>
          <w:szCs w:val="20"/>
          <w:color w:val="auto"/>
        </w:rPr>
      </w:pPr>
    </w:p>
    <w:p>
      <w:pPr>
        <w:ind w:left="660" w:right="299" w:firstLine="352"/>
        <w:spacing w:after="0" w:line="253" w:lineRule="auto"/>
        <w:tabs>
          <w:tab w:leader="none" w:pos="127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its applicable Subsidiaries (including, the Surviving Corporation and its Subsidiaries) will cause each plan, program, policy, practice and arrangement sponsored or maintained by Parent or any of its Subsidiaries (including the Surviving Corporation and its Subsidiaries) on or after the Closing Date and in which any Continuing Employee (or the spouse, domestic partner or dependent of any Continuing Employee) participates or is eligible to participate (each, a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xml:space="preserve">”) to treat, for purposes of eligibility to participate, future vacation benefit accrual, and level of benefits, all service with the Company and its Subsidiaries (and any predecessor employers if the Company, any of its Subsidiaries or any Company Benefit Plan provides past service credit) prior to the Closing as service with Parent and its Subsidiaries (including the Surviving Corporation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such service need not be taken into account to the extent it would result in duplication of benefits, (ii) such service need not be taken into account with respect to any Parent Plan that is a “defined benefit plan,” as defined in Section 3(35) of ERISA or for purposes of any other Excluded Benefits, and (iii) such service need only be taken into account to the same extent and for the same purpose as such service was credited under the corresponding Company Benefit Plan.</w:t>
      </w:r>
    </w:p>
    <w:p>
      <w:pPr>
        <w:spacing w:after="0" w:line="79" w:lineRule="exact"/>
        <w:rPr>
          <w:rFonts w:ascii="Times New Roman" w:cs="Times New Roman" w:eastAsia="Times New Roman" w:hAnsi="Times New Roman"/>
          <w:sz w:val="18"/>
          <w:szCs w:val="18"/>
          <w:color w:val="auto"/>
        </w:rPr>
      </w:pPr>
    </w:p>
    <w:p>
      <w:pPr>
        <w:ind w:left="660" w:right="379" w:firstLine="352"/>
        <w:spacing w:after="0" w:line="253" w:lineRule="auto"/>
        <w:tabs>
          <w:tab w:leader="none" w:pos="12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plan year in which the Closing occurs, Parent or its applicable Subsidiaries (including the Surviving Corporation and its Subsidiaries) will use reasonable best efforts to cause each Parent Plan that is a welfare benefit plan, within the meaning of Section 3(1) of ERISA providing group health benefits (i) to waive any and all eligibility waiting periods, actively-at-work requirements, evidence-of-insurability requirements, pre-existing condition limitations, and other exclusions and limitations regarding the Continuing Employees and their spouses, domestic partners and dependents to the extent waived, satisfied or not imposed under the corresponding Company Benefit Plan immediately prior to the Closing, and (ii) to recognize for each Continuing Employee for purposes of applying annual deductible, co-insurance and out-of-pocket maximums under such Parent Plan any deductible, co-payment and out-of-pocket expenses paid by and credited to such Continuing Employee and his or her spouse, domestic partner and dependents under the corresponding Company Benefit Plan during the portion of the plan year of such Company Benefit Plan prior to the Closing Date in which such Continuing Employee begins participating in such Parent Plan.</w:t>
      </w:r>
    </w:p>
    <w:p>
      <w:pPr>
        <w:spacing w:after="0" w:line="81" w:lineRule="exact"/>
        <w:rPr>
          <w:rFonts w:ascii="Times New Roman" w:cs="Times New Roman" w:eastAsia="Times New Roman" w:hAnsi="Times New Roman"/>
          <w:sz w:val="18"/>
          <w:szCs w:val="18"/>
          <w:color w:val="auto"/>
        </w:rPr>
      </w:pPr>
    </w:p>
    <w:p>
      <w:pPr>
        <w:ind w:left="660" w:right="459" w:firstLine="352"/>
        <w:spacing w:after="0" w:line="261" w:lineRule="auto"/>
        <w:tabs>
          <w:tab w:leader="none" w:pos="127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and its Subsidiaries shall fully and timely satisfy any notice, information, consultation or bargaining obligations owed to employees or their representatives with respect to the transactions contemplated by this Agreement under applicable Law or any Collective Bargaining Agreement and Parent shall reasonably cooperate with respect to the foregoing.</w:t>
      </w:r>
    </w:p>
    <w:p>
      <w:pPr>
        <w:spacing w:after="0" w:line="71" w:lineRule="exact"/>
        <w:rPr>
          <w:rFonts w:ascii="Times New Roman" w:cs="Times New Roman" w:eastAsia="Times New Roman" w:hAnsi="Times New Roman"/>
          <w:sz w:val="18"/>
          <w:szCs w:val="18"/>
          <w:color w:val="auto"/>
        </w:rPr>
      </w:pPr>
    </w:p>
    <w:p>
      <w:pPr>
        <w:ind w:left="660" w:right="379" w:firstLine="352"/>
        <w:spacing w:after="0" w:line="252" w:lineRule="auto"/>
        <w:tabs>
          <w:tab w:leader="none" w:pos="12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are solely for the benefit of the parties to this Agreement, and no Continuing Employee (including any beneficiary or dependent thereof) will be regarded for any purpose as a third-party beneficiary of this Agreement, and no provision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will create such rights in any such individuals or any current or former director, officer, employee or individual independent contractor of the Company, Parent or any of their Subsidiaries, or in any other Person (other than the parties to this Agreement), to enforce 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Nothing contained in this Agreement will: (i) guarantee employment for any period of time or preclude the ability of Parent, the Surviving Corporation or any of their respective Subsidiaries to terminate the employment of any Continuing Employee in accordance with applicable Law; (ii) require Parent, the Surviving Corporation or any of their respective Subsidiaries to continue any specific employee plans, programs, or arrangements; (iii) limit in any way the right of Parent, the Surviving Corporation or any of their respective Subsidiaries to amend or terminate any specific Company Benefit Plan or other employee benefit plan, program, policy, agreement or arrangement at any time; or (iv) amend, waive or create any Company Benefit Plans or other employee benefit plans, programs, policies, agreements or arrangements.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39" w:firstLine="352"/>
        <w:spacing w:after="0" w:line="253" w:lineRule="auto"/>
        <w:tabs>
          <w:tab w:leader="none" w:pos="126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Corporation will (and Parent will cause the Surviving Corporation to) indemnify, defend and hold harmless, and will advance expenses as incurred, to the fullest extent permitted under (i) applicable Law, (ii) the Company Charter, the Company Bylaws or similar organization documents in effect as of the date of this Agreement and (iii) any Contract of the Company or its Subsidiaries, in each case, in effect as of the date of this Agreement and made available to Parent, each present and former director and officer of the Company and its Subsidiaries (in each case, when acting in such capacity)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7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the current or former directors or officers of the Company or any of its Subsidiaries as provided in its certificates of incorporation, bylaws or other organizational documents, in each case as in effect on the date of this Agreement, will survive the Merger and continue in full force and effect in accordance with their terms. For a period of no less than six (6) years from the Effective Time, Parent will cause the Surviving Corporation to, and the Surviving Corporation will, maintain in effect the exculpation, indemnification and advancement of expenses provisions of the applicable party’s certificate of incorporation and bylaws or similar organization documents in effect as of the date of this Agreement or in any Contract of the Company or its Subsidiaries with any of their respective directors or officers in effect as of the date of this Agreement and made available to Parent, and will not (except as required by applicable Law) amend, repeal or otherwise modify any such provisions in any manner that would adversely affect the rights thereunder of any individuals who immediately before the Effective Time were current or former directors or officers of the Company or its Subsidiaries; provided, that all rights to exculpation, indemnification and advancement of expenses in respect of any Proceeding pending or asserted or any claim made within such period will continue until the final disposition of such Proceeding.</w:t>
      </w:r>
    </w:p>
    <w:p>
      <w:pPr>
        <w:spacing w:after="0" w:line="85" w:lineRule="exact"/>
        <w:rPr>
          <w:rFonts w:ascii="Times New Roman" w:cs="Times New Roman" w:eastAsia="Times New Roman" w:hAnsi="Times New Roman"/>
          <w:sz w:val="18"/>
          <w:szCs w:val="18"/>
          <w:color w:val="auto"/>
        </w:rPr>
      </w:pPr>
    </w:p>
    <w:p>
      <w:pPr>
        <w:ind w:left="660" w:right="299" w:firstLine="352"/>
        <w:spacing w:after="0" w:line="251" w:lineRule="auto"/>
        <w:tabs>
          <w:tab w:leader="none" w:pos="126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last sentence of this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for six (6) years from and after the Effective Time, Parent and the Surviving Corporation will be jointly and severally responsible for maintaining for the benefit of the directors and officers of the Company, as of the date of this Agreement and as of the Closing Date, an insurance and indemnification policy that provides coverage for events occurring at or prior to the Effective Time (the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that is not less favorable in the aggregate than the existing policy of the Company, or, if substantially equivalent insurance coverage is unavailable, the best available coverage;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shall not be obligated to make premium payments for such insurance to the extent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exceed 300% of the annual premiums most recently paid prior to the date hereof by the Company for such insurance (such 300% amount, the “</w:t>
      </w:r>
      <w:r>
        <w:rPr>
          <w:rFonts w:ascii="Times New Roman" w:cs="Times New Roman" w:eastAsia="Times New Roman" w:hAnsi="Times New Roman"/>
          <w:sz w:val="18"/>
          <w:szCs w:val="18"/>
          <w:u w:val="single" w:color="auto"/>
          <w:color w:val="auto"/>
        </w:rPr>
        <w:t>Maximum Premium</w:t>
      </w:r>
      <w:r>
        <w:rPr>
          <w:rFonts w:ascii="Times New Roman" w:cs="Times New Roman" w:eastAsia="Times New Roman" w:hAnsi="Times New Roman"/>
          <w:sz w:val="18"/>
          <w:szCs w:val="18"/>
          <w:color w:val="auto"/>
        </w:rPr>
        <w:t xml:space="preserve">”). If such insurance coverage cannot be obtained at all, or can only be obtained at a premium in excess of the Maximum Premium, Parent shall maintain the most advantageous policies of directors’ and officers’ insurance reasonably obtainable for a premium equal to the Maximum Premium. The Company shall, prior to the Effective Time, purchase a six (6) year prepaid “tail” directors’ and officers’ liability (and fiduciary) insurance policy with terms and conditions no less advantageous to the Indemnitees than the existing directors’ and officers’ liability (and fiduciary) insurance maintained by the Company, covering, without limitation, the Transactions, including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expend, in the aggregate for all six (6) years, in excess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Maximum Premium;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premiums of such insurance coverage exceed the Maximum Premium, the Company may obtain a policy with the greatest coverage available for a cost not exceeding the Maximum Premium. If such prepaid tail policy is obtained by the Company prior to the Effective Time, Parent and the Surviving Corporation shall maintain such policy in full force and effect and continue to honor the obligations thereunder, and the provisions of the first two sentences of this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will be deemed to have been satisfied.</w:t>
      </w:r>
    </w:p>
    <w:p>
      <w:pPr>
        <w:spacing w:after="0" w:line="97"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either Parent or the Surviving Corporation or any of its successors or assigns</w:t>
      </w:r>
    </w:p>
    <w:p>
      <w:pPr>
        <w:spacing w:after="0" w:line="27" w:lineRule="exact"/>
        <w:rPr>
          <w:rFonts w:ascii="Times New Roman" w:cs="Times New Roman" w:eastAsia="Times New Roman" w:hAnsi="Times New Roman"/>
          <w:sz w:val="18"/>
          <w:szCs w:val="18"/>
          <w:color w:val="auto"/>
        </w:rPr>
      </w:pPr>
    </w:p>
    <w:p>
      <w:pPr>
        <w:ind w:left="860" w:hanging="208"/>
        <w:spacing w:after="0"/>
        <w:tabs>
          <w:tab w:leader="none" w:pos="8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consolidates with or merges into any other person and is not the continuing or surviving corporation 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8"/>
          <w:szCs w:val="18"/>
          <w:color w:val="auto"/>
        </w:rPr>
        <w:t xml:space="preserve">entity of such consolidation or merger or (ii) transfers or conveys all or substantially all of its properties and assets to any person, then, and in each case, Parent will, and will cause the Surviving Corporation to, cause proper provision to be made so that such successor or assign will expressly assume the obligations set forth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660" w:right="299" w:firstLine="352"/>
        <w:spacing w:after="0" w:line="253" w:lineRule="auto"/>
        <w:tabs>
          <w:tab w:leader="none" w:pos="126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are (i) intended to be for the benefit of, and will be enforceable by, each Indemnitee, his or her heirs and his or her representatives and (ii) in addition to, and not in substitution for, any other rights to indemnification or contribution that any such individual may have under the Company Charter, the Company Bylaws or similar organization documents in effect as of the date of this Agreement or in any Contract of the Company or its Subsidiaries in effect as of the date of this Agreement. The obligations of Parent under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will not be terminated or modified in such a manner as to adversely affect the rights of any Indemnitee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unless (x) such termination or modification is required by applicable Law or (y) the affected Indemnitee will have consented in writing to such termination or modification (it being expressly agreed that the Indemnitees to whom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applies will be third party beneficiaries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660" w:right="419" w:firstLine="352"/>
        <w:spacing w:after="0" w:line="258" w:lineRule="auto"/>
        <w:tabs>
          <w:tab w:leader="none" w:pos="124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will be construed to or will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is not prior to or in substitution for any such claims under such policies.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39" w:firstLine="352"/>
        <w:spacing w:after="0" w:line="312" w:lineRule="auto"/>
        <w:tabs>
          <w:tab w:leader="none" w:pos="126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will use its reasonable best efforts to take, or cause to be taken, all actions and do, or cause to be done, all things necessary or advisable to obtain the Debt Financing, including using reasonable best efforts to:</w:t>
      </w:r>
    </w:p>
    <w:p>
      <w:pPr>
        <w:spacing w:after="0" w:line="31" w:lineRule="exact"/>
        <w:rPr>
          <w:rFonts w:ascii="Times New Roman" w:cs="Times New Roman" w:eastAsia="Times New Roman" w:hAnsi="Times New Roman"/>
          <w:sz w:val="17"/>
          <w:szCs w:val="17"/>
          <w:color w:val="auto"/>
        </w:rPr>
      </w:pPr>
    </w:p>
    <w:p>
      <w:pPr>
        <w:ind w:left="1020" w:right="339" w:firstLine="352"/>
        <w:spacing w:after="0" w:line="266" w:lineRule="auto"/>
        <w:tabs>
          <w:tab w:leader="none" w:pos="1595" w:val="left"/>
        </w:tabs>
        <w:numPr>
          <w:ilvl w:val="2"/>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in effect the Debt Commitment Letter and not, without the prior written consent of the Company (which shall not be unreasonably withheld, delayed or conditioned), permit any amendment or modification to be made to, consent to any waiver of any provision or remedy under, and replace the Debt Commitment Letter, if such amendment, modification, waiver or replacement (a “</w:t>
      </w:r>
      <w:r>
        <w:rPr>
          <w:rFonts w:ascii="Times New Roman" w:cs="Times New Roman" w:eastAsia="Times New Roman" w:hAnsi="Times New Roman"/>
          <w:sz w:val="17"/>
          <w:szCs w:val="17"/>
          <w:u w:val="single" w:color="auto"/>
          <w:color w:val="auto"/>
        </w:rPr>
        <w:t>Restricted Commitment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Modification</w:t>
      </w:r>
      <w:r>
        <w:rPr>
          <w:rFonts w:ascii="Times New Roman" w:cs="Times New Roman" w:eastAsia="Times New Roman" w:hAnsi="Times New Roman"/>
          <w:sz w:val="17"/>
          <w:szCs w:val="17"/>
          <w:color w:val="auto"/>
        </w:rPr>
        <w:t>”): (A) reduces the aggregate amount of the Debt Financing (including by changing the amount of fees to be paid or original issue discount of the Debt Financing) to an amount less than the Required Amount (when taken together with the Equity Financing and cash, cash equivalents and other immediately available sources of cash funds held by or available to Parent, Acquisition Sub and the Company and its Subsidiaries ) or (B) imposes new or additional conditions or otherwise expands, amends or modifies any of the conditions to the receipt of the Debt Financing in a manner that would reasonably be expected to materially (1) delay or prevent the Closing, (2) make the funding of the Debt Financing (or satisfaction of the conditions to obtaining the Debt Financing) in an amount (when taken together with the Equity Financing and other funding sources available) sufficient to fund the Merger Consideration at Closing less likely to occur or (3) adversely impact the ability of Parent to enforce its rights against other parties to the Debt Commitment Letter or the definitive agreements with respect thereto (provided that nothing in this Agreement shall require the Parent to pursue any enforcement action, including litigation, against any Financing Source) (provided, that (x) Parent may amend the Debt Commitment Letter to</w:t>
      </w:r>
    </w:p>
    <w:p>
      <w:pPr>
        <w:spacing w:after="0" w:line="7" w:lineRule="exact"/>
        <w:rPr>
          <w:rFonts w:ascii="Times New Roman" w:cs="Times New Roman" w:eastAsia="Times New Roman" w:hAnsi="Times New Roman"/>
          <w:sz w:val="17"/>
          <w:szCs w:val="17"/>
          <w:color w:val="auto"/>
        </w:rPr>
      </w:pPr>
    </w:p>
    <w:p>
      <w:pPr>
        <w:ind w:left="1020" w:right="439" w:hanging="8"/>
        <w:spacing w:after="0" w:line="252" w:lineRule="auto"/>
        <w:tabs>
          <w:tab w:leader="none" w:pos="131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lenders, lead arrangers, bookrunners, syndication agents or similar entities who had not executed the Debt Commitment Letter as of the date hereof or (B) increase the aggregate amount of the Financing; and (y) at the Company’s reasonable request, Parent will keep the Company reasonably apprised of the status and terms and conditions of any amendments, modifications, waivers or replacements, and will promptly furnish to the Company copies of any agreements or other documentation with respect to such amendment, modification, waiver or replacement);</w:t>
      </w:r>
    </w:p>
    <w:p>
      <w:pPr>
        <w:spacing w:after="0" w:line="81" w:lineRule="exact"/>
        <w:rPr>
          <w:rFonts w:ascii="Times New Roman" w:cs="Times New Roman" w:eastAsia="Times New Roman" w:hAnsi="Times New Roman"/>
          <w:sz w:val="18"/>
          <w:szCs w:val="18"/>
          <w:color w:val="auto"/>
        </w:rPr>
      </w:pPr>
    </w:p>
    <w:p>
      <w:pPr>
        <w:ind w:left="1020" w:right="619" w:firstLine="352"/>
        <w:spacing w:after="0" w:line="282" w:lineRule="auto"/>
        <w:tabs>
          <w:tab w:leader="none" w:pos="1645"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Equity Financing to be consummated upon satisfaction (or waiver) of the conditions contained in the Equity Commitment Letter that are within its control;</w:t>
      </w:r>
    </w:p>
    <w:p>
      <w:pPr>
        <w:spacing w:after="0" w:line="53" w:lineRule="exact"/>
        <w:rPr>
          <w:rFonts w:ascii="Times New Roman" w:cs="Times New Roman" w:eastAsia="Times New Roman" w:hAnsi="Times New Roman"/>
          <w:sz w:val="18"/>
          <w:szCs w:val="18"/>
          <w:color w:val="auto"/>
        </w:rPr>
      </w:pPr>
    </w:p>
    <w:p>
      <w:pPr>
        <w:ind w:left="1020" w:right="739" w:firstLine="352"/>
        <w:spacing w:after="0" w:line="282" w:lineRule="auto"/>
        <w:tabs>
          <w:tab w:leader="none" w:pos="1695"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on a timely basis (or obtain a waiver of) all conditions to the Debt Financing and the Equity Financing that are within its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firstLine="352"/>
        <w:spacing w:after="0" w:line="261" w:lineRule="auto"/>
        <w:tabs>
          <w:tab w:leader="none" w:pos="1685"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execute and deliver the definitive documentation for the Debt Financing that reflect the terms contained in the Debt Commitment Letter (including any “</w:t>
      </w:r>
      <w:r>
        <w:rPr>
          <w:rFonts w:ascii="Times New Roman" w:cs="Times New Roman" w:eastAsia="Times New Roman" w:hAnsi="Times New Roman"/>
          <w:sz w:val="18"/>
          <w:szCs w:val="18"/>
          <w:u w:val="single" w:color="auto"/>
          <w:color w:val="auto"/>
        </w:rPr>
        <w:t>market flex</w:t>
      </w:r>
      <w:r>
        <w:rPr>
          <w:rFonts w:ascii="Times New Roman" w:cs="Times New Roman" w:eastAsia="Times New Roman" w:hAnsi="Times New Roman"/>
          <w:sz w:val="18"/>
          <w:szCs w:val="18"/>
          <w:color w:val="auto"/>
        </w:rPr>
        <w:t>” provisions related thereto), subject to any amendments or modifications thereto that would not constitute a Restricted Commitment Modification; and</w:t>
      </w:r>
    </w:p>
    <w:p>
      <w:pPr>
        <w:spacing w:after="0" w:line="71" w:lineRule="exact"/>
        <w:rPr>
          <w:rFonts w:ascii="Times New Roman" w:cs="Times New Roman" w:eastAsia="Times New Roman" w:hAnsi="Times New Roman"/>
          <w:sz w:val="18"/>
          <w:szCs w:val="18"/>
          <w:color w:val="auto"/>
        </w:rPr>
      </w:pPr>
    </w:p>
    <w:p>
      <w:pPr>
        <w:ind w:left="1020" w:right="579" w:firstLine="352"/>
        <w:spacing w:after="0" w:line="261" w:lineRule="auto"/>
        <w:tabs>
          <w:tab w:leader="none" w:pos="1635"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conditions set forth in the Debt Commitment Letter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have been satisfied or, by its terms upon funding would be satisfied, cause the Financing Sources to fund the full amount of the Debt Financing contemplated to be provided on the Closing Date at or prior to the Closing.</w:t>
      </w:r>
    </w:p>
    <w:p>
      <w:pPr>
        <w:spacing w:after="0" w:line="71" w:lineRule="exact"/>
        <w:rPr>
          <w:rFonts w:ascii="Times New Roman" w:cs="Times New Roman" w:eastAsia="Times New Roman" w:hAnsi="Times New Roman"/>
          <w:sz w:val="18"/>
          <w:szCs w:val="18"/>
          <w:color w:val="auto"/>
        </w:rPr>
      </w:pPr>
    </w:p>
    <w:p>
      <w:pPr>
        <w:ind w:left="660" w:right="319" w:firstLine="352"/>
        <w:spacing w:after="0" w:line="267" w:lineRule="auto"/>
        <w:tabs>
          <w:tab w:leader="none" w:pos="1275"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will promptly provide the Company with copies of all executed material amendments, modifications or replacements of any Debt Commitment Letter or executed material definitive agreements related to any of the Debt Financing at the reasonable request of the Company. Parent will give the Company prompt notice of the receipt of any written notice or other written communication from any Person with respect to any actual or alleged breach or repudiation by any party to the Commitment Letters of which Parent or its Affiliates becomes aware. Without limiting Parent’s other obligations under this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if a Financing Failure Event occurs or at any time Parent in good faith believes that it will not be able to or it is not reasonably likely to be able to obtain all or any part of the Debt Financing, in each case, to the extent such portion is necessary to fund the Merger Consideration at Closing and consummate the transactions contemplated by this Agreement (when taken together with the Equity Financing and other funding sources available), Parent will</w:t>
      </w:r>
    </w:p>
    <w:p>
      <w:pPr>
        <w:spacing w:after="0" w:line="3" w:lineRule="exact"/>
        <w:rPr>
          <w:rFonts w:ascii="Times New Roman" w:cs="Times New Roman" w:eastAsia="Times New Roman" w:hAnsi="Times New Roman"/>
          <w:sz w:val="17"/>
          <w:szCs w:val="17"/>
          <w:color w:val="auto"/>
        </w:rPr>
      </w:pPr>
    </w:p>
    <w:p>
      <w:pPr>
        <w:ind w:left="860" w:hanging="208"/>
        <w:spacing w:after="0"/>
        <w:tabs>
          <w:tab w:leader="none" w:pos="8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Company of such Financing Failure Event or circumstance and the reasons therefor,</w:t>
      </w:r>
    </w:p>
    <w:p>
      <w:pPr>
        <w:spacing w:after="0" w:line="9" w:lineRule="exact"/>
        <w:rPr>
          <w:rFonts w:ascii="Times New Roman" w:cs="Times New Roman" w:eastAsia="Times New Roman" w:hAnsi="Times New Roman"/>
          <w:sz w:val="18"/>
          <w:szCs w:val="18"/>
          <w:color w:val="auto"/>
        </w:rPr>
      </w:pPr>
    </w:p>
    <w:p>
      <w:pPr>
        <w:ind w:left="660" w:right="319" w:hanging="8"/>
        <w:spacing w:after="0" w:line="251" w:lineRule="auto"/>
        <w:tabs>
          <w:tab w:leader="none" w:pos="92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obtain (on terms not materially less favorable to Parent (as determined by Parent in good faith) as regarding conditionality and availability at Closing as those set forth in the Debt Commitment Letter and the Debt Fee Letter as of the date hereof) alternative financing from alternative debt financing sources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in an amount sufficient, when taken together with the Equity Financing and other funding sources available, and the available portion of the Debt Financing, to pay the Merger Consideration at Closing and consummate the Transactions, as promptly as practicable following the occurrence of such event, and (iii) use its reasonable best efforts to obtain, and when obtained, provide the Company with a copy of, any replacement debt financing commitment that provides for such Alternative Financing (with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Parent shall not be required to, and in no event shall its reasonable best efforts be deemed or construed to require it to (x) obtain any Alternative Financing that includes terms and conditions that are, when taken together, materially less favorable to Parent or pay any fees or expenses that are in excess of those contemplated by the Debt Commitment Letter and the Debt Fee Letter as of the date hereof or agree to economic terms that are less favorable to Parent in any material respect, in each case, (including any “market flex” provisions set forth in the Debt Fee Letter) than those contemplated by the Debt Commitment Letter as of the date hereof or (y) obtain equity commitments from another source than the Equity Financing, in each case, in order to obtain any Alternative Financing.</w:t>
      </w:r>
    </w:p>
    <w:p>
      <w:pPr>
        <w:spacing w:after="0" w:line="80" w:lineRule="exact"/>
        <w:rPr>
          <w:rFonts w:ascii="Times New Roman" w:cs="Times New Roman" w:eastAsia="Times New Roman" w:hAnsi="Times New Roman"/>
          <w:sz w:val="18"/>
          <w:szCs w:val="18"/>
          <w:color w:val="auto"/>
        </w:rPr>
      </w:pPr>
    </w:p>
    <w:p>
      <w:pPr>
        <w:ind w:left="660" w:right="559" w:firstLine="352"/>
        <w:spacing w:after="0" w:line="261" w:lineRule="auto"/>
        <w:tabs>
          <w:tab w:leader="none" w:pos="126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such amendment, replacement, supplement or modification of the Commitment Letters in accordance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(including the obtainment of Alternative Financing pursuant to</w:t>
      </w:r>
    </w:p>
    <w:p>
      <w:pPr>
        <w:ind w:left="660" w:right="3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all references herein to “</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xml:space="preserve">”, as applicable, will include and mean such documents as so amended, replaced, supplemented or modified in accordance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references to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as applicable, will include and mean the financing contemplated by such Commitment Letter as so amended, replaced, supplemented or modified in accordance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i w:val="1"/>
          <w:iCs w:val="1"/>
          <w:color w:val="auto"/>
        </w:rPr>
        <w:t>Debt Financing Cooperation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56" w:lineRule="auto"/>
        <w:tabs>
          <w:tab w:leader="none" w:pos="126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will use reasonable best efforts to, and to cause its Subsidiaries and its and their respective officers, employees, advisors, including legal, financial and accounting advisors and other representatives (collectively, the “</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to, provide cooperation in connection with the arrangement of the Debt Financing as is reasonably requested by Parent; provided, that the Company will in no event be required to provide such assistance that will unreasonably interfere with its business operations. Such assistance will include the following, each of which will be at Parent’s written request:</w:t>
      </w:r>
    </w:p>
    <w:p>
      <w:pPr>
        <w:spacing w:after="0" w:line="79" w:lineRule="exact"/>
        <w:rPr>
          <w:rFonts w:ascii="Times New Roman" w:cs="Times New Roman" w:eastAsia="Times New Roman" w:hAnsi="Times New Roman"/>
          <w:sz w:val="18"/>
          <w:szCs w:val="18"/>
          <w:color w:val="auto"/>
        </w:rPr>
      </w:pPr>
    </w:p>
    <w:p>
      <w:pPr>
        <w:jc w:val="both"/>
        <w:ind w:left="1020" w:right="479" w:firstLine="352"/>
        <w:spacing w:after="0" w:line="261" w:lineRule="auto"/>
        <w:tabs>
          <w:tab w:leader="none" w:pos="159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by the senior management team of the Company and the Company Representatives (including senior management and any other pertinent employees reasonably requested by Parent of the Company and its Subsidiaries) in a reasonable number of meetings, presentations and sessions with prospective lenders and rating agencies;</w:t>
      </w:r>
    </w:p>
    <w:p>
      <w:pPr>
        <w:spacing w:after="0" w:line="71" w:lineRule="exact"/>
        <w:rPr>
          <w:rFonts w:ascii="Times New Roman" w:cs="Times New Roman" w:eastAsia="Times New Roman" w:hAnsi="Times New Roman"/>
          <w:sz w:val="18"/>
          <w:szCs w:val="18"/>
          <w:color w:val="auto"/>
        </w:rPr>
      </w:pPr>
    </w:p>
    <w:p>
      <w:pPr>
        <w:ind w:left="1020" w:right="1159" w:firstLine="352"/>
        <w:spacing w:after="0" w:line="282" w:lineRule="auto"/>
        <w:tabs>
          <w:tab w:leader="none" w:pos="164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Parent with preparation of materials for rating agency presentations and bank information memoranda to the extent reasonable and customary;</w:t>
      </w:r>
    </w:p>
    <w:p>
      <w:pPr>
        <w:spacing w:after="0" w:line="53" w:lineRule="exact"/>
        <w:rPr>
          <w:rFonts w:ascii="Times New Roman" w:cs="Times New Roman" w:eastAsia="Times New Roman" w:hAnsi="Times New Roman"/>
          <w:sz w:val="18"/>
          <w:szCs w:val="18"/>
          <w:color w:val="auto"/>
        </w:rPr>
      </w:pPr>
    </w:p>
    <w:p>
      <w:pPr>
        <w:ind w:left="1020" w:right="479" w:firstLine="352"/>
        <w:spacing w:after="0" w:line="282" w:lineRule="auto"/>
        <w:tabs>
          <w:tab w:leader="none" w:pos="169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reasonably with the Financing Sources’ due diligence, to the extent reasonable and customary;</w:t>
      </w:r>
    </w:p>
    <w:p>
      <w:pPr>
        <w:spacing w:after="0" w:line="53" w:lineRule="exact"/>
        <w:rPr>
          <w:rFonts w:ascii="Times New Roman" w:cs="Times New Roman" w:eastAsia="Times New Roman" w:hAnsi="Times New Roman"/>
          <w:sz w:val="18"/>
          <w:szCs w:val="18"/>
          <w:color w:val="auto"/>
        </w:rPr>
      </w:pPr>
    </w:p>
    <w:p>
      <w:pPr>
        <w:ind w:left="1020" w:right="939" w:firstLine="352"/>
        <w:spacing w:after="0" w:line="282" w:lineRule="auto"/>
        <w:tabs>
          <w:tab w:leader="none" w:pos="168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reasonably to facilitate discussions with the Company’s existing lending and investment banking relationships;</w:t>
      </w:r>
    </w:p>
    <w:p>
      <w:pPr>
        <w:spacing w:after="0" w:line="53" w:lineRule="exact"/>
        <w:rPr>
          <w:rFonts w:ascii="Times New Roman" w:cs="Times New Roman" w:eastAsia="Times New Roman" w:hAnsi="Times New Roman"/>
          <w:sz w:val="18"/>
          <w:szCs w:val="18"/>
          <w:color w:val="auto"/>
        </w:rPr>
      </w:pPr>
    </w:p>
    <w:p>
      <w:pPr>
        <w:ind w:left="1020" w:right="319" w:firstLine="352"/>
        <w:spacing w:after="0" w:line="258" w:lineRule="auto"/>
        <w:tabs>
          <w:tab w:leader="none" w:pos="163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access and information reasonably requested by Parent to allow the prospective Persons involved in the Debt Financing to evaluate the Company, including the Company’s current assets, cash management and accounting systems, policies and procedures relating thereto for the purposes of establishing collateral arrangements, in each case, upon reasonable advance notice and at times and locations to be agreed and as necessary and customary for financings similar to the Debt Financing;</w:t>
      </w:r>
    </w:p>
    <w:p>
      <w:pPr>
        <w:spacing w:after="0" w:line="75" w:lineRule="exact"/>
        <w:rPr>
          <w:rFonts w:ascii="Times New Roman" w:cs="Times New Roman" w:eastAsia="Times New Roman" w:hAnsi="Times New Roman"/>
          <w:sz w:val="18"/>
          <w:szCs w:val="18"/>
          <w:color w:val="auto"/>
        </w:rPr>
      </w:pPr>
    </w:p>
    <w:p>
      <w:pPr>
        <w:ind w:left="1020" w:right="299" w:firstLine="352"/>
        <w:spacing w:after="0" w:line="252" w:lineRule="auto"/>
        <w:tabs>
          <w:tab w:leader="none" w:pos="1685"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assistance to the Parent with the preparation, execution and delivery of agreements, documents or certificates that facilitate the creation, perfection or enforcement, in each case as of the Closing, of guarantees and Liens securing the Debt Financing or other customary certificates or documents as may be reasonably requested by Parent and otherwise reasonably facilitating the pledging of collateral; provided that the effectiveness of any documentation executed by the Company or any of its Subsidiaries will be subject to the occurrence of the Closing; (b) assistance to the Parent with the preparation, execution and delivery of customary certificates or other documents and instruments as may be reasonably requested by Parent, as in each such case, necessary and customary in connection with the Debt Financing (including the solvency certificate in the form attached to the Debt Commitment Letter); and (c) customary payoff letters, Lien terminations and instruments of discharge to be delivered at Closing to allow for the payoff, discharge and termination in full on the Closing Date of all indebtedness, guarantees and Liens of the Company in accordance with the Debt Commitment Letter, effective upon receipt of the amounts set forth therein, subject to the occurrence of the Closing, in each case, in form and substance reasonably satisfactory to the Parent; and</w:t>
      </w:r>
    </w:p>
    <w:p>
      <w:pPr>
        <w:spacing w:after="0" w:line="89" w:lineRule="exact"/>
        <w:rPr>
          <w:rFonts w:ascii="Times New Roman" w:cs="Times New Roman" w:eastAsia="Times New Roman" w:hAnsi="Times New Roman"/>
          <w:sz w:val="18"/>
          <w:szCs w:val="18"/>
          <w:color w:val="auto"/>
        </w:rPr>
      </w:pPr>
    </w:p>
    <w:p>
      <w:pPr>
        <w:ind w:left="1020" w:right="499" w:firstLine="352"/>
        <w:spacing w:after="0" w:line="289" w:lineRule="auto"/>
        <w:tabs>
          <w:tab w:leader="none" w:pos="1735"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reasonably requested by Parent, assisting in the preparation and execution and delivery (effective no earlier than Closing) of definitive financing documents as customarily required by the Financing Sources (including with respect to preparation of schedules and customary certificates).</w:t>
      </w:r>
    </w:p>
    <w:p>
      <w:pPr>
        <w:spacing w:after="0" w:line="5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addition, the Company shall be required to deliver, at least four (4) Business Days prior to the Closing Date, all documentation and other information reasonably requested by the Financing Sources under applicable “</w:t>
      </w:r>
      <w:r>
        <w:rPr>
          <w:rFonts w:ascii="Times New Roman" w:cs="Times New Roman" w:eastAsia="Times New Roman" w:hAnsi="Times New Roman"/>
          <w:sz w:val="18"/>
          <w:szCs w:val="18"/>
          <w:u w:val="single" w:color="auto"/>
          <w:color w:val="auto"/>
        </w:rPr>
        <w:t>know-your-customer</w:t>
      </w:r>
      <w:r>
        <w:rPr>
          <w:rFonts w:ascii="Times New Roman" w:cs="Times New Roman" w:eastAsia="Times New Roman" w:hAnsi="Times New Roman"/>
          <w:sz w:val="18"/>
          <w:szCs w:val="18"/>
          <w:color w:val="auto"/>
        </w:rPr>
        <w:t>” and anti-money laundering rules and regulations, including the PATRIOT ACT and with respect to any of the Company or its Subsidiaries that qualifies as a “legal entity customer” under 31 C.F.R. § 1010.230 beneficial ownership certificates substantially similar in form and substance to the form of Certification Regarding Beneficial Owners of Legal Entity Customers published jointly, in May 2018, by the Loan Syndications and Trading Association and Securities Industry and Financial Markets Association in relation to the Company or such Subsidiaries.</w:t>
      </w:r>
    </w:p>
    <w:p>
      <w:pPr>
        <w:spacing w:after="0" w:line="84"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Notwithstanding the foregoing, (A) no obligation of the Company or any of its Subsidiaries under any certificate, agreement, document or instrument (other than customary authorization and representation letters) will be effective until the Closing, (B) none of the Company or any of its Subsidiaries will be required to take any action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 xml:space="preserve">under any such certificate, agreement, document or instrument that is not contingent upon the Closing (including the entry into any agreement that is effective before the Closing) or that would be effective prior to the Effective Time, and (C) in no event will this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be deemed or construed to require cooperation to the extent such cooperation would interfere unreasonably with the business or operations of the Company or any of its Subsidiaries.</w:t>
      </w:r>
    </w:p>
    <w:p>
      <w:pPr>
        <w:spacing w:after="0" w:line="72" w:lineRule="exact"/>
        <w:rPr>
          <w:sz w:val="20"/>
          <w:szCs w:val="20"/>
          <w:color w:val="auto"/>
        </w:rPr>
      </w:pPr>
    </w:p>
    <w:p>
      <w:pPr>
        <w:ind w:left="660" w:right="339" w:firstLine="352"/>
        <w:spacing w:after="0" w:line="253" w:lineRule="auto"/>
        <w:tabs>
          <w:tab w:leader="none" w:pos="127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its reasonable best efforts to provide the Company with the ability to review any projections or forward-looking financial statements (except to the extent prepared by or on behalf of the Company) contained in any marketing materials prepared after the date of this Agreement, if any, used in connection with any syndication of the Debt Financing prior to the dissemination of such materials to potential lenders or other counterparties to any proposed financing transaction; provided, that the Company will communicate in writing its comments, if any, to Parent and its counsel within three (3) Business Days after drafts are provided to the Company. The Company will not be required to agree to any contractual obligation relating to the Financing that is not conditioned upon the Closing and that does not terminate without liability to the Company and its Affiliates upon the termination of this Agreement. The Company will not be required to deliver or cause the delivery of any legal opinions or, other than as specified in clause (a) above, reliance letters in connection with the Debt Financing.</w:t>
      </w:r>
    </w:p>
    <w:p>
      <w:pPr>
        <w:spacing w:after="0" w:line="83" w:lineRule="exact"/>
        <w:rPr>
          <w:rFonts w:ascii="Times New Roman" w:cs="Times New Roman" w:eastAsia="Times New Roman" w:hAnsi="Times New Roman"/>
          <w:sz w:val="18"/>
          <w:szCs w:val="18"/>
          <w:color w:val="auto"/>
        </w:rPr>
      </w:pPr>
    </w:p>
    <w:p>
      <w:pPr>
        <w:ind w:left="660" w:right="379" w:firstLine="352"/>
        <w:spacing w:after="0" w:line="254" w:lineRule="auto"/>
        <w:tabs>
          <w:tab w:leader="none" w:pos="126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will indemnify and hold harmless the Company and its Subsidiaries, and each of the Company Representatives, from and against any and all liabilities, costs or expenses suffered or incurred in connection with the Debt Financing, including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Reimbursement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will not apply to the extent such liability, cost or expense was the result of the Company’s or its Subsidiaries’, or any of their respective Company Representatives’, willful misconduct, intentional misrepresentation, fraud, or gross negligence. Parent will, at the earlier of the Closing and termination of this agreement pursuant to Article VII, reimburse the Company for all reasonable and documented out-of-pocket third-party costs and expenses incurred by the Company in connection with the assistance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660" w:right="559" w:firstLine="352"/>
        <w:spacing w:after="0" w:line="258" w:lineRule="auto"/>
        <w:tabs>
          <w:tab w:leader="none" w:pos="127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the use of its and its Subsidiaries’ logos by Parent, the Financing Sources and their Representatives in connection with the Debt Financing in a manner customary for such financing transactions; provided, that such logos are used solely in a manner that is not intended to or reasonably expected to harm or disparage the Company or any of its Subsidiaries or the reputation or goodwill of the Company or any of its Subsidiaries.</w:t>
      </w:r>
    </w:p>
    <w:p>
      <w:pPr>
        <w:spacing w:after="0" w:line="73"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i w:val="1"/>
          <w:iCs w:val="1"/>
          <w:color w:val="auto"/>
        </w:rPr>
        <w:t>Parent Agreements Concerning Acquisition Sub</w:t>
      </w:r>
      <w:r>
        <w:rPr>
          <w:rFonts w:ascii="Times New Roman" w:cs="Times New Roman" w:eastAsia="Times New Roman" w:hAnsi="Times New Roman"/>
          <w:sz w:val="18"/>
          <w:szCs w:val="18"/>
          <w:color w:val="auto"/>
        </w:rPr>
        <w:t>. Parent hereby guarantees the due, prompt and faithful payment, performance and discharge by Acquisition Sub of, and the compliance by Acquisition Sub with, all of the covenants, agreements, obligations and undertakings of Acquisition Sub under this Agreement in accordance with the terms of this Agreement, and covenants and agrees to take all actions necessary or advisable to ensure such payment, performance and discharge by Acquisition Sub hereunder.</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i w:val="1"/>
          <w:iCs w:val="1"/>
          <w:color w:val="auto"/>
        </w:rPr>
        <w:t>Takeover Laws</w:t>
      </w:r>
      <w:r>
        <w:rPr>
          <w:rFonts w:ascii="Times New Roman" w:cs="Times New Roman" w:eastAsia="Times New Roman" w:hAnsi="Times New Roman"/>
          <w:sz w:val="18"/>
          <w:szCs w:val="18"/>
          <w:color w:val="auto"/>
        </w:rPr>
        <w:t>. If any state Takeover Law becomes or is deemed to be applicable to the Company, Parent or Acquisition Sub, the Merger or any other transaction contemplated by this Agreement, including any Voting Agreement, then the Company and the Company Board will take all action reasonably available to it to render such Takeover Law inapplicable to the foregoing.</w:t>
      </w:r>
    </w:p>
    <w:p>
      <w:pPr>
        <w:spacing w:after="0" w:line="72"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Prior to the Effective Time, the Company and Parent will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w:t>
      </w:r>
    </w:p>
    <w:p>
      <w:pPr>
        <w:spacing w:after="0" w:line="75"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i w:val="1"/>
          <w:iCs w:val="1"/>
          <w:color w:val="auto"/>
        </w:rPr>
        <w:t>Further Actions</w:t>
      </w:r>
      <w:r>
        <w:rPr>
          <w:rFonts w:ascii="Times New Roman" w:cs="Times New Roman" w:eastAsia="Times New Roman" w:hAnsi="Times New Roman"/>
          <w:sz w:val="18"/>
          <w:szCs w:val="18"/>
          <w:color w:val="auto"/>
        </w:rPr>
        <w:t xml:space="preserve">. Except as otherwise expressly provided in this Agreement, the Parties shall use their respective best efforts to take, or cause to be taken, all appropriate action, to do, or cause to be done, and to assist and cooperate with the other Parties in doing, all things necessary, proper or advisable under applicable Law (other than with respect to the matters covered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which shall be governed by the provisions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to consummate and make effective the Merger and the other transactions contemplated hereby as promptly as practicable.</w:t>
      </w:r>
    </w:p>
    <w:p>
      <w:pPr>
        <w:spacing w:after="0" w:line="74" w:lineRule="exact"/>
        <w:rPr>
          <w:sz w:val="20"/>
          <w:szCs w:val="20"/>
          <w:color w:val="auto"/>
        </w:rPr>
      </w:pPr>
    </w:p>
    <w:p>
      <w:pPr>
        <w:ind w:left="300" w:right="459" w:firstLine="360"/>
        <w:spacing w:after="0" w:line="315"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i w:val="1"/>
          <w:iCs w:val="1"/>
          <w:color w:val="auto"/>
        </w:rPr>
        <w:t>Stockholder Litigation</w:t>
      </w:r>
      <w:r>
        <w:rPr>
          <w:rFonts w:ascii="Times New Roman" w:cs="Times New Roman" w:eastAsia="Times New Roman" w:hAnsi="Times New Roman"/>
          <w:sz w:val="17"/>
          <w:szCs w:val="17"/>
          <w:color w:val="auto"/>
        </w:rPr>
        <w:t>. The Company will give Parent the opportunity to participate in (but not control) the defense and settlement of any stockholder litigation against the Company, its Affiliates or its or their respective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directors, officers, employees, securityholders or Representatives relating to this Agreement or the Transactions, including the Merger. The Company will promptly notify Parent of any such litigation (including by providing copies of all pleadings with respect thereto), will keep Parent reasonably and promptly informed with respect to the status thereof, and will give Parent a reasonable opportunity to review and comment on all filings and responses to be made in connection with such litigation (and the Company shall consider in good faith all reasonable comments). The Company will not offer or agree to any settlement, compromise, or admission of liability or wrongdoing with respect to any such litigation without the prior written consent of Parent.</w:t>
      </w:r>
    </w:p>
    <w:p>
      <w:pPr>
        <w:spacing w:after="0" w:line="7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i w:val="1"/>
          <w:iCs w:val="1"/>
          <w:color w:val="auto"/>
        </w:rPr>
        <w:t>Stock Exchange Delisting</w:t>
      </w:r>
      <w:r>
        <w:rPr>
          <w:rFonts w:ascii="Times New Roman" w:cs="Times New Roman" w:eastAsia="Times New Roman" w:hAnsi="Times New Roman"/>
          <w:sz w:val="18"/>
          <w:szCs w:val="18"/>
          <w:color w:val="auto"/>
        </w:rPr>
        <w:t>. The Company and the Company Board will use their reasonable best efforts to maintain, and neither the Company nor the Company Board will cause or permit the interruption or termination of, the listing of the Shares on the NYSE prior to the Effective Time.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the NYSE to cause (a) the delisting of the Company Common Stock from the NYSE as promptly as practicable after the Effective Time, and (b) the deregistration of the Company Common Stock pursuant to the Exchange Act as promptly as practicable after such delisting.</w:t>
      </w:r>
    </w:p>
    <w:p>
      <w:pPr>
        <w:spacing w:after="0" w:line="77" w:lineRule="exact"/>
        <w:rPr>
          <w:sz w:val="20"/>
          <w:szCs w:val="20"/>
          <w:color w:val="auto"/>
        </w:rPr>
      </w:pPr>
    </w:p>
    <w:p>
      <w:pPr>
        <w:jc w:val="both"/>
        <w:ind w:left="300" w:right="4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i w:val="1"/>
          <w:iCs w:val="1"/>
          <w:color w:val="auto"/>
        </w:rPr>
        <w:t>Resignation of Directors</w:t>
      </w:r>
      <w:r>
        <w:rPr>
          <w:rFonts w:ascii="Times New Roman" w:cs="Times New Roman" w:eastAsia="Times New Roman" w:hAnsi="Times New Roman"/>
          <w:sz w:val="18"/>
          <w:szCs w:val="18"/>
          <w:color w:val="auto"/>
        </w:rPr>
        <w:t>. Prior to the Closing, the Company shall deliver to Parent evidence reasonably satisfactory to Parent of the resignation of all the directors of the Company and each of its Subsidiaries, effective as of the Effective Time.</w:t>
      </w:r>
    </w:p>
    <w:p>
      <w:pPr>
        <w:spacing w:after="0" w:line="6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i w:val="1"/>
          <w:iCs w:val="1"/>
          <w:color w:val="auto"/>
        </w:rPr>
        <w:t>Payoff Letters</w:t>
      </w:r>
      <w:r>
        <w:rPr>
          <w:rFonts w:ascii="Times New Roman" w:cs="Times New Roman" w:eastAsia="Times New Roman" w:hAnsi="Times New Roman"/>
          <w:sz w:val="18"/>
          <w:szCs w:val="18"/>
          <w:color w:val="auto"/>
        </w:rPr>
        <w:t>. The Company shall deliver to Parent by no later than two (2) Business Days prior to the Closing Date customary payoff letters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in each case, in form and substance reasonably satisfactory to Parent, in connection with the repayment of all outstanding indebtedness under the Credit Facilities, which Payoff Letters shall provide for, among other customary items (and subject to receipt of the applicable payoff amount), customary guaranty and Lien and security interest releases.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39" w:firstLine="352"/>
        <w:spacing w:after="0" w:line="255" w:lineRule="auto"/>
        <w:tabs>
          <w:tab w:leader="none" w:pos="126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with respect to each stockholder that is a party to any Voting Agreement, that if any such stockholder attempts to Transfer (as defined in the Voting Agreement), vote or provide any other person with the authority to vote any shares of the capital stock of the Company owned by such stockholder other than in compliance with the Voting Agreement, the Company shall not, to the extent a holder of record,</w:t>
      </w:r>
    </w:p>
    <w:p>
      <w:pPr>
        <w:spacing w:after="0" w:line="2" w:lineRule="exact"/>
        <w:rPr>
          <w:rFonts w:ascii="Times New Roman" w:cs="Times New Roman" w:eastAsia="Times New Roman" w:hAnsi="Times New Roman"/>
          <w:sz w:val="18"/>
          <w:szCs w:val="18"/>
          <w:color w:val="auto"/>
        </w:rPr>
      </w:pPr>
    </w:p>
    <w:p>
      <w:pPr>
        <w:ind w:left="860" w:hanging="208"/>
        <w:spacing w:after="0"/>
        <w:tabs>
          <w:tab w:leader="none" w:pos="8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such Transfer (as defined in the Voting Agreement) on the Company’s books and records,</w:t>
      </w:r>
    </w:p>
    <w:p>
      <w:pPr>
        <w:spacing w:after="0" w:line="9" w:lineRule="exact"/>
        <w:rPr>
          <w:rFonts w:ascii="Times New Roman" w:cs="Times New Roman" w:eastAsia="Times New Roman" w:hAnsi="Times New Roman"/>
          <w:sz w:val="18"/>
          <w:szCs w:val="18"/>
          <w:color w:val="auto"/>
        </w:rPr>
      </w:pPr>
    </w:p>
    <w:p>
      <w:pPr>
        <w:jc w:val="both"/>
        <w:ind w:left="660" w:right="579" w:hanging="8"/>
        <w:spacing w:after="0" w:line="255" w:lineRule="auto"/>
        <w:tabs>
          <w:tab w:leader="none" w:pos="92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new certificate representing any of the shares of such capital stock or permit any book entries for any such Transfer (as defined in the Voting Agreement) with respect to any such shares of such capital stock that are in uncertificated form or (iii) record such vote.</w:t>
      </w:r>
    </w:p>
    <w:p>
      <w:pPr>
        <w:spacing w:after="0" w:line="77" w:lineRule="exact"/>
        <w:rPr>
          <w:rFonts w:ascii="Times New Roman" w:cs="Times New Roman" w:eastAsia="Times New Roman" w:hAnsi="Times New Roman"/>
          <w:sz w:val="18"/>
          <w:szCs w:val="18"/>
          <w:color w:val="auto"/>
        </w:rPr>
      </w:pPr>
    </w:p>
    <w:p>
      <w:pPr>
        <w:ind w:left="660" w:right="639" w:firstLine="352"/>
        <w:spacing w:after="0" w:line="261" w:lineRule="auto"/>
        <w:tabs>
          <w:tab w:leader="none" w:pos="127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director, officer or employee of the Company who is party to any Voting Agreement in such Person’s capacity as a stockholder of the Company, the Company shall not intentionally direct such Person to take any action (or refrain from taking any action) which action (or inaction) would constitute a violation by such Person of such Voting Agreement.</w:t>
      </w:r>
    </w:p>
    <w:p>
      <w:pPr>
        <w:spacing w:after="0" w:line="70"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i w:val="1"/>
          <w:iCs w:val="1"/>
          <w:color w:val="auto"/>
        </w:rPr>
        <w:t>Fairness Opinion</w:t>
      </w:r>
      <w:r>
        <w:rPr>
          <w:rFonts w:ascii="Times New Roman" w:cs="Times New Roman" w:eastAsia="Times New Roman" w:hAnsi="Times New Roman"/>
          <w:sz w:val="18"/>
          <w:szCs w:val="18"/>
          <w:color w:val="auto"/>
        </w:rPr>
        <w:t>. The Company shall deliver to Parent an executed copy of the written opinion of Robert W. Baird &amp; Co. Incorporated delivered to the Company Board as promptly as reasonably practicable following the date of this Agreement.</w:t>
      </w:r>
    </w:p>
    <w:p>
      <w:pPr>
        <w:spacing w:after="0" w:line="65"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color w:val="auto"/>
        </w:rPr>
        <w:t xml:space="preserve">5.22. </w:t>
      </w:r>
      <w:r>
        <w:rPr>
          <w:rFonts w:ascii="Times New Roman" w:cs="Times New Roman" w:eastAsia="Times New Roman" w:hAnsi="Times New Roman"/>
          <w:sz w:val="17"/>
          <w:szCs w:val="17"/>
          <w:i w:val="1"/>
          <w:iCs w:val="1"/>
          <w:color w:val="auto"/>
        </w:rPr>
        <w:t>Cash; Marketable Securities; Repatriation</w:t>
      </w:r>
      <w:r>
        <w:rPr>
          <w:rFonts w:ascii="Times New Roman" w:cs="Times New Roman" w:eastAsia="Times New Roman" w:hAnsi="Times New Roman"/>
          <w:sz w:val="17"/>
          <w:szCs w:val="17"/>
          <w:color w:val="auto"/>
        </w:rPr>
        <w:t xml:space="preserve">. To the extent reasonably requested by Parent, the Company shall, and shall cause its Subsidiaries to, use reasonable best efforts to (a) use cash then held by any of them, (b) sell marketable securities and any similar securities then owned by them and (c) transfer cash then held by them in any non-U.S. jurisdiction to the United States, in each case, reasonably proximate to the Closing Date so as to permit such cash and the net proceeds of any such sale or transfer to be used by or at the direction of Parent as a potential source for the payments contemplated by this Agreement, including the payment of fees and expenses and the repayment of Indebtedness in connection with the Closing;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Company shall not be required to take any such action that would (i) be reasonably likely to result in any adverse financial or Tax consequences to the Company or any of its Subsidiaries, (ii) violate any applicable Law or the organizational documents of the Company or any of its Subsidiaries or (iii) breach any Contract to which the Company or any of its Subsidiaries is a party.</w:t>
      </w:r>
    </w:p>
    <w:p>
      <w:pPr>
        <w:spacing w:after="0" w:line="69" w:lineRule="exact"/>
        <w:rPr>
          <w:sz w:val="20"/>
          <w:szCs w:val="20"/>
          <w:color w:val="auto"/>
        </w:rPr>
      </w:pPr>
    </w:p>
    <w:p>
      <w:pPr>
        <w:ind w:left="300" w:right="6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i w:val="1"/>
          <w:iCs w:val="1"/>
          <w:color w:val="auto"/>
        </w:rPr>
        <w:t>German Real Estate Transfer Tax</w:t>
      </w:r>
      <w:r>
        <w:rPr>
          <w:rFonts w:ascii="Times New Roman" w:cs="Times New Roman" w:eastAsia="Times New Roman" w:hAnsi="Times New Roman"/>
          <w:sz w:val="18"/>
          <w:szCs w:val="18"/>
          <w:color w:val="auto"/>
        </w:rPr>
        <w:t>. The Company shall cause its applicable Subsidiaries to, within one month after the date of this Agreement, notify the competent German Tax authority of the execution of this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in accordance with Sections 19 and 20 of the German Real Estate Transfer Tax Act</w:t>
      </w:r>
    </w:p>
    <w:p>
      <w:pPr>
        <w:spacing w:after="0" w:line="27"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Grunderwerbsteuergesetz</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RETT Act</w:t>
      </w:r>
      <w:r>
        <w:rPr>
          <w:rFonts w:ascii="Times New Roman" w:cs="Times New Roman" w:eastAsia="Times New Roman" w:hAnsi="Times New Roman"/>
          <w:sz w:val="18"/>
          <w:szCs w:val="18"/>
          <w:color w:val="auto"/>
        </w:rPr>
        <w:t>”, and such notification, the “</w:t>
      </w:r>
      <w:r>
        <w:rPr>
          <w:rFonts w:ascii="Times New Roman" w:cs="Times New Roman" w:eastAsia="Times New Roman" w:hAnsi="Times New Roman"/>
          <w:sz w:val="18"/>
          <w:szCs w:val="18"/>
          <w:u w:val="single" w:color="auto"/>
          <w:color w:val="auto"/>
        </w:rPr>
        <w:t>RETT Notification</w:t>
      </w:r>
      <w:r>
        <w:rPr>
          <w:rFonts w:ascii="Times New Roman" w:cs="Times New Roman" w:eastAsia="Times New Roman" w:hAnsi="Times New Roman"/>
          <w:sz w:val="18"/>
          <w:szCs w:val="18"/>
          <w:color w:val="auto"/>
        </w:rPr>
        <w:t>”), and shall provide Parent with a draft of such RETT Notification reasonably in advance of the submission thereof and shall consider in good faith any comments from Parent thereto.</w:t>
      </w:r>
    </w:p>
    <w:p>
      <w:pPr>
        <w:spacing w:after="0" w:line="76" w:lineRule="exact"/>
        <w:rPr>
          <w:sz w:val="20"/>
          <w:szCs w:val="20"/>
          <w:color w:val="auto"/>
        </w:rPr>
      </w:pPr>
    </w:p>
    <w:p>
      <w:pPr>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i w:val="1"/>
          <w:iCs w:val="1"/>
          <w:color w:val="auto"/>
        </w:rPr>
        <w:t>Specified Proceedings.</w:t>
      </w:r>
      <w:r>
        <w:rPr>
          <w:rFonts w:ascii="Times New Roman" w:cs="Times New Roman" w:eastAsia="Times New Roman" w:hAnsi="Times New Roman"/>
          <w:sz w:val="18"/>
          <w:szCs w:val="18"/>
          <w:color w:val="auto"/>
        </w:rPr>
        <w:t xml:space="preserve"> Prior to the Closing, the Company shall, and shall cause its Subsidiaries to, take all actions set forth on Section 5.24 of the Company Disclosure Letter.</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97"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Closing and effect the Merger are subject to the satisfaction (or waiver, if permissible under applicable Law, by each such party) at the Closing of each of the following conditions:</w:t>
      </w:r>
    </w:p>
    <w:p>
      <w:pPr>
        <w:spacing w:after="0" w:line="108" w:lineRule="exact"/>
        <w:rPr>
          <w:sz w:val="20"/>
          <w:szCs w:val="20"/>
          <w:color w:val="auto"/>
        </w:rPr>
      </w:pPr>
    </w:p>
    <w:p>
      <w:pPr>
        <w:ind w:left="1260" w:hanging="248"/>
        <w:spacing w:after="0"/>
        <w:tabs>
          <w:tab w:leader="none" w:pos="12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Stockholder Approval shall have been obtained.</w:t>
      </w:r>
    </w:p>
    <w:p>
      <w:pPr>
        <w:spacing w:after="0" w:line="117" w:lineRule="exact"/>
        <w:rPr>
          <w:rFonts w:ascii="Times New Roman" w:cs="Times New Roman" w:eastAsia="Times New Roman" w:hAnsi="Times New Roman"/>
          <w:sz w:val="18"/>
          <w:szCs w:val="18"/>
          <w:color w:val="auto"/>
        </w:rPr>
      </w:pPr>
    </w:p>
    <w:p>
      <w:pPr>
        <w:jc w:val="both"/>
        <w:ind w:left="660" w:right="359" w:firstLine="352"/>
        <w:spacing w:after="0" w:line="261" w:lineRule="auto"/>
        <w:tabs>
          <w:tab w:leader="none" w:pos="127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will not then be restrained, enjoined or prohibited by any final Order (whether temporary, preliminary or permanent) of a court of competent jurisdiction or any other Governmental Entity and there will not be in effect any Law enacted or promulgated by any Governmental Entity that makes illegal or otherwise prohibits the consummation of the Merger or the other Transactions.</w:t>
      </w:r>
    </w:p>
    <w:p>
      <w:pPr>
        <w:spacing w:after="0" w:line="71" w:lineRule="exact"/>
        <w:rPr>
          <w:rFonts w:ascii="Times New Roman" w:cs="Times New Roman" w:eastAsia="Times New Roman" w:hAnsi="Times New Roman"/>
          <w:sz w:val="18"/>
          <w:szCs w:val="18"/>
          <w:color w:val="auto"/>
        </w:rPr>
      </w:pPr>
    </w:p>
    <w:p>
      <w:pPr>
        <w:ind w:left="660" w:right="439" w:firstLine="352"/>
        <w:spacing w:after="0" w:line="255" w:lineRule="auto"/>
        <w:tabs>
          <w:tab w:leader="none" w:pos="126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waiting period (together with any extensions thereof) applicable to the Merger or the Transactions under the HSR Act shall have expired or been terminated and (ii) any waiting period (together with any extensions thereof) under any Competition Law or other Law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Letter will have expired or been terminated and, if applicable, any affirmative approval, consent or other action of a Governmental Entity set forth on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Letter (all items set forth on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u w:val="single" w:color="auto"/>
          <w:color w:val="auto"/>
        </w:rPr>
        <w:t>Other Required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will have been obtained.</w:t>
      </w:r>
    </w:p>
    <w:p>
      <w:pPr>
        <w:spacing w:after="0" w:line="79"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Conditions to Obligations of the Company Under this Agreement</w:t>
      </w:r>
      <w:r>
        <w:rPr>
          <w:rFonts w:ascii="Times New Roman" w:cs="Times New Roman" w:eastAsia="Times New Roman" w:hAnsi="Times New Roman"/>
          <w:sz w:val="18"/>
          <w:szCs w:val="18"/>
          <w:color w:val="auto"/>
        </w:rPr>
        <w:t>. The obligation of the Company to consummate the Closing and effect the Merger is further subject to the satisfaction (or waiver by the Company, if permissible under applicable Law) at the Closing of each of the following conditions:</w:t>
      </w:r>
    </w:p>
    <w:p>
      <w:pPr>
        <w:spacing w:after="0" w:line="67" w:lineRule="exact"/>
        <w:rPr>
          <w:sz w:val="20"/>
          <w:szCs w:val="20"/>
          <w:color w:val="auto"/>
        </w:rPr>
      </w:pPr>
    </w:p>
    <w:p>
      <w:pPr>
        <w:ind w:left="660" w:right="299" w:firstLine="352"/>
        <w:spacing w:after="0" w:line="256" w:lineRule="auto"/>
        <w:tabs>
          <w:tab w:leader="none" w:pos="126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Acquisition Sub contained in this Agreement will have been true and correct as of the date of this Agreement and will be true and correct at and as of the Closing Date as though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or correct, a Parent Material Adverse Effect.</w:t>
      </w:r>
    </w:p>
    <w:p>
      <w:pPr>
        <w:spacing w:after="0" w:line="79" w:lineRule="exact"/>
        <w:rPr>
          <w:rFonts w:ascii="Times New Roman" w:cs="Times New Roman" w:eastAsia="Times New Roman" w:hAnsi="Times New Roman"/>
          <w:sz w:val="18"/>
          <w:szCs w:val="18"/>
          <w:color w:val="auto"/>
        </w:rPr>
      </w:pPr>
    </w:p>
    <w:p>
      <w:pPr>
        <w:ind w:left="660" w:right="359" w:firstLine="352"/>
        <w:spacing w:after="0" w:line="266" w:lineRule="auto"/>
        <w:tabs>
          <w:tab w:leader="none" w:pos="127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Acquisition Sub shall have complied with and performed in all material respects all covenants and agreements required to be performed or complied with by them under this Agreement at or prior to the Effective Time.</w:t>
      </w:r>
    </w:p>
    <w:p>
      <w:pPr>
        <w:spacing w:after="0" w:line="67" w:lineRule="exact"/>
        <w:rPr>
          <w:rFonts w:ascii="Times New Roman" w:cs="Times New Roman" w:eastAsia="Times New Roman" w:hAnsi="Times New Roman"/>
          <w:sz w:val="18"/>
          <w:szCs w:val="18"/>
          <w:color w:val="auto"/>
        </w:rPr>
      </w:pPr>
    </w:p>
    <w:p>
      <w:pPr>
        <w:ind w:left="660" w:right="739" w:firstLine="352"/>
        <w:spacing w:after="0" w:line="266" w:lineRule="auto"/>
        <w:tabs>
          <w:tab w:leader="none" w:pos="126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dated the Closing Date and signed by an executive officer of Parent, certifying to the effect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have been satisfied.</w:t>
      </w:r>
    </w:p>
    <w:p>
      <w:pPr>
        <w:spacing w:after="0" w:line="66"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Conditions to Obligations of Parent and Acquisition Sub Under this Agreement</w:t>
      </w:r>
      <w:r>
        <w:rPr>
          <w:rFonts w:ascii="Times New Roman" w:cs="Times New Roman" w:eastAsia="Times New Roman" w:hAnsi="Times New Roman"/>
          <w:sz w:val="18"/>
          <w:szCs w:val="18"/>
          <w:color w:val="auto"/>
        </w:rPr>
        <w:t>. The obligation of Parent and Acquisition Sub to consummate the Closing and effect the Merger is further subject to the satisfaction (or waiver by Parent and Acquisition Sub, if permissible under applicable Law) at the Closing of each of the following conditions:</w:t>
      </w:r>
    </w:p>
    <w:p>
      <w:pPr>
        <w:spacing w:after="0" w:line="74" w:lineRule="exact"/>
        <w:rPr>
          <w:sz w:val="20"/>
          <w:szCs w:val="20"/>
          <w:color w:val="auto"/>
        </w:rPr>
      </w:pPr>
    </w:p>
    <w:p>
      <w:pPr>
        <w:ind w:left="660" w:right="339" w:firstLine="352"/>
        <w:spacing w:after="0" w:line="254" w:lineRule="auto"/>
        <w:tabs>
          <w:tab w:leader="none" w:pos="126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Company (i)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for inaccuracies which would not increase the aggregate Merger Consideration payable in the Merger by more than $1,000,000,</w:t>
      </w:r>
    </w:p>
    <w:p>
      <w:pPr>
        <w:spacing w:after="0" w:line="3" w:lineRule="exact"/>
        <w:rPr>
          <w:rFonts w:ascii="Times New Roman" w:cs="Times New Roman" w:eastAsia="Times New Roman" w:hAnsi="Times New Roman"/>
          <w:sz w:val="18"/>
          <w:szCs w:val="18"/>
          <w:color w:val="auto"/>
        </w:rPr>
      </w:pPr>
    </w:p>
    <w:p>
      <w:pPr>
        <w:ind w:left="660" w:right="399" w:hanging="8"/>
        <w:spacing w:after="0" w:line="277" w:lineRule="auto"/>
        <w:tabs>
          <w:tab w:leader="none" w:pos="92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contained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3.18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3.19</w:t>
      </w:r>
      <w:r>
        <w:rPr>
          <w:rFonts w:ascii="Times New Roman" w:cs="Times New Roman" w:eastAsia="Times New Roman" w:hAnsi="Times New Roman"/>
          <w:sz w:val="17"/>
          <w:szCs w:val="17"/>
          <w:color w:val="auto"/>
        </w:rPr>
        <w:t xml:space="preserve"> (in each case, without giving effect to any qualifications as to any materiality or “Company Material Adverse Effect” or other similar materiality qualifications contained therein) shall have been true and correct in all material respects as of the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3" w:lineRule="auto"/>
        <w:rPr>
          <w:sz w:val="20"/>
          <w:szCs w:val="20"/>
          <w:color w:val="auto"/>
        </w:rPr>
      </w:pPr>
      <w:r>
        <w:rPr>
          <w:rFonts w:ascii="Times New Roman" w:cs="Times New Roman" w:eastAsia="Times New Roman" w:hAnsi="Times New Roman"/>
          <w:sz w:val="18"/>
          <w:szCs w:val="18"/>
          <w:color w:val="auto"/>
        </w:rPr>
        <w:t xml:space="preserve">date of this Agreement and will be true and correct in all material respects at and as of the Closing Date as though made on the Closing Date (except that those representations and warranties therein which address matters only as of a particular date need only be true and correct as of such date), and (iii) otherwise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without giving effect to any qualifications as to any materiality or “Company Material Adverse Effect” or other similar materiality qualifications contained therein)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where failure to be so true and correct would not have and would not reasonably be expected to have, individually or in the aggregate with all other failures to be true and correct, a Company Material Adverse Effect.</w:t>
      </w:r>
    </w:p>
    <w:p>
      <w:pPr>
        <w:spacing w:after="0" w:line="86" w:lineRule="exact"/>
        <w:rPr>
          <w:sz w:val="20"/>
          <w:szCs w:val="20"/>
          <w:color w:val="auto"/>
        </w:rPr>
      </w:pPr>
    </w:p>
    <w:p>
      <w:pPr>
        <w:jc w:val="both"/>
        <w:ind w:left="660" w:right="719" w:firstLine="352"/>
        <w:spacing w:after="0" w:line="266" w:lineRule="auto"/>
        <w:tabs>
          <w:tab w:leader="none" w:pos="12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and performed in all material respects each covenant and agreement that the Company is required to comply with or perform under this Agreement at or prior to the Closing Date.</w:t>
      </w:r>
    </w:p>
    <w:p>
      <w:pPr>
        <w:spacing w:after="0" w:line="108"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any Company Material Adverse Effect.</w:t>
      </w:r>
    </w:p>
    <w:p>
      <w:pPr>
        <w:spacing w:after="0" w:line="117" w:lineRule="exact"/>
        <w:rPr>
          <w:rFonts w:ascii="Times New Roman" w:cs="Times New Roman" w:eastAsia="Times New Roman" w:hAnsi="Times New Roman"/>
          <w:sz w:val="18"/>
          <w:szCs w:val="18"/>
          <w:color w:val="auto"/>
        </w:rPr>
      </w:pPr>
    </w:p>
    <w:p>
      <w:pPr>
        <w:ind w:left="660" w:right="999" w:firstLine="352"/>
        <w:spacing w:after="0" w:line="266" w:lineRule="auto"/>
        <w:tabs>
          <w:tab w:leader="none" w:pos="127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certificate signed by an executive officer of the Company and dated as of the Closing Date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have been satisfied.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97" w:lineRule="exact"/>
        <w:rPr>
          <w:sz w:val="20"/>
          <w:szCs w:val="20"/>
          <w:color w:val="auto"/>
        </w:rPr>
      </w:pPr>
    </w:p>
    <w:p>
      <w:pPr>
        <w:ind w:left="300" w:right="5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whether before or (subject to the terms hereof) after receipt of the Requisite Stockholder Approval:</w:t>
      </w:r>
    </w:p>
    <w:p>
      <w:pPr>
        <w:spacing w:after="0" w:line="67" w:lineRule="exact"/>
        <w:rPr>
          <w:sz w:val="20"/>
          <w:szCs w:val="20"/>
          <w:color w:val="auto"/>
        </w:rPr>
      </w:pPr>
    </w:p>
    <w:p>
      <w:pPr>
        <w:ind w:left="660" w:right="359" w:firstLine="352"/>
        <w:spacing w:after="0" w:line="282" w:lineRule="auto"/>
        <w:tabs>
          <w:tab w:leader="none" w:pos="126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by action of their respective boards of directors (or other governing bodies), at any time prior to the Effective Time;</w:t>
      </w:r>
    </w:p>
    <w:p>
      <w:pPr>
        <w:spacing w:after="0" w:line="53" w:lineRule="exact"/>
        <w:rPr>
          <w:rFonts w:ascii="Times New Roman" w:cs="Times New Roman" w:eastAsia="Times New Roman" w:hAnsi="Times New Roman"/>
          <w:sz w:val="18"/>
          <w:szCs w:val="18"/>
          <w:color w:val="auto"/>
        </w:rPr>
      </w:pPr>
    </w:p>
    <w:p>
      <w:pPr>
        <w:ind w:left="660" w:right="559" w:firstLine="352"/>
        <w:spacing w:after="0" w:line="266" w:lineRule="auto"/>
        <w:tabs>
          <w:tab w:leader="none" w:pos="127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Requisite Stockholder Approval is not obtained upon a vote taken at the Company Stockholder Meeting duly convened therefor or any adjournment or postponement thereof at which a vote was taken on the adoption of this Agreement;</w:t>
      </w:r>
    </w:p>
    <w:p>
      <w:pPr>
        <w:spacing w:after="0" w:line="67"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by written notice to the other party, if any court of competent</w:t>
      </w:r>
    </w:p>
    <w:p>
      <w:pPr>
        <w:spacing w:after="0" w:line="27" w:lineRule="exact"/>
        <w:rPr>
          <w:rFonts w:ascii="Times New Roman" w:cs="Times New Roman" w:eastAsia="Times New Roman" w:hAnsi="Times New Roman"/>
          <w:sz w:val="18"/>
          <w:szCs w:val="18"/>
          <w:color w:val="auto"/>
        </w:rPr>
      </w:pPr>
    </w:p>
    <w:p>
      <w:pPr>
        <w:ind w:left="660" w:right="3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jurisdiction or other Governmental Entity of competent jurisdiction issues an Order or takes any other action, in each case, permanently restraining, enjoining or otherwise prohibiting, prior to the Effective Time, the consummation of the Merger, and such Order or other action has become final and non-appealable; provided that the right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will not be available to a party seeking to terminate this Agreement if such party has materially breached its obligations under this Agreement and such breach was a principal cause of such Order or Proceeding;</w:t>
      </w:r>
    </w:p>
    <w:p>
      <w:pPr>
        <w:spacing w:after="0" w:line="81"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Effective Time has not occurred on or before 5:00 p.m.,</w:t>
      </w:r>
    </w:p>
    <w:p>
      <w:pPr>
        <w:spacing w:after="0" w:line="27" w:lineRule="exact"/>
        <w:rPr>
          <w:sz w:val="20"/>
          <w:szCs w:val="20"/>
          <w:color w:val="auto"/>
        </w:rPr>
      </w:pPr>
    </w:p>
    <w:p>
      <w:pPr>
        <w:ind w:left="660" w:right="399"/>
        <w:spacing w:after="0" w:line="251" w:lineRule="auto"/>
        <w:rPr>
          <w:sz w:val="20"/>
          <w:szCs w:val="20"/>
          <w:color w:val="auto"/>
        </w:rPr>
      </w:pPr>
      <w:r>
        <w:rPr>
          <w:rFonts w:ascii="Times New Roman" w:cs="Times New Roman" w:eastAsia="Times New Roman" w:hAnsi="Times New Roman"/>
          <w:sz w:val="18"/>
          <w:szCs w:val="18"/>
          <w:color w:val="auto"/>
        </w:rPr>
        <w:t>New York City time, on June 17, 2027 (such date,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as of the third (3rd) Business Day prior to the Initial Outside Date, the conditions to the Closing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(with respect to the HSR Act or any Other Required Regulatory Approval)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have been satisfied or waived but all other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have been satisfied or waived or would then be satisfied if the Closing were to take place on the Initial Outside Date, then the Initial Outside Date shall be automatically extended to September 15, 2027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As used in this Agreement, the term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mean the Initial Outside Date, unless the Initial Outside Date has been extended pursuant to the foregoing proviso, in which case the term “Outside Date” shall mean the Extended Outside Date. Neither the Company nor Parent may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if there has been any material breach by such party of its representations, warranties or covenants contained in this Agreement, and such breach has primarily caused or resulted in the failure of the Effective Time to have occurred prior to the Outside Date;</w:t>
      </w:r>
    </w:p>
    <w:p>
      <w:pPr>
        <w:spacing w:after="0" w:line="84" w:lineRule="exact"/>
        <w:rPr>
          <w:sz w:val="20"/>
          <w:szCs w:val="20"/>
          <w:color w:val="auto"/>
        </w:rPr>
      </w:pPr>
    </w:p>
    <w:p>
      <w:pPr>
        <w:ind w:left="660" w:right="399" w:firstLine="352"/>
        <w:spacing w:after="0" w:line="261" w:lineRule="auto"/>
        <w:tabs>
          <w:tab w:leader="none" w:pos="126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at any time prior to receipt of the Requisite Stockholder Approval if (i) the Company Board effects a Change of Board Recommendation, whether or not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(it being understood and agreed that any written notice of the Company’s intention to make a Change of Board Recommendation prior to effecting such Change of Board Recommendation in accordance with </w:t>
      </w:r>
      <w:r>
        <w:rPr>
          <w:rFonts w:ascii="Times New Roman" w:cs="Times New Roman" w:eastAsia="Times New Roman" w:hAnsi="Times New Roman"/>
          <w:sz w:val="18"/>
          <w:szCs w:val="18"/>
          <w:u w:val="single" w:color="auto"/>
          <w:color w:val="auto"/>
        </w:rPr>
        <w:t>Section 5.3(f)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5.3(g)</w:t>
      </w:r>
      <w:r>
        <w:rPr>
          <w:rFonts w:ascii="Times New Roman" w:cs="Times New Roman" w:eastAsia="Times New Roman" w:hAnsi="Times New Roman"/>
          <w:sz w:val="18"/>
          <w:szCs w:val="18"/>
          <w:color w:val="auto"/>
        </w:rPr>
        <w:t xml:space="preserve"> will not result in Parent or Acquisition Sub having any termination rights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(ii) the Company enters into a merger agreement, letter of intent or other similar agreement relating to an Acquisition Proposal, or (iii) the Company commits a Willful and Material Breach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0" w:right="319" w:firstLine="352"/>
        <w:spacing w:after="0" w:line="258" w:lineRule="auto"/>
        <w:tabs>
          <w:tab w:leader="none" w:pos="12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receipt of the Requisite Stockholder Approval, if the Company Board authorized the Company to enter into a definitive agreement providing for a Superior Proposal immediately after termination of this Agreement, to the extent permitted by and in accordance with the terms of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prior to or concurrently with, and as a condition of, such termination pay the Company Termination Fee to Parent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27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at any time prior to the Effective Time, if: (i) there shall have been (A) a breach of or failure to perform any covenant or agreement on the part of the Company set forth in this Agreement which breach or failure to perform would give rise to the failure of a condition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to be satisfied, or (B) a breach of any representation or warranty of the Company which breach would give rise to the failure of a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to be satisfied; and (ii) such breach or failure to perform, as applicable, shall not have been cured by the Company by the earlier of (x) thirty (30) calendar days following receipt of written notice of such breach or failure to perform from Parent and (y)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if there has been any material breach by Parent or Acquisition Sub of its representations, warranties or covenants contained in this Agreement, and such breach has not been cured in all material respects;</w:t>
      </w:r>
    </w:p>
    <w:p>
      <w:pPr>
        <w:spacing w:after="0" w:line="86" w:lineRule="exact"/>
        <w:rPr>
          <w:rFonts w:ascii="Times New Roman" w:cs="Times New Roman" w:eastAsia="Times New Roman" w:hAnsi="Times New Roman"/>
          <w:sz w:val="18"/>
          <w:szCs w:val="18"/>
          <w:color w:val="auto"/>
        </w:rPr>
      </w:pPr>
    </w:p>
    <w:p>
      <w:pPr>
        <w:ind w:left="660" w:right="319" w:firstLine="352"/>
        <w:spacing w:after="0" w:line="253" w:lineRule="auto"/>
        <w:tabs>
          <w:tab w:leader="none" w:pos="127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the Effective Time, if: (i) there shall have been (A) a breach of or failure to perform any covenant or agreement on the part of Parent or Acquisition Sub set forth in this Agreement which breach or failure to perform would give rise to the failure of a condition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to be satisfied, or (B) a breach of any representation or warranty of Parent or Acquisition Sub which breach would give rise to the failure of a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to be satisfied; and (ii) such breach or failure to perform, as applicable, shall not have been cured by the earlier of (x) thirty (30) calendar days following receipt of written notice of such breach or failure to perform from the Company and (y)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if there has been any material breach by the Company of its representations, warranties or covenants contained in this Agreement, and such breach has not been cured in all material respects;</w:t>
      </w:r>
    </w:p>
    <w:p>
      <w:pPr>
        <w:spacing w:after="0" w:line="86" w:lineRule="exact"/>
        <w:rPr>
          <w:rFonts w:ascii="Times New Roman" w:cs="Times New Roman" w:eastAsia="Times New Roman" w:hAnsi="Times New Roman"/>
          <w:sz w:val="18"/>
          <w:szCs w:val="18"/>
          <w:color w:val="auto"/>
        </w:rPr>
      </w:pPr>
    </w:p>
    <w:p>
      <w:pPr>
        <w:ind w:left="660" w:right="339" w:firstLine="352"/>
        <w:spacing w:after="0" w:line="253" w:lineRule="auto"/>
        <w:tabs>
          <w:tab w:leader="none" w:pos="123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written notice to Parent, if (i) all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but each of which is capable of being satisfied if the Closing were then to occur), (ii) Parent and Acquisition Sub shall have failed to consummate the Transactions on the date the Closing is required to have occurred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(iii) following such failure, the Company has irrevocably confirmed to Parent in writing (and has not revoked such confirmation) that (A) all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each of which is capable of being satisfied if the Closing were then to occur) and (B) the Company is (and will remain throughout the three (3) Business Day period referred to in clause (iv) below) ready, willing and able to consummate the Closing, and (iv) Parent and Acquisition Sub shall have failed to consummate the Transactions within three (3) Business Days following the delivery of the written confirmation delivered pursuant to subsection (iii) of this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In the event of a valid termination of this Agreement by either the Company or</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written notice thereof will be given to the other party or parties, specifying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provisions hereof pursuant to which such termination is made and the basis therefor described in reasonable detail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and this Agreement will immediately become void and have no further force and effect (other than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any right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specific performance to cause the Closing to occur), each of which will survive termination of this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there will be no liability or obligation on the part of Parent, Acquisition Sub or the Company or their respective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Subsidiaries, officers, directors or Representatives, except with respect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nothing herein will relieve any party from liabilities or damages incurred or suffered as a result of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Willful and Material Breach by the Company of any of its respective representations, warranties, covenants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agreements set forth in this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Company Termination Fee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59" w:firstLine="352"/>
        <w:spacing w:after="0" w:line="254" w:lineRule="auto"/>
        <w:tabs>
          <w:tab w:leader="none" w:pos="126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or the Company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then the Company will pay to Parent or its designee (i) prior to or concurrently with, and as a condition of, such termination, in the case of a termination by the Company, or (ii) within two (2) Business Days thereafter, in the case of a termination by Parent, the Company Termination Fee.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means $27,514,109;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this Agreement is terminated by the Company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so as to enter into a definitive agreement providing for a Superior Proposal during the Go-Shop Period, the Company Termination Fee payable shall be reduced to 50% of the full Company Termination Fee (the “</w:t>
      </w:r>
      <w:r>
        <w:rPr>
          <w:rFonts w:ascii="Times New Roman" w:cs="Times New Roman" w:eastAsia="Times New Roman" w:hAnsi="Times New Roman"/>
          <w:sz w:val="18"/>
          <w:szCs w:val="18"/>
          <w:u w:val="single" w:color="auto"/>
          <w:color w:val="auto"/>
        </w:rPr>
        <w:t>Go-Shop Termination Fee</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60" w:right="319" w:firstLine="352"/>
        <w:spacing w:after="0" w:line="255" w:lineRule="auto"/>
        <w:tabs>
          <w:tab w:leader="none" w:pos="127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after the date hereof, an Acquisition Proposal shall have become publicly known or shall have been publicly delivered to the Company Board or a committee thereof and shall not have been irrevocably withdrawn at least two (2) Business Days prior to (x) in the case of a termination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the date of the Company Stockholder Meeting at which a vote was taken on the adoption of this Agreement, or</w:t>
      </w:r>
    </w:p>
    <w:p>
      <w:pPr>
        <w:spacing w:after="0" w:line="2"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termination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the date of such termination,</w:t>
      </w:r>
    </w:p>
    <w:p>
      <w:pPr>
        <w:spacing w:after="0" w:line="9" w:lineRule="exact"/>
        <w:rPr>
          <w:sz w:val="20"/>
          <w:szCs w:val="20"/>
          <w:color w:val="auto"/>
        </w:rPr>
      </w:pPr>
    </w:p>
    <w:p>
      <w:pPr>
        <w:ind w:left="660" w:right="579" w:hanging="8"/>
        <w:spacing w:after="0" w:line="250" w:lineRule="auto"/>
        <w:tabs>
          <w:tab w:leader="none" w:pos="92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thereafter this Agreement is terminated (A) by Parent or the Company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(B) by Parent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or (C) by either the Company or Parent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and</w:t>
      </w:r>
    </w:p>
    <w:p>
      <w:pPr>
        <w:ind w:left="660" w:right="399" w:hanging="8"/>
        <w:spacing w:after="0" w:line="252" w:lineRule="auto"/>
        <w:tabs>
          <w:tab w:leader="none" w:pos="97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twelve (12) months after such termination (x) the Company shall have entered into a definitive agreement with respect to any Acquisition Proposal or (y) any Acquisition Proposal shall have been consummated, then the Company shall pay to Parent the Company Termination Fee within two (2) Business Days of such entry or consummation (as applicable). For purposes of this </w:t>
      </w:r>
      <w:r>
        <w:rPr>
          <w:rFonts w:ascii="Times New Roman" w:cs="Times New Roman" w:eastAsia="Times New Roman" w:hAnsi="Times New Roman"/>
          <w:sz w:val="18"/>
          <w:szCs w:val="18"/>
          <w:u w:val="single" w:color="auto"/>
          <w:color w:val="auto"/>
        </w:rPr>
        <w:t>Section 7.3(b)(iii)</w:t>
      </w:r>
      <w:r>
        <w:rPr>
          <w:rFonts w:ascii="Times New Roman" w:cs="Times New Roman" w:eastAsia="Times New Roman" w:hAnsi="Times New Roman"/>
          <w:sz w:val="18"/>
          <w:szCs w:val="18"/>
          <w:color w:val="auto"/>
        </w:rPr>
        <w:t xml:space="preserve">, the term “Acquisition Proposal” has the meaning assigned to such term in </w:t>
      </w:r>
      <w:r>
        <w:rPr>
          <w:rFonts w:ascii="Times New Roman" w:cs="Times New Roman" w:eastAsia="Times New Roman" w:hAnsi="Times New Roman"/>
          <w:sz w:val="18"/>
          <w:szCs w:val="18"/>
          <w:u w:val="single" w:color="auto"/>
          <w:color w:val="auto"/>
        </w:rPr>
        <w:t>Section 5.3(i)(i)</w:t>
      </w:r>
      <w:r>
        <w:rPr>
          <w:rFonts w:ascii="Times New Roman" w:cs="Times New Roman" w:eastAsia="Times New Roman" w:hAnsi="Times New Roman"/>
          <w:sz w:val="18"/>
          <w:szCs w:val="18"/>
          <w:color w:val="auto"/>
        </w:rPr>
        <w:t>, except that the references to “20%” and “80%” will be deemed to be references to “50%”.</w:t>
      </w:r>
    </w:p>
    <w:p>
      <w:pPr>
        <w:spacing w:after="0" w:line="81" w:lineRule="exact"/>
        <w:rPr>
          <w:rFonts w:ascii="Times New Roman" w:cs="Times New Roman" w:eastAsia="Times New Roman" w:hAnsi="Times New Roman"/>
          <w:sz w:val="18"/>
          <w:szCs w:val="18"/>
          <w:color w:val="auto"/>
        </w:rPr>
      </w:pPr>
    </w:p>
    <w:p>
      <w:pPr>
        <w:ind w:left="660" w:right="319" w:firstLine="352"/>
        <w:spacing w:after="0" w:line="254" w:lineRule="auto"/>
        <w:tabs>
          <w:tab w:leader="none" w:pos="126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as a result of a Willful and Material Breach by the Company, then, without limitation of any other remedies available to Parent under this Agreement, the Company will pay to Parent, within three (3) Business Days after such termination, an amount equal to the reasonable and documented out-of-pocket fees and expenses incurred by Parent and its Affiliates in connection with this Agreement and the Transactions, up to a maximum amount of $7,000,000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xml:space="preserve">”); provided that the Parent Expense Reimbursement actually paid to Parent will be credited against, and reduce, any Company Termination Fee subsequently payable by the Company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60" w:right="339" w:firstLine="352"/>
        <w:spacing w:after="0" w:line="266" w:lineRule="auto"/>
        <w:tabs>
          <w:tab w:leader="none" w:pos="127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will be made by wire transfer of immediately available funds to an account designated in writing by Parent or its designee, or in the absence of such designation, an account established for the sole benefit of Parent or its designee.</w:t>
      </w:r>
    </w:p>
    <w:p>
      <w:pPr>
        <w:spacing w:after="0" w:line="67" w:lineRule="exact"/>
        <w:rPr>
          <w:rFonts w:ascii="Times New Roman" w:cs="Times New Roman" w:eastAsia="Times New Roman" w:hAnsi="Times New Roman"/>
          <w:sz w:val="18"/>
          <w:szCs w:val="18"/>
          <w:color w:val="auto"/>
        </w:rPr>
      </w:pPr>
    </w:p>
    <w:p>
      <w:pPr>
        <w:ind w:left="660" w:right="419" w:firstLine="352"/>
        <w:spacing w:after="0" w:line="261" w:lineRule="auto"/>
        <w:tabs>
          <w:tab w:leader="none" w:pos="126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and that without these agreements, Parent, Acquisition Sub and the Company would not enter into this Agreement. For the avoidance of doubt, in no event will the Company be required to pay the Company Termination Fee on more than one occasion.</w:t>
      </w:r>
    </w:p>
    <w:p>
      <w:pPr>
        <w:spacing w:after="0" w:line="71" w:lineRule="exact"/>
        <w:rPr>
          <w:rFonts w:ascii="Times New Roman" w:cs="Times New Roman" w:eastAsia="Times New Roman" w:hAnsi="Times New Roman"/>
          <w:sz w:val="18"/>
          <w:szCs w:val="18"/>
          <w:color w:val="auto"/>
        </w:rPr>
      </w:pPr>
    </w:p>
    <w:p>
      <w:pPr>
        <w:ind w:left="660" w:right="319" w:firstLine="352"/>
        <w:spacing w:after="0" w:line="252" w:lineRule="auto"/>
        <w:tabs>
          <w:tab w:leader="none" w:pos="124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circumstances where the Company Termination Fee is payable in accordance with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other than with respect to a Willful and Material Breach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Parent’s (or its designee’s) receipt of the Company Termination Fee and the reasonable, documented out-of-pocket expenses incurred by Parent (not to exceed an aggregate amount equal to $1,500,000) in enforcing its right pursuant to a lawsuit to receive the Company Termination Fee (if received as a result of Parent prevailing in such lawsuit) from or on behalf of the Company will be Parent’s (or its designee’s) and Acquisition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stockholders,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contemplated hereby. While Parent may pursue both a grant of specific performance or other equitable relief</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76" w:lineRule="auto"/>
        <w:rPr>
          <w:sz w:val="20"/>
          <w:szCs w:val="20"/>
          <w:color w:val="auto"/>
        </w:rPr>
      </w:pPr>
      <w:r>
        <w:rPr>
          <w:rFonts w:ascii="Times New Roman" w:cs="Times New Roman" w:eastAsia="Times New Roman" w:hAnsi="Times New Roman"/>
          <w:sz w:val="17"/>
          <w:szCs w:val="17"/>
          <w:color w:val="auto"/>
        </w:rPr>
        <w:t xml:space="preserve">under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xml:space="preserve">, the payment of monetary damages under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and the Company Termination Fee under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respectively, under no circumstances shall Parent (or its designee) be entitled to receive both</w:t>
      </w:r>
    </w:p>
    <w:p>
      <w:pPr>
        <w:spacing w:after="0" w:line="1" w:lineRule="exact"/>
        <w:rPr>
          <w:sz w:val="20"/>
          <w:szCs w:val="20"/>
          <w:color w:val="auto"/>
        </w:rPr>
      </w:pPr>
    </w:p>
    <w:p>
      <w:pPr>
        <w:ind w:left="860" w:hanging="208"/>
        <w:spacing w:after="0"/>
        <w:tabs>
          <w:tab w:leader="none" w:pos="8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specific performance or other equitable relief that results in the Closing occurring and</w:t>
      </w:r>
    </w:p>
    <w:p>
      <w:pPr>
        <w:spacing w:after="0" w:line="9" w:lineRule="exact"/>
        <w:rPr>
          <w:rFonts w:ascii="Times New Roman" w:cs="Times New Roman" w:eastAsia="Times New Roman" w:hAnsi="Times New Roman"/>
          <w:sz w:val="18"/>
          <w:szCs w:val="18"/>
          <w:color w:val="auto"/>
        </w:rPr>
      </w:pPr>
    </w:p>
    <w:p>
      <w:pPr>
        <w:ind w:left="660" w:right="459" w:hanging="8"/>
        <w:spacing w:after="0" w:line="260" w:lineRule="auto"/>
        <w:tabs>
          <w:tab w:leader="none" w:pos="92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damages or the payment of the Company Termination Fee in connection with this Agreement or any termination of this Agreement.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Parent Termination Fee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79" w:firstLine="352"/>
        <w:spacing w:after="0" w:line="261" w:lineRule="auto"/>
        <w:tabs>
          <w:tab w:leader="none" w:pos="126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if this Agreement is terminated by the Company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due to a Willful and Material Breach or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 then Parent will pay to the Company, within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Business Days following such termination, $49,869,322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660" w:right="319" w:firstLine="352"/>
        <w:spacing w:after="0" w:line="266" w:lineRule="auto"/>
        <w:tabs>
          <w:tab w:leader="none" w:pos="127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will be made by wire transfer of immediately available funds to an account designated in writing by the Company, or in the absence of such designation, an account established for the sole benefit of the Company.</w:t>
      </w:r>
    </w:p>
    <w:p>
      <w:pPr>
        <w:spacing w:after="0" w:line="67" w:lineRule="exact"/>
        <w:rPr>
          <w:rFonts w:ascii="Times New Roman" w:cs="Times New Roman" w:eastAsia="Times New Roman" w:hAnsi="Times New Roman"/>
          <w:sz w:val="18"/>
          <w:szCs w:val="18"/>
          <w:color w:val="auto"/>
        </w:rPr>
      </w:pPr>
    </w:p>
    <w:p>
      <w:pPr>
        <w:ind w:left="660" w:right="419" w:firstLine="352"/>
        <w:spacing w:after="0" w:line="261" w:lineRule="auto"/>
        <w:tabs>
          <w:tab w:leader="none" w:pos="126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the agreements contained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an integral part of the Transactions, and that without these agreements, Parent, Acquisition Sub and the Company would not enter into this Agreement. For the avoidance of doubt, in no event will Parent be required to pay the Parent Termination Fee on more than one occasion.</w:t>
      </w:r>
    </w:p>
    <w:p>
      <w:pPr>
        <w:spacing w:after="0" w:line="71" w:lineRule="exact"/>
        <w:rPr>
          <w:rFonts w:ascii="Times New Roman" w:cs="Times New Roman" w:eastAsia="Times New Roman" w:hAnsi="Times New Roman"/>
          <w:sz w:val="18"/>
          <w:szCs w:val="18"/>
          <w:color w:val="auto"/>
        </w:rPr>
      </w:pPr>
    </w:p>
    <w:p>
      <w:pPr>
        <w:ind w:left="660" w:right="299" w:firstLine="352"/>
        <w:spacing w:after="0" w:line="251" w:lineRule="auto"/>
        <w:tabs>
          <w:tab w:leader="none" w:pos="127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but subject to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the Company acknowledges and agrees that the Company’s right to terminate this Agreement and for the Company to receive (a) the Parent Termination Fee to the extent it is payable in accordance with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(b) the Reimbursement Obligations under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and (c) the reasonable, documented out-of-pocket expenses incurred by the Company (not to exceed an aggregate amount equal to $1,500,000) in enforcing its right pursuant to a lawsuit to receive such amounts (if received as a result of the Company prevailing in such lawsuit) (“</w:t>
      </w:r>
      <w:r>
        <w:rPr>
          <w:rFonts w:ascii="Times New Roman" w:cs="Times New Roman" w:eastAsia="Times New Roman" w:hAnsi="Times New Roman"/>
          <w:sz w:val="18"/>
          <w:szCs w:val="18"/>
          <w:u w:val="single" w:color="auto"/>
          <w:color w:val="auto"/>
        </w:rPr>
        <w:t>Costs of Collection</w:t>
      </w:r>
      <w:r>
        <w:rPr>
          <w:rFonts w:ascii="Times New Roman" w:cs="Times New Roman" w:eastAsia="Times New Roman" w:hAnsi="Times New Roman"/>
          <w:sz w:val="18"/>
          <w:szCs w:val="18"/>
          <w:color w:val="auto"/>
        </w:rPr>
        <w:t>”), will be the Company Related Parties’ sole and exclusive remedy (whether based in contract, tort or strict liability, by the enforcement of any assessment, by any legal or equitable proceeding, by virtue of any statute, regulation or applicable Laws or otherwise) against Parent, the Financing Sources, any other potential debt or equity financing source and any of their respective former, current or future Affiliates, direct or indirect equity holders, general or limited partners, controlling persons, stockholders, members, managers, directors, officers, employees, agents, or assignees (each, a “</w:t>
      </w:r>
      <w:r>
        <w:rPr>
          <w:rFonts w:ascii="Times New Roman" w:cs="Times New Roman" w:eastAsia="Times New Roman" w:hAnsi="Times New Roman"/>
          <w:sz w:val="18"/>
          <w:szCs w:val="18"/>
          <w:u w:val="single" w:color="auto"/>
          <w:color w:val="auto"/>
        </w:rPr>
        <w:t>Parent Related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xml:space="preserve">”)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Subject to Parent’s obligation (i) to pay (a) the Parent Termination Fee to the extent it is payable in accordance with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(b) the Reimbursement Obligations under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xml:space="preserve"> and (c) the Costs of Collection or, in the alternative, (ii) to consummate the Closing under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prior to termination of this Agreement, none of the Parent Related Parties shall have any liability or obligation to any of the Company Related Parties relating to or arising out of this Agreement, the Guarantee, the Debt Commitment Letters, the Equity Commitment Letter or the Transactions, and none of the Company, its Subsidiaries nor any other Company Related Party shall seek to recover any other damages or seek any other remedy, whether based on a claim at law or in equity, in contract, tort or otherwise, with respect to any losses or damages suffered in connection with this Agreement or the Transactions or any oral representation made or alleged to be made in connection herewith.</w:t>
      </w:r>
    </w:p>
    <w:p>
      <w:pPr>
        <w:spacing w:after="0" w:line="96" w:lineRule="exact"/>
        <w:rPr>
          <w:rFonts w:ascii="Times New Roman" w:cs="Times New Roman" w:eastAsia="Times New Roman" w:hAnsi="Times New Roman"/>
          <w:sz w:val="18"/>
          <w:szCs w:val="18"/>
          <w:color w:val="auto"/>
        </w:rPr>
      </w:pPr>
    </w:p>
    <w:p>
      <w:pPr>
        <w:ind w:left="660" w:right="499" w:firstLine="352"/>
        <w:spacing w:after="0" w:line="274" w:lineRule="auto"/>
        <w:tabs>
          <w:tab w:leader="none" w:pos="126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While the Company may pursue both a grant of specific performance or other equitable relief under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xml:space="preserve"> and, following termination of this Agreement, the payment of the Parent Termination Fee under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or reimbursement under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respectively, under no circumstances shall the Company be entitled to receive both (i) a grant of specific performance or other equitable relief that results in the Equity Financing being funded or the Closing or Merger occurring and (ii) monetary damages or the payment of the Parent Termination Fee in connection with this Agreement or any termination of this Agreement.</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i w:val="1"/>
          <w:iCs w:val="1"/>
          <w:color w:val="auto"/>
        </w:rPr>
        <w:t>Payments; Limitation on Recourse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99" w:firstLine="352"/>
        <w:spacing w:after="0" w:line="289" w:lineRule="auto"/>
        <w:tabs>
          <w:tab w:leader="none" w:pos="1265"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with respect to the right to seek specific performance of the Equity Commitment Letter to the extent permitted by and in accordance with the Equity Commitment Letter (any such claims under the Equity Commitment Letter, the “</w:t>
      </w:r>
      <w:r>
        <w:rPr>
          <w:rFonts w:ascii="Times New Roman" w:cs="Times New Roman" w:eastAsia="Times New Roman" w:hAnsi="Times New Roman"/>
          <w:sz w:val="17"/>
          <w:szCs w:val="17"/>
          <w:u w:val="single" w:color="auto"/>
          <w:color w:val="auto"/>
        </w:rPr>
        <w:t>ECL Claims</w:t>
      </w:r>
      <w:r>
        <w:rPr>
          <w:rFonts w:ascii="Times New Roman" w:cs="Times New Roman" w:eastAsia="Times New Roman" w:hAnsi="Times New Roman"/>
          <w:sz w:val="17"/>
          <w:szCs w:val="17"/>
          <w:color w:val="auto"/>
        </w:rPr>
        <w:t>”), and recourse against the Guarantor under the Guarantee to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1" w:lineRule="auto"/>
        <w:rPr>
          <w:sz w:val="20"/>
          <w:szCs w:val="20"/>
          <w:color w:val="auto"/>
        </w:rPr>
      </w:pPr>
      <w:r>
        <w:rPr>
          <w:rFonts w:ascii="Times New Roman" w:cs="Times New Roman" w:eastAsia="Times New Roman" w:hAnsi="Times New Roman"/>
          <w:sz w:val="18"/>
          <w:szCs w:val="18"/>
          <w:color w:val="auto"/>
        </w:rPr>
        <w:t>extent provided therein, any claim or cause of action under this Agreement may only be brought against Persons that are expressly named as parties, and then only with respect to the specific obligations set forth in this Agreement. Other than the ECL Claims and such recourse against the Guarantor under the Guarantee, no Company Related Party or Parent Related Party will have any liability or obligation for any of the representations, warranties, covenants, agreements, obligations or liabilities of the Company, Parent or Acquisition Sub or of or for any claim, investigation, or Proceeding, in each case under, based on, in respect of, or by reason of, this Agreement or the Transactions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(including a claim to enforce the Debt Commitment Letter) or otherwise. Notwithstanding anything to the contrary contained in this Agreement, the parties hereby agree (x) that none of the Financing Sources shall have any liability to the Company or any of their Affiliates or any other Person (other than Parent and its permitted assigns in respect of the Debt Financing relating to or arising out of this Agreement or the Debt Financing) or in respect of any oral representations made or alleged to have been made in connection herewith or therewith, whether at law or equity, in contract or in tort or otherwise, (y) neither the Company nor any of their Affiliates or any other Person (other than Parent and its permitted assigns in respect of the Debt Financing) shall have any rights or claims against any of the Financing Sources under this Agreement or the Debt Financing, whether at law or equity, in contract or in tort, or otherwise and (z) other than with respect to Parent and its permitted assigns in respect of the Debt Financing, not to commence (and if commenced agrees to dismiss or otherwise terminate, and not to assist) any Proceeding against any Debt Financing Source under this Agreement, the Debt Commitment Letter, the Debt Financing, or the transactions contemplated hereby or thereby or the performance of any of the services hereunder or thereunder.</w:t>
      </w:r>
    </w:p>
    <w:p>
      <w:pPr>
        <w:spacing w:after="0" w:line="97" w:lineRule="exact"/>
        <w:rPr>
          <w:sz w:val="20"/>
          <w:szCs w:val="20"/>
          <w:color w:val="auto"/>
        </w:rPr>
      </w:pPr>
    </w:p>
    <w:p>
      <w:pPr>
        <w:ind w:left="660" w:right="319" w:firstLine="352"/>
        <w:spacing w:after="0" w:line="252" w:lineRule="auto"/>
        <w:tabs>
          <w:tab w:leader="none" w:pos="12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under no circumstances will the collective monetary damages payable by Parent, Acquisition Sub and the other Parent Related Parties for breaches under this Agreement, the Guarantee and the ECL Claims exceed an amount (inclusive of payment of any Parent Termination Fee, Costs of Collection and Reimbursement Obligations) equal to the amount of the Parent Termination Fee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Costs of Collection (such amount, the “</w:t>
      </w:r>
      <w:r>
        <w:rPr>
          <w:rFonts w:ascii="Times New Roman" w:cs="Times New Roman" w:eastAsia="Times New Roman" w:hAnsi="Times New Roman"/>
          <w:sz w:val="18"/>
          <w:szCs w:val="18"/>
          <w:u w:val="single" w:color="auto"/>
          <w:color w:val="auto"/>
        </w:rPr>
        <w:t>Parent Liability Limitation</w:t>
      </w:r>
      <w:r>
        <w:rPr>
          <w:rFonts w:ascii="Times New Roman" w:cs="Times New Roman" w:eastAsia="Times New Roman" w:hAnsi="Times New Roman"/>
          <w:sz w:val="18"/>
          <w:szCs w:val="18"/>
          <w:color w:val="auto"/>
        </w:rPr>
        <w:t xml:space="preserve">”). In no event will any of the Company or any of its Affiliates seek or obtain, nor will they permit any of their Representatives or any other Person acting on their behalf to seek or obtain, nor will any Person be entitled to seek or obtain, any monetary recovery or award in excess of the Parent Liability Limitation against (i) Parent, Acquisition Sub or the Guarantor, or (ii) the other Parent Related Parties, and in no event will the Company or any of its Subsidiaries be entitled to seek or obtain any monetary damages of any kind, including consequential, special, indirect or punitive damages, in excess of the Parent Liability Limitation against the Parent Related Parties for, or with respect to, this Agreement, the Debt Commitment Letter, the Guarantee (subject to the terms and conditions set forth therein) and the Equity Commitment Letter (subject to the terms and conditions set forth therein and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of this Agreement). In addition, notwithstanding anything to the contrary, in no event shall the Company be entitled to receive both the Parent Termination Fee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monetary damages under any other provision of this Agreement other than reimbursement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but subject to the Parent Liability Limitation.</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39" w:firstLine="352"/>
        <w:spacing w:after="0" w:line="256" w:lineRule="auto"/>
        <w:tabs>
          <w:tab w:leader="none" w:pos="126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amended by each of the Company, Parent and Acquisition Sub by action taken by or on behalf of their respective boards of directors at any time prior to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this Agreement has been adopted by the Company’s stockholders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Delaware Law, no amendment shall be made to this Agreement that requires the approval of the Company’s stockholders under Delaware Law without such approval. This Agreement may not be amended except by an instrument in writing signed by the parties hereto.</w:t>
      </w:r>
    </w:p>
    <w:p>
      <w:pPr>
        <w:spacing w:after="0" w:line="79" w:lineRule="exact"/>
        <w:rPr>
          <w:rFonts w:ascii="Times New Roman" w:cs="Times New Roman" w:eastAsia="Times New Roman" w:hAnsi="Times New Roman"/>
          <w:sz w:val="18"/>
          <w:szCs w:val="18"/>
          <w:color w:val="auto"/>
        </w:rPr>
      </w:pPr>
    </w:p>
    <w:p>
      <w:pPr>
        <w:ind w:left="660" w:right="459" w:firstLine="352"/>
        <w:spacing w:after="0" w:line="282" w:lineRule="auto"/>
        <w:tabs>
          <w:tab w:leader="none" w:pos="127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xml:space="preserve"> (and any provision or defined term of this Agreement to the extent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modification, waiver or termination of such provision or defined term would modify the substance of</w:t>
      </w:r>
    </w:p>
    <w:p>
      <w:pPr>
        <w:spacing w:after="0" w:line="27" w:lineRule="exact"/>
        <w:rPr>
          <w:sz w:val="20"/>
          <w:szCs w:val="20"/>
          <w:color w:val="auto"/>
        </w:rPr>
      </w:pPr>
    </w:p>
    <w:p>
      <w:pPr>
        <w:ind w:left="660" w:right="33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may not be modified, waived or terminated in a manner that is adverse to the Financing Sources without the prior written consent of the Financing Sources.</w:t>
      </w:r>
    </w:p>
    <w:p>
      <w:pPr>
        <w:spacing w:after="0" w:line="76"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At any time prior to the Effective Time, Parent and Acquisition Sub, on the one hand, and the Company, on the other hand, may (i) extend the time for the performance of any of the obligations or other acts of the other, (ii) waive any breach of the representations and warranties of the other contained herein or in any document delivered pursuant hereto or (iii) waive compliance by the other with any of the agreements or covenants contained herein; provided, however, that after receipt of the Requisite Stockholder Approval, there may not be any extension or waiver of this Agreement which decreases the Merger Consideration or which adversely affects the rights of the Company’s stockholders hereunder without the approval of such stockholders. Any such extension or waiver will be valid only if set forth in an instrument in writing signed by the party or parties to be bound thereby, but such extension or waiver or failure to insist on strict compliance with an obligation, covenant, agreement or condition will not operate as a waiver of, or estoppel with respect to, any subsequent or other failure.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7" w:lineRule="exact"/>
        <w:rPr>
          <w:sz w:val="20"/>
          <w:szCs w:val="20"/>
          <w:color w:val="auto"/>
        </w:rPr>
      </w:pPr>
    </w:p>
    <w:p>
      <w:pPr>
        <w:ind w:left="300" w:right="499" w:firstLine="360"/>
        <w:spacing w:after="0" w:line="281"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i w:val="1"/>
          <w:iCs w:val="1"/>
          <w:color w:val="auto"/>
        </w:rPr>
        <w:t>Non-Survival of Representations and Warranties</w:t>
      </w:r>
      <w:r>
        <w:rPr>
          <w:rFonts w:ascii="Times New Roman" w:cs="Times New Roman" w:eastAsia="Times New Roman" w:hAnsi="Times New Roman"/>
          <w:sz w:val="17"/>
          <w:szCs w:val="17"/>
          <w:color w:val="auto"/>
        </w:rPr>
        <w:t xml:space="preserve">. None of the representations, warranties or covenants in this Agreement or in any instrument delivered pursuant to this Agreement will survive the Effective Time except that this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will not limit any covenant or agreement of the parties which by its terms contemplates performance after the Effective Time, which will survive to the extent expressly provided for herein.</w:t>
      </w:r>
    </w:p>
    <w:p>
      <w:pPr>
        <w:spacing w:after="0" w:line="56" w:lineRule="exact"/>
        <w:rPr>
          <w:sz w:val="20"/>
          <w:szCs w:val="20"/>
          <w:color w:val="auto"/>
        </w:rPr>
      </w:pPr>
    </w:p>
    <w:p>
      <w:pPr>
        <w:ind w:left="300" w:right="759" w:firstLine="360"/>
        <w:spacing w:after="0" w:line="315"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i w:val="1"/>
          <w:iCs w:val="1"/>
          <w:color w:val="auto"/>
        </w:rPr>
        <w:t>Fees and Expenses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7.3(f)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7.4(d)</w:t>
      </w:r>
      <w:r>
        <w:rPr>
          <w:rFonts w:ascii="Times New Roman" w:cs="Times New Roman" w:eastAsia="Times New Roman" w:hAnsi="Times New Roman"/>
          <w:sz w:val="17"/>
          <w:szCs w:val="17"/>
          <w:color w:val="auto"/>
        </w:rPr>
        <w:t>, all fees and expenses incurred by the parties hereto will be borne solely and entirely by the party which has incurred the same.</w:t>
      </w:r>
    </w:p>
    <w:p>
      <w:pPr>
        <w:spacing w:after="0" w:line="27"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Any notices or other communications to any party required or permitted under, or otherwise given in connection with, this Agreement will be in writing and will be deemed to have been duly given (a) on the date delivered if delivered in Person (b) on the Business Day picked up if transmitted by national overnight courier or</w:t>
      </w:r>
    </w:p>
    <w:p>
      <w:pPr>
        <w:spacing w:after="0" w:line="1" w:lineRule="exact"/>
        <w:rPr>
          <w:sz w:val="20"/>
          <w:szCs w:val="20"/>
          <w:color w:val="auto"/>
        </w:rPr>
      </w:pPr>
    </w:p>
    <w:p>
      <w:pPr>
        <w:ind w:left="300" w:right="399" w:hanging="8"/>
        <w:spacing w:after="0" w:line="290" w:lineRule="auto"/>
        <w:tabs>
          <w:tab w:leader="none" w:pos="545"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delivered if sent by email (provided confirmation of email receipt is obtained), in each case, as follows (or to such other Persons or addressees as may be designated in writing by the party to receive such notice):</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Parent, Acquisition Sub, or the Surviving Corporation:</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 H.I.G. Capital, LLC</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1450 Brickell Avenue</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Miami, FL 33131</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Attn: Matt Gullen; Alexander Thorn</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to (which copy will not constitute notice):</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830 Brickell Plaza</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Miami, FL 33131</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Attn: Matthew S. Arenson, P.C.; Lee Blum</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the Company (prior to Closing):</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195 Clarksville Road</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Princeton Junction, NJ 08550</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Attn: Eileen Coggins</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to (which copy will not constitute notice):</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Morgan, Lewis &amp; Bockius LLP</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2222 Market Street</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Philadelphia, PA 19103-3007</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Attn: Justin W. Chairman; G.T. Harris</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3000 Two Logan Square</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Eighteenth and Arch Streets</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Attn: Michael H. Friedman; Seth A. Winter</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Agreement, the term:</w:t>
      </w:r>
    </w:p>
    <w:p>
      <w:pPr>
        <w:spacing w:after="0" w:line="119" w:lineRule="exact"/>
        <w:rPr>
          <w:sz w:val="20"/>
          <w:szCs w:val="20"/>
          <w:color w:val="auto"/>
        </w:rPr>
      </w:pPr>
    </w:p>
    <w:p>
      <w:pPr>
        <w:ind w:left="660" w:right="43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that contains confidentiality provisions that are not materially less restrictive as compared to those contained in the Confidentiality Agreement and that does not prohibit the Company from providing information to Parent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An Acceptable Confidentiality Agreement may not include any provisions granting exclusivity to any Third Party or prohibiting the Company satisfying its obligations hereunder or requiring the Company or its Subsidiaries to pay or reimburse the Third Party’s fees and expenses.</w:t>
      </w:r>
    </w:p>
    <w:p>
      <w:pPr>
        <w:spacing w:after="0" w:line="79"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that directly or indirectly, through one or more intermediaries, controls, is controlled by, or is under common control with, the first-mentioned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other than Guarantor (solely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its direct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Subsidiaries involved in the Merger and the other Transactions (including Parent and Acquisition Sub), none of Guarantor or the Affiliates of Guarantor shall be deemed to be “Affiliates” of Parent or Acquisition Sub (or, following the Closing, the Surviving Corporation or any of its Subsidiaries).</w:t>
      </w:r>
    </w:p>
    <w:p>
      <w:pPr>
        <w:spacing w:after="0" w:line="79" w:lineRule="exact"/>
        <w:rPr>
          <w:sz w:val="20"/>
          <w:szCs w:val="20"/>
          <w:color w:val="auto"/>
        </w:rPr>
      </w:pPr>
    </w:p>
    <w:p>
      <w:pPr>
        <w:ind w:left="660" w:right="6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set forth in Rule 13d-3 under the Exchange Act.</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New York, New York are authorized or obligated by applicable Law to close.</w:t>
      </w:r>
    </w:p>
    <w:p>
      <w:pPr>
        <w:spacing w:after="0" w:line="54" w:lineRule="exact"/>
        <w:rPr>
          <w:sz w:val="20"/>
          <w:szCs w:val="20"/>
          <w:color w:val="auto"/>
        </w:rPr>
      </w:pPr>
    </w:p>
    <w:p>
      <w:pPr>
        <w:ind w:left="660" w:right="9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Subsidiary</w:t>
      </w:r>
      <w:r>
        <w:rPr>
          <w:rFonts w:ascii="Times New Roman" w:cs="Times New Roman" w:eastAsia="Times New Roman" w:hAnsi="Times New Roman"/>
          <w:sz w:val="18"/>
          <w:szCs w:val="18"/>
          <w:color w:val="auto"/>
        </w:rPr>
        <w:t>” means any Subsidiary that is resident or deemed resident of Canada for the purposes of the ITA.</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7"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decree of collective agreement or other agreement or Contract with a Union that the Company or any of its Subsidiaries is a party to or otherwise bound by or required to comply with.</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Letters</w:t>
      </w:r>
      <w:r>
        <w:rPr>
          <w:rFonts w:ascii="Times New Roman" w:cs="Times New Roman" w:eastAsia="Times New Roman" w:hAnsi="Times New Roman"/>
          <w:sz w:val="18"/>
          <w:szCs w:val="18"/>
          <w:color w:val="auto"/>
        </w:rPr>
        <w:t>” means the Debt Commitment Letter and the Equity Commitment Letter.</w:t>
      </w:r>
    </w:p>
    <w:p>
      <w:pPr>
        <w:spacing w:after="0" w:line="117"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(i)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as defined in Section 3(3) of ERISA, whether or not subject to ERISA, (ii) compensation, employment, consulting, end of service or severance, termination protection, change in control, transaction bonus, retention or similar plan, agreement, arrangement, program or policy; or (iii) other benefit or compensation plan, policy, program, agreement or arrangement providing for pension, retirement, post-employment or post-retirement benefits, profit-sharing, deferred compensation, stock option or other equity or equity-based compensation, stock purchase, employee stock ownership, vacation, holiday pay or other paid time off, commission, bonus or other incentive payments, employee loans, medical, retiree medical, vision, dental or other health benefits, life insurance, or fringe, or other employee benefits, in each case, (A) that is sponsored, maintained or contributed to or required to be contributed to by the Company or any of its Subsidiaries for the benefit of any current or former director, officer, employee or individual independent contractor of the Company or its Subsidiaries, or (B) with respect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8"/>
          <w:szCs w:val="18"/>
          <w:color w:val="auto"/>
        </w:rPr>
        <w:t>to which the Company or any of its Subsidiaries has any liability or obligation (including contingent liability or obligation); provided, that the term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will not include any statutory plan, program or arrangement sponsored, maintained or administered by a Governmental Entity.</w:t>
      </w:r>
    </w:p>
    <w:p>
      <w:pPr>
        <w:spacing w:after="0" w:line="68" w:lineRule="exact"/>
        <w:rPr>
          <w:sz w:val="20"/>
          <w:szCs w:val="20"/>
          <w:color w:val="auto"/>
        </w:rPr>
      </w:pPr>
    </w:p>
    <w:p>
      <w:pPr>
        <w:ind w:left="660" w:right="3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Mistras Group, Inc. Amended and Restated 2016 Long-Term Incentive Plan.</w:t>
      </w:r>
    </w:p>
    <w:p>
      <w:pPr>
        <w:spacing w:after="0" w:line="54" w:lineRule="exact"/>
        <w:rPr>
          <w:sz w:val="20"/>
          <w:szCs w:val="20"/>
          <w:color w:val="auto"/>
        </w:rPr>
      </w:pPr>
    </w:p>
    <w:p>
      <w:pPr>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ERISA Affiliate</w:t>
      </w:r>
      <w:r>
        <w:rPr>
          <w:rFonts w:ascii="Times New Roman" w:cs="Times New Roman" w:eastAsia="Times New Roman" w:hAnsi="Times New Roman"/>
          <w:sz w:val="18"/>
          <w:szCs w:val="18"/>
          <w:color w:val="auto"/>
        </w:rPr>
        <w:t>” means all Persons (whether or not incorporated) that would, at any relevant time, be treated together with the Company or any of its Subsidiaries as a “</w:t>
      </w:r>
      <w:r>
        <w:rPr>
          <w:rFonts w:ascii="Times New Roman" w:cs="Times New Roman" w:eastAsia="Times New Roman" w:hAnsi="Times New Roman"/>
          <w:sz w:val="18"/>
          <w:szCs w:val="18"/>
          <w:u w:val="single" w:color="auto"/>
          <w:color w:val="auto"/>
        </w:rPr>
        <w:t>single employer</w:t>
      </w:r>
      <w:r>
        <w:rPr>
          <w:rFonts w:ascii="Times New Roman" w:cs="Times New Roman" w:eastAsia="Times New Roman" w:hAnsi="Times New Roman"/>
          <w:sz w:val="18"/>
          <w:szCs w:val="18"/>
          <w:color w:val="auto"/>
        </w:rPr>
        <w:t>” within the meaning of Section 414 of the Code.</w:t>
      </w:r>
    </w:p>
    <w:p>
      <w:pPr>
        <w:spacing w:after="0" w:line="68"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effect, occurrence, state of facts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taken alone or together with any other related or unrelated changes, effects, events, occurrences, states of facts or developments (i) has, or would reasonably be expected to have, a material adverse effect on the business, condition (financial or otherwise), assets, liabilities or results of operations of the Company and its Subsidiaries, taken as a whole or (ii) prevents or materially impairs or delays the consummation of the Merger or performance by the Company of any of its material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with respect to the foregoing clause (i), Effects arising out of, resulting from or attributable to the following will not constitute or be deemed to contribute to a Company Material Adverse Effect, and will not otherwise be taken into account in determining whether a Company Material Adverse Effect has occurred or would reasonably be expected to occur, except that Effects with respect to clauses (a), (b) and (c) below will be so considered to the extent such Effect has a materially disproportionate impact on the Company and its Subsidiaries, taken as a whole, relative to other companies operating in the same industries: (a) changes or proposed changes in applicable Laws, GAAP or the binding interpretation or enforcement thereof after the date of this Agreement, (b) changes in general economic, business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other regions where the Company and its Subsidiaries operate, (c) changes in global or national political conditions (including the outbreak or escalation of war (whether or not declared), civil unrest, military action, sabotage or acts of terrorism), force majeure, calamities, changes due to natural disasters or changes in the weather or changes due to the outbreak or worsening of an epidemic, pandemic or other health crisis, (d) any action taken to the extent expressly required by this Agreement (other than as set forth in the first sentence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has been satisfied), (e) the negotiation, announcement, pendency or consummation of this Agreement and the Merger, including the impact thereof on the relationship of the Company or any its Subsidiaries, contractual or otherwise, with its customers, suppliers, distributors, vendors, lenders, employees or partners (other than any action or omission in violation of the Company’s obligations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(e)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has been satisfied), (f) any Proceeding relating to this Agreement or the Transactions brought by any stockholders of the Company, (g) changes in the trading price or trading volume of Shares or any suspension of trading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cause of such changes may be taken into account in determining whether a Company Material Adverse Effect has occurred or would reasonably be expected to occur), (h) the availability or cost of equity, debt or other financing to Parent or Acquisition Sub for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cause thereof may be taken into account in determining whether a Company Material Adverse Effect has occurred or would reasonably be expected to occur), or (i) any failure by the Company or any of its Subsidiaries to meet any revenue, earnings or other financial projections or forecasts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cause of such failure may be taken into account in determining whether a Company Material Adverse Effect has occurred or would reasonably be expected to occur).</w:t>
      </w:r>
    </w:p>
    <w:p>
      <w:pPr>
        <w:spacing w:after="0" w:line="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Intellectual Property</w:t>
      </w:r>
      <w:r>
        <w:rPr>
          <w:rFonts w:ascii="Times New Roman" w:cs="Times New Roman" w:eastAsia="Times New Roman" w:hAnsi="Times New Roman"/>
          <w:sz w:val="18"/>
          <w:szCs w:val="18"/>
          <w:color w:val="auto"/>
        </w:rPr>
        <w:t>” means (i) the Company Owned Intellectual Property and</w:t>
      </w:r>
    </w:p>
    <w:p>
      <w:pPr>
        <w:spacing w:after="0" w:line="27" w:lineRule="exact"/>
        <w:rPr>
          <w:sz w:val="20"/>
          <w:szCs w:val="20"/>
          <w:color w:val="auto"/>
        </w:rPr>
      </w:pPr>
    </w:p>
    <w:p>
      <w:pPr>
        <w:ind w:left="660" w:right="439" w:hanging="8"/>
        <w:spacing w:after="0" w:line="260" w:lineRule="auto"/>
        <w:tabs>
          <w:tab w:leader="none" w:pos="92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Intellectual Property licensed to the Company or any of its Subsidiaries, including the Intellectual Property listed on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 compensatory option to purchase shares of Company Common Stock granted under the Company Equity Plan.</w:t>
      </w:r>
    </w:p>
    <w:p>
      <w:pPr>
        <w:spacing w:after="0" w:line="54" w:lineRule="exact"/>
        <w:rPr>
          <w:sz w:val="20"/>
          <w:szCs w:val="20"/>
          <w:color w:val="auto"/>
        </w:rPr>
      </w:pPr>
    </w:p>
    <w:p>
      <w:pPr>
        <w:jc w:val="both"/>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xml:space="preserve">” means Intellectual Property that is owned by or purported to be owned by the Company or any of its Subsidiaries, including the Intellectual Property listed on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PRSU</w:t>
      </w:r>
      <w:r>
        <w:rPr>
          <w:rFonts w:ascii="Times New Roman" w:cs="Times New Roman" w:eastAsia="Times New Roman" w:hAnsi="Times New Roman"/>
          <w:sz w:val="18"/>
          <w:szCs w:val="18"/>
          <w:color w:val="auto"/>
        </w:rPr>
        <w:t>” means a restricted stock unit award granted under the Equity Plan, the vesting of which is conditioned, in whole or in part, upon the achievement of one or more performance goals or performance metrics.</w:t>
      </w:r>
    </w:p>
    <w:p>
      <w:pPr>
        <w:spacing w:after="0" w:line="68"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award granted under the Equity Plan, the vesting of which is conditioned solely upon the satisfaction of time-based vesting requirements.</w:t>
      </w:r>
    </w:p>
    <w:p>
      <w:pPr>
        <w:spacing w:after="0" w:line="54" w:lineRule="exact"/>
        <w:rPr>
          <w:sz w:val="20"/>
          <w:szCs w:val="20"/>
          <w:color w:val="auto"/>
        </w:rPr>
      </w:pPr>
    </w:p>
    <w:p>
      <w:pPr>
        <w:ind w:left="660" w:right="6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applicable supranational, national, federal, state, provincial or local Law designed or intended to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w:t>
      </w:r>
    </w:p>
    <w:p>
      <w:pPr>
        <w:spacing w:after="0" w:line="75" w:lineRule="exact"/>
        <w:rPr>
          <w:sz w:val="20"/>
          <w:szCs w:val="20"/>
          <w:color w:val="auto"/>
        </w:rPr>
      </w:pPr>
    </w:p>
    <w:p>
      <w:pPr>
        <w:ind w:left="660" w:right="43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notes, bonds, mortgages, indentures, deeds of trust, loans, evidences of indebtedness, letters of credit, settlement agreements, franchise agreements, undertakings, covenants not to compete, employment agreements, licenses, purchase and sale orders and other binding legal commitments to which in each case a Person is a party or to which any of the properties or assets of such Person or its Subsidiaries are subject, in each case with respect to which there are continuing rights, liabilities or obligations, and whether written or oral.</w:t>
      </w:r>
    </w:p>
    <w:p>
      <w:pPr>
        <w:spacing w:after="0" w:line="81"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72" w:lineRule="exact"/>
        <w:rPr>
          <w:sz w:val="20"/>
          <w:szCs w:val="20"/>
          <w:color w:val="auto"/>
        </w:rPr>
      </w:pPr>
    </w:p>
    <w:p>
      <w:pPr>
        <w:ind w:left="6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(i) the Credit Agreement, dated August 1, 2022, by and among Mistras Group, Inc., JPMorgan Chase Bank, N.A., and Bank of America, N.A., as amended by Amendment No. 1 to Credit Agreement, dated as of February 27, 2024 and Amendment No. 2 to Credit Agreement, dated as of August 5, 2026, (ii) Cédula de Crédito Bancário (Bank Credit Note) No. 2023004390, dated September 26, 2023, issued by Mistras South America Ltda in favor of Banco Daycoval S.A. and (iii) BPI France Credit Agreement, Loan No. 08680894, dated as of May 28, 2020.</w:t>
      </w:r>
    </w:p>
    <w:p>
      <w:pPr>
        <w:spacing w:after="0" w:line="79"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means the debt commitment letter, dated as of the date hereof, together with any related fee letter, engagement letter or other agreement, in each case, as amended, modified, supplemented, replaced or extended in accordance with this Agreement, pursuant to which the Financing Sources party thereto have agreed to provide or cause to be provided the debt financing set forth therein for the purposes of financing the Transactions, including the Merger Consideration.</w:t>
      </w:r>
    </w:p>
    <w:p>
      <w:pPr>
        <w:spacing w:after="0" w:line="75"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Fee Letter</w:t>
      </w:r>
      <w:r>
        <w:rPr>
          <w:rFonts w:ascii="Times New Roman" w:cs="Times New Roman" w:eastAsia="Times New Roman" w:hAnsi="Times New Roman"/>
          <w:sz w:val="18"/>
          <w:szCs w:val="18"/>
          <w:color w:val="auto"/>
        </w:rPr>
        <w:t>” means any fee letter executed in connection with the Debt Commitment Letter, as amended, amended and restated, modified, supplemented, replaced or extended from time to time after the date of this Agreement in accordance with this Agreement.</w:t>
      </w:r>
    </w:p>
    <w:p>
      <w:pPr>
        <w:spacing w:after="0" w:line="68"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the debt financing contemplated by the Debt Commitment Letter and the Debt Fee Letter, or any other senior secured term loan debt to be obtained by the Parent for the purpose of financing, in part, the transactions contemplated hereby.</w:t>
      </w:r>
    </w:p>
    <w:p>
      <w:pPr>
        <w:spacing w:after="0" w:line="68"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any Proceeding, investigation, order, demand, allegation, accusation or written notice by any Person or entity alleging actual or potential liability arising out of or relating to any Environmental Laws, Environmental Permits or the presence in, or Release into, the environment of, or exposure to, any Hazardous Materials, but will not include any claims relating to products liability except to the extent relating to exposure to Hazardous Materials.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Laws, and all rules or regulations promulgated thereunder, regulating or relating to Hazardous Materials, pollution, protection or quality of the environment (including ambient air, surface water, ground water, land surface, subsurface strata, wildlife, plants or natural resources or any Release to a sewer system), or the protection of health and safety of persons from exposures to Hazardous Materials.</w:t>
      </w:r>
    </w:p>
    <w:p>
      <w:pPr>
        <w:spacing w:after="0" w:line="75" w:lineRule="exact"/>
        <w:rPr>
          <w:sz w:val="20"/>
          <w:szCs w:val="20"/>
          <w:color w:val="auto"/>
        </w:rPr>
      </w:pPr>
    </w:p>
    <w:p>
      <w:pPr>
        <w:jc w:val="both"/>
        <w:ind w:left="660" w:right="8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license, waiver, variance, exemption or other authorization issued, made or obtained under any applicable Environmental Law.</w:t>
      </w:r>
    </w:p>
    <w:p>
      <w:pPr>
        <w:spacing w:after="0" w:line="68"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 Leases</w:t>
      </w:r>
      <w:r>
        <w:rPr>
          <w:rFonts w:ascii="Times New Roman" w:cs="Times New Roman" w:eastAsia="Times New Roman" w:hAnsi="Times New Roman"/>
          <w:sz w:val="18"/>
          <w:szCs w:val="18"/>
          <w:color w:val="auto"/>
        </w:rPr>
        <w:t>” means any lease agreement or sublease agreement under which the Company or any of its Subsidiaries finances the use or acquisition of machinery, equipment or vehicles.</w:t>
      </w:r>
    </w:p>
    <w:p>
      <w:pPr>
        <w:spacing w:after="0" w:line="54"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means the equity financing commitment letter, dated as of the date hereof, between Parent and the investment funds named therein, naming Company as an express third party beneficiary and pursuant to which such investment funds have committed to invest or cause to be invested in the equity capital of Parent the amounts set forth therein for the purposes of financing the Transactions, including a portion of the Merger Consideration.</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means the equity financing contemplated by the Equity Commitment Letter.</w:t>
      </w:r>
    </w:p>
    <w:p>
      <w:pPr>
        <w:spacing w:after="0" w:line="117" w:lineRule="exact"/>
        <w:rPr>
          <w:sz w:val="20"/>
          <w:szCs w:val="20"/>
          <w:color w:val="auto"/>
        </w:rPr>
      </w:pPr>
    </w:p>
    <w:p>
      <w:pPr>
        <w:ind w:left="660" w:right="539" w:firstLine="36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w:t>
      </w:r>
      <w:r>
        <w:rPr>
          <w:rFonts w:ascii="Times New Roman" w:cs="Times New Roman" w:eastAsia="Times New Roman" w:hAnsi="Times New Roman"/>
          <w:sz w:val="17"/>
          <w:szCs w:val="17"/>
          <w:color w:val="auto"/>
        </w:rPr>
        <w:t>” means (i) any share, capital stock, partnership, limited liability company, member or other equity interest in any Person, (ii) any option, warrant, phantom stock, stock appreciation right, profit participation, right or security (including debt securities) convertible, exchangeable or exercisable into or for any such share, capital stock, partnership, limited liability company, member or similar equity interest and</w:t>
      </w:r>
    </w:p>
    <w:p>
      <w:pPr>
        <w:spacing w:after="0" w:line="3" w:lineRule="exact"/>
        <w:rPr>
          <w:sz w:val="20"/>
          <w:szCs w:val="20"/>
          <w:color w:val="auto"/>
        </w:rPr>
      </w:pPr>
    </w:p>
    <w:p>
      <w:pPr>
        <w:ind w:left="660" w:right="399" w:hanging="8"/>
        <w:spacing w:after="0" w:line="255" w:lineRule="auto"/>
        <w:tabs>
          <w:tab w:leader="none" w:pos="97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or rights that are derivative of, or provide economic benefits based on, directly or indirectly, the value of price of any such share, capital stock, partnership, limited liability company, member or similar equity interest.</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17" w:lineRule="exact"/>
        <w:rPr>
          <w:sz w:val="20"/>
          <w:szCs w:val="20"/>
          <w:color w:val="auto"/>
        </w:rPr>
      </w:pPr>
    </w:p>
    <w:p>
      <w:pPr>
        <w:ind w:left="660" w:right="5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54" w:lineRule="exact"/>
        <w:rPr>
          <w:sz w:val="20"/>
          <w:szCs w:val="20"/>
          <w:color w:val="auto"/>
        </w:rPr>
      </w:pPr>
    </w:p>
    <w:p>
      <w:pPr>
        <w:ind w:left="66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mean those officers considered by the Company to be executive officers within the meaning of Rule 3b-7 under the Exchange Act.</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means the Equity Financing and the Debt Financing.</w:t>
      </w:r>
    </w:p>
    <w:p>
      <w:pPr>
        <w:spacing w:after="0" w:line="117"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Failure Event</w:t>
      </w:r>
      <w:r>
        <w:rPr>
          <w:rFonts w:ascii="Times New Roman" w:cs="Times New Roman" w:eastAsia="Times New Roman" w:hAnsi="Times New Roman"/>
          <w:sz w:val="18"/>
          <w:szCs w:val="18"/>
          <w:color w:val="auto"/>
        </w:rPr>
        <w:t xml:space="preserve">” means all or any portion of the Debt Financing becoming unavailable on the terms and conditions (including the “market flex” provisions of the Debt Fee Letter) in the Debt Commitment Letter; provided, that a Financing Failure Event shall not include any circumstance that is primarily caused by the Company’s breach of its obligations under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660" w:right="3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each lender, arranger, administrative agent, collateral agent, financing source or other entities that have committed to provide or arrange or otherwise entered into agreements in connection with all or any part of the Debt Financing or other financing (other than the Equity Financing) in connection with the Transactions, including the parties to any joinder agreements, indentures or credit agreements entered into pursuant thereto or relating thereto, and their Affiliates and the former, current or future general or limited partners, shareholders, managers, members, directors, officers, employees, attorneys, advisors, agents, accountants and representatives of the foregoing and their respective successors and assigns.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117" w:lineRule="exact"/>
        <w:rPr>
          <w:sz w:val="20"/>
          <w:szCs w:val="20"/>
          <w:color w:val="auto"/>
        </w:rPr>
      </w:pPr>
    </w:p>
    <w:p>
      <w:pPr>
        <w:ind w:left="660" w:right="4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Generative AI Tools</w:t>
      </w:r>
      <w:r>
        <w:rPr>
          <w:rFonts w:ascii="Times New Roman" w:cs="Times New Roman" w:eastAsia="Times New Roman" w:hAnsi="Times New Roman"/>
          <w:sz w:val="18"/>
          <w:szCs w:val="18"/>
          <w:color w:val="auto"/>
        </w:rPr>
        <w:t>” means generative artificial intelligence technology or similar tools capable of automatically producing various types of content (such as source code, text, images, audio, and synthetic data) based on user-supplied prompts.</w:t>
      </w:r>
    </w:p>
    <w:p>
      <w:pPr>
        <w:spacing w:after="0" w:line="68" w:lineRule="exact"/>
        <w:rPr>
          <w:sz w:val="20"/>
          <w:szCs w:val="20"/>
          <w:color w:val="auto"/>
        </w:rPr>
      </w:pPr>
    </w:p>
    <w:p>
      <w:pPr>
        <w:ind w:left="660" w:right="319" w:firstLine="36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 Contract</w:t>
      </w:r>
      <w:r>
        <w:rPr>
          <w:rFonts w:ascii="Times New Roman" w:cs="Times New Roman" w:eastAsia="Times New Roman" w:hAnsi="Times New Roman"/>
          <w:sz w:val="17"/>
          <w:szCs w:val="17"/>
          <w:color w:val="auto"/>
        </w:rPr>
        <w:t>” means any prime contract, subcontract, purchase order, teaming agreement, joint venture agreement, strategic alliance agreement, basic ordering agreement, pricing agreement, letter contract or other similar written arrangement of any kind, between the Company or any of its Subsidiaries, on the one hand, and (i) any Governmental Entity; (ii) any prime contractor or higher tier subcontractor of a Governmental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8"/>
          <w:szCs w:val="18"/>
          <w:color w:val="auto"/>
        </w:rPr>
        <w:t>Entity in its capacity as a prime contractor or higher tier subcontractor; or (iii) any lower tier subcontractor with respect to any Government Contract of a type described in (i) or (ii) above, on the other hand. A task or delivery order under a Government Contract will not constitute a separate Government Contract, for purposes of this definition, but shall be part of the Government Contract to which it relates.</w:t>
      </w:r>
    </w:p>
    <w:p>
      <w:pPr>
        <w:spacing w:after="0" w:line="72" w:lineRule="exact"/>
        <w:rPr>
          <w:sz w:val="20"/>
          <w:szCs w:val="20"/>
          <w:color w:val="auto"/>
        </w:rPr>
      </w:pPr>
    </w:p>
    <w:p>
      <w:pPr>
        <w:ind w:left="660" w:right="6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 Bid</w:t>
      </w:r>
      <w:r>
        <w:rPr>
          <w:rFonts w:ascii="Times New Roman" w:cs="Times New Roman" w:eastAsia="Times New Roman" w:hAnsi="Times New Roman"/>
          <w:sz w:val="18"/>
          <w:szCs w:val="18"/>
          <w:color w:val="auto"/>
        </w:rPr>
        <w:t>” means any active offer, proposal, or quote for goods or services which, if accepted, would result in a Government Contract.</w:t>
      </w:r>
    </w:p>
    <w:p>
      <w:pPr>
        <w:spacing w:after="0" w:line="54" w:lineRule="exact"/>
        <w:rPr>
          <w:sz w:val="20"/>
          <w:szCs w:val="20"/>
          <w:color w:val="auto"/>
        </w:rPr>
      </w:pPr>
    </w:p>
    <w:p>
      <w:pPr>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or employee of any Governmental Entity or instrumentality thereof, or of any public international organization, any political party, or candidate for political office, or any person acting in an official capacity for or on behalf of any such entity or individual.</w:t>
      </w:r>
    </w:p>
    <w:p>
      <w:pPr>
        <w:spacing w:after="0" w:line="68"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national, federal, state, provincial, territorial, county, municipal, local or foreign government, or other political subdivision thereof, any entity exercising executive, legislative, judicial, regulatory, taxing, administrative or prosecutorial functions of or pertaining to government, or any mediator, arbitrator or arbitral body.</w:t>
      </w:r>
    </w:p>
    <w:p>
      <w:pPr>
        <w:spacing w:after="0" w:line="72"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pollutants, chemicals, contaminants, wastes, residual materials, substances, materials or any other toxic, reactive, corrosive, ignitable, otherwise hazardous substance, material or waste, whether solid, liquid or gas, that is subject to regulation, control or remediation, or for which liability or standards of conduct may be imposed, under any Environmental Laws; and (b) any petroleum, petroleum product or byproduct, asbestos, toxic mold, radiation, per- and polyfluoroalkyl substances and polychlorinated biphenyls.</w:t>
      </w:r>
    </w:p>
    <w:p>
      <w:pPr>
        <w:spacing w:after="0" w:line="79"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54" w:lineRule="exact"/>
        <w:rPr>
          <w:sz w:val="20"/>
          <w:szCs w:val="20"/>
          <w:color w:val="auto"/>
        </w:rPr>
      </w:pPr>
    </w:p>
    <w:p>
      <w:pPr>
        <w:ind w:left="660" w:right="3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and without duplication, all liabilities, including all obligations in respect of principal, accrued interest, penalties, fees and premiums, of such Person (a) for borrowed money (including amounts outstanding under overdraft facilities), (b) evidenced by notes, bonds, debentures or other similar Contracts, (c) in respect of “earn-out” obligations and other obligations for the deferred purchase price of property, goods or services (other than trade payables or accruals incurred in the ordinary course of business), (d) for the capitalized liability under all capital or finance leases of such Person (determined in accordance with GAAP), (e) in respect of letters of credit, bankers’ acceptances, surety bonds, performance bonds and other similar instruments, (f) for Contracts relating to interest rate protection, swap agreements and collar agreements, in each case, to the extent payable if such Contracts is terminated at the Closing, (g) in respect of any unfunded liability under any tax-qualified or nonqualified deferred compensation plan, defined benefit pension or similar plan, or any other retiree benefit plan, including any withdrawal liability under any similar plan, (h) in respect of unpaid income Tax liabilities of such Person for any pre-Closing tax period, and (i) in the nature of guarantees of the obligations described in clauses (a) through (h) above of any other Person.</w:t>
      </w:r>
    </w:p>
    <w:p>
      <w:pPr>
        <w:spacing w:after="0" w:line="89" w:lineRule="exact"/>
        <w:rPr>
          <w:sz w:val="20"/>
          <w:szCs w:val="20"/>
          <w:color w:val="auto"/>
        </w:rPr>
      </w:pPr>
    </w:p>
    <w:p>
      <w:pPr>
        <w:ind w:left="660" w:right="319" w:firstLine="36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 Privacy Laws</w:t>
      </w:r>
      <w:r>
        <w:rPr>
          <w:rFonts w:ascii="Times New Roman" w:cs="Times New Roman" w:eastAsia="Times New Roman" w:hAnsi="Times New Roman"/>
          <w:sz w:val="17"/>
          <w:szCs w:val="17"/>
          <w:color w:val="auto"/>
        </w:rPr>
        <w:t xml:space="preserve">” means any Laws or Orders pertaining to privacy, security, security breach notification requirements, data protection or data transfer, including all privacy and security breach disclosure Laws that are applicable to the Company or any of its Subsidiaries including (to the extent applicable to the Company’s or its Subsidiaries’ business) Canada’s Personal Information Protection and Electronic Documents Act, the </w:t>
      </w:r>
      <w:r>
        <w:rPr>
          <w:rFonts w:ascii="Times New Roman" w:cs="Times New Roman" w:eastAsia="Times New Roman" w:hAnsi="Times New Roman"/>
          <w:sz w:val="17"/>
          <w:szCs w:val="17"/>
          <w:i w:val="1"/>
          <w:iCs w:val="1"/>
          <w:color w:val="auto"/>
        </w:rPr>
        <w:t>Personal Information Protection Act</w:t>
      </w:r>
      <w:r>
        <w:rPr>
          <w:rFonts w:ascii="Times New Roman" w:cs="Times New Roman" w:eastAsia="Times New Roman" w:hAnsi="Times New Roman"/>
          <w:sz w:val="17"/>
          <w:szCs w:val="17"/>
          <w:color w:val="auto"/>
        </w:rPr>
        <w:t xml:space="preserve"> (Alberta), the </w:t>
      </w:r>
      <w:r>
        <w:rPr>
          <w:rFonts w:ascii="Times New Roman" w:cs="Times New Roman" w:eastAsia="Times New Roman" w:hAnsi="Times New Roman"/>
          <w:sz w:val="17"/>
          <w:szCs w:val="17"/>
          <w:i w:val="1"/>
          <w:iCs w:val="1"/>
          <w:color w:val="auto"/>
        </w:rPr>
        <w:t>Personal Information Protection Act</w:t>
      </w:r>
      <w:r>
        <w:rPr>
          <w:rFonts w:ascii="Times New Roman" w:cs="Times New Roman" w:eastAsia="Times New Roman" w:hAnsi="Times New Roman"/>
          <w:sz w:val="17"/>
          <w:szCs w:val="17"/>
          <w:color w:val="auto"/>
        </w:rPr>
        <w:t xml:space="preserve"> (British Columbia), the </w:t>
      </w:r>
      <w:r>
        <w:rPr>
          <w:rFonts w:ascii="Times New Roman" w:cs="Times New Roman" w:eastAsia="Times New Roman" w:hAnsi="Times New Roman"/>
          <w:sz w:val="17"/>
          <w:szCs w:val="17"/>
          <w:i w:val="1"/>
          <w:iCs w:val="1"/>
          <w:color w:val="auto"/>
        </w:rPr>
        <w:t>Act respecting the protection of personal information in the private sector</w:t>
      </w:r>
      <w:r>
        <w:rPr>
          <w:rFonts w:ascii="Times New Roman" w:cs="Times New Roman" w:eastAsia="Times New Roman" w:hAnsi="Times New Roman"/>
          <w:sz w:val="17"/>
          <w:szCs w:val="17"/>
          <w:color w:val="auto"/>
        </w:rPr>
        <w:t xml:space="preserve"> (Québec), the </w:t>
      </w:r>
      <w:r>
        <w:rPr>
          <w:rFonts w:ascii="Times New Roman" w:cs="Times New Roman" w:eastAsia="Times New Roman" w:hAnsi="Times New Roman"/>
          <w:sz w:val="17"/>
          <w:szCs w:val="17"/>
          <w:i w:val="1"/>
          <w:iCs w:val="1"/>
          <w:color w:val="auto"/>
        </w:rPr>
        <w:t>Personal Health Information Protection Act</w:t>
      </w:r>
      <w:r>
        <w:rPr>
          <w:rFonts w:ascii="Times New Roman" w:cs="Times New Roman" w:eastAsia="Times New Roman" w:hAnsi="Times New Roman"/>
          <w:sz w:val="17"/>
          <w:szCs w:val="17"/>
          <w:color w:val="auto"/>
        </w:rPr>
        <w:t>, 2004 (Ontario), and any other applicable Canadian provincial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territorial privacy or data protection Law, Regulation (EU) 2016-679 of the European Parliament and of the Council of 27 April 2016 on the protection of natural persons with regard to the processing of personal data and on the free movement of such data, and repealing Directive 95/46/EC (“</w:t>
      </w:r>
      <w:r>
        <w:rPr>
          <w:rFonts w:ascii="Times New Roman" w:cs="Times New Roman" w:eastAsia="Times New Roman" w:hAnsi="Times New Roman"/>
          <w:sz w:val="17"/>
          <w:szCs w:val="17"/>
          <w:u w:val="single" w:color="auto"/>
          <w:color w:val="auto"/>
        </w:rPr>
        <w:t>GDPR</w:t>
      </w:r>
      <w:r>
        <w:rPr>
          <w:rFonts w:ascii="Times New Roman" w:cs="Times New Roman" w:eastAsia="Times New Roman" w:hAnsi="Times New Roman"/>
          <w:sz w:val="17"/>
          <w:szCs w:val="17"/>
          <w:color w:val="auto"/>
        </w:rPr>
        <w:t xml:space="preserve">”), the GDPR as it forms part of the laws of England and Wales, Scotland and Northern Ireland by virtue of section 3 of the European Union (Withdrawal) Act 2018, the UK Data Protection Act 2018, the </w:t>
      </w:r>
      <w:r>
        <w:rPr>
          <w:rFonts w:ascii="Times New Roman" w:cs="Times New Roman" w:eastAsia="Times New Roman" w:hAnsi="Times New Roman"/>
          <w:sz w:val="17"/>
          <w:szCs w:val="17"/>
          <w:u w:val="single" w:color="auto"/>
          <w:color w:val="auto"/>
        </w:rPr>
        <w:t>ePrivacy Directive 2002/58/EC</w:t>
      </w:r>
      <w:r>
        <w:rPr>
          <w:rFonts w:ascii="Times New Roman" w:cs="Times New Roman" w:eastAsia="Times New Roman" w:hAnsi="Times New Roman"/>
          <w:sz w:val="17"/>
          <w:szCs w:val="17"/>
          <w:color w:val="auto"/>
        </w:rPr>
        <w:t xml:space="preserve"> and local implementing legislation, the California Consumer Privacy Act and other U.S. data privacy laws, the Telephone Consumer Protection Act, the Fair Credit Reporting Act, the Fair and Accurate Credit Transaction Act, state data security laws, state unfair or deceptive trade practices laws, state biometric privacy acts, state social security number protection laws, state data breach notification laws, Hong Kong’s Personal Data (Privacy)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79"/>
        <w:spacing w:after="0" w:line="266" w:lineRule="auto"/>
        <w:rPr>
          <w:sz w:val="20"/>
          <w:szCs w:val="20"/>
          <w:color w:val="auto"/>
        </w:rPr>
      </w:pPr>
      <w:r>
        <w:rPr>
          <w:rFonts w:ascii="Times New Roman" w:cs="Times New Roman" w:eastAsia="Times New Roman" w:hAnsi="Times New Roman"/>
          <w:sz w:val="18"/>
          <w:szCs w:val="18"/>
          <w:color w:val="auto"/>
        </w:rPr>
        <w:t>Ordinance, Mexico’s Federal Data Protection Law, the Card Association Rules and any U.S. Laws concerning requirements call or electronic monitoring or recording or any outbound marketing communications (including outbound calling and text messaging, telemarketing, and email marketing).</w:t>
      </w:r>
    </w:p>
    <w:p>
      <w:pPr>
        <w:spacing w:after="0" w:line="68" w:lineRule="exact"/>
        <w:rPr>
          <w:sz w:val="20"/>
          <w:szCs w:val="20"/>
          <w:color w:val="auto"/>
        </w:rPr>
      </w:pPr>
    </w:p>
    <w:p>
      <w:pPr>
        <w:ind w:left="660" w:right="3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and interests in and to all intellectual property rights of every kind and nature however denominated, in any jurisdiction throughout the world, including all: (i) patents and patent applications; (ii) trademarks, service marks, trade dress, logos, slogans, brand names, trade names, registration rights in social media accounts and handles, Internet domain names and corporate names (whether or not registered), and other indicia of origin, all applications and registrations in connection therewith, and all the goodwill associated therewith; (iii) all copyrights (whether or not published), and all applications and registrations in connection therewith, including moral rights; (iv) intellectual property rights in Software Programs or other technology; (v) rights in mask works and industrial designs, and all applications and registrations in connection therewith; (vi) trade secret rights and other intellectual property rights in confidential and proprietary information (including intellectual property rights, if any, in inventions, ideas, research and development information, know-how, formulas, compositions, manufacturing and production processes and techniques, technical data, designs, drawings, specifications, research records, test information, financial, marketing and business data, customer and supplier lists, algorithms and information, pricing and cost information, business and marketing plans and proposals, and databases and compilations of data); and (vii) any registrations, applications or rights arising under Law relating to any of the foregoing.</w:t>
      </w:r>
    </w:p>
    <w:p>
      <w:pPr>
        <w:spacing w:after="0" w:line="88" w:lineRule="exact"/>
        <w:rPr>
          <w:sz w:val="20"/>
          <w:szCs w:val="20"/>
          <w:color w:val="auto"/>
        </w:rPr>
      </w:pPr>
    </w:p>
    <w:p>
      <w:pPr>
        <w:ind w:left="660" w:right="4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xml:space="preserve">” means any applicable: (i) Sanctions; (ii) U.S. export control Laws (including the International Traffic in Arms Regulations (22 CFR §§ 120-130, as amended)), the Export Administration Regulations (15 CFR §§ 730-774, as amended) and any regulation, order, or directive promulgated, issued or enforced pursuant to such Laws; (iii) laws pertaining to imports and customs, including those administered by the Bureau of Customs and Border Protection in the United States Department of Homeland Security (and any successor thereof) and any regulation, order, or directive promulgated, issued or enforced pursuant to such Laws; (iv) the anti-boycott Laws administered by the U.S. Department of Commerce and the U.S. Department of the Treasury; and (v) export, import and customs Laws of other countries in which the Company has conducted or currently conducts business (including the </w:t>
      </w:r>
      <w:r>
        <w:rPr>
          <w:rFonts w:ascii="Times New Roman" w:cs="Times New Roman" w:eastAsia="Times New Roman" w:hAnsi="Times New Roman"/>
          <w:sz w:val="18"/>
          <w:szCs w:val="18"/>
          <w:i w:val="1"/>
          <w:iCs w:val="1"/>
          <w:color w:val="auto"/>
        </w:rPr>
        <w:t>Controlled Goods Regulations</w:t>
      </w:r>
      <w:r>
        <w:rPr>
          <w:rFonts w:ascii="Times New Roman" w:cs="Times New Roman" w:eastAsia="Times New Roman" w:hAnsi="Times New Roman"/>
          <w:sz w:val="18"/>
          <w:szCs w:val="18"/>
          <w:color w:val="auto"/>
        </w:rPr>
        <w:t xml:space="preserve"> (SOR/2001-32, as amended)).</w:t>
      </w:r>
    </w:p>
    <w:p>
      <w:pPr>
        <w:spacing w:after="0" w:line="1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Income Tax Act (Canada).</w:t>
      </w:r>
    </w:p>
    <w:p>
      <w:pPr>
        <w:spacing w:after="0" w:line="117"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(i) when used with respect to the Company, the actual knowledge of the individuals listed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of the Company Disclosure Letter, after reasonable inquiry of such individual’s direct reports who would reasonably be expected to have actual knowledge of the matter at issue; and (ii) when used with respect to Parent or Acquisition Sub, the actual knowledge of the officers and directors of Parent and Acquisition Sub.</w:t>
      </w:r>
    </w:p>
    <w:p>
      <w:pPr>
        <w:spacing w:after="0" w:line="75"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national, provincial, state, territorial, municipal and local laws, statutes, acts, codes, common laws, civil laws, treaties, ordinances, decrees, rules, regulations or Orders of any Governmental Entity, whether foreign, multi-national, or domestic.</w:t>
      </w:r>
    </w:p>
    <w:p>
      <w:pPr>
        <w:spacing w:after="0" w:line="68" w:lineRule="exact"/>
        <w:rPr>
          <w:sz w:val="20"/>
          <w:szCs w:val="20"/>
          <w:color w:val="auto"/>
        </w:rPr>
      </w:pPr>
    </w:p>
    <w:p>
      <w:pPr>
        <w:ind w:left="660" w:right="5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equity interest or asset, any mortgage, deed of trust, lien, license, encumbrance, pledge, charge, security interest, right of first refusal, right of first offer, restriction on transfer, or option in respect of such property, equity interest or asset.</w:t>
      </w:r>
    </w:p>
    <w:p>
      <w:pPr>
        <w:spacing w:after="0" w:line="68" w:lineRule="exact"/>
        <w:rPr>
          <w:sz w:val="20"/>
          <w:szCs w:val="20"/>
          <w:color w:val="auto"/>
        </w:rPr>
      </w:pPr>
    </w:p>
    <w:p>
      <w:pPr>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u w:val="single" w:color="auto"/>
          <w:color w:val="auto"/>
        </w:rPr>
        <w:t>virus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worm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time bomb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key-lock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back door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drop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device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Trojan horse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spyware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adware</w:t>
      </w:r>
      <w:r>
        <w:rPr>
          <w:rFonts w:ascii="Times New Roman" w:cs="Times New Roman" w:eastAsia="Times New Roman" w:hAnsi="Times New Roman"/>
          <w:sz w:val="18"/>
          <w:szCs w:val="18"/>
          <w:color w:val="auto"/>
        </w:rPr>
        <w:t>” (as such terms are commonly understood in the software industry) or malware or any other code designed or intended to have, any of the following functions: disrupting, disabling, harming, encrypting, or otherwise impeding in any manner the operation of, or providing unauthorized access to, data, Software Programs, a computer system or network or other device on which such code is stored or installed.</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117" w:lineRule="exact"/>
        <w:rPr>
          <w:sz w:val="20"/>
          <w:szCs w:val="20"/>
          <w:color w:val="auto"/>
        </w:rPr>
      </w:pPr>
    </w:p>
    <w:p>
      <w:pPr>
        <w:ind w:left="660" w:right="12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ruling, decision, writ, injunction, decree or award of any Governmental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change, event, development, condition, occurrence or effect that prevents or materially impairs or delays the ability of Parent or Acquisition Sub to consummate the Merger and the other Transactions.</w:t>
      </w:r>
    </w:p>
    <w:p>
      <w:pPr>
        <w:spacing w:after="0" w:line="68" w:lineRule="exact"/>
        <w:rPr>
          <w:sz w:val="20"/>
          <w:szCs w:val="20"/>
          <w:color w:val="auto"/>
        </w:rPr>
      </w:pPr>
    </w:p>
    <w:p>
      <w:pPr>
        <w:ind w:left="660" w:right="339" w:firstLine="36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Liens for Taxes not yet due and payable or that are being contested in good faith by appropriate Proceedings and for which adequate reserves have been established in accordance with GAAP, (b) Liens in favor of landlords, vendors, carriers, warehousemen, repairmen, mechanics, workmen, materialmen, construction or similar liens or encumbrances arising by operation of Law in the ordinary course of business for amounts not yet due and payable, (c) non-exclusive licenses of Intellectual Property rights granted by the Company or its Subsidiaries in the ordinary course of business consistent with past practices, (d)</w:t>
      </w:r>
    </w:p>
    <w:p>
      <w:pPr>
        <w:spacing w:after="0" w:line="5" w:lineRule="exact"/>
        <w:rPr>
          <w:sz w:val="20"/>
          <w:szCs w:val="20"/>
          <w:color w:val="auto"/>
        </w:rPr>
      </w:pPr>
    </w:p>
    <w:p>
      <w:pPr>
        <w:ind w:left="660" w:right="319" w:hanging="8"/>
        <w:spacing w:after="0" w:line="252" w:lineRule="auto"/>
        <w:tabs>
          <w:tab w:leader="none" w:pos="87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building, zoning and land use regulations, and (ii) other imperfections or irregularities in title, charges, restrictions and other encumbrances, in each case of this clause (d), that do not materially detract from the use of the Company Real Property to which they relate, and (e) such other Liens which would not, individually or in the aggregate, interfere materially with the ordinary conduct of the business of the Company and its Subsidiaries as currently conducted or materially detract from the use, occupancy, value or marketability of the property affected by such Lien.</w:t>
      </w:r>
    </w:p>
    <w:p>
      <w:pPr>
        <w:spacing w:after="0" w:line="82" w:lineRule="exact"/>
        <w:rPr>
          <w:sz w:val="20"/>
          <w:szCs w:val="20"/>
          <w:color w:val="auto"/>
        </w:rPr>
      </w:pPr>
    </w:p>
    <w:p>
      <w:pPr>
        <w:ind w:left="660" w:right="3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 including a Governmental Entity.</w:t>
      </w:r>
    </w:p>
    <w:p>
      <w:pPr>
        <w:spacing w:after="0" w:line="68" w:lineRule="exact"/>
        <w:rPr>
          <w:sz w:val="20"/>
          <w:szCs w:val="20"/>
          <w:color w:val="auto"/>
        </w:rPr>
      </w:pPr>
    </w:p>
    <w:p>
      <w:pPr>
        <w:ind w:left="660" w:right="4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relating to an identified or identifiable natural individual and any other data and subject to applicable Information Privacy Laws including any data that constitutes personal information, personally-identifiable information, or personal data under Law applicable to the Company or any of its Subsidiaries.</w:t>
      </w:r>
    </w:p>
    <w:p>
      <w:pPr>
        <w:spacing w:after="0" w:line="72" w:lineRule="exact"/>
        <w:rPr>
          <w:sz w:val="20"/>
          <w:szCs w:val="20"/>
          <w:color w:val="auto"/>
        </w:rPr>
      </w:pPr>
    </w:p>
    <w:p>
      <w:pPr>
        <w:jc w:val="both"/>
        <w:ind w:left="660" w:right="65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Proceedings</w:t>
      </w:r>
      <w:r>
        <w:rPr>
          <w:rFonts w:ascii="Times New Roman" w:cs="Times New Roman" w:eastAsia="Times New Roman" w:hAnsi="Times New Roman"/>
          <w:sz w:val="17"/>
          <w:szCs w:val="17"/>
          <w:color w:val="auto"/>
        </w:rPr>
        <w:t>” means all actions, suits, claims, litigation, charges, complaints, examinations, hearings, petitions, suits, arbitrations, audits, investigations, inquiries, mediations or proceedings, in each case, by or before any Governmental Entity, whether civil, criminal, administrative or otherwise, in law or in equity.</w:t>
      </w:r>
    </w:p>
    <w:p>
      <w:pPr>
        <w:spacing w:after="0" w:line="50"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Personal Data or on sets of any data including the creation, collection, use, storage, maintenance, processing, recording, sharing, distribution, transfer, transmission, receipt, import, export, protection, safeguarding, access, disposal or disclosure or other activity regarding data (whether electronically or in any other form or medium) under applicable Information Privacy Laws or applicable Company or Subsidiaries’ privacy policies.</w:t>
      </w:r>
    </w:p>
    <w:p>
      <w:pPr>
        <w:spacing w:after="0" w:line="75" w:lineRule="exact"/>
        <w:rPr>
          <w:sz w:val="20"/>
          <w:szCs w:val="20"/>
          <w:color w:val="auto"/>
        </w:rPr>
      </w:pPr>
    </w:p>
    <w:p>
      <w:pPr>
        <w:ind w:left="66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a proxy statement or similar disclosure document relating to the adoption and approval of this Agreement by the Company’s stockholders.</w:t>
      </w:r>
    </w:p>
    <w:p>
      <w:pPr>
        <w:spacing w:after="0" w:line="54"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when used in the context of Environmental Law, means disposing, discharging, injecting, spilling, leaking, pumping, pouring, leaching, dumping, emitting, escaping, or emptying into the environment, including any soil, sediment, subsurface strata, surface water, groundwater, ambient or indoor air or sewer systems.</w:t>
      </w:r>
    </w:p>
    <w:p>
      <w:pPr>
        <w:spacing w:after="0" w:line="72" w:lineRule="exact"/>
        <w:rPr>
          <w:sz w:val="20"/>
          <w:szCs w:val="20"/>
          <w:color w:val="auto"/>
        </w:rPr>
      </w:pPr>
    </w:p>
    <w:p>
      <w:pPr>
        <w:ind w:left="660" w:right="3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such Person’s directors, officers, employees, accountants, attorneys, consultants, legal counsel, investment bankers, advisors, agents, Financing Sources and other representatives.</w:t>
      </w:r>
    </w:p>
    <w:p>
      <w:pPr>
        <w:spacing w:after="0" w:line="68" w:lineRule="exact"/>
        <w:rPr>
          <w:sz w:val="20"/>
          <w:szCs w:val="20"/>
          <w:color w:val="auto"/>
        </w:rPr>
      </w:pPr>
    </w:p>
    <w:p>
      <w:pPr>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requirements or trade embargoes imposed, administered or enforced from time to time by U.S. Governmental Entities (including, but not limited to, the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State and the U.S. Department of Commerce), the Government of Canada (including Foreign Affairs, Trade and Development Canada and Public Safety Canada) the United Nations Security Council, the European Union, His Majesty’s Treasury or any other relevant Governmental Entity.</w:t>
      </w:r>
    </w:p>
    <w:p>
      <w:pPr>
        <w:spacing w:after="0" w:line="79"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Target</w:t>
      </w:r>
      <w:r>
        <w:rPr>
          <w:rFonts w:ascii="Times New Roman" w:cs="Times New Roman" w:eastAsia="Times New Roman" w:hAnsi="Times New Roman"/>
          <w:sz w:val="18"/>
          <w:szCs w:val="18"/>
          <w:color w:val="auto"/>
        </w:rPr>
        <w:t>” means any Person: (i) that is the subject or target of any Sanctions; (ii) named in any Sanctions-related list maintained by the U.S. Department of State; the U.S. Department of Commerce, including the Bureau of Industry and Security’s Entity List and Denied Persons List; or the U.S. Department of the Treasury, including the OFAC Specially Designated Nationals and Blocked Persons List, the Sectoral Sanctions Identifications List, and the Foreign Sanctions Evaders List; the Government of Canada, including the Consolidated Canadian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56" w:lineRule="auto"/>
        <w:rPr>
          <w:sz w:val="20"/>
          <w:szCs w:val="20"/>
          <w:color w:val="auto"/>
        </w:rPr>
      </w:pPr>
      <w:r>
        <w:rPr>
          <w:rFonts w:ascii="Times New Roman" w:cs="Times New Roman" w:eastAsia="Times New Roman" w:hAnsi="Times New Roman"/>
          <w:sz w:val="18"/>
          <w:szCs w:val="18"/>
          <w:color w:val="auto"/>
        </w:rPr>
        <w:t>Autonomous Sanction List; or any similar list maintained by the United Nations Security Council, the European Union, Her Majesty’s Treasury or any other relevant Governmental Entity; (iii) located, organized or resident in a country, territory or geographical region which is itself the subject or target of any territory-wide Sanctions (including the Crimea region of Ukraine, Cuba, Iran, North Korea, Syria, the so-called Donetsk People’s Republic, and the so-called Luhansk People’s Republic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(iv) owned or controlled by any such Person or Persons described in the foregoing clauses (i)-(iii).</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17"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54"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Breach</w:t>
      </w:r>
      <w:r>
        <w:rPr>
          <w:rFonts w:ascii="Times New Roman" w:cs="Times New Roman" w:eastAsia="Times New Roman" w:hAnsi="Times New Roman"/>
          <w:sz w:val="18"/>
          <w:szCs w:val="18"/>
          <w:color w:val="auto"/>
        </w:rPr>
        <w:t>” means any (i) accidental or unlawful destruction, loss, alteration, unauthorized disclosure of, acquisition of, or access to Personal Data, or confidential or proprietary information processed by the Company or any of its Subsidiaries; (ii) unauthorized or unlawful Processing, sale, or rental of Personal Data or any confidential or proprietary information processed by the Company or any of its Subsidiaries; or</w:t>
      </w:r>
    </w:p>
    <w:p>
      <w:pPr>
        <w:spacing w:after="0" w:line="3" w:lineRule="exact"/>
        <w:rPr>
          <w:sz w:val="20"/>
          <w:szCs w:val="20"/>
          <w:color w:val="auto"/>
        </w:rPr>
      </w:pPr>
    </w:p>
    <w:p>
      <w:pPr>
        <w:ind w:left="660" w:right="659" w:hanging="8"/>
        <w:spacing w:after="0" w:line="255" w:lineRule="auto"/>
        <w:tabs>
          <w:tab w:leader="none" w:pos="97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 or omission that compromises the security, integrity, or confidentiality of Personal Data confidential or proprietary information processed by the Company or any of its Subsidiaries (including any phishing incident or ransomware attack).</w:t>
      </w:r>
    </w:p>
    <w:p>
      <w:pPr>
        <w:spacing w:after="0" w:line="78"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 Programs</w:t>
      </w:r>
      <w:r>
        <w:rPr>
          <w:rFonts w:ascii="Times New Roman" w:cs="Times New Roman" w:eastAsia="Times New Roman" w:hAnsi="Times New Roman"/>
          <w:sz w:val="18"/>
          <w:szCs w:val="18"/>
          <w:color w:val="auto"/>
        </w:rPr>
        <w:t>” means computer programs (whether in source code, object code or other form), including any and all firmware and software implementations of algorithms, models and methodologies, and all documentation, including user manuals and training materials, related to any of the foregoing.</w:t>
      </w:r>
    </w:p>
    <w:p>
      <w:pPr>
        <w:spacing w:after="0" w:line="68"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under Rule 12b-2 promulgated under the Exchange Act.</w:t>
      </w:r>
    </w:p>
    <w:p>
      <w:pPr>
        <w:spacing w:after="0" w:line="80"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means, collectively, “moratorium,” “control share acquisition,” “business combination,” “fair price” or any other form of anti-takeover laws and regulations of any jurisdiction that may be applicable to this Agreement.</w:t>
      </w:r>
    </w:p>
    <w:p>
      <w:pPr>
        <w:spacing w:after="0" w:line="68" w:lineRule="exact"/>
        <w:rPr>
          <w:sz w:val="20"/>
          <w:szCs w:val="20"/>
          <w:color w:val="auto"/>
        </w:rPr>
      </w:pPr>
    </w:p>
    <w:p>
      <w:pPr>
        <w:ind w:left="660" w:right="5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Tax report, return (including information return), claim for refund, election, estimated tax filing or declaration required to be filed or actually filed with a Governmental Entity, including any schedule or attachment thereto, and including any amendments thereof.</w:t>
      </w:r>
    </w:p>
    <w:p>
      <w:pPr>
        <w:spacing w:after="0" w:line="68" w:lineRule="exact"/>
        <w:rPr>
          <w:sz w:val="20"/>
          <w:szCs w:val="20"/>
          <w:color w:val="auto"/>
        </w:rPr>
      </w:pPr>
    </w:p>
    <w:p>
      <w:pPr>
        <w:ind w:left="660" w:right="4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fees, levies, duties, tariffs, imposts, payments in lieu and other charges in the nature of a tax, including income, franchise, windfall or other profits, gross receipts, real property, personal property, escheat or unclaimed property, sales, use, goods and services, net worth, capital stock, business license, occupation, customs duties, alternative or add-on minimum, payroll, employment, social security, workers’ compensation, unemployment compensation, excise, estimated, withholding, ad valorem, stamp, transfer, registration, value-added and gains tax, any requirement to pay or repay any amount to a Governmental Entity in respect of a tax credit, refund, rebate, governmental grant or subsidy, overpayment or similar adjustment of Taxes, and any interest, penalty, fine or additional amounts imposed in respect of any of the foregoing, in each case, whether disputed or not.</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will mean any Person other than Parent, Acquisition Sub and their respective Affiliates.</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regulations promulgated under the Code by the IRS.</w:t>
      </w:r>
    </w:p>
    <w:p>
      <w:pPr>
        <w:spacing w:after="0" w:line="117" w:lineRule="exact"/>
        <w:rPr>
          <w:sz w:val="20"/>
          <w:szCs w:val="20"/>
          <w:color w:val="auto"/>
        </w:rPr>
      </w:pPr>
    </w:p>
    <w:p>
      <w:pPr>
        <w:ind w:left="660" w:right="5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 labor union, works council, labor organization, group of employees or other employee representative body.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660" w:right="1420"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spacing w:after="0" w:line="1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i w:val="1"/>
          <w:iCs w:val="1"/>
          <w:color w:val="auto"/>
        </w:rPr>
        <w:t>Terms Defined Elsewhere</w:t>
      </w:r>
      <w:r>
        <w:rPr>
          <w:rFonts w:ascii="Times New Roman" w:cs="Times New Roman" w:eastAsia="Times New Roman" w:hAnsi="Times New Roman"/>
          <w:sz w:val="18"/>
          <w:szCs w:val="18"/>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“Acquisition Sub”</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“Agreement”</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“Anti-Corruption Laws”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3.11(d)</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“Bankruptcy and Equitable Exception”</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3.3(a)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“Book-Entry Shares”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2.2(b)(ii)</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“Certificate of Merger”</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1.3</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“Certificates”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2.2(b)(i)</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“Change of Board Recommendation”</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5.3(c)</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“Closing”</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1.2</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“Closing Date”</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1.2</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Board”</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Bylaws”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Charter”</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Common Stock”</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Disclosure Letter”</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Article III</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Equity Plans”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2.4(e)</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Expense Reimbursement”</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5.11(c)</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Lease Agreement”</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3.16(a)(v)</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3.14(b)</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3.16(b)</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Stockholder Meeting”</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5.4(a)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Option”</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2.4(a)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3.14(a)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Preferred Stock”</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3.2(a)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PRSU”</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2.4(b)</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Real Property”</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3.14(c)</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Related Parties”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7.3(f)</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Registered Intellectual Property”</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3.17(a)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Representatives”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5.11(a)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RSU”</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2.4(b)</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SEC Documents”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3.5(a)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Termination Fee”</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7.3(a)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“Company Transaction Bonuses”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5.1(o)</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5.2(b)</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“Continuing Employee”</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5.8(a)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“Costs of Collection”</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7.4(d)</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“D&amp;O Insurance”</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5.9(c)</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“DGCL”</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“Dissenting Shares”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2.3(a)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“ECL Claims”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7.5(a)</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“Effect”</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8.4</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“Effective Time”</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1.3</w:t>
            </w:r>
          </w:p>
        </w:tc>
      </w:tr>
      <w:tr>
        <w:trPr>
          <w:trHeight w:val="243"/>
        </w:trPr>
        <w:tc>
          <w:tcPr>
            <w:tcW w:w="4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“Excluded Benefits”</w:t>
            </w:r>
          </w:p>
        </w:tc>
        <w:tc>
          <w:tcPr>
            <w:tcW w:w="61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Section 5.8(a)</w:t>
            </w:r>
          </w:p>
        </w:tc>
      </w:tr>
      <w:tr>
        <w:trPr>
          <w:trHeight w:val="486"/>
        </w:trPr>
        <w:tc>
          <w:tcPr>
            <w:tcW w:w="4900" w:type="dxa"/>
            <w:vAlign w:val="bottom"/>
          </w:tcPr>
          <w:p>
            <w:pPr>
              <w:spacing w:after="0"/>
              <w:rPr>
                <w:sz w:val="24"/>
                <w:szCs w:val="24"/>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A-65</w:t>
            </w:r>
          </w:p>
        </w:tc>
      </w:tr>
      <w:tr>
        <w:trPr>
          <w:trHeight w:val="183"/>
        </w:trPr>
        <w:tc>
          <w:tcPr>
            <w:tcW w:w="490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95" w:name="page196"/>
    <w:bookmarkEnd w:id="19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7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5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Company SEC Documents”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Article III</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Company SEC Financial Statements”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3.5(c)</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“Go-Shop Period”</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5.3(a)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Tangible Property”</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3.21(c)</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5.9(a)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Systems”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3.17(i)</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Government Contract”</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3.21</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Customers”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8"/>
              </w:rPr>
              <w:t>Section 3.16(a)(ii)</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Suppliers”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3.16(a)(i)</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Premium”</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5.9(c)</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2.1(a)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Laundering Laws”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3.9(b)</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“No-Shop Start Date”</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5.3(a)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“Non-U.S. Company Benefit Plan”</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3.11(l)</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Period”</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5.3(f)</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7.1(d)</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Preamble</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Article IV</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Expense Reimbursement”</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7.3(c)</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Liability Limitation”</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7.5(b)</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Plan”</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5.8(c)</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7.4</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Subsidiary”</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4.3(a)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7.4(a)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2.2(a)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5.18</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3.10</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Acquisition”</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5.1(h)</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3.17</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“Proposed Changed Terms”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5.3(f)(ii)</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“Reimbursement Obligations”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5.11(c)</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Date”</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3.2(a)</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Commitment Modification”</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5.10(a)(i)</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“Requisite Stockholder Approval”</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3.3(b)</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Recitals</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“SOX”</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3.5(d)</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5.3(i)(iii)</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1.3</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1.3</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“WARN Act”</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Section 3.12(d)</w:t>
            </w: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Agreement”</w:t>
            </w:r>
          </w:p>
        </w:tc>
        <w:tc>
          <w:tcPr>
            <w:tcW w:w="2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Recitals</w:t>
            </w:r>
          </w:p>
        </w:tc>
      </w:tr>
    </w:tbl>
    <w:p>
      <w:pPr>
        <w:spacing w:after="0" w:line="142" w:lineRule="exact"/>
        <w:rPr>
          <w:sz w:val="20"/>
          <w:szCs w:val="20"/>
          <w:color w:val="auto"/>
        </w:rPr>
      </w:pPr>
    </w:p>
    <w:p>
      <w:pPr>
        <w:ind w:left="300" w:right="399" w:firstLine="360"/>
        <w:spacing w:after="0" w:line="284"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contained in this Agreement are for reference purposes only and will not affect in any way the meaning or interpretation of this Agreement.</w:t>
      </w:r>
    </w:p>
    <w:p>
      <w:pPr>
        <w:spacing w:after="0" w:line="5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is not affected in any manner materially adverse to any party. Upon such determination that any term or other provision (or part thereof) is invalid, illegal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 xml:space="preserve">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are fulfilled to the extent possible. Notwithstanding anything to the contrary,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(Company Termination Fee),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(Parent Termination Fee) or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(Payments; Limitation on Recourse).</w:t>
      </w:r>
    </w:p>
    <w:p>
      <w:pPr>
        <w:spacing w:after="0" w:line="73"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(together with the Exhibits, Parent Disclosure Letter and Company Disclosure Letter, the Guarantee and the other documents delivered pursuant hereto)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 The Company Disclosure Letter constitutes “facts ascertainable” as such term is used in Section 251(b) of the DGCL and does not form part of this Agreement for purposes of the DGCL but instead operates on the terms of this Agreement, as provided herein.</w:t>
      </w:r>
    </w:p>
    <w:p>
      <w:pPr>
        <w:spacing w:after="0" w:line="7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Neither this Agreement nor any of the rights, interests or obligations hereunder will be assigned by any of the parties hereto, in whole or in part (whether by operation of law or otherwise), without the prior written consent of each of the other parties, and any attempt to make any such assignment without such consent will be null and void. Subject to the preceding sentence, this Agreement will be binding upon, inure to the benefit of and be enforceable by the parties and their respective successors and permitted assigns; provided, that Parent may designate another wholly owned direct or indirect Subsidiary to be a constituent corporation in the Merger in lieu of Acquisition Sub, so long as Parent provides the Company with reasonable advance written notice thereof, in which event all references to Acquisition Sub in this Agreement will be deemed references to such other wholly owned Subsidiary of Parent, except that all representations and warranties made in this Agreement with respect to Acquisition Sub as of the date of this Agreement will be deemed representations and warranties made with respect to such other wholly owned Subsidiary; provided further, that Parent or Acquisition Sub may transfer or assign without consent its rights and obligations under this Agreement, in whole or in part from time to time, to (a) any parties providing Debt Financing pursuant to the terms thereof (including for the purposes of creating a security interest herein or otherwise assigning this Agreement as collateral in respect of such Debt Financing) at any time, (b) one or more Affiliates (provided that no such assignment will relieve Parent or Acquisition Sub of any of its obligations hereunder), and (c) after the Effective Time, to any Person.</w:t>
      </w:r>
    </w:p>
    <w:p>
      <w:pPr>
        <w:spacing w:after="0" w:line="87"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i w:val="1"/>
          <w:iCs w:val="1"/>
          <w:color w:val="auto"/>
        </w:rPr>
        <w:t>No Third-Party Beneficiaries</w:t>
      </w:r>
      <w:r>
        <w:rPr>
          <w:rFonts w:ascii="Times New Roman" w:cs="Times New Roman" w:eastAsia="Times New Roman" w:hAnsi="Times New Roman"/>
          <w:sz w:val="18"/>
          <w:szCs w:val="18"/>
          <w:color w:val="auto"/>
        </w:rPr>
        <w:t xml:space="preserve">. This Agreement will be binding upon and inure solely to the benefit of the parties and their respective successors and permitted assigns, and nothing in this Agreement, express or implied, other than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is intended to or will confer upon any other Person any right, benefit or remedy of any nature whatsoever under or by reason of this Agreement; provided, that, notwithstanding anything herein to the contrary, each party agrees that the Financing Sources will be express third party beneficiaries of and have the right to enforce </w:t>
      </w:r>
      <w:r>
        <w:rPr>
          <w:rFonts w:ascii="Times New Roman" w:cs="Times New Roman" w:eastAsia="Times New Roman" w:hAnsi="Times New Roman"/>
          <w:sz w:val="18"/>
          <w:szCs w:val="18"/>
          <w:u w:val="single" w:color="auto"/>
          <w:color w:val="auto"/>
        </w:rPr>
        <w:t>Sections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8.12</w:t>
      </w:r>
      <w:r>
        <w:rPr>
          <w:rFonts w:ascii="Times New Roman" w:cs="Times New Roman" w:eastAsia="Times New Roman" w:hAnsi="Times New Roman"/>
          <w:sz w:val="18"/>
          <w:szCs w:val="18"/>
          <w:color w:val="auto"/>
        </w:rPr>
        <w:t xml:space="preserve">; provided further, that the Parent Related Parties will be express third party beneficiaries of and have the right to enforce </w:t>
      </w:r>
      <w:r>
        <w:rPr>
          <w:rFonts w:ascii="Times New Roman" w:cs="Times New Roman" w:eastAsia="Times New Roman" w:hAnsi="Times New Roman"/>
          <w:sz w:val="18"/>
          <w:szCs w:val="18"/>
          <w:u w:val="single" w:color="auto"/>
          <w:color w:val="auto"/>
        </w:rPr>
        <w:t>Sections 7.4(d)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i w:val="1"/>
          <w:iCs w:val="1"/>
          <w:color w:val="auto"/>
        </w:rPr>
        <w:t>Mutual Drafting; Interpretation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79" w:firstLine="352"/>
        <w:spacing w:after="0" w:line="252" w:lineRule="auto"/>
        <w:tabs>
          <w:tab w:leader="none" w:pos="126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and variations thereof, will not be deemed to be terms of limitation, but rather will be deemed to be followed by the words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As used in this Agreement, references to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are intended to refer to a party to this Agreement or the parties to this Agreement. Except as otherwise indicated, all references in this Agreement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Annexes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are intended to refer to Sections of this Agreement and Exhibits, Annexes and Schedules to this Agreement. All references in this Agreement to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are intended to refer to U.S. dollars. Unless otherwise specifically provided for herein, the term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will not be deemed to be exclusive. References to actions taken in the “</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(or words of similar import) means taken in the ordinary course of business consistent with past practice. Each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8" w:lineRule="auto"/>
        <w:rPr>
          <w:sz w:val="20"/>
          <w:szCs w:val="20"/>
          <w:color w:val="auto"/>
        </w:rPr>
      </w:pPr>
      <w:r>
        <w:rPr>
          <w:rFonts w:ascii="Times New Roman" w:cs="Times New Roman" w:eastAsia="Times New Roman" w:hAnsi="Times New Roman"/>
          <w:sz w:val="18"/>
          <w:szCs w:val="18"/>
          <w:color w:val="auto"/>
        </w:rPr>
        <w:t>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spacing w:after="0" w:line="75" w:lineRule="exact"/>
        <w:rPr>
          <w:sz w:val="20"/>
          <w:szCs w:val="20"/>
          <w:color w:val="auto"/>
        </w:rPr>
      </w:pPr>
    </w:p>
    <w:p>
      <w:pPr>
        <w:ind w:left="660" w:right="319" w:firstLine="352"/>
        <w:spacing w:after="0" w:line="252" w:lineRule="auto"/>
        <w:tabs>
          <w:tab w:leader="none" w:pos="127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assets, liabilities or Persons located in the Province of Québec and for all purposes pursuant to which the interpretation or construction of this Agreement and related documents may be subject to the Laws of the Province of Québec or a Governmental Entity exercising jurisdiction in the Province of Québec, unless the context requires otherwise, each reference to (i) “personal property” shall include “movable property”, (ii) “real property” shall include “immovable property”, (iii) “tangible property” shall include “corporeal property”, (iv) “intangible property” shall include “incorporeal property”, (v) “fee title” shall include “absolute ownership”, (vi) “security interest”, “mortgage” and “lien” shall include a “hypothec”, “right of retention”, “prior claim” and a resolutory clause, (vii) all references to the filing, registering or recording of any Lien or security interest shall include publication under the Civil Code of Québec, (viii) all references to “perfection” of or “perfected” Liens or security interests shall include a reference to an “opposable” or “set up” Lien or security interest as against third parties, (ix) “tort” shall include “delict”, (x) any “right of offset”, “right of setoff”, “setoffs” or similar expression shall include a “right of compensation” or “compensation”, as applicable, (xi) “common law” shall include “civil law”, (xii) an “agent” shall include a “mandatary”, (xiii) “gross negligence” or “willful misconduct” shall be deemed to include “intentional or gross fault”, (xiv) “construction or similar liens” shall include “legal hypothecs”, (xv) “Beneficial ownership” shall include “ownership on behalf of another as mandatary”, and (xvi) “jointly and severally” shall include “solidarily”.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i w:val="1"/>
          <w:iCs w:val="1"/>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319" w:firstLine="352"/>
        <w:spacing w:after="0" w:line="261" w:lineRule="auto"/>
        <w:tabs>
          <w:tab w:leader="none" w:pos="126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71" w:lineRule="exact"/>
        <w:rPr>
          <w:rFonts w:ascii="Times New Roman" w:cs="Times New Roman" w:eastAsia="Times New Roman" w:hAnsi="Times New Roman"/>
          <w:sz w:val="18"/>
          <w:szCs w:val="18"/>
          <w:color w:val="auto"/>
        </w:rPr>
      </w:pPr>
    </w:p>
    <w:p>
      <w:pPr>
        <w:ind w:left="660" w:right="299" w:firstLine="352"/>
        <w:spacing w:after="0" w:line="252" w:lineRule="auto"/>
        <w:tabs>
          <w:tab w:leader="none" w:pos="1275"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irrevocably and unconditionally submits, for itself and its property, to the exclusive jurisdiction of the Court of Chancery of the State of Delaware, or, in the event such court does not have jurisdiction, Federal court of the United States of America, sitting in Delaware, and any appellate court from any thereof, in any Proceeding arising out of or relating to this Agreement or the Transactions, and each of the parties hereby irrevocably and unconditionally (i) agrees not to commence any such Proceeding except in such courts, (ii) agrees that any claim in respect of any such Proceeding may be heard and determined in such Delaware State court or, to the extent permitted by Law, in such Federal court, (iii) waives, to the fullest extent it may legally and effectively do so, any objection which it may now or hereafter have to the laying of venue of any such Proceeding in any such Delaware State or Federal court, and (iv) waives, to the fullest extent permitted by Law, the defense of an inconvenient forum to the maintenance of such Proceeding in any such Delaware State or Federal court. Each of the parties agrees that a final judgment in any such Proceeding will be conclusive and may be enforced in other jurisdictions by suit on the judgment or in any other manner provided by Law.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87" w:lineRule="exact"/>
        <w:rPr>
          <w:rFonts w:ascii="Times New Roman" w:cs="Times New Roman" w:eastAsia="Times New Roman" w:hAnsi="Times New Roman"/>
          <w:sz w:val="18"/>
          <w:szCs w:val="18"/>
          <w:color w:val="auto"/>
        </w:rPr>
      </w:pPr>
    </w:p>
    <w:p>
      <w:pPr>
        <w:ind w:left="660" w:right="439" w:firstLine="352"/>
        <w:spacing w:after="0" w:line="268" w:lineRule="auto"/>
        <w:tabs>
          <w:tab w:leader="none" w:pos="1265"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w:t>
      </w:r>
    </w:p>
    <w:p>
      <w:pPr>
        <w:spacing w:after="0" w:line="2" w:lineRule="exact"/>
        <w:rPr>
          <w:rFonts w:ascii="Times New Roman" w:cs="Times New Roman" w:eastAsia="Times New Roman" w:hAnsi="Times New Roman"/>
          <w:sz w:val="17"/>
          <w:szCs w:val="17"/>
          <w:color w:val="auto"/>
        </w:rPr>
      </w:pPr>
    </w:p>
    <w:p>
      <w:pPr>
        <w:ind w:left="660" w:right="599" w:hanging="8"/>
        <w:spacing w:after="0" w:line="277" w:lineRule="auto"/>
        <w:tabs>
          <w:tab w:leader="none" w:pos="885"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REPRESENTATIVE, AGENT OR ATTORNEY OF ANY OTHER PARTY HAS REPRESENTED, EXPRESSLY OR OTHERWISE, THAT SUCH OTHER PARTY WOULD NOT, IN THE EVENT OF LITIGATION, SEEK TO ENFORCE EITHER OF SUCH WAIVERS, (II) IT UNDERSTANDS AND HAS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89" w:lineRule="auto"/>
        <w:rPr>
          <w:sz w:val="20"/>
          <w:szCs w:val="20"/>
          <w:color w:val="auto"/>
        </w:rPr>
      </w:pPr>
      <w:r>
        <w:rPr>
          <w:rFonts w:ascii="Times New Roman" w:cs="Times New Roman" w:eastAsia="Times New Roman" w:hAnsi="Times New Roman"/>
          <w:sz w:val="17"/>
          <w:szCs w:val="17"/>
          <w:color w:val="auto"/>
        </w:rPr>
        <w:t xml:space="preserve">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8.12(c)</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660" w:right="359" w:firstLine="352"/>
        <w:spacing w:after="0" w:line="268" w:lineRule="auto"/>
        <w:tabs>
          <w:tab w:leader="none" w:pos="1275"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each party agrees (i) that any action of any kind or nature, whether at law or equity, in contract, in tort or otherwise, against a Financing Source in connection with this Agreement, the Debt Commitment Letter, the Debt Financing or the transactions contemplated hereby or thereby will be brought exclusively in the Supreme Court of the State of New York, County of New York, or, if under applicable law exclusive jurisdiction is vested in the federal courts, the United States District Court for the Southern District of New York sitting in New York County (and appellate courts thereof) and each party submits for itself and its property with respect to any such action to the exclusive jurisdiction of such courts,</w:t>
      </w:r>
    </w:p>
    <w:p>
      <w:pPr>
        <w:spacing w:after="0" w:line="2" w:lineRule="exact"/>
        <w:rPr>
          <w:rFonts w:ascii="Times New Roman" w:cs="Times New Roman" w:eastAsia="Times New Roman" w:hAnsi="Times New Roman"/>
          <w:sz w:val="17"/>
          <w:szCs w:val="17"/>
          <w:color w:val="auto"/>
        </w:rPr>
      </w:pPr>
    </w:p>
    <w:p>
      <w:pPr>
        <w:ind w:left="660" w:right="399" w:hanging="8"/>
        <w:spacing w:after="0" w:line="251" w:lineRule="auto"/>
        <w:tabs>
          <w:tab w:leader="none" w:pos="92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service of process, summons, notice or document by registered mail addressed to it at its address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will be effective service of process against it for any such action brought in any such court, (iii) to waive and hereby irrevocably waives, to the fullest extent permitted by Law, any objection which it may now or hereafter have to the laying of venue of, and the defense of an inconvenient forum to the maintenance of, any such Proceeding in any such court, (iv) that a final judgment in any such Proceeding will be conclusive and may be enforced in other jurisdictions by suit on the judgment or in any other manner provided by Law, (v) that the Laws of the State of New York will govern any such Proceeding and (vi) to irrevocably waive and hereby waives any right to a trial by jury in any such action to the same extent such rights are waived pursuant to </w:t>
      </w:r>
      <w:r>
        <w:rPr>
          <w:rFonts w:ascii="Times New Roman" w:cs="Times New Roman" w:eastAsia="Times New Roman" w:hAnsi="Times New Roman"/>
          <w:sz w:val="18"/>
          <w:szCs w:val="18"/>
          <w:u w:val="single" w:color="auto"/>
          <w:color w:val="auto"/>
        </w:rPr>
        <w:t>Section 8.12(c)</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 xml:space="preserve">8.13. </w:t>
      </w: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signed in any number of counterparts, including by facsimile or other electronic transmission each of which will be an original, with the same effect as if the signatures thereto and hereto were upon the same instrument. This Agreement will become effective when each party hereto will have received a counterpart hereof signed by all of the other parties hereto. Until and unless each party has received a counterpart hereof signed by the other party hereto, this Agreement will have no effect and no party will have any right or obligation hereunder (whether by virtue of any other oral or written agreement or other communication). The exchange of a fully executed Agreement (in counterparts or otherwise) by electronic transmission in .PDF format or by facsimile will be sufficient to bind the parties to the terms and conditions of this Agreement.</w:t>
      </w:r>
    </w:p>
    <w:p>
      <w:pPr>
        <w:spacing w:after="0" w:line="64"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7"/>
          <w:szCs w:val="17"/>
          <w:color w:val="auto"/>
        </w:rPr>
        <w:t xml:space="preserve">8.14. </w:t>
      </w:r>
      <w:r>
        <w:rPr>
          <w:rFonts w:ascii="Times New Roman" w:cs="Times New Roman" w:eastAsia="Times New Roman" w:hAnsi="Times New Roman"/>
          <w:sz w:val="17"/>
          <w:szCs w:val="17"/>
          <w:i w:val="1"/>
          <w:iCs w:val="1"/>
          <w:color w:val="auto"/>
        </w:rPr>
        <w:t>Specific Performance</w:t>
      </w:r>
      <w:r>
        <w:rPr>
          <w:rFonts w:ascii="Times New Roman" w:cs="Times New Roman" w:eastAsia="Times New Roman" w:hAnsi="Times New Roman"/>
          <w:sz w:val="17"/>
          <w:szCs w:val="17"/>
          <w:color w:val="auto"/>
        </w:rPr>
        <w:t xml:space="preserve">. The parties agree that irreparable damage would occur in the event that any of the provisions of this Agreement were not performed in accordance with their specific terms or were otherwise breached. Accordingly, subject to </w:t>
      </w:r>
      <w:r>
        <w:rPr>
          <w:rFonts w:ascii="Times New Roman" w:cs="Times New Roman" w:eastAsia="Times New Roman" w:hAnsi="Times New Roman"/>
          <w:sz w:val="17"/>
          <w:szCs w:val="17"/>
          <w:u w:val="single" w:color="auto"/>
          <w:color w:val="auto"/>
        </w:rPr>
        <w:t>Section 7.3(f)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7.4(e)</w:t>
      </w:r>
      <w:r>
        <w:rPr>
          <w:rFonts w:ascii="Times New Roman" w:cs="Times New Roman" w:eastAsia="Times New Roman" w:hAnsi="Times New Roman"/>
          <w:sz w:val="17"/>
          <w:szCs w:val="17"/>
          <w:color w:val="auto"/>
        </w:rPr>
        <w:t xml:space="preserve"> and the following proviso,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The Company’s or Parent’s pursuit of specific performance at any time will not be deemed an election of remedies or waiver of the right to pursue any other right or remedy to which such party may be entitled;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the Company be entitled to both the receipt of the Parent Termination Fee and specific performance to cause the Equity Financing to be funded or to consummate the Closing or Merger. Notwithstanding anything to the contrary contained in this Agreement, the parties agree that, prior to the valid termination of this Agreement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the Company shall be entitled to injunctive relief, specific performance or other equitable relief to enforce specifically the obligations of Parent and Acquisition Sub to consummate the Closing and to cause Parent and Acquisition Sub enforce their right to cause the parties named in the Equity Commitment Letter to fund the Equity Financing in accordance with the Equity Commitment Letter if (and only if) (i) all of the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have been satisfied or waived (other than those conditions which by their terms or nature are to be satisfied by performance at the Closing so long as such conditions will be satisfied at Closing) and remain satisfied throughout the three (3)-Business Day period set forth in clause (v) below, (ii) the proceeds of the Debt Financing have been funded or will be funded at the Closing on the terms set forth in the Debt Commitment Letter if the Equity Financing is funded and the Closing will occur substantially concurrently with the Debt Financing being funded, (iii) Parent has failed to consummate the Merger on the date the Closing was required to have occurred pursuant to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(iv) following such failure by Parent to consummate the Merger, the Company has confirmed to Parent in writing (and not revoked such confirmation) that (A) all of the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have been satisfied (other than those conditions which by their terms or nature are to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satisfied by performance at the Closing so long as such conditions will be satisfied at Closing) and (B) the Company is (and remains through the three (3)-Business Day period set forth in clause (v) below) ready, willing and able to consummate the Merger and (v) Parent fails to consummate the Merger within three (3) Business Days following the date of delivery of such written confirmation.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859" w:firstLine="360"/>
        <w:spacing w:after="0" w:line="312" w:lineRule="auto"/>
        <w:rPr>
          <w:sz w:val="20"/>
          <w:szCs w:val="20"/>
          <w:color w:val="auto"/>
        </w:rPr>
      </w:pPr>
      <w:r>
        <w:rPr>
          <w:rFonts w:ascii="Times New Roman" w:cs="Times New Roman" w:eastAsia="Times New Roman" w:hAnsi="Times New Roman"/>
          <w:sz w:val="17"/>
          <w:szCs w:val="17"/>
          <w:color w:val="auto"/>
        </w:rPr>
        <w:t>IN WITNESS WHEREOF, Parent, Acquisition Sub and the Company have caused this Agreement to be executed as of the date first written above by their respective officers or managers thereunto duly authorized.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ATHENA PURCHASER, LLC</w:t>
      </w:r>
    </w:p>
    <w:p>
      <w:pPr>
        <w:spacing w:after="0" w:line="279"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/s/ Matt Gullen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18002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Name:</w:t>
        <w:tab/>
        <w:t>Matt Gullen</w:t>
      </w:r>
    </w:p>
    <w:p>
      <w:pPr>
        <w:spacing w:after="0" w:line="36"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Treasurer</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Sub</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ATHENA MERGER SUB, INC.</w:t>
      </w:r>
    </w:p>
    <w:p>
      <w:pPr>
        <w:spacing w:after="0" w:line="279"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/s/ Matt Gullen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18002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Name:</w:t>
        <w:tab/>
        <w:t>Matt Gullen</w:t>
      </w:r>
    </w:p>
    <w:p>
      <w:pPr>
        <w:spacing w:after="0" w:line="36"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Treasurer</w:t>
      </w:r>
    </w:p>
    <w:p>
      <w:pPr>
        <w:spacing w:after="0" w:line="1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859" w:firstLine="360"/>
        <w:spacing w:after="0" w:line="312" w:lineRule="auto"/>
        <w:rPr>
          <w:sz w:val="20"/>
          <w:szCs w:val="20"/>
          <w:color w:val="auto"/>
        </w:rPr>
      </w:pPr>
      <w:r>
        <w:rPr>
          <w:rFonts w:ascii="Times New Roman" w:cs="Times New Roman" w:eastAsia="Times New Roman" w:hAnsi="Times New Roman"/>
          <w:sz w:val="17"/>
          <w:szCs w:val="17"/>
          <w:color w:val="auto"/>
        </w:rPr>
        <w:t>IN WITNESS WHEREOF, Parent, Acquisition Sub and the Company have caused this Agreement to be executed as of the date first written above by their respective officers or managers thereunto duly authorized.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79"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/s/ Manuel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1800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Name:</w:t>
        <w:tab/>
        <w:t>Manuel Stamatakis</w:t>
      </w:r>
    </w:p>
    <w:p>
      <w:pPr>
        <w:spacing w:after="0" w:line="36" w:lineRule="exact"/>
        <w:rPr>
          <w:sz w:val="20"/>
          <w:szCs w:val="20"/>
          <w:color w:val="auto"/>
        </w:rPr>
      </w:pPr>
    </w:p>
    <w:p>
      <w:pPr>
        <w:ind w:left="76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Chairman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color w:val="auto"/>
        </w:rPr>
        <w:t>(See attached.)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17, 2026, is entered into by and between Athena Purchaser,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[Name]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(i) Mistras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Parent, and (iii) Athena Merger Sub, Inc., a Delaware corporation and wholly owned subsidiary of Parent (“</w:t>
      </w:r>
      <w:r>
        <w:rPr>
          <w:rFonts w:ascii="Times New Roman" w:cs="Times New Roman" w:eastAsia="Times New Roman" w:hAnsi="Times New Roman"/>
          <w:sz w:val="18"/>
          <w:szCs w:val="18"/>
          <w:u w:val="single" w:color="auto"/>
          <w:color w:val="auto"/>
        </w:rPr>
        <w:t>Acquisition Sub</w:t>
      </w:r>
      <w:r>
        <w:rPr>
          <w:rFonts w:ascii="Times New Roman" w:cs="Times New Roman" w:eastAsia="Times New Roman" w:hAnsi="Times New Roman"/>
          <w:sz w:val="18"/>
          <w:szCs w:val="18"/>
          <w:color w:val="auto"/>
        </w:rPr>
        <w:t>”), are entering into an Agreement and Plan of Merger (as may be amended, restated, amended and restated, waived or otherwise modified from time to time in accordance with the terms hereof and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the merger of Acquisition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 “beneficial owner” (within the meaning of Rule 13d-3 under the Exchange Act) of the number of shares of common stock, par value $0.01 per share, of the Company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set forth opposite such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w:t>
      </w:r>
    </w:p>
    <w:p>
      <w:pPr>
        <w:spacing w:after="0" w:line="75"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WHEREAS, as a condition to the willingness of Parent to enter into the Merger Agreement and as an inducement and in consideration therefor, Parent has required that the Stockholder agree, and the Stockholder has agreed, to enter into this Agreement.</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herein contained, and intending to be legally bound hereby, the Stockholder and Parent hereby agree as follows:</w:t>
      </w:r>
    </w:p>
    <w:p>
      <w:pPr>
        <w:spacing w:after="0" w:line="68" w:lineRule="exact"/>
        <w:rPr>
          <w:sz w:val="20"/>
          <w:szCs w:val="20"/>
          <w:color w:val="auto"/>
        </w:rPr>
      </w:pPr>
    </w:p>
    <w:p>
      <w:pPr>
        <w:ind w:left="300" w:right="359" w:firstLine="352"/>
        <w:spacing w:after="0" w:line="251" w:lineRule="auto"/>
        <w:tabs>
          <w:tab w:leader="none" w:pos="8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 Beginning on the date hereof until the Termination Date (as defined below), at every meeting of the stockholders of the 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 (or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transactions contemplated by the Merger Agreement (clauses (a) and (b), collectively, the “</w:t>
      </w:r>
      <w:r>
        <w:rPr>
          <w:rFonts w:ascii="Times New Roman" w:cs="Times New Roman" w:eastAsia="Times New Roman" w:hAnsi="Times New Roman"/>
          <w:sz w:val="18"/>
          <w:szCs w:val="18"/>
          <w:u w:val="single" w:color="auto"/>
          <w:color w:val="auto"/>
        </w:rPr>
        <w:t>Supported Matters</w:t>
      </w:r>
      <w:r>
        <w:rPr>
          <w:rFonts w:ascii="Times New Roman" w:cs="Times New Roman" w:eastAsia="Times New Roman" w:hAnsi="Times New Roman"/>
          <w:sz w:val="18"/>
          <w:szCs w:val="18"/>
          <w:color w:val="auto"/>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nothing in this Agreement shall limit or restrict the Stockholder from taking, or refraining from taking, any action in his or her capacity as a director or officer (as applicable) of the Company or any of the Company’s Subsidiaries, including complying with his or her fiduciary obligations, and any such action taken, or any such inaction, in each case, in any such capacity as a director or officer, shall not constitute a breach of this Agreement.</w:t>
      </w:r>
    </w:p>
    <w:p>
      <w:pPr>
        <w:spacing w:after="0" w:line="87" w:lineRule="exact"/>
        <w:rPr>
          <w:sz w:val="20"/>
          <w:szCs w:val="20"/>
          <w:color w:val="auto"/>
        </w:rPr>
      </w:pPr>
    </w:p>
    <w:p>
      <w:pPr>
        <w:jc w:val="both"/>
        <w:ind w:left="300" w:right="579" w:firstLine="352"/>
        <w:spacing w:after="0" w:line="276" w:lineRule="auto"/>
        <w:tabs>
          <w:tab w:leader="none" w:pos="840"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and without further action upon the earliest to occur of: (a) the valid termination of the Merger Agreement in accordance with its terms; (b) the Effective Time;</w:t>
      </w:r>
    </w:p>
    <w:p>
      <w:pPr>
        <w:ind w:left="300" w:right="359" w:hanging="8"/>
        <w:spacing w:after="0" w:line="251" w:lineRule="auto"/>
        <w:tabs>
          <w:tab w:leader="none" w:pos="54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shall survive the termination of this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spacing w:after="0" w:line="123"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 of the Stockholder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w:t>
      </w:r>
    </w:p>
    <w:p>
      <w:pPr>
        <w:spacing w:after="0" w:line="10" w:lineRule="exact"/>
        <w:rPr>
          <w:sz w:val="20"/>
          <w:szCs w:val="20"/>
          <w:color w:val="auto"/>
        </w:rPr>
      </w:pPr>
    </w:p>
    <w:p>
      <w:pPr>
        <w:ind w:left="660" w:right="299"/>
        <w:spacing w:after="0" w:line="290" w:lineRule="auto"/>
        <w:rPr>
          <w:sz w:val="20"/>
          <w:szCs w:val="20"/>
          <w:color w:val="auto"/>
        </w:rPr>
      </w:pPr>
      <w:r>
        <w:rPr>
          <w:rFonts w:ascii="Times New Roman" w:cs="Times New Roman" w:eastAsia="Times New Roman" w:hAnsi="Times New Roman"/>
          <w:sz w:val="17"/>
          <w:szCs w:val="17"/>
          <w:color w:val="auto"/>
        </w:rPr>
        <w:t>(as defined under Section 13(d) of the Exchange Act) with respect to any securities of the Company for the purpose of opposing or competing with or taking any actions inconsistent with the transactions contemplated by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right="439"/>
        <w:spacing w:after="0" w:line="252" w:lineRule="auto"/>
        <w:rPr>
          <w:sz w:val="20"/>
          <w:szCs w:val="20"/>
          <w:color w:val="auto"/>
        </w:rPr>
      </w:pPr>
      <w:r>
        <w:rPr>
          <w:rFonts w:ascii="Times New Roman" w:cs="Times New Roman" w:eastAsia="Times New Roman" w:hAnsi="Times New Roman"/>
          <w:sz w:val="18"/>
          <w:szCs w:val="18"/>
          <w:color w:val="auto"/>
        </w:rPr>
        <w:t xml:space="preserve">the Merger Agreement. Any Transfer in violation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For the purpose hereof,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any Transfer of Covered Shares (A) by gift to a member of the individual’s immediate family or to a trust, the beneficiary of which is a member of the individual’s immediate family;</w:t>
      </w:r>
    </w:p>
    <w:p>
      <w:pPr>
        <w:spacing w:after="0" w:line="4" w:lineRule="exact"/>
        <w:rPr>
          <w:sz w:val="20"/>
          <w:szCs w:val="20"/>
          <w:color w:val="auto"/>
        </w:rPr>
      </w:pPr>
    </w:p>
    <w:p>
      <w:pPr>
        <w:ind w:left="660" w:right="319" w:hanging="8"/>
        <w:spacing w:after="0" w:line="251" w:lineRule="auto"/>
        <w:tabs>
          <w:tab w:leader="none" w:pos="94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w:t>
      </w:r>
    </w:p>
    <w:p>
      <w:pPr>
        <w:spacing w:after="0" w:line="85"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w:t>
      </w:r>
    </w:p>
    <w:p>
      <w:pPr>
        <w:spacing w:after="0" w:line="97" w:lineRule="exact"/>
        <w:rPr>
          <w:sz w:val="20"/>
          <w:szCs w:val="20"/>
          <w:color w:val="auto"/>
        </w:rPr>
      </w:pPr>
    </w:p>
    <w:p>
      <w:pPr>
        <w:ind w:left="660" w:right="319" w:firstLine="360"/>
        <w:spacing w:after="0" w:line="272"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the Stockholder,</w:t>
      </w:r>
    </w:p>
    <w:p>
      <w:pPr>
        <w:spacing w:after="0" w:line="2" w:lineRule="exact"/>
        <w:rPr>
          <w:sz w:val="20"/>
          <w:szCs w:val="20"/>
          <w:color w:val="auto"/>
        </w:rPr>
      </w:pPr>
    </w:p>
    <w:p>
      <w:pPr>
        <w:ind w:left="660" w:right="339" w:hanging="8"/>
        <w:spacing w:after="0" w:line="271" w:lineRule="auto"/>
        <w:tabs>
          <w:tab w:leader="none" w:pos="915"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the Stockholder may during the Go-Shop Period participate in discussions or negotiations with any Person that has submitted to the Company an Acquisition Proposal solely for purposes of entering into a voting agreement on substantially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89" w:lineRule="auto"/>
        <w:rPr>
          <w:sz w:val="20"/>
          <w:szCs w:val="20"/>
          <w:color w:val="auto"/>
        </w:rPr>
      </w:pPr>
      <w:r>
        <w:rPr>
          <w:rFonts w:ascii="Times New Roman" w:cs="Times New Roman" w:eastAsia="Times New Roman" w:hAnsi="Times New Roman"/>
          <w:sz w:val="17"/>
          <w:szCs w:val="17"/>
          <w:color w:val="auto"/>
        </w:rPr>
        <w:t>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w:t>
      </w:r>
    </w:p>
    <w:p>
      <w:pPr>
        <w:spacing w:after="0" w:line="50"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Proxy Statement; Schedule 13G and 13D</w:t>
      </w:r>
      <w:r>
        <w:rPr>
          <w:rFonts w:ascii="Times New Roman" w:cs="Times New Roman" w:eastAsia="Times New Roman" w:hAnsi="Times New Roman"/>
          <w:sz w:val="18"/>
          <w:szCs w:val="18"/>
          <w:color w:val="auto"/>
        </w:rPr>
        <w:t>.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If applicable and to the extent required under applicable Law, the Stockholder shall promptly and in accordance with applicable Law amend its Schedule 13G or Schedule 13D filed with the SEC to disclose this Agreement and the Stockholder shall provide a draft of such amendment to Parent and Acquisition Sub and consider any reasonable comments in good faith prior to such filing.</w:t>
      </w:r>
    </w:p>
    <w:p>
      <w:pPr>
        <w:spacing w:after="0" w:line="86" w:lineRule="exact"/>
        <w:rPr>
          <w:sz w:val="20"/>
          <w:szCs w:val="20"/>
          <w:color w:val="auto"/>
        </w:rPr>
      </w:pPr>
    </w:p>
    <w:p>
      <w:pPr>
        <w:ind w:left="300" w:right="799" w:firstLine="352"/>
        <w:spacing w:after="0" w:line="282" w:lineRule="auto"/>
        <w:tabs>
          <w:tab w:leader="none" w:pos="8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The Stockholder hereby represents and warrants to Parent as follows:</w:t>
      </w:r>
    </w:p>
    <w:p>
      <w:pPr>
        <w:spacing w:after="0" w:line="54" w:lineRule="exact"/>
        <w:rPr>
          <w:sz w:val="20"/>
          <w:szCs w:val="20"/>
          <w:color w:val="auto"/>
        </w:rPr>
      </w:pPr>
    </w:p>
    <w:p>
      <w:pPr>
        <w:ind w:left="6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Stockholder is a natural Person and has the legal capacity to execute and deliver this Agreement, to execute, deliver, comply with and perform his or her obligations under this Agreement in accordance with the terms hereof and to consummate the transactions contemplated hereby. This Agreement has been duly executed and delivered by the Stockholder and, assuming the due execution and delivery of this Agreement all of the other parties hereto, constitutes a legal, valid and binding agreement of the Stockholder enforceable against the Stockholder in accordance with its terms, except as such enforceability may be limited by the Bankruptcy and Equitable Exception.</w:t>
      </w:r>
    </w:p>
    <w:p>
      <w:pPr>
        <w:spacing w:after="0" w:line="81" w:lineRule="exact"/>
        <w:rPr>
          <w:sz w:val="20"/>
          <w:szCs w:val="20"/>
          <w:color w:val="auto"/>
        </w:rPr>
      </w:pPr>
    </w:p>
    <w:p>
      <w:pPr>
        <w:ind w:left="660" w:right="499" w:firstLine="360"/>
        <w:spacing w:after="0" w:line="276"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The execution and delivery of, compliance with and performance by the Stockholder of this Agreement do not and will not (a) conflict with or result in a violation or breach of any applicable Law,</w:t>
      </w:r>
    </w:p>
    <w:p>
      <w:pPr>
        <w:spacing w:after="0" w:line="1" w:lineRule="exact"/>
        <w:rPr>
          <w:sz w:val="20"/>
          <w:szCs w:val="20"/>
          <w:color w:val="auto"/>
        </w:rPr>
      </w:pPr>
    </w:p>
    <w:p>
      <w:pPr>
        <w:ind w:left="660" w:right="399" w:hanging="8"/>
        <w:spacing w:after="0" w:line="251" w:lineRule="auto"/>
        <w:tabs>
          <w:tab w:leader="none" w:pos="91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his or her properties, rights or other assets are subject or (c) result in the creation of a Lien (other than Permitted Liens) on any of the properties or assets (including intangible assets) of the Stockholder, except in the case of the foregoing clauses (a), (b) and (c), any such violation, breach, conflict, default, termination, acceleration, cancellation or loss that would not, individually or in the aggregate, reasonably be expected to restrict, prohibit or impair the consummation of the Merger or the performance by the Stockholder of his or her obligations under this Agreement.</w:t>
      </w:r>
    </w:p>
    <w:p>
      <w:pPr>
        <w:spacing w:after="0" w:line="85" w:lineRule="exact"/>
        <w:rPr>
          <w:sz w:val="20"/>
          <w:szCs w:val="20"/>
          <w:color w:val="auto"/>
        </w:rPr>
      </w:pPr>
    </w:p>
    <w:p>
      <w:pPr>
        <w:ind w:left="6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w:t>
      </w:r>
    </w:p>
    <w:p>
      <w:pPr>
        <w:spacing w:after="0" w:line="81" w:lineRule="exact"/>
        <w:rPr>
          <w:sz w:val="20"/>
          <w:szCs w:val="20"/>
          <w:color w:val="auto"/>
        </w:rPr>
      </w:pPr>
    </w:p>
    <w:p>
      <w:pPr>
        <w:ind w:left="660" w:right="339" w:firstLine="360"/>
        <w:spacing w:after="0" w:line="271"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Ownership of the Owned Shares</w:t>
      </w:r>
      <w:r>
        <w:rPr>
          <w:rFonts w:ascii="Times New Roman" w:cs="Times New Roman" w:eastAsia="Times New Roman" w:hAnsi="Times New Roman"/>
          <w:sz w:val="17"/>
          <w:szCs w:val="17"/>
          <w:color w:val="auto"/>
        </w:rPr>
        <w:t>. The Stockholder is, as of the date hereof, the record and beneficial owner of the Owned Shares, all of which are free and clear of any Liens, other than those created by this 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w:t>
      </w:r>
    </w:p>
    <w:p>
      <w:pPr>
        <w:spacing w:after="0" w:line="126" w:lineRule="exact"/>
        <w:rPr>
          <w:sz w:val="20"/>
          <w:szCs w:val="20"/>
          <w:color w:val="auto"/>
        </w:rPr>
      </w:pPr>
    </w:p>
    <w:p>
      <w:pPr>
        <w:ind w:left="300" w:right="819" w:firstLine="352"/>
        <w:spacing w:after="0" w:line="282" w:lineRule="auto"/>
        <w:tabs>
          <w:tab w:leader="none" w:pos="8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hereby represents and warrants to the Stockholder as follows:</w:t>
      </w:r>
    </w:p>
    <w:p>
      <w:pPr>
        <w:spacing w:after="0" w:line="54"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w:t>
      </w:r>
    </w:p>
    <w:p>
      <w:pPr>
        <w:spacing w:after="0" w:line="80"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w:t>
      </w:r>
    </w:p>
    <w:p>
      <w:pPr>
        <w:spacing w:after="0" w:line="1" w:lineRule="exact"/>
        <w:rPr>
          <w:sz w:val="20"/>
          <w:szCs w:val="20"/>
          <w:color w:val="auto"/>
        </w:rPr>
      </w:pPr>
    </w:p>
    <w:p>
      <w:pPr>
        <w:ind w:left="660" w:right="299" w:hanging="8"/>
        <w:spacing w:after="0" w:line="251" w:lineRule="auto"/>
        <w:tabs>
          <w:tab w:leader="none" w:pos="90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w:t>
      </w:r>
    </w:p>
    <w:p>
      <w:pPr>
        <w:spacing w:after="0" w:line="86" w:lineRule="exact"/>
        <w:rPr>
          <w:sz w:val="20"/>
          <w:szCs w:val="20"/>
          <w:color w:val="auto"/>
        </w:rPr>
      </w:pPr>
    </w:p>
    <w:p>
      <w:pPr>
        <w:ind w:left="300" w:right="319" w:firstLine="352"/>
        <w:spacing w:after="0" w:line="253" w:lineRule="auto"/>
        <w:tabs>
          <w:tab w:leader="none" w:pos="8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 of Representations and Warranties; Non-Reliance</w:t>
      </w:r>
      <w:r>
        <w:rPr>
          <w:rFonts w:ascii="Times New Roman" w:cs="Times New Roman" w:eastAsia="Times New Roman" w:hAnsi="Times New Roman"/>
          <w:sz w:val="18"/>
          <w:szCs w:val="18"/>
          <w:color w:val="auto"/>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Date.</w:t>
      </w:r>
    </w:p>
    <w:p>
      <w:pPr>
        <w:spacing w:after="0" w:line="108"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and Dissenter Rights and Certain Other Actions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7.1 The Stockholder hereby irrevocably and unconditionally waives, to the fullest extent of the Law, and agrees to cause to be waived and not to assert any appraisal rights, any dissenter’s rights and any similar rights under Section 262 of the DGCL with respect to all of the Owned Shares with respect to the Merger and the transactions contemplated by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waiver shall automatically terminate and be of no further force or effect upon the valid termination of the Merger Agreement in accordance with its terms.</w:t>
      </w:r>
    </w:p>
    <w:p>
      <w:pPr>
        <w:spacing w:after="0" w:line="79" w:lineRule="exact"/>
        <w:rPr>
          <w:sz w:val="20"/>
          <w:szCs w:val="20"/>
          <w:color w:val="auto"/>
        </w:rPr>
      </w:pPr>
    </w:p>
    <w:p>
      <w:pPr>
        <w:ind w:left="660" w:right="379" w:firstLine="360"/>
        <w:spacing w:after="0" w:line="281" w:lineRule="auto"/>
        <w:rPr>
          <w:sz w:val="20"/>
          <w:szCs w:val="20"/>
          <w:color w:val="auto"/>
        </w:rPr>
      </w:pPr>
      <w:r>
        <w:rPr>
          <w:rFonts w:ascii="Times New Roman" w:cs="Times New Roman" w:eastAsia="Times New Roman" w:hAnsi="Times New Roman"/>
          <w:sz w:val="17"/>
          <w:szCs w:val="17"/>
          <w:color w:val="auto"/>
        </w:rPr>
        <w:t>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2" w:lineRule="auto"/>
        <w:rPr>
          <w:sz w:val="20"/>
          <w:szCs w:val="20"/>
          <w:color w:val="auto"/>
        </w:rPr>
      </w:pPr>
      <w:r>
        <w:rPr>
          <w:rFonts w:ascii="Times New Roman" w:cs="Times New Roman" w:eastAsia="Times New Roman" w:hAnsi="Times New Roman"/>
          <w:sz w:val="18"/>
          <w:szCs w:val="18"/>
          <w:color w:val="auto"/>
        </w:rPr>
        <w:t xml:space="preserve">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w:t>
      </w:r>
    </w:p>
    <w:p>
      <w:pPr>
        <w:spacing w:after="0" w:line="89" w:lineRule="exact"/>
        <w:rPr>
          <w:sz w:val="20"/>
          <w:szCs w:val="20"/>
          <w:color w:val="auto"/>
        </w:rPr>
      </w:pPr>
    </w:p>
    <w:p>
      <w:pPr>
        <w:ind w:left="300" w:right="539" w:firstLine="352"/>
        <w:spacing w:after="0" w:line="256" w:lineRule="auto"/>
        <w:tabs>
          <w:tab w:leader="none" w:pos="8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79" w:lineRule="exact"/>
        <w:rPr>
          <w:rFonts w:ascii="Times New Roman" w:cs="Times New Roman" w:eastAsia="Times New Roman" w:hAnsi="Times New Roman"/>
          <w:sz w:val="18"/>
          <w:szCs w:val="18"/>
          <w:color w:val="auto"/>
        </w:rPr>
      </w:pPr>
    </w:p>
    <w:p>
      <w:pPr>
        <w:ind w:left="300" w:right="419" w:firstLine="352"/>
        <w:spacing w:after="0" w:line="258" w:lineRule="auto"/>
        <w:tabs>
          <w:tab w:leader="none" w:pos="8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additional consents, documents or instruments shall not impose any obligations on the Stockholder that are materially more burdensome than the obligations set forth in this Agreement.</w:t>
      </w:r>
    </w:p>
    <w:p>
      <w:pPr>
        <w:spacing w:after="0" w:line="75" w:lineRule="exact"/>
        <w:rPr>
          <w:rFonts w:ascii="Times New Roman" w:cs="Times New Roman" w:eastAsia="Times New Roman" w:hAnsi="Times New Roman"/>
          <w:sz w:val="18"/>
          <w:szCs w:val="18"/>
          <w:color w:val="auto"/>
        </w:rPr>
      </w:pPr>
    </w:p>
    <w:p>
      <w:pPr>
        <w:ind w:left="300" w:right="339" w:firstLine="352"/>
        <w:spacing w:after="0" w:line="258" w:lineRule="auto"/>
        <w:tabs>
          <w:tab w:leader="none" w:pos="93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For purposes hereof, the Stockholder’s address is set forth below his or her signature hereto.</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If to Parent</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 H.I.G. Capital, LLC</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1450 Brickell Avenue</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31st Floor</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Miami, FL 33131</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Attention: Matt Gullen; Alexander Thorn</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mgullen@hig.com; athorn@hig.com</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with a copy to (which copy will not constitute notice)</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830 Brickell Plaza</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Attention: Matthew Arenson, P.C.; Lee Blum</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matthew.arenson@kirkland.com; lee.blum@kirkland.com</w:t>
      </w:r>
    </w:p>
    <w:p>
      <w:pPr>
        <w:spacing w:after="0" w:line="171" w:lineRule="exact"/>
        <w:rPr>
          <w:sz w:val="20"/>
          <w:szCs w:val="20"/>
          <w:color w:val="auto"/>
        </w:rPr>
      </w:pPr>
    </w:p>
    <w:p>
      <w:pPr>
        <w:jc w:val="both"/>
        <w:ind w:left="300" w:right="519" w:firstLine="352"/>
        <w:spacing w:after="0" w:line="289" w:lineRule="auto"/>
        <w:tabs>
          <w:tab w:leader="none" w:pos="923"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Mutual Drafting; Interpretation</w:t>
      </w:r>
      <w:r>
        <w:rPr>
          <w:rFonts w:ascii="Times New Roman" w:cs="Times New Roman" w:eastAsia="Times New Roman" w:hAnsi="Times New Roman"/>
          <w:sz w:val="17"/>
          <w:szCs w:val="17"/>
          <w:color w:val="auto"/>
        </w:rPr>
        <w:t>.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w:t>
      </w:r>
    </w:p>
    <w:p>
      <w:pPr>
        <w:spacing w:after="0" w:line="68" w:lineRule="exact"/>
        <w:rPr>
          <w:sz w:val="20"/>
          <w:szCs w:val="20"/>
          <w:color w:val="auto"/>
        </w:rPr>
      </w:pPr>
    </w:p>
    <w:p>
      <w:pPr>
        <w:ind w:left="300" w:right="459" w:firstLine="352"/>
        <w:spacing w:after="0" w:line="261" w:lineRule="auto"/>
        <w:tabs>
          <w:tab w:leader="none" w:pos="93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71" w:lineRule="exact"/>
        <w:rPr>
          <w:rFonts w:ascii="Times New Roman" w:cs="Times New Roman" w:eastAsia="Times New Roman" w:hAnsi="Times New Roman"/>
          <w:sz w:val="18"/>
          <w:szCs w:val="18"/>
          <w:color w:val="auto"/>
        </w:rPr>
      </w:pPr>
    </w:p>
    <w:p>
      <w:pPr>
        <w:ind w:left="300" w:right="459" w:firstLine="352"/>
        <w:spacing w:after="0" w:line="261" w:lineRule="auto"/>
        <w:tabs>
          <w:tab w:leader="none" w:pos="93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71" w:lineRule="exact"/>
        <w:rPr>
          <w:rFonts w:ascii="Times New Roman" w:cs="Times New Roman" w:eastAsia="Times New Roman" w:hAnsi="Times New Roman"/>
          <w:sz w:val="18"/>
          <w:szCs w:val="18"/>
          <w:color w:val="auto"/>
        </w:rPr>
      </w:pPr>
    </w:p>
    <w:p>
      <w:pPr>
        <w:ind w:left="300" w:right="319" w:firstLine="352"/>
        <w:spacing w:after="0" w:line="258" w:lineRule="auto"/>
        <w:tabs>
          <w:tab w:leader="none" w:pos="93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w:t>
      </w:r>
    </w:p>
    <w:p>
      <w:pPr>
        <w:spacing w:after="0" w:line="75" w:lineRule="exact"/>
        <w:rPr>
          <w:rFonts w:ascii="Times New Roman" w:cs="Times New Roman" w:eastAsia="Times New Roman" w:hAnsi="Times New Roman"/>
          <w:sz w:val="18"/>
          <w:szCs w:val="18"/>
          <w:color w:val="auto"/>
        </w:rPr>
      </w:pPr>
    </w:p>
    <w:p>
      <w:pPr>
        <w:ind w:left="300" w:right="359" w:firstLine="352"/>
        <w:spacing w:after="0" w:line="253" w:lineRule="auto"/>
        <w:tabs>
          <w:tab w:leader="none" w:pos="93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w:t>
      </w:r>
    </w:p>
    <w:p>
      <w:pPr>
        <w:spacing w:after="0" w:line="2" w:lineRule="exact"/>
        <w:rPr>
          <w:rFonts w:ascii="Times New Roman" w:cs="Times New Roman" w:eastAsia="Times New Roman" w:hAnsi="Times New Roman"/>
          <w:sz w:val="18"/>
          <w:szCs w:val="18"/>
          <w:color w:val="auto"/>
        </w:rPr>
      </w:pPr>
    </w:p>
    <w:p>
      <w:pPr>
        <w:ind w:left="300" w:right="339" w:hanging="8"/>
        <w:spacing w:after="0" w:line="251" w:lineRule="auto"/>
        <w:tabs>
          <w:tab w:leader="none" w:pos="55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w:t>
      </w:r>
    </w:p>
    <w:p>
      <w:pPr>
        <w:spacing w:after="0" w:line="82" w:lineRule="exact"/>
        <w:rPr>
          <w:rFonts w:ascii="Times New Roman" w:cs="Times New Roman" w:eastAsia="Times New Roman" w:hAnsi="Times New Roman"/>
          <w:sz w:val="18"/>
          <w:szCs w:val="18"/>
          <w:color w:val="auto"/>
        </w:rPr>
      </w:pPr>
    </w:p>
    <w:p>
      <w:pPr>
        <w:ind w:left="300" w:right="319" w:firstLine="352"/>
        <w:spacing w:after="0" w:line="254" w:lineRule="auto"/>
        <w:tabs>
          <w:tab w:leader="none" w:pos="93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transfer or assign without consent its rights and obligations under this Agreement, in whole or in part from time to time, to (a) one or more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shall relieve Parent of any of its obligations hereunder) and (b) after the Effective Time, to any Person.</w:t>
      </w:r>
    </w:p>
    <w:p>
      <w:pPr>
        <w:spacing w:after="0" w:line="83" w:lineRule="exact"/>
        <w:rPr>
          <w:rFonts w:ascii="Times New Roman" w:cs="Times New Roman" w:eastAsia="Times New Roman" w:hAnsi="Times New Roman"/>
          <w:sz w:val="18"/>
          <w:szCs w:val="18"/>
          <w:color w:val="auto"/>
        </w:rPr>
      </w:pPr>
    </w:p>
    <w:p>
      <w:pPr>
        <w:ind w:left="300" w:right="379" w:firstLine="352"/>
        <w:spacing w:after="0" w:line="277" w:lineRule="auto"/>
        <w:tabs>
          <w:tab w:leader="none" w:pos="930"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w:t>
      </w:r>
    </w:p>
    <w:p>
      <w:pPr>
        <w:spacing w:after="0" w:line="75" w:lineRule="exact"/>
        <w:rPr>
          <w:sz w:val="20"/>
          <w:szCs w:val="20"/>
          <w:color w:val="auto"/>
        </w:rPr>
      </w:pPr>
    </w:p>
    <w:p>
      <w:pPr>
        <w:ind w:left="300" w:right="339" w:firstLine="352"/>
        <w:spacing w:after="0" w:line="253" w:lineRule="auto"/>
        <w:tabs>
          <w:tab w:leader="none" w:pos="93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Recourse</w:t>
      </w:r>
      <w:r>
        <w:rPr>
          <w:rFonts w:ascii="Times New Roman" w:cs="Times New Roman" w:eastAsia="Times New Roman" w:hAnsi="Times New Roman"/>
          <w:sz w:val="18"/>
          <w:szCs w:val="18"/>
          <w:color w:val="auto"/>
        </w:rPr>
        <w:t xml:space="preserve">.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“Related Party” means, with respect to any Person, such Person’s former, current or future Affiliates, direct or indirect equity holders, general or limited partners, controlling persons, stockholders, members, managers, directors, officers, employees, agents, or assignees.</w:t>
      </w:r>
    </w:p>
    <w:p>
      <w:pPr>
        <w:spacing w:after="0" w:line="79" w:lineRule="exact"/>
        <w:rPr>
          <w:rFonts w:ascii="Times New Roman" w:cs="Times New Roman" w:eastAsia="Times New Roman" w:hAnsi="Times New Roman"/>
          <w:sz w:val="18"/>
          <w:szCs w:val="18"/>
          <w:color w:val="auto"/>
        </w:rPr>
      </w:pPr>
    </w:p>
    <w:p>
      <w:pPr>
        <w:ind w:left="300" w:right="339" w:firstLine="352"/>
        <w:spacing w:after="0" w:line="254" w:lineRule="auto"/>
        <w:tabs>
          <w:tab w:leader="none" w:pos="93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w:t>
      </w:r>
    </w:p>
    <w:p>
      <w:pPr>
        <w:spacing w:after="0" w:line="80" w:lineRule="exact"/>
        <w:rPr>
          <w:rFonts w:ascii="Times New Roman" w:cs="Times New Roman" w:eastAsia="Times New Roman" w:hAnsi="Times New Roman"/>
          <w:sz w:val="18"/>
          <w:szCs w:val="18"/>
          <w:color w:val="auto"/>
        </w:rPr>
      </w:pPr>
    </w:p>
    <w:p>
      <w:pPr>
        <w:ind w:left="300" w:right="539" w:firstLine="352"/>
        <w:spacing w:after="0" w:line="255" w:lineRule="auto"/>
        <w:tabs>
          <w:tab w:leader="none" w:pos="93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w:t>
      </w:r>
    </w:p>
    <w:p>
      <w:pPr>
        <w:spacing w:after="0" w:line="80" w:lineRule="exact"/>
        <w:rPr>
          <w:rFonts w:ascii="Times New Roman" w:cs="Times New Roman" w:eastAsia="Times New Roman" w:hAnsi="Times New Roman"/>
          <w:sz w:val="18"/>
          <w:szCs w:val="18"/>
          <w:color w:val="auto"/>
        </w:rPr>
      </w:pPr>
    </w:p>
    <w:p>
      <w:pPr>
        <w:ind w:left="300" w:right="299" w:firstLine="352"/>
        <w:spacing w:after="0" w:line="255" w:lineRule="auto"/>
        <w:tabs>
          <w:tab w:leader="none" w:pos="93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80" w:lineRule="exact"/>
        <w:rPr>
          <w:rFonts w:ascii="Times New Roman" w:cs="Times New Roman" w:eastAsia="Times New Roman" w:hAnsi="Times New Roman"/>
          <w:sz w:val="18"/>
          <w:szCs w:val="18"/>
          <w:color w:val="auto"/>
        </w:rPr>
      </w:pPr>
    </w:p>
    <w:p>
      <w:pPr>
        <w:ind w:left="300" w:right="399" w:firstLine="352"/>
        <w:spacing w:after="0" w:line="281" w:lineRule="auto"/>
        <w:tabs>
          <w:tab w:leader="none" w:pos="930"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Agreement until Executed</w:t>
      </w:r>
      <w:r>
        <w:rPr>
          <w:rFonts w:ascii="Times New Roman" w:cs="Times New Roman" w:eastAsia="Times New Roman" w:hAnsi="Times New Roman"/>
          <w:sz w:val="17"/>
          <w:szCs w:val="17"/>
          <w:color w:val="auto"/>
        </w:rPr>
        <w:t>.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this Agreement and the other Voting Agreements, including the Merger.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on the date and year first above written.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ATHENA PURCHASER, LLC</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19113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19113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Owned Shares</w:t>
      </w:r>
    </w:p>
    <w:p>
      <w:pPr>
        <w:spacing w:after="0" w:line="146"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4220" w:type="dxa"/>
            <w:vAlign w:val="bottom"/>
            <w:tcBorders>
              <w:top w:val="single" w:sz="8" w:color="auto"/>
              <w:left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4200" w:type="dxa"/>
            <w:vAlign w:val="bottom"/>
            <w:tcBorders>
              <w:top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Owned Shares</w:t>
            </w:r>
          </w:p>
        </w:tc>
      </w:tr>
      <w:tr>
        <w:trPr>
          <w:trHeight w:val="23"/>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331"/>
        </w:trPr>
        <w:tc>
          <w:tcPr>
            <w:tcW w:w="4220" w:type="dxa"/>
            <w:vAlign w:val="bottom"/>
            <w:tcBorders>
              <w:left w:val="single" w:sz="8" w:color="auto"/>
              <w:bottom w:val="single" w:sz="8" w:color="auto"/>
              <w:right w:val="single" w:sz="8" w:color="auto"/>
            </w:tcBorders>
          </w:tcPr>
          <w:p>
            <w:pPr>
              <w:spacing w:after="0"/>
              <w:rPr>
                <w:sz w:val="24"/>
                <w:szCs w:val="24"/>
                <w:color w:val="auto"/>
              </w:rPr>
            </w:pPr>
          </w:p>
        </w:tc>
        <w:tc>
          <w:tcPr>
            <w:tcW w:w="42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17, 2026, is entered into by and among Athena Purchaser,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[Name]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(i) Mistras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Parent and (iii) Athena Merger Sub, Inc., a Delaware corporation and wholly owned subsidiary of Parent (“</w:t>
      </w:r>
      <w:r>
        <w:rPr>
          <w:rFonts w:ascii="Times New Roman" w:cs="Times New Roman" w:eastAsia="Times New Roman" w:hAnsi="Times New Roman"/>
          <w:sz w:val="18"/>
          <w:szCs w:val="18"/>
          <w:u w:val="single" w:color="auto"/>
          <w:color w:val="auto"/>
        </w:rPr>
        <w:t>Acquisition Sub</w:t>
      </w:r>
      <w:r>
        <w:rPr>
          <w:rFonts w:ascii="Times New Roman" w:cs="Times New Roman" w:eastAsia="Times New Roman" w:hAnsi="Times New Roman"/>
          <w:sz w:val="18"/>
          <w:szCs w:val="18"/>
          <w:color w:val="auto"/>
        </w:rPr>
        <w:t>”), are entering into an Agreement and Plan of Merger (as may be amended, restated, amended and restated, waived or otherwise modified from time to time in accordance with the terms hereof and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the merger of Acquisition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 “beneficial owner” (within the meaning of Rule 13d-3 under the Exchange Act) of the number of shares of common stock, par value $0.01 per share, of the Company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set forth opposite such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w:t>
      </w:r>
    </w:p>
    <w:p>
      <w:pPr>
        <w:spacing w:after="0" w:line="75"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WHEREAS, as a condition to the willingness of Parent to enter into the Merger Agreement and as an inducement and in consideration therefor, Parent has required that the Stockholder agree, and the Stockholder has agreed, to enter into this Agreement.</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herein contained, and intending to be legally bound hereby, the Stockholder and Parent hereby agree as follows:</w:t>
      </w:r>
    </w:p>
    <w:p>
      <w:pPr>
        <w:spacing w:after="0" w:line="68" w:lineRule="exact"/>
        <w:rPr>
          <w:sz w:val="20"/>
          <w:szCs w:val="20"/>
          <w:color w:val="auto"/>
        </w:rPr>
      </w:pPr>
    </w:p>
    <w:p>
      <w:pPr>
        <w:ind w:left="300" w:right="419" w:firstLine="352"/>
        <w:spacing w:after="0" w:line="254" w:lineRule="auto"/>
        <w:tabs>
          <w:tab w:leader="none" w:pos="8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 Beginning on the date hereof until the Termination Date (as defined below), at every meeting of the stockholders of the 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w:t>
      </w:r>
    </w:p>
    <w:p>
      <w:pPr>
        <w:spacing w:after="0" w:line="3" w:lineRule="exact"/>
        <w:rPr>
          <w:rFonts w:ascii="Times New Roman" w:cs="Times New Roman" w:eastAsia="Times New Roman" w:hAnsi="Times New Roman"/>
          <w:sz w:val="18"/>
          <w:szCs w:val="18"/>
          <w:color w:val="auto"/>
        </w:rPr>
      </w:pPr>
    </w:p>
    <w:p>
      <w:pPr>
        <w:ind w:left="300" w:right="3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transactions contemplated by the Merger Agreement (clauses (a) and (b), collectively, the “</w:t>
      </w:r>
      <w:r>
        <w:rPr>
          <w:rFonts w:ascii="Times New Roman" w:cs="Times New Roman" w:eastAsia="Times New Roman" w:hAnsi="Times New Roman"/>
          <w:sz w:val="18"/>
          <w:szCs w:val="18"/>
          <w:u w:val="single" w:color="auto"/>
          <w:color w:val="auto"/>
        </w:rPr>
        <w:t>Supported Matters</w:t>
      </w:r>
      <w:r>
        <w:rPr>
          <w:rFonts w:ascii="Times New Roman" w:cs="Times New Roman" w:eastAsia="Times New Roman" w:hAnsi="Times New Roman"/>
          <w:sz w:val="18"/>
          <w:szCs w:val="18"/>
          <w:color w:val="auto"/>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if the Stockholder is a director or officer of the Company, nothing in this Agreement shall limit or restrict the Stockholder from taking, or refraining from taking, any action in his or her capacity as a director or officer</w:t>
      </w:r>
    </w:p>
    <w:p>
      <w:pPr>
        <w:spacing w:after="0" w:line="12"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(as applicable) of the Company or any of the Company’s Subsidiaries, including complying with his or her fiduciary obligations, and any such action taken, or any such inaction, in each case, in any such capacity as a director or officer, shall not constitute a breach of this Agreement.</w:t>
      </w:r>
    </w:p>
    <w:p>
      <w:pPr>
        <w:spacing w:after="0" w:line="78" w:lineRule="exact"/>
        <w:rPr>
          <w:sz w:val="20"/>
          <w:szCs w:val="20"/>
          <w:color w:val="auto"/>
        </w:rPr>
      </w:pPr>
    </w:p>
    <w:p>
      <w:pPr>
        <w:jc w:val="both"/>
        <w:ind w:left="300" w:right="579" w:firstLine="352"/>
        <w:spacing w:after="0" w:line="276" w:lineRule="auto"/>
        <w:tabs>
          <w:tab w:leader="none" w:pos="840"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and without further action upon the earliest to occur of: (a) the valid termination of the Merger Agreement in accordance with its terms; (b) the Effective Time;</w:t>
      </w:r>
    </w:p>
    <w:p>
      <w:pPr>
        <w:ind w:left="300" w:right="359" w:hanging="8"/>
        <w:spacing w:after="0" w:line="251" w:lineRule="auto"/>
        <w:tabs>
          <w:tab w:leader="none" w:pos="54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shall survive the termination of this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spacing w:after="0" w:line="123"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 of the Stockholder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defined under Section 13(d) of the Exchange Act) with respect to any securities of the Company for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purpose of opposing or competing with or taking any actions inconsistent with the transactions contemplated by the Merger Agreement. Any Transfer in violation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For the purpose hereof,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any Transfer of Covered Shares (A) by gift to a member of the individual’s immediate family or to a trust, the beneficiary of which is a member of the individual’s immediate family;</w:t>
      </w:r>
    </w:p>
    <w:p>
      <w:pPr>
        <w:spacing w:after="0" w:line="1" w:lineRule="exact"/>
        <w:rPr>
          <w:sz w:val="20"/>
          <w:szCs w:val="20"/>
          <w:color w:val="auto"/>
        </w:rPr>
      </w:pPr>
    </w:p>
    <w:p>
      <w:pPr>
        <w:ind w:left="660" w:right="319" w:hanging="8"/>
        <w:spacing w:after="0" w:line="251" w:lineRule="auto"/>
        <w:tabs>
          <w:tab w:leader="none" w:pos="94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w:t>
      </w:r>
    </w:p>
    <w:p>
      <w:pPr>
        <w:spacing w:after="0" w:line="85"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w:t>
      </w:r>
    </w:p>
    <w:p>
      <w:pPr>
        <w:spacing w:after="0" w:line="97" w:lineRule="exact"/>
        <w:rPr>
          <w:sz w:val="20"/>
          <w:szCs w:val="20"/>
          <w:color w:val="auto"/>
        </w:rPr>
      </w:pPr>
    </w:p>
    <w:p>
      <w:pPr>
        <w:ind w:left="660" w:right="319" w:firstLine="360"/>
        <w:spacing w:after="0" w:line="272"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the Stockholder,</w:t>
      </w:r>
    </w:p>
    <w:p>
      <w:pPr>
        <w:spacing w:after="0" w:line="2" w:lineRule="exact"/>
        <w:rPr>
          <w:sz w:val="20"/>
          <w:szCs w:val="20"/>
          <w:color w:val="auto"/>
        </w:rPr>
      </w:pPr>
    </w:p>
    <w:p>
      <w:pPr>
        <w:ind w:left="660" w:right="339" w:hanging="8"/>
        <w:spacing w:after="0" w:line="271" w:lineRule="auto"/>
        <w:tabs>
          <w:tab w:leader="none" w:pos="91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the Stockholder may during the Go-Shop Period participate in discussions or negotiations with any Person that has submitted to the Company an Acquisition Proposal solely for purposes of entering into a voting agreement on substantially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89" w:lineRule="auto"/>
        <w:rPr>
          <w:sz w:val="20"/>
          <w:szCs w:val="20"/>
          <w:color w:val="auto"/>
        </w:rPr>
      </w:pPr>
      <w:r>
        <w:rPr>
          <w:rFonts w:ascii="Times New Roman" w:cs="Times New Roman" w:eastAsia="Times New Roman" w:hAnsi="Times New Roman"/>
          <w:sz w:val="17"/>
          <w:szCs w:val="17"/>
          <w:color w:val="auto"/>
        </w:rPr>
        <w:t>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w:t>
      </w:r>
    </w:p>
    <w:p>
      <w:pPr>
        <w:spacing w:after="0" w:line="50"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Proxy Statement; Schedule 13G and 13D</w:t>
      </w:r>
      <w:r>
        <w:rPr>
          <w:rFonts w:ascii="Times New Roman" w:cs="Times New Roman" w:eastAsia="Times New Roman" w:hAnsi="Times New Roman"/>
          <w:sz w:val="18"/>
          <w:szCs w:val="18"/>
          <w:color w:val="auto"/>
        </w:rPr>
        <w:t>.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If applicable and to the extent required under applicable Law, the Stockholder shall promptly and in accordance with applicable Law amend its Schedule 13G or Schedule 13D filed with the SEC to disclose this Agreement and such Stockholder shall provide a draft of such amendment to Parent and Acquisition Sub and consider any reasonable comments in good faith prior to such filing.</w:t>
      </w:r>
    </w:p>
    <w:p>
      <w:pPr>
        <w:spacing w:after="0" w:line="86" w:lineRule="exact"/>
        <w:rPr>
          <w:sz w:val="20"/>
          <w:szCs w:val="20"/>
          <w:color w:val="auto"/>
        </w:rPr>
      </w:pPr>
    </w:p>
    <w:p>
      <w:pPr>
        <w:ind w:left="300" w:right="799" w:firstLine="352"/>
        <w:spacing w:after="0" w:line="282" w:lineRule="auto"/>
        <w:tabs>
          <w:tab w:leader="none" w:pos="8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Stockholder</w:t>
      </w:r>
      <w:r>
        <w:rPr>
          <w:rFonts w:ascii="Times New Roman" w:cs="Times New Roman" w:eastAsia="Times New Roman" w:hAnsi="Times New Roman"/>
          <w:sz w:val="18"/>
          <w:szCs w:val="18"/>
          <w:color w:val="auto"/>
        </w:rPr>
        <w:t>. The Stockholder hereby represents and warrants to Parent as follows:</w:t>
      </w:r>
    </w:p>
    <w:p>
      <w:pPr>
        <w:spacing w:after="0" w:line="54"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Stockholder, if not a natural Person, (a) is a legal entity or trust duly organized or established, validly existing and, if applicable, in good standing under the laws of its jurisdiction of formation or establishment, and (b) has all requisite corporate, trust or other similar power and authority and has taken all corporate, trust or other similar action necessary (including approval by the board of directors, trustee or applicable corporate bodies) to execute, deliver, comply with and perform its obligations under this Agreement in accordance with the terms hereof and to consummate the transactions contemplated hereby. The Stockholder, if a natural Person, has the legal capacity to execute and deliver this Agreement, to execute, deliver, comply with and perform his or her obligations under this Agreement in accordance with the terms hereof and to consummate the transactions contemplated hereby. No other action on the part of or vote of holders of any equity securities of the Stockholder is necessary to authorize the execution and delivery of, compliance with and performance by the Stockholder of this Agreement. This Agreement has been duly executed and delivered by the Stockholder and, assuming the due execution and delivery of this Agreement by all of the other parties hereto, constitutes a legal, valid and binding agreement of the Stockholder enforceable against the Stockholder in accordance with its terms, except as such enforceability may be limited by the Bankruptcy and Equitable Exception.</w:t>
      </w:r>
    </w:p>
    <w:p>
      <w:pPr>
        <w:spacing w:after="0" w:line="88" w:lineRule="exact"/>
        <w:rPr>
          <w:sz w:val="20"/>
          <w:szCs w:val="20"/>
          <w:color w:val="auto"/>
        </w:rPr>
      </w:pPr>
    </w:p>
    <w:p>
      <w:pPr>
        <w:ind w:left="6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and delivery of, compliance with and performance by the Stockholder of this Agreement do not and will not (a) if the Stockholder is not a natural Person, conflict with or result in any violation or breach of any provision of the certificate of formation, operating agreement, trust agreement or similar organizational documents of the Stockholder,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or (d) result in the creation of a Lien (other than Permitted Liens) on any of the properties or assets (including intangible assets) of the Stockholder, except in the case of the foregoing clauses (b), (c) and (d), any such violation, breach, conflict, default, termination, acceleration, cancellation or loss that would not, individually or in the aggregate, reasonably be expected to restrict, prohibit or impair the consummation of the Merger or the performance by the Stockholder of its obligations under this Agreement.</w:t>
      </w:r>
    </w:p>
    <w:p>
      <w:pPr>
        <w:spacing w:after="0" w:line="79" w:lineRule="exact"/>
        <w:rPr>
          <w:sz w:val="20"/>
          <w:szCs w:val="20"/>
          <w:color w:val="auto"/>
        </w:rPr>
      </w:pPr>
    </w:p>
    <w:p>
      <w:pPr>
        <w:ind w:left="6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w:t>
      </w:r>
    </w:p>
    <w:p>
      <w:pPr>
        <w:spacing w:after="0" w:line="81" w:lineRule="exact"/>
        <w:rPr>
          <w:sz w:val="20"/>
          <w:szCs w:val="20"/>
          <w:color w:val="auto"/>
        </w:rPr>
      </w:pPr>
    </w:p>
    <w:p>
      <w:pPr>
        <w:ind w:left="660" w:right="519" w:firstLine="360"/>
        <w:spacing w:after="0" w:line="312"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Ownership of the Owned Shares</w:t>
      </w:r>
      <w:r>
        <w:rPr>
          <w:rFonts w:ascii="Times New Roman" w:cs="Times New Roman" w:eastAsia="Times New Roman" w:hAnsi="Times New Roman"/>
          <w:sz w:val="17"/>
          <w:szCs w:val="17"/>
          <w:color w:val="auto"/>
        </w:rPr>
        <w:t>. The Stockholder is, as of the date hereof, the record and beneficial owner of the Owned Shares, all of which are free and clear of any Liens, other than those created by this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73" w:lineRule="auto"/>
        <w:rPr>
          <w:sz w:val="20"/>
          <w:szCs w:val="20"/>
          <w:color w:val="auto"/>
        </w:rPr>
      </w:pPr>
      <w:r>
        <w:rPr>
          <w:rFonts w:ascii="Times New Roman" w:cs="Times New Roman" w:eastAsia="Times New Roman" w:hAnsi="Times New Roman"/>
          <w:sz w:val="17"/>
          <w:szCs w:val="17"/>
          <w:color w:val="auto"/>
        </w:rPr>
        <w:t>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w:t>
      </w:r>
    </w:p>
    <w:p>
      <w:pPr>
        <w:spacing w:after="0" w:line="63"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w:t>
      </w:r>
    </w:p>
    <w:p>
      <w:pPr>
        <w:spacing w:after="0" w:line="112" w:lineRule="exact"/>
        <w:rPr>
          <w:sz w:val="20"/>
          <w:szCs w:val="20"/>
          <w:color w:val="auto"/>
        </w:rPr>
      </w:pPr>
    </w:p>
    <w:p>
      <w:pPr>
        <w:ind w:left="300" w:right="819" w:firstLine="352"/>
        <w:spacing w:after="0" w:line="282" w:lineRule="auto"/>
        <w:tabs>
          <w:tab w:leader="none" w:pos="8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hereby represents and warrants to the Stockholder as follows:</w:t>
      </w:r>
    </w:p>
    <w:p>
      <w:pPr>
        <w:spacing w:after="0" w:line="54"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w:t>
      </w:r>
    </w:p>
    <w:p>
      <w:pPr>
        <w:spacing w:after="0" w:line="80"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w:t>
      </w:r>
    </w:p>
    <w:p>
      <w:pPr>
        <w:spacing w:after="0" w:line="1" w:lineRule="exact"/>
        <w:rPr>
          <w:sz w:val="20"/>
          <w:szCs w:val="20"/>
          <w:color w:val="auto"/>
        </w:rPr>
      </w:pPr>
    </w:p>
    <w:p>
      <w:pPr>
        <w:ind w:left="660" w:right="299" w:hanging="8"/>
        <w:spacing w:after="0" w:line="251" w:lineRule="auto"/>
        <w:tabs>
          <w:tab w:leader="none" w:pos="90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w:t>
      </w:r>
    </w:p>
    <w:p>
      <w:pPr>
        <w:spacing w:after="0" w:line="86" w:lineRule="exact"/>
        <w:rPr>
          <w:sz w:val="20"/>
          <w:szCs w:val="20"/>
          <w:color w:val="auto"/>
        </w:rPr>
      </w:pPr>
    </w:p>
    <w:p>
      <w:pPr>
        <w:ind w:left="300" w:right="319" w:firstLine="352"/>
        <w:spacing w:after="0" w:line="253" w:lineRule="auto"/>
        <w:tabs>
          <w:tab w:leader="none" w:pos="8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 of Representations and Warranties; Non-Reliance</w:t>
      </w:r>
      <w:r>
        <w:rPr>
          <w:rFonts w:ascii="Times New Roman" w:cs="Times New Roman" w:eastAsia="Times New Roman" w:hAnsi="Times New Roman"/>
          <w:sz w:val="18"/>
          <w:szCs w:val="18"/>
          <w:color w:val="auto"/>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Date.</w:t>
      </w:r>
    </w:p>
    <w:p>
      <w:pPr>
        <w:spacing w:after="0" w:line="122"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and Dissenter Rights and Certain Other Actions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419" w:firstLine="360"/>
        <w:spacing w:after="0" w:line="266" w:lineRule="auto"/>
        <w:rPr>
          <w:sz w:val="20"/>
          <w:szCs w:val="20"/>
          <w:color w:val="auto"/>
        </w:rPr>
      </w:pPr>
      <w:r>
        <w:rPr>
          <w:rFonts w:ascii="Times New Roman" w:cs="Times New Roman" w:eastAsia="Times New Roman" w:hAnsi="Times New Roman"/>
          <w:sz w:val="18"/>
          <w:szCs w:val="18"/>
          <w:color w:val="auto"/>
        </w:rPr>
        <w:t>7.1 The Stockholder hereby irrevocably and unconditionally waives, to the fullest extent of the Law, and agrees to cause to be waived and not to assert any appraisal rights, any dissenter’s rights and any similar rights 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39"/>
        <w:spacing w:after="0" w:line="261" w:lineRule="auto"/>
        <w:rPr>
          <w:sz w:val="20"/>
          <w:szCs w:val="20"/>
          <w:color w:val="auto"/>
        </w:rPr>
      </w:pPr>
      <w:r>
        <w:rPr>
          <w:rFonts w:ascii="Times New Roman" w:cs="Times New Roman" w:eastAsia="Times New Roman" w:hAnsi="Times New Roman"/>
          <w:sz w:val="18"/>
          <w:szCs w:val="18"/>
          <w:color w:val="auto"/>
        </w:rPr>
        <w:t xml:space="preserve">Section 262 of the DGCL with respect to all of the Owned Shares with respect to the Merger and the transactions contemplated by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shall automatically terminate and be of no further force or effect upon the valid termination of the Merger Agreement in accordance with its terms.</w:t>
      </w:r>
    </w:p>
    <w:p>
      <w:pPr>
        <w:spacing w:after="0" w:line="72"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 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w:t>
      </w:r>
    </w:p>
    <w:p>
      <w:pPr>
        <w:spacing w:after="0" w:line="84" w:lineRule="exact"/>
        <w:rPr>
          <w:sz w:val="20"/>
          <w:szCs w:val="20"/>
          <w:color w:val="auto"/>
        </w:rPr>
      </w:pPr>
    </w:p>
    <w:p>
      <w:pPr>
        <w:ind w:left="300" w:right="539" w:firstLine="352"/>
        <w:spacing w:after="0" w:line="256" w:lineRule="auto"/>
        <w:tabs>
          <w:tab w:leader="none" w:pos="8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79" w:lineRule="exact"/>
        <w:rPr>
          <w:rFonts w:ascii="Times New Roman" w:cs="Times New Roman" w:eastAsia="Times New Roman" w:hAnsi="Times New Roman"/>
          <w:sz w:val="18"/>
          <w:szCs w:val="18"/>
          <w:color w:val="auto"/>
        </w:rPr>
      </w:pPr>
    </w:p>
    <w:p>
      <w:pPr>
        <w:ind w:left="300" w:right="459" w:firstLine="352"/>
        <w:spacing w:after="0" w:line="258" w:lineRule="auto"/>
        <w:tabs>
          <w:tab w:leader="none" w:pos="8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additional consents, documents or instruments shall not impose any obligations on the Stockholder that are materially more burdensome than the obligations set forth in this Agreement.</w:t>
      </w:r>
    </w:p>
    <w:p>
      <w:pPr>
        <w:spacing w:after="0" w:line="75" w:lineRule="exact"/>
        <w:rPr>
          <w:rFonts w:ascii="Times New Roman" w:cs="Times New Roman" w:eastAsia="Times New Roman" w:hAnsi="Times New Roman"/>
          <w:sz w:val="18"/>
          <w:szCs w:val="18"/>
          <w:color w:val="auto"/>
        </w:rPr>
      </w:pPr>
    </w:p>
    <w:p>
      <w:pPr>
        <w:ind w:left="300" w:right="339" w:firstLine="352"/>
        <w:spacing w:after="0" w:line="258" w:lineRule="auto"/>
        <w:tabs>
          <w:tab w:leader="none" w:pos="93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For purposes hereof, the Stockholder’s address is set forth below its signature hereto.</w:t>
      </w: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If to Parent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 H.I.G. Capital, LLC</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1450 Brickell Avenue</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31st Floor</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Miami, FL 33131</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Attention: Matt Gullen; Alexander Thorn</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mgullen@hig.com; athorn@hig.com</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with a copy to (which copy will not constitute notice)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830 Brickell Plaza</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Attention: Matthew Arenson, P.C.; Lee Blum</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 matthew.arenson@kirkland.com; lee.blum@kirkland.com</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52"/>
        <w:spacing w:after="0" w:line="256" w:lineRule="auto"/>
        <w:tabs>
          <w:tab w:leader="none" w:pos="92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 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w:t>
      </w:r>
    </w:p>
    <w:p>
      <w:pPr>
        <w:spacing w:after="0" w:line="79" w:lineRule="exact"/>
        <w:rPr>
          <w:rFonts w:ascii="Times New Roman" w:cs="Times New Roman" w:eastAsia="Times New Roman" w:hAnsi="Times New Roman"/>
          <w:sz w:val="18"/>
          <w:szCs w:val="18"/>
          <w:color w:val="auto"/>
        </w:rPr>
      </w:pPr>
    </w:p>
    <w:p>
      <w:pPr>
        <w:ind w:left="300" w:right="459" w:firstLine="352"/>
        <w:spacing w:after="0" w:line="261" w:lineRule="auto"/>
        <w:tabs>
          <w:tab w:leader="none" w:pos="93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71" w:lineRule="exact"/>
        <w:rPr>
          <w:rFonts w:ascii="Times New Roman" w:cs="Times New Roman" w:eastAsia="Times New Roman" w:hAnsi="Times New Roman"/>
          <w:sz w:val="18"/>
          <w:szCs w:val="18"/>
          <w:color w:val="auto"/>
        </w:rPr>
      </w:pPr>
    </w:p>
    <w:p>
      <w:pPr>
        <w:ind w:left="300" w:right="459" w:firstLine="352"/>
        <w:spacing w:after="0" w:line="261" w:lineRule="auto"/>
        <w:tabs>
          <w:tab w:leader="none" w:pos="93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71" w:lineRule="exact"/>
        <w:rPr>
          <w:rFonts w:ascii="Times New Roman" w:cs="Times New Roman" w:eastAsia="Times New Roman" w:hAnsi="Times New Roman"/>
          <w:sz w:val="18"/>
          <w:szCs w:val="18"/>
          <w:color w:val="auto"/>
        </w:rPr>
      </w:pPr>
    </w:p>
    <w:p>
      <w:pPr>
        <w:ind w:left="300" w:right="319" w:firstLine="352"/>
        <w:spacing w:after="0" w:line="258" w:lineRule="auto"/>
        <w:tabs>
          <w:tab w:leader="none" w:pos="93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w:t>
      </w:r>
    </w:p>
    <w:p>
      <w:pPr>
        <w:spacing w:after="0" w:line="75" w:lineRule="exact"/>
        <w:rPr>
          <w:rFonts w:ascii="Times New Roman" w:cs="Times New Roman" w:eastAsia="Times New Roman" w:hAnsi="Times New Roman"/>
          <w:sz w:val="18"/>
          <w:szCs w:val="18"/>
          <w:color w:val="auto"/>
        </w:rPr>
      </w:pPr>
    </w:p>
    <w:p>
      <w:pPr>
        <w:ind w:left="300" w:right="359" w:firstLine="352"/>
        <w:spacing w:after="0" w:line="253" w:lineRule="auto"/>
        <w:tabs>
          <w:tab w:leader="none" w:pos="93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w:t>
      </w:r>
    </w:p>
    <w:p>
      <w:pPr>
        <w:spacing w:after="0" w:line="2" w:lineRule="exact"/>
        <w:rPr>
          <w:rFonts w:ascii="Times New Roman" w:cs="Times New Roman" w:eastAsia="Times New Roman" w:hAnsi="Times New Roman"/>
          <w:sz w:val="18"/>
          <w:szCs w:val="18"/>
          <w:color w:val="auto"/>
        </w:rPr>
      </w:pPr>
    </w:p>
    <w:p>
      <w:pPr>
        <w:ind w:left="300" w:right="339" w:hanging="8"/>
        <w:spacing w:after="0" w:line="251" w:lineRule="auto"/>
        <w:tabs>
          <w:tab w:leader="none" w:pos="55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w:t>
      </w:r>
    </w:p>
    <w:p>
      <w:pPr>
        <w:spacing w:after="0" w:line="82" w:lineRule="exact"/>
        <w:rPr>
          <w:rFonts w:ascii="Times New Roman" w:cs="Times New Roman" w:eastAsia="Times New Roman" w:hAnsi="Times New Roman"/>
          <w:sz w:val="18"/>
          <w:szCs w:val="18"/>
          <w:color w:val="auto"/>
        </w:rPr>
      </w:pPr>
    </w:p>
    <w:p>
      <w:pPr>
        <w:ind w:left="300" w:right="319" w:firstLine="352"/>
        <w:spacing w:after="0" w:line="254" w:lineRule="auto"/>
        <w:tabs>
          <w:tab w:leader="none" w:pos="93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transfer or assign without consent its rights and obligations under this Agreement, in whole or in part from time to time, to (a) one or more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shall relieve Parent of any of its obligations hereunder) and (b) after the Effective Time, to any Person.</w:t>
      </w:r>
    </w:p>
    <w:p>
      <w:pPr>
        <w:spacing w:after="0" w:line="83" w:lineRule="exact"/>
        <w:rPr>
          <w:rFonts w:ascii="Times New Roman" w:cs="Times New Roman" w:eastAsia="Times New Roman" w:hAnsi="Times New Roman"/>
          <w:sz w:val="18"/>
          <w:szCs w:val="18"/>
          <w:color w:val="auto"/>
        </w:rPr>
      </w:pPr>
    </w:p>
    <w:p>
      <w:pPr>
        <w:ind w:left="300" w:right="559" w:firstLine="352"/>
        <w:spacing w:after="0" w:line="282" w:lineRule="auto"/>
        <w:tabs>
          <w:tab w:leader="none" w:pos="93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 in accordance with their specific terms or were otherwise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w:t>
      </w:r>
    </w:p>
    <w:p>
      <w:pPr>
        <w:spacing w:after="0" w:line="84" w:lineRule="exact"/>
        <w:rPr>
          <w:sz w:val="20"/>
          <w:szCs w:val="20"/>
          <w:color w:val="auto"/>
        </w:rPr>
      </w:pPr>
    </w:p>
    <w:p>
      <w:pPr>
        <w:ind w:left="300" w:right="339" w:firstLine="352"/>
        <w:spacing w:after="0" w:line="253" w:lineRule="auto"/>
        <w:tabs>
          <w:tab w:leader="none" w:pos="93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Recourse</w:t>
      </w:r>
      <w:r>
        <w:rPr>
          <w:rFonts w:ascii="Times New Roman" w:cs="Times New Roman" w:eastAsia="Times New Roman" w:hAnsi="Times New Roman"/>
          <w:sz w:val="18"/>
          <w:szCs w:val="18"/>
          <w:color w:val="auto"/>
        </w:rPr>
        <w:t>.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Section 18, “Related Party” means, with respect to any Person, such Person’s former, current or future Affiliates, direct or indirect equity holders, general or limited partners, controlling persons, stockholders, members, managers, directors, officers, employees, agents, or assignees.</w:t>
      </w:r>
    </w:p>
    <w:p>
      <w:pPr>
        <w:spacing w:after="0" w:line="79" w:lineRule="exact"/>
        <w:rPr>
          <w:rFonts w:ascii="Times New Roman" w:cs="Times New Roman" w:eastAsia="Times New Roman" w:hAnsi="Times New Roman"/>
          <w:sz w:val="18"/>
          <w:szCs w:val="18"/>
          <w:color w:val="auto"/>
        </w:rPr>
      </w:pPr>
    </w:p>
    <w:p>
      <w:pPr>
        <w:ind w:left="300" w:right="339" w:firstLine="352"/>
        <w:spacing w:after="0" w:line="254" w:lineRule="auto"/>
        <w:tabs>
          <w:tab w:leader="none" w:pos="93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w:t>
      </w:r>
    </w:p>
    <w:p>
      <w:pPr>
        <w:spacing w:after="0" w:line="80" w:lineRule="exact"/>
        <w:rPr>
          <w:rFonts w:ascii="Times New Roman" w:cs="Times New Roman" w:eastAsia="Times New Roman" w:hAnsi="Times New Roman"/>
          <w:sz w:val="18"/>
          <w:szCs w:val="18"/>
          <w:color w:val="auto"/>
        </w:rPr>
      </w:pPr>
    </w:p>
    <w:p>
      <w:pPr>
        <w:ind w:left="300" w:right="539" w:firstLine="352"/>
        <w:spacing w:after="0" w:line="255" w:lineRule="auto"/>
        <w:tabs>
          <w:tab w:leader="none" w:pos="93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w:t>
      </w:r>
    </w:p>
    <w:p>
      <w:pPr>
        <w:spacing w:after="0" w:line="80" w:lineRule="exact"/>
        <w:rPr>
          <w:rFonts w:ascii="Times New Roman" w:cs="Times New Roman" w:eastAsia="Times New Roman" w:hAnsi="Times New Roman"/>
          <w:sz w:val="18"/>
          <w:szCs w:val="18"/>
          <w:color w:val="auto"/>
        </w:rPr>
      </w:pPr>
    </w:p>
    <w:p>
      <w:pPr>
        <w:ind w:left="300" w:right="299" w:firstLine="352"/>
        <w:spacing w:after="0" w:line="255" w:lineRule="auto"/>
        <w:tabs>
          <w:tab w:leader="none" w:pos="93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80" w:lineRule="exact"/>
        <w:rPr>
          <w:rFonts w:ascii="Times New Roman" w:cs="Times New Roman" w:eastAsia="Times New Roman" w:hAnsi="Times New Roman"/>
          <w:sz w:val="18"/>
          <w:szCs w:val="18"/>
          <w:color w:val="auto"/>
        </w:rPr>
      </w:pPr>
    </w:p>
    <w:p>
      <w:pPr>
        <w:ind w:left="300" w:right="339" w:firstLine="352"/>
        <w:spacing w:after="0" w:line="281" w:lineRule="auto"/>
        <w:tabs>
          <w:tab w:leader="none" w:pos="93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Agreement until Executed</w:t>
      </w:r>
      <w:r>
        <w:rPr>
          <w:rFonts w:ascii="Times New Roman" w:cs="Times New Roman" w:eastAsia="Times New Roman" w:hAnsi="Times New Roman"/>
          <w:sz w:val="17"/>
          <w:szCs w:val="17"/>
          <w:color w:val="auto"/>
        </w:rPr>
        <w:t>.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and this Agreement and the other Voting Agreements, including the Merger.</w:t>
      </w:r>
    </w:p>
    <w:p>
      <w:pPr>
        <w:spacing w:after="0" w:line="56" w:lineRule="exact"/>
        <w:rPr>
          <w:rFonts w:ascii="Times New Roman" w:cs="Times New Roman" w:eastAsia="Times New Roman" w:hAnsi="Times New Roman"/>
          <w:sz w:val="17"/>
          <w:szCs w:val="17"/>
          <w:color w:val="auto"/>
        </w:rPr>
      </w:pPr>
    </w:p>
    <w:p>
      <w:pPr>
        <w:ind w:left="300" w:right="399" w:firstLine="352"/>
        <w:spacing w:after="0" w:line="261" w:lineRule="auto"/>
        <w:tabs>
          <w:tab w:leader="none" w:pos="93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Parent shall reimburse the Stockholder for the Stockholder’s reasonable and documented out-of-pocket legal fees and expenses incurred in connection with the negotiation and execution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reimbursement of such fees and expenses in excess of $25,000 will require the prior written approval of Parent and (b) such reimbursement shall only be payable upon the occurrence of the Effective Time.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on the date and year first above written.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ATHENA PURCHASER, LLC</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19113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34290</wp:posOffset>
            </wp:positionV>
            <wp:extent cx="19113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Owned Shares</w:t>
      </w:r>
    </w:p>
    <w:p>
      <w:pPr>
        <w:spacing w:after="0" w:line="146"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4220" w:type="dxa"/>
            <w:vAlign w:val="bottom"/>
            <w:tcBorders>
              <w:top w:val="single" w:sz="8" w:color="auto"/>
              <w:left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4200" w:type="dxa"/>
            <w:vAlign w:val="bottom"/>
            <w:tcBorders>
              <w:top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Owned Shares</w:t>
            </w:r>
          </w:p>
        </w:tc>
      </w:tr>
      <w:tr>
        <w:trPr>
          <w:trHeight w:val="23"/>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331"/>
        </w:trPr>
        <w:tc>
          <w:tcPr>
            <w:tcW w:w="4220" w:type="dxa"/>
            <w:vAlign w:val="bottom"/>
            <w:tcBorders>
              <w:left w:val="single" w:sz="8" w:color="auto"/>
              <w:bottom w:val="single" w:sz="8" w:color="auto"/>
              <w:right w:val="single" w:sz="8" w:color="auto"/>
            </w:tcBorders>
          </w:tcPr>
          <w:p>
            <w:pPr>
              <w:spacing w:after="0"/>
              <w:rPr>
                <w:sz w:val="24"/>
                <w:szCs w:val="24"/>
                <w:color w:val="auto"/>
              </w:rPr>
            </w:pPr>
          </w:p>
        </w:tc>
        <w:tc>
          <w:tcPr>
            <w:tcW w:w="42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of Mistras Group,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160020</wp:posOffset>
            </wp:positionV>
            <wp:extent cx="1002665" cy="925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100266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CONFIDENTIAL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17,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Mistras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Group, Inc. 195 Clarksville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Road Princeton Junction,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NJ 08550</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17"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understand that Mistras Group, Inc. (the “Company”) proposes to enter into an agreement and plan of merger (the “Agreement”) with Athena Purchaser, LLC (the “Parent”), as affiliate of HIG (as defined below), and Athena Merger Sub, Inc., a wholly owned subsidiary of the Parent (“Acquisition Sub”). Pursuant to the Agreement, Acquisition Sub shall be merged with and into the Company and the Company will continue as the surviving corporation (the “Merger”), and each outstanding share of the Company’s common stock, $0.01 par value per share, other than shares (i) held by the Company as treasury stock (“Treasury Shares”), (ii) held by the Parent, Acquisition Sub or any other direct or indirect wholly owned subsidiary of the Parent (Acquisition Sub and such subsidiaries collectively, “Affiliates”), or (iii) held by holders who are entitled to demand and has properly demanded statutory appraisal rights and as of the effective time of the Merger, have neither effectively withdrawn nor lost their rights to such appraisal and payment (“Dissenting Shares”), shall be converted into the right to receive $20.35 in cash (the “Merger Consideration”, and such conversion together with the Merger, the “Transaction”). “Excluded Holders” shall be defined as the holders of Treasury Shares, the Parent and its Affiliates, and, if applicable, Dissenting Shares. For purposes of this opinion, and with your consent, we have assumed that the Company currently has approximately 33.8 million shares of common stock issued and outstanding on a fully-diluted basis.</w:t>
      </w:r>
    </w:p>
    <w:p>
      <w:pPr>
        <w:spacing w:after="0" w:line="8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your consideration of the Transaction, the Board of Directors (the “Board”) of the Company (in its capacity as such) has requested the opinion of Robert W. Baird &amp; Co. Incorporated (“Baird”) as to the fairness, from a financial point of view, to the holders of the Company’s common stock (other than Excluded Holders) of the Merger Consideration to be received by such holders in the Transaction. We express no opinion about the fairness of any amount or nature of the compensation or consideration payable to any of the Company’s officers, directors or employees, or any class of such persons, or to any particular stockholder relative to the Merger Consideration to be received by the holders of the Company’s common stock. You have not asked us to express, and we are not expressing, any opinion with respect to any of the other financial or non-financial terms, conditions, determinations or actions with respect to the Transaction.</w:t>
      </w:r>
    </w:p>
    <w:p>
      <w:pPr>
        <w:spacing w:after="0" w:line="80"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7"/>
          <w:szCs w:val="17"/>
          <w:color w:val="auto"/>
        </w:rPr>
        <w:t>In conducting our financial analyses and in arriving at our opinion, we have reviewed such information and have taken into account such financial and economic factors, investment banking procedures and considerations as we have deemed relevant under the circumstances. In that connection, and subject to the various assumptions, qualifications and limitations set forth herein, we have, among other things: (i) reviewed certain internal information, primarily financial in nature, including (A) financial forecasts of the Company for the fiscal years ending December 31, 2026 through 2030 concerning the business and operations of the Company (the “Forecasts”) furnished to us, and prepared and certified, by the Company’s management for purposes of our analyses, and</w:t>
      </w:r>
    </w:p>
    <w:p>
      <w:pPr>
        <w:spacing w:after="0" w:line="2" w:lineRule="exact"/>
        <w:rPr>
          <w:sz w:val="20"/>
          <w:szCs w:val="20"/>
          <w:color w:val="auto"/>
        </w:rPr>
      </w:pPr>
    </w:p>
    <w:p>
      <w:pPr>
        <w:ind w:left="300" w:right="619" w:hanging="8"/>
        <w:spacing w:after="0" w:line="277" w:lineRule="auto"/>
        <w:tabs>
          <w:tab w:leader="none" w:pos="585"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of the Company for the fiscal years ended December 31, 2022 through 2025 and interim financial statements of the Company for the six-month period ended June 30, 2026, which the Company’s management has prepared and identified as being the most current financial statements available; (ii) reviewed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of Mistras Group,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17, 2026</w:t>
      </w:r>
    </w:p>
    <w:p>
      <w:pPr>
        <w:spacing w:after="0" w:line="13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certain publicly available information, including, but not limited to, the Company’s recent filings with the Securities and Exchange Commission; (iii) reviewed the principal financial terms of the draft dated September 16, 2026 of the Agreement in the form expected to be presented to the Board as they related to our analyses; (iv) compared the financial position and operating results of the Company with those of certain other publicly traded companies we deemed relevant; (v) compared the market trading multiples of the Company’s common stock with those of certain other publicly traded companies we deemed relevant; (vi) compared the proposed enterprise value of the Company based on the aggregate Merger Consideration with the reported implied enterprise values of certain other transactions we deemed relevant; and (vii) reviewed the Company’s certificate regarding information, financial statements and projections addressed to Robert W. Baird &amp; Co. Incorporated. We have held discussions with members of the Company’s senior management concerning the Company’s historical and current financial condition and operating results, as well as the future prospects of the Company. Although as a part of our engagement, we were not requested by you to, and we did not, solicit third party indications of interest in acquiring all or any part of the Company prior to the date hereof, we have been requested to solicit third party indications of interest in acquiring the Company for a prescribed period following the execution of the Agreement. We were not involved in assisting the Parent in obtaining any financing of the Transaction. We have also considered such other information, financial studies, analyses and investigations and financial, economic and market criteria which we deemed relevant for the preparation of this opinion.</w:t>
      </w:r>
    </w:p>
    <w:p>
      <w:pPr>
        <w:spacing w:after="0" w:line="85"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In arriving at our opinion, we have assumed and relied upon, without independent verification, the accuracy and completeness of all of the financial and other information that was publicly available or provided to us by or on behalf of the Company. We have not independently verified any publicly available information or information supplied to us by the Company or the Parent. We have not been engaged to independently verify, have not assumed any responsibility to verify, assume no liability for, and express no opinion on, any such information, and we have assumed and relied upon, without independent verification, that the Company is aware of any information that might be material to our opinion that has not been provided to us. We have assumed and relied upon, without independent verification, that: (i) all material assets and liabilities (contingent or otherwise, known or unknown) of the Company are as set forth in the Company’s most recent financial statements provided to us, and there is no information or facts that would make any of the information reviewed by us incomplete or misleading; (ii) the financial statements of the Company provided to us present fairly, in all material respects, the results of operations, cash flows and financial condition of the Company for the periods, and as of the dates, indicated and were prepared in conformity with U.S. generally accepted accounting principles consistently applied; (iii) the Forecasts for the Company were reasonably prepared on bases reflecting the best available estimates and good faith judgments of the Company’s senior management as to the future performance of the Company, and we have relied, without independent verification, upon such Forecasts in the preparation of this opinion, although we express no opinion with respect to the Forecasts or any judgments, estimates, assumptions or basis on which they were based, and we have assumed, without independent verification, that the Forecasts will be realized in the amounts and on the time schedule contemplated;</w:t>
      </w:r>
    </w:p>
    <w:p>
      <w:pPr>
        <w:spacing w:after="0" w:line="6" w:lineRule="exact"/>
        <w:rPr>
          <w:sz w:val="20"/>
          <w:szCs w:val="20"/>
          <w:color w:val="auto"/>
        </w:rPr>
      </w:pPr>
    </w:p>
    <w:p>
      <w:pPr>
        <w:ind w:left="300" w:right="299" w:hanging="8"/>
        <w:spacing w:after="0" w:line="251" w:lineRule="auto"/>
        <w:tabs>
          <w:tab w:leader="none" w:pos="60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respects material to our analyses, the Transaction will be consummated in accordance with the terms and conditions of the Agreement without any amendment or modification thereto and without waiver by any party of any of the conditions to their respective obligations thereunder; (v) in all respects material to our analyses, the representations and warranties contained in the Agreement are true and correct and that each party will perform all of the covenants and agreements required to be performed by it under the Agreement; and (vi) all corporate, governmental, regulatory or other consents and approvals (contractual or otherwise) required to consummate the Transaction have been, or will be, obtained without the need for any material changes to the Merger Consideration or other material financial terms or conditions of the Transaction or that would otherwise materially affect the Company or our analyses. We have relied upon and assumed, without independent verification, that the final form of any draft documents referred to above will not differ in any material respect from such draft documents. We have relied on the fact that the Company has been counseled by professional advisors with respect to all legal, regulatory, accounting, insurance and tax matters regarding the Transaction and we have assumed without independent verification that all such advice was correct and we have not expressed an opinion on such matters as they relate to the Transaction. In conducting our review, we have not undertaken or obtained an independent evaluation or appraisal of any of the assets or liabilities (contingent or otherwise, known or unknown) or solvency of the Company or the Parent nor have we made a physical inspection of the properties or facilities of the Company or the Parent. In each case above, we have made the assumptions and taken the actions or inactions described above with your knowledge and consent.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of Mistras Group,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17, 2026</w:t>
      </w:r>
    </w:p>
    <w:p>
      <w:pPr>
        <w:spacing w:after="0" w:line="13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Our opinion necessarily is based upon economic, monetary and market conditions as they exist and can be evaluated on the date hereof, and our opinion does not predict or take into account any changes which may occur, or information which may become available, after the date hereof. We are under no obligation to update, revise, reaffirm or withdraw this opinion, or otherwise comment on or consider events occurring after the date hereof. Furthermore, we express no opinion as to the price or trading range at which any of the Company’s securities (including the Company’s common stock) will trade following the date hereof or as to the effect of the Transaction on such price or trading range. Such price and trading range may be affected by a number of factors, including but not limited to (i) dispositions of the common stock of the Company by stockholders within a short period of time after, or other market effects resulting from, the announcement of the Transaction; (ii) changes in prevailing interest rates and other factors which generally influence the price of securities; (iii) adverse changes in the current capital markets; (iv) the occurrence of adverse changes in the financial condition, business, assets, results of operations or prospects of the Company or in the Company’s industry; (v) any necessary actions by, or restrictions of, federal, state or other governmental agencies or regulatory authorities; and (vi) timely completion of the Transaction on terms and conditions that are acceptable to all parties at interest.</w:t>
      </w:r>
    </w:p>
    <w:p>
      <w:pPr>
        <w:spacing w:after="0" w:line="8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Our opinion has been prepared at the request and for the information of the Board, and may not be used for any other purpose or disclosed to any other party without our prior written consent. This opinion does not address the relative merits or risks of: (i) the Transaction, the Agreement or any other agreements or other matters provided for, or contemplated by, the Agreement; (ii) any other transactions that may be, or might have been, available as an alternative to the Transaction; or (iii) the Transaction compared to any other potential alternative transactions or business strategies considered by the Board and, accordingly, we have relied upon our discussions with the senior management of the Company with respect to the availability and consequences of any alternatives to the Transaction. This opinion does not constitute a recommendation to the Board, any security holder or any other person as to how any such person should vote or act with respect to the Transaction, or whether to enter into a voting agreement with the Company.</w:t>
      </w:r>
    </w:p>
    <w:p>
      <w:pPr>
        <w:spacing w:after="0" w:line="86"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(a “Transaction Fee”) for our services, which is contingent upon the consummation of the Transaction. We will also receive a separate fee for rendering this opinion, which fee is not contingent upon the conclusion of our opinion or the consummation of the Transaction, but is fully creditable against the contingent Transaction Fee (if paid). In addition, the Company has agreed to reimburse us for certain of our expenses and to indemnify us and certain related parties against certain liabilities that may arise out of our engagement. We will not receive any other significant payment or compensation contingent upon the successful completion of the Transaction.</w:t>
      </w:r>
    </w:p>
    <w:p>
      <w:pPr>
        <w:spacing w:after="0" w:line="81" w:lineRule="exact"/>
        <w:rPr>
          <w:sz w:val="20"/>
          <w:szCs w:val="20"/>
          <w:color w:val="auto"/>
        </w:rPr>
      </w:pPr>
    </w:p>
    <w:p>
      <w:pPr>
        <w:ind w:left="300" w:right="319" w:firstLine="360"/>
        <w:spacing w:after="0" w:line="276" w:lineRule="auto"/>
        <w:rPr>
          <w:sz w:val="20"/>
          <w:szCs w:val="20"/>
          <w:color w:val="auto"/>
        </w:rPr>
      </w:pPr>
      <w:r>
        <w:rPr>
          <w:rFonts w:ascii="Times New Roman" w:cs="Times New Roman" w:eastAsia="Times New Roman" w:hAnsi="Times New Roman"/>
          <w:sz w:val="17"/>
          <w:szCs w:val="17"/>
          <w:color w:val="auto"/>
        </w:rPr>
        <w:t>In the past two years, neither Baird nor any of its affiliates have provided investment banking or financial advisory services to the Company, Parent or HIG, for which Baird received any compensation, other than as follows:</w:t>
      </w:r>
    </w:p>
    <w:p>
      <w:pPr>
        <w:spacing w:after="0" w:line="1" w:lineRule="exact"/>
        <w:rPr>
          <w:sz w:val="20"/>
          <w:szCs w:val="20"/>
          <w:color w:val="auto"/>
        </w:rPr>
      </w:pPr>
    </w:p>
    <w:p>
      <w:pPr>
        <w:ind w:left="300" w:right="379" w:hanging="8"/>
        <w:spacing w:after="0" w:line="251" w:lineRule="auto"/>
        <w:tabs>
          <w:tab w:leader="none" w:pos="51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Baird represented HIG in its acquisition of ITH Pharma; (ii) in April and August 2025, Baird represented HIG in its sale of each of Koozie Group and EBI, LLC, respectively, and (iii) in July 2026, Baird represented HIG in its sale of ECI. No material relationship between the Company, the Parent, or any affiliate of the Company or the Parent, or any other party to the Transaction (including HIG), on the one hand, and Baird, on the other hand, is mutually understood to be contemplated in which any compensation is intended to be received, other than as follows: Baird is currently representing HIG in the potential sale of certain of its portfolio companies which are unrelated to the Transaction. If all of such portfolio companies are sold, Baird expects the fees payable to it to exceed the fees payable to Baird in connection with the Transaction.</w:t>
      </w:r>
    </w:p>
    <w:p>
      <w:pPr>
        <w:spacing w:after="0" w:line="86" w:lineRule="exact"/>
        <w:rPr>
          <w:sz w:val="20"/>
          <w:szCs w:val="20"/>
          <w:color w:val="auto"/>
        </w:rPr>
      </w:pPr>
    </w:p>
    <w:p>
      <w:pPr>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In the ordinary course of business, Baird may from time to time provide investment banking, advisory, brokerage and other services to clients that may be competitors or suppliers to, or customers or security holders of, the Company or the Parent or any other party that may be involved in the Transaction and their respective affiliates or that may otherwise participate or be involved in the same or a similar business or industry as the Company or the Parent. In addition, Baird and certain of its employees and affiliates, as well as investment funds in which they may have financial interests or with which they may co-invest, may from time to time hold or trade the securities of the Company and/or the Parent (including the Company’s common stock) for their own account or the accounts of our customers and, accordingly, may at any time hold long or short positions or effect transactions in such securities. In addition, Baird and certain of its affiliates and certain of our and their respective employees may have committed to invest in private equity or other investment funds managed or advised by H.I.G. Capital, LLC (together with its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of Mistras Group,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17, 2026</w:t>
      </w:r>
    </w:p>
    <w:p>
      <w:pPr>
        <w:spacing w:after="0" w:line="13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affiliates, and its and their portfolio companies (“HIG”)) or certain of its affiliates, and in portfolio companies of such funds, and may have co-invested with Parent, other equityholders of Parent or certain of their respective affiliates, and may do so in the future. Baird also serves as a market maker in the publicly traded securities of the Company.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 was approved by our firm’s internal fairness committee.</w:t>
      </w:r>
    </w:p>
    <w:p>
      <w:pPr>
        <w:spacing w:after="0" w:line="11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qualifications and limitations set forth herein, we are of the opinion that, as of the date hereof, the Merger Consideration to be received by the holders of the Company’s common stock (other than Excluded Holders) in the Transaction is fair, from a financial point of view, to such holders.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ROBERT W. BAIRD &amp; CO. INCORPORATED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ROBERT W. BAIRD &amp; CO. INCORPORATED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262 of the Delaware General Corporation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262. Appraisal rights.</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w:t>
      </w:r>
    </w:p>
    <w:p>
      <w:pPr>
        <w:spacing w:after="0" w:line="3"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86"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81"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6"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79"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72" w:lineRule="exact"/>
        <w:rPr>
          <w:sz w:val="20"/>
          <w:szCs w:val="20"/>
          <w:color w:val="auto"/>
        </w:rPr>
      </w:pPr>
    </w:p>
    <w:p>
      <w:pPr>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72" w:lineRule="exact"/>
        <w:rPr>
          <w:sz w:val="20"/>
          <w:szCs w:val="20"/>
          <w:color w:val="auto"/>
        </w:rPr>
      </w:pPr>
    </w:p>
    <w:p>
      <w:pPr>
        <w:ind w:left="1020" w:right="799" w:firstLine="360"/>
        <w:spacing w:after="0" w:line="282" w:lineRule="auto"/>
        <w:rPr>
          <w:sz w:val="20"/>
          <w:szCs w:val="20"/>
          <w:color w:val="auto"/>
        </w:rPr>
      </w:pPr>
      <w:r>
        <w:rPr>
          <w:rFonts w:ascii="Times New Roman" w:cs="Times New Roman" w:eastAsia="Times New Roman" w:hAnsi="Times New Roman"/>
          <w:sz w:val="18"/>
          <w:szCs w:val="18"/>
          <w:color w:val="auto"/>
        </w:rPr>
        <w:t>c.  Cash in lieu of fractional shares or fractional depository receipts described in the foregoing paragraphs (b)(2)a. and b. of this section; or</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d.   Any combination of the shares of stock, depository receipts and cash in lieu of fractional shares</w:t>
      </w:r>
    </w:p>
    <w:p>
      <w:pPr>
        <w:spacing w:after="0" w:line="27" w:lineRule="exact"/>
        <w:rPr>
          <w:sz w:val="20"/>
          <w:szCs w:val="20"/>
          <w:color w:val="auto"/>
        </w:rPr>
      </w:pPr>
    </w:p>
    <w:p>
      <w:pPr>
        <w:ind w:left="4360" w:right="559" w:hanging="3351"/>
        <w:spacing w:after="0" w:line="511" w:lineRule="auto"/>
        <w:rPr>
          <w:sz w:val="20"/>
          <w:szCs w:val="20"/>
          <w:color w:val="auto"/>
        </w:rPr>
      </w:pPr>
      <w:r>
        <w:rPr>
          <w:rFonts w:ascii="Times New Roman" w:cs="Times New Roman" w:eastAsia="Times New Roman" w:hAnsi="Times New Roman"/>
          <w:sz w:val="18"/>
          <w:szCs w:val="18"/>
          <w:color w:val="auto"/>
        </w:rPr>
        <w:t>or fractional depository receipts described in the foregoing paragraphs (b)(2)a., b. and c. of this section.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   In the event all of the stock of a subsidiary Delaware corporation party to a merger effected under §</w:t>
      </w:r>
    </w:p>
    <w:p>
      <w:pPr>
        <w:spacing w:after="0" w:line="27" w:lineRule="exact"/>
        <w:rPr>
          <w:sz w:val="20"/>
          <w:szCs w:val="20"/>
          <w:color w:val="auto"/>
        </w:rPr>
      </w:pPr>
    </w:p>
    <w:p>
      <w:pPr>
        <w:ind w:left="660" w:right="559"/>
        <w:spacing w:after="0" w:line="260" w:lineRule="auto"/>
        <w:rPr>
          <w:sz w:val="20"/>
          <w:szCs w:val="20"/>
          <w:color w:val="auto"/>
        </w:rPr>
      </w:pPr>
      <w:r>
        <w:rPr>
          <w:rFonts w:ascii="Times New Roman" w:cs="Times New Roman" w:eastAsia="Times New Roman" w:hAnsi="Times New Roman"/>
          <w:sz w:val="18"/>
          <w:szCs w:val="18"/>
          <w:color w:val="auto"/>
        </w:rPr>
        <w:t>253 or § 267 of this title is not owned by the parent immediately prior to the merger, appraisal rights shall be available for the shares of the subsidiary Delaware corporation.</w:t>
      </w:r>
    </w:p>
    <w:p>
      <w:pPr>
        <w:spacing w:after="0" w:line="1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   [Repealed.]</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Appraisal rights shall be perfected as follows:</w:t>
      </w:r>
    </w:p>
    <w:p>
      <w:pPr>
        <w:spacing w:after="0" w:line="117" w:lineRule="exact"/>
        <w:rPr>
          <w:sz w:val="20"/>
          <w:szCs w:val="20"/>
          <w:color w:val="auto"/>
        </w:rPr>
      </w:pPr>
    </w:p>
    <w:p>
      <w:pPr>
        <w:ind w:left="660" w:right="339" w:firstLine="360"/>
        <w:spacing w:after="0" w:line="251" w:lineRule="auto"/>
        <w:rPr>
          <w:sz w:val="20"/>
          <w:szCs w:val="20"/>
          <w:color w:val="auto"/>
        </w:rPr>
      </w:pPr>
      <w:r>
        <w:rPr>
          <w:rFonts w:ascii="Times New Roman" w:cs="Times New Roman" w:eastAsia="Times New Roman" w:hAnsi="Times New Roman"/>
          <w:sz w:val="18"/>
          <w:szCs w:val="18"/>
          <w:color w:val="auto"/>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96" w:lineRule="exact"/>
        <w:rPr>
          <w:sz w:val="20"/>
          <w:szCs w:val="20"/>
          <w:color w:val="auto"/>
        </w:rPr>
      </w:pPr>
    </w:p>
    <w:p>
      <w:pPr>
        <w:ind w:left="660" w:right="359" w:firstLine="360"/>
        <w:spacing w:after="0" w:line="268" w:lineRule="auto"/>
        <w:rPr>
          <w:sz w:val="20"/>
          <w:szCs w:val="20"/>
          <w:color w:val="auto"/>
        </w:rPr>
      </w:pPr>
      <w:r>
        <w:rPr>
          <w:rFonts w:ascii="Times New Roman" w:cs="Times New Roman" w:eastAsia="Times New Roman" w:hAnsi="Times New Roman"/>
          <w:sz w:val="17"/>
          <w:szCs w:val="17"/>
          <w:color w:val="auto"/>
        </w:rPr>
        <w:t>(2)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1" w:lineRule="auto"/>
        <w:rPr>
          <w:sz w:val="20"/>
          <w:szCs w:val="20"/>
          <w:color w:val="auto"/>
        </w:rPr>
      </w:pPr>
      <w:r>
        <w:rPr>
          <w:rFonts w:ascii="Times New Roman" w:cs="Times New Roman" w:eastAsia="Times New Roman" w:hAnsi="Times New Roman"/>
          <w:sz w:val="18"/>
          <w:szCs w:val="18"/>
          <w:color w:val="auto"/>
        </w:rPr>
        <w:t>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95" w:lineRule="exact"/>
        <w:rPr>
          <w:sz w:val="20"/>
          <w:szCs w:val="20"/>
          <w:color w:val="auto"/>
        </w:rPr>
      </w:pPr>
    </w:p>
    <w:p>
      <w:pPr>
        <w:ind w:left="660" w:right="579" w:firstLine="360"/>
        <w:spacing w:after="0" w:line="253" w:lineRule="auto"/>
        <w:rPr>
          <w:sz w:val="20"/>
          <w:szCs w:val="20"/>
          <w:color w:val="auto"/>
        </w:rPr>
      </w:pPr>
      <w:r>
        <w:rPr>
          <w:rFonts w:ascii="Times New Roman" w:cs="Times New Roman" w:eastAsia="Times New Roman" w:hAnsi="Times New Roman"/>
          <w:sz w:val="18"/>
          <w:szCs w:val="18"/>
          <w:color w:val="auto"/>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84"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  Within 120 days after the effective date of the merger, consolidation, conversion, transfer, domestication or continuance, the surviving, resulting or converted entity, or any person who has complied with subsections (a) and</w:t>
      </w:r>
    </w:p>
    <w:p>
      <w:pPr>
        <w:ind w:left="300" w:right="339" w:hanging="8"/>
        <w:spacing w:after="0" w:line="265" w:lineRule="auto"/>
        <w:tabs>
          <w:tab w:leader="none" w:pos="555"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w:t>
      </w:r>
    </w:p>
    <w:p>
      <w:pPr>
        <w:spacing w:after="0" w:line="1" w:lineRule="exact"/>
        <w:rPr>
          <w:rFonts w:ascii="Times New Roman" w:cs="Times New Roman" w:eastAsia="Times New Roman" w:hAnsi="Times New Roman"/>
          <w:sz w:val="17"/>
          <w:szCs w:val="17"/>
          <w:color w:val="auto"/>
        </w:rPr>
      </w:pPr>
    </w:p>
    <w:p>
      <w:pPr>
        <w:ind w:left="300" w:right="319" w:hanging="8"/>
        <w:spacing w:after="0" w:line="253" w:lineRule="auto"/>
        <w:tabs>
          <w:tab w:leader="none" w:pos="5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72" w:lineRule="auto"/>
        <w:rPr>
          <w:sz w:val="20"/>
          <w:szCs w:val="20"/>
          <w:color w:val="auto"/>
        </w:rPr>
      </w:pPr>
      <w:r>
        <w:rPr>
          <w:rFonts w:ascii="Times New Roman" w:cs="Times New Roman" w:eastAsia="Times New Roman" w:hAnsi="Times New Roman"/>
          <w:sz w:val="17"/>
          <w:szCs w:val="17"/>
          <w:color w:val="auto"/>
        </w:rPr>
        <w:t>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6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8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82"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w:t>
      </w:r>
    </w:p>
    <w:p>
      <w:pPr>
        <w:spacing w:after="0" w:line="12" w:lineRule="exact"/>
        <w:rPr>
          <w:sz w:val="20"/>
          <w:szCs w:val="20"/>
          <w:color w:val="auto"/>
        </w:rPr>
      </w:pPr>
    </w:p>
    <w:p>
      <w:pPr>
        <w:ind w:left="300" w:right="339" w:hanging="8"/>
        <w:spacing w:after="0" w:line="252" w:lineRule="auto"/>
        <w:tabs>
          <w:tab w:leader="none" w:pos="5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8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8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7B4D84"/>
    <w:multiLevelType w:val="hybridMultilevel"/>
    <w:lvl w:ilvl="0">
      <w:lvlJc w:val="left"/>
      <w:lvlText w:val="☒"/>
      <w:numFmt w:val="bullet"/>
      <w:start w:val="1"/>
    </w:lvl>
    <w:lvl w:ilvl="1">
      <w:lvlJc w:val="left"/>
      <w:lvlText w:val="☐"/>
      <w:numFmt w:val="bullet"/>
      <w:start w:val="1"/>
    </w:lvl>
  </w:abstractNum>
  <w:abstractNum w:abstractNumId="1">
    <w:nsid w:val="F819E7F"/>
    <w:multiLevelType w:val="hybridMultilevel"/>
    <w:lvl w:ilvl="0">
      <w:lvlJc w:val="left"/>
      <w:lvlText w:val="☒"/>
      <w:numFmt w:val="bullet"/>
      <w:start w:val="1"/>
    </w:lvl>
    <w:lvl w:ilvl="1">
      <w:lvlJc w:val="left"/>
      <w:lvlText w:val="☐"/>
      <w:numFmt w:val="bullet"/>
      <w:start w:val="1"/>
    </w:lvl>
  </w:abstractNum>
  <w:abstractNum w:abstractNumId="2">
    <w:nsid w:val="57C7D42D"/>
    <w:multiLevelType w:val="hybridMultilevel"/>
    <w:lvl w:ilvl="0">
      <w:lvlJc w:val="left"/>
      <w:lvlText w:val="(%1)"/>
      <w:numFmt w:val="lowerRoman"/>
      <w:start w:val="1"/>
    </w:lvl>
  </w:abstractNum>
  <w:abstractNum w:abstractNumId="3">
    <w:nsid w:val="312167AD"/>
    <w:multiLevelType w:val="hybridMultilevel"/>
    <w:lvl w:ilvl="0">
      <w:lvlJc w:val="left"/>
      <w:lvlText w:val="1"/>
      <w:numFmt w:val="bullet"/>
      <w:start w:val="1"/>
    </w:lvl>
  </w:abstractNum>
  <w:abstractNum w:abstractNumId="4">
    <w:nsid w:val="631B64D4"/>
    <w:multiLevelType w:val="hybridMultilevel"/>
    <w:lvl w:ilvl="0">
      <w:lvlJc w:val="left"/>
      <w:lvlText w:val="2"/>
      <w:numFmt w:val="bullet"/>
      <w:start w:val="1"/>
    </w:lvl>
  </w:abstractNum>
  <w:abstractNum w:abstractNumId="5">
    <w:nsid w:val="78B5E776"/>
    <w:multiLevelType w:val="hybridMultilevel"/>
    <w:lvl w:ilvl="0">
      <w:lvlJc w:val="left"/>
      <w:lvlText w:val="3"/>
      <w:numFmt w:val="bullet"/>
      <w:start w:val="1"/>
    </w:lvl>
  </w:abstractNum>
  <w:abstractNum w:abstractNumId="6">
    <w:nsid w:val="75486E47"/>
    <w:multiLevelType w:val="hybridMultilevel"/>
    <w:lvl w:ilvl="0">
      <w:lvlJc w:val="left"/>
      <w:lvlText w:val="(%1)"/>
      <w:numFmt w:val="decimal"/>
      <w:start w:val="609"/>
    </w:lvl>
  </w:abstractNum>
  <w:abstractNum w:abstractNumId="7">
    <w:nsid w:val="6E534CDE"/>
    <w:multiLevelType w:val="hybridMultilevel"/>
    <w:lvl w:ilvl="0">
      <w:lvlJc w:val="left"/>
      <w:lvlText w:val="(%1)"/>
      <w:numFmt w:val="lowerRoman"/>
      <w:start w:val="1"/>
    </w:lvl>
  </w:abstractNum>
  <w:abstractNum w:abstractNumId="8">
    <w:nsid w:val="1A0DDE32"/>
    <w:multiLevelType w:val="hybridMultilevel"/>
    <w:lvl w:ilvl="0">
      <w:lvlJc w:val="left"/>
      <w:lvlText w:val="(%1)"/>
      <w:numFmt w:val="lowerRoman"/>
      <w:start w:val="1"/>
    </w:lvl>
  </w:abstractNum>
  <w:abstractNum w:abstractNumId="9">
    <w:nsid w:val="65968C1C"/>
    <w:multiLevelType w:val="hybridMultilevel"/>
    <w:lvl w:ilvl="0">
      <w:lvlJc w:val="left"/>
      <w:lvlText w:val="(%1)"/>
      <w:numFmt w:val="lowerRoman"/>
      <w:start w:val="4"/>
    </w:lvl>
  </w:abstractNum>
  <w:abstractNum w:abstractNumId="10">
    <w:nsid w:val="46263DEC"/>
    <w:multiLevelType w:val="hybridMultilevel"/>
    <w:lvl w:ilvl="0">
      <w:lvlJc w:val="left"/>
      <w:lvlText w:val="•"/>
      <w:numFmt w:val="bullet"/>
      <w:start w:val="1"/>
    </w:lvl>
  </w:abstractNum>
  <w:abstractNum w:abstractNumId="11">
    <w:nsid w:val="260D8C4A"/>
    <w:multiLevelType w:val="hybridMultilevel"/>
    <w:lvl w:ilvl="0">
      <w:lvlJc w:val="left"/>
      <w:lvlText w:val="•"/>
      <w:numFmt w:val="bullet"/>
      <w:start w:val="1"/>
    </w:lvl>
  </w:abstractNum>
  <w:abstractNum w:abstractNumId="12">
    <w:nsid w:val="73D4D3C4"/>
    <w:multiLevelType w:val="hybridMultilevel"/>
    <w:lvl w:ilvl="0">
      <w:lvlJc w:val="left"/>
      <w:lvlText w:val="•"/>
      <w:numFmt w:val="bullet"/>
      <w:start w:val="1"/>
    </w:lvl>
  </w:abstractNum>
  <w:abstractNum w:abstractNumId="13">
    <w:nsid w:val="746F2E30"/>
    <w:multiLevelType w:val="hybridMultilevel"/>
    <w:lvl w:ilvl="0">
      <w:lvlJc w:val="left"/>
      <w:lvlText w:val="•"/>
      <w:numFmt w:val="bullet"/>
      <w:start w:val="1"/>
    </w:lvl>
  </w:abstractNum>
  <w:abstractNum w:abstractNumId="14">
    <w:nsid w:val="6FDE8AF6"/>
    <w:multiLevelType w:val="hybridMultilevel"/>
    <w:lvl w:ilvl="0">
      <w:lvlJc w:val="left"/>
      <w:lvlText w:val="•"/>
      <w:numFmt w:val="bullet"/>
      <w:start w:val="1"/>
    </w:lvl>
  </w:abstractNum>
  <w:abstractNum w:abstractNumId="15">
    <w:nsid w:val="3FC32E20"/>
    <w:multiLevelType w:val="hybridMultilevel"/>
    <w:lvl w:ilvl="0">
      <w:lvlJc w:val="left"/>
      <w:lvlText w:val="•"/>
      <w:numFmt w:val="bullet"/>
      <w:start w:val="1"/>
    </w:lvl>
  </w:abstractNum>
  <w:abstractNum w:abstractNumId="16">
    <w:nsid w:val="49C0E823"/>
    <w:multiLevelType w:val="hybridMultilevel"/>
    <w:lvl w:ilvl="0">
      <w:lvlJc w:val="left"/>
      <w:lvlText w:val="•"/>
      <w:numFmt w:val="bullet"/>
      <w:start w:val="1"/>
    </w:lvl>
  </w:abstractNum>
  <w:abstractNum w:abstractNumId="17">
    <w:nsid w:val="14D53685"/>
    <w:multiLevelType w:val="hybridMultilevel"/>
    <w:lvl w:ilvl="0">
      <w:lvlJc w:val="left"/>
      <w:lvlText w:val="•"/>
      <w:numFmt w:val="bullet"/>
      <w:start w:val="1"/>
    </w:lvl>
  </w:abstractNum>
  <w:abstractNum w:abstractNumId="18">
    <w:nsid w:val="230F856C"/>
    <w:multiLevelType w:val="hybridMultilevel"/>
    <w:lvl w:ilvl="0">
      <w:lvlJc w:val="left"/>
      <w:lvlText w:val="•"/>
      <w:numFmt w:val="bullet"/>
      <w:start w:val="1"/>
    </w:lvl>
  </w:abstractNum>
  <w:abstractNum w:abstractNumId="19">
    <w:nsid w:val="6EAA85FB"/>
    <w:multiLevelType w:val="hybridMultilevel"/>
    <w:lvl w:ilvl="0">
      <w:lvlJc w:val="left"/>
      <w:lvlText w:val="•"/>
      <w:numFmt w:val="bullet"/>
      <w:start w:val="1"/>
    </w:lvl>
  </w:abstractNum>
  <w:abstractNum w:abstractNumId="20">
    <w:nsid w:val="3F06ECB2"/>
    <w:multiLevelType w:val="hybridMultilevel"/>
    <w:lvl w:ilvl="0">
      <w:lvlJc w:val="left"/>
      <w:lvlText w:val="•"/>
      <w:numFmt w:val="bullet"/>
      <w:start w:val="1"/>
    </w:lvl>
  </w:abstractNum>
  <w:abstractNum w:abstractNumId="21">
    <w:nsid w:val="3B594807"/>
    <w:multiLevelType w:val="hybridMultilevel"/>
    <w:lvl w:ilvl="0">
      <w:lvlJc w:val="left"/>
      <w:lvlText w:val="•"/>
      <w:numFmt w:val="bullet"/>
      <w:start w:val="1"/>
    </w:lvl>
    <w:lvl w:ilvl="1">
      <w:lvlJc w:val="left"/>
      <w:lvlText w:val="○"/>
      <w:numFmt w:val="bullet"/>
      <w:start w:val="1"/>
    </w:lvl>
  </w:abstractNum>
  <w:abstractNum w:abstractNumId="22">
    <w:nsid w:val="6CAA2304"/>
    <w:multiLevelType w:val="hybridMultilevel"/>
    <w:lvl w:ilvl="0">
      <w:lvlJc w:val="left"/>
      <w:lvlText w:val="○"/>
      <w:numFmt w:val="bullet"/>
      <w:start w:val="1"/>
    </w:lvl>
  </w:abstractNum>
  <w:abstractNum w:abstractNumId="23">
    <w:nsid w:val="3F7C2FF4"/>
    <w:multiLevelType w:val="hybridMultilevel"/>
    <w:lvl w:ilvl="0">
      <w:lvlJc w:val="left"/>
      <w:lvlText w:val="•"/>
      <w:numFmt w:val="bullet"/>
      <w:start w:val="1"/>
    </w:lvl>
  </w:abstractNum>
  <w:abstractNum w:abstractNumId="24">
    <w:nsid w:val="25413BEC"/>
    <w:multiLevelType w:val="hybridMultilevel"/>
    <w:lvl w:ilvl="0">
      <w:lvlJc w:val="left"/>
      <w:lvlText w:val="•"/>
      <w:numFmt w:val="bullet"/>
      <w:start w:val="1"/>
    </w:lvl>
  </w:abstractNum>
  <w:abstractNum w:abstractNumId="25">
    <w:nsid w:val="17180B0B"/>
    <w:multiLevelType w:val="hybridMultilevel"/>
    <w:lvl w:ilvl="0">
      <w:lvlJc w:val="left"/>
      <w:lvlText w:val="%1:"/>
      <w:numFmt w:val="upperLetter"/>
      <w:start w:val="1"/>
    </w:lvl>
  </w:abstractNum>
  <w:abstractNum w:abstractNumId="26">
    <w:nsid w:val="579328B9"/>
    <w:multiLevelType w:val="hybridMultilevel"/>
    <w:lvl w:ilvl="0">
      <w:lvlJc w:val="left"/>
      <w:lvlText w:val="%1:"/>
      <w:numFmt w:val="upperLetter"/>
      <w:start w:val="1"/>
    </w:lvl>
    <w:lvl w:ilvl="1">
      <w:lvlJc w:val="left"/>
      <w:lvlText w:val="•"/>
      <w:numFmt w:val="bullet"/>
      <w:start w:val="1"/>
    </w:lvl>
  </w:abstractNum>
  <w:abstractNum w:abstractNumId="27">
    <w:nsid w:val="5D205E20"/>
    <w:multiLevelType w:val="hybridMultilevel"/>
    <w:lvl w:ilvl="0">
      <w:lvlJc w:val="left"/>
      <w:lvlText w:val="%1:"/>
      <w:numFmt w:val="upperLetter"/>
      <w:start w:val="1"/>
    </w:lvl>
  </w:abstractNum>
  <w:abstractNum w:abstractNumId="28">
    <w:nsid w:val="11CCA8BA"/>
    <w:multiLevelType w:val="hybridMultilevel"/>
    <w:lvl w:ilvl="0">
      <w:lvlJc w:val="left"/>
      <w:lvlText w:val="%1:"/>
      <w:numFmt w:val="upperLetter"/>
      <w:start w:val="1"/>
    </w:lvl>
    <w:lvl w:ilvl="1">
      <w:lvlJc w:val="left"/>
      <w:lvlText w:val="•"/>
      <w:numFmt w:val="bullet"/>
      <w:start w:val="1"/>
    </w:lvl>
  </w:abstractNum>
  <w:abstractNum w:abstractNumId="29">
    <w:nsid w:val="4D32AB86"/>
    <w:multiLevelType w:val="hybridMultilevel"/>
    <w:lvl w:ilvl="0">
      <w:lvlJc w:val="left"/>
      <w:lvlText w:val="%1:"/>
      <w:numFmt w:val="upperLetter"/>
      <w:start w:val="1"/>
    </w:lvl>
  </w:abstractNum>
  <w:abstractNum w:abstractNumId="30">
    <w:nsid w:val="3F07ACC3"/>
    <w:multiLevelType w:val="hybridMultilevel"/>
    <w:lvl w:ilvl="0">
      <w:lvlJc w:val="left"/>
      <w:lvlText w:val="%1:"/>
      <w:numFmt w:val="upperLetter"/>
      <w:start w:val="1"/>
    </w:lvl>
  </w:abstractNum>
  <w:abstractNum w:abstractNumId="31">
    <w:nsid w:val="6B47F63E"/>
    <w:multiLevelType w:val="hybridMultilevel"/>
    <w:lvl w:ilvl="0">
      <w:lvlJc w:val="left"/>
      <w:lvlText w:val="%1:"/>
      <w:numFmt w:val="upperLetter"/>
      <w:start w:val="1"/>
    </w:lvl>
  </w:abstractNum>
  <w:abstractNum w:abstractNumId="32">
    <w:nsid w:val="5CB44A05"/>
    <w:multiLevelType w:val="hybridMultilevel"/>
    <w:lvl w:ilvl="0">
      <w:lvlJc w:val="left"/>
      <w:lvlText w:val="%1:"/>
      <w:numFmt w:val="upperLetter"/>
      <w:start w:val="1"/>
    </w:lvl>
  </w:abstractNum>
  <w:abstractNum w:abstractNumId="33">
    <w:nsid w:val="16CF80F1"/>
    <w:multiLevelType w:val="hybridMultilevel"/>
    <w:lvl w:ilvl="0">
      <w:lvlJc w:val="left"/>
      <w:lvlText w:val="%1:"/>
      <w:numFmt w:val="upperLetter"/>
      <w:start w:val="1"/>
    </w:lvl>
    <w:lvl w:ilvl="1">
      <w:lvlJc w:val="left"/>
      <w:lvlText w:val="•"/>
      <w:numFmt w:val="bullet"/>
      <w:start w:val="1"/>
    </w:lvl>
  </w:abstractNum>
  <w:abstractNum w:abstractNumId="34">
    <w:nsid w:val="1C695DEC"/>
    <w:multiLevelType w:val="hybridMultilevel"/>
    <w:lvl w:ilvl="0">
      <w:lvlJc w:val="left"/>
      <w:lvlText w:val="%1:"/>
      <w:numFmt w:val="upperLetter"/>
      <w:start w:val="1"/>
    </w:lvl>
  </w:abstractNum>
  <w:abstractNum w:abstractNumId="35">
    <w:nsid w:val="3FCFAED9"/>
    <w:multiLevelType w:val="hybridMultilevel"/>
    <w:lvl w:ilvl="0">
      <w:lvlJc w:val="left"/>
      <w:lvlText w:val="%1:"/>
      <w:numFmt w:val="upperLetter"/>
      <w:start w:val="1"/>
    </w:lvl>
    <w:lvl w:ilvl="1">
      <w:lvlJc w:val="left"/>
      <w:lvlText w:val="•"/>
      <w:numFmt w:val="bullet"/>
      <w:start w:val="1"/>
    </w:lvl>
  </w:abstractNum>
  <w:abstractNum w:abstractNumId="36">
    <w:nsid w:val="F856867"/>
    <w:multiLevelType w:val="hybridMultilevel"/>
    <w:lvl w:ilvl="0">
      <w:lvlJc w:val="left"/>
      <w:lvlText w:val="%1:"/>
      <w:numFmt w:val="upperLetter"/>
      <w:start w:val="1"/>
    </w:lvl>
    <w:lvl w:ilvl="1">
      <w:lvlJc w:val="left"/>
      <w:lvlText w:val="•"/>
      <w:numFmt w:val="bullet"/>
      <w:start w:val="1"/>
    </w:lvl>
  </w:abstractNum>
  <w:abstractNum w:abstractNumId="37">
    <w:nsid w:val="11B1CC33"/>
    <w:multiLevelType w:val="hybridMultilevel"/>
    <w:lvl w:ilvl="0">
      <w:lvlJc w:val="left"/>
      <w:lvlText w:val="%1:"/>
      <w:numFmt w:val="upperLetter"/>
      <w:start w:val="1"/>
    </w:lvl>
    <w:lvl w:ilvl="1">
      <w:lvlJc w:val="left"/>
      <w:lvlText w:val="•"/>
      <w:numFmt w:val="bullet"/>
      <w:start w:val="1"/>
    </w:lvl>
  </w:abstractNum>
  <w:abstractNum w:abstractNumId="38">
    <w:nsid w:val="2E22FBB7"/>
    <w:multiLevelType w:val="hybridMultilevel"/>
    <w:lvl w:ilvl="0">
      <w:lvlJc w:val="left"/>
      <w:lvlText w:val="•"/>
      <w:numFmt w:val="bullet"/>
      <w:start w:val="1"/>
    </w:lvl>
  </w:abstractNum>
  <w:abstractNum w:abstractNumId="39">
    <w:nsid w:val="29934699"/>
    <w:multiLevelType w:val="hybridMultilevel"/>
    <w:lvl w:ilvl="0">
      <w:lvlJc w:val="left"/>
      <w:lvlText w:val="%1:"/>
      <w:numFmt w:val="upperLetter"/>
      <w:start w:val="1"/>
    </w:lvl>
    <w:lvl w:ilvl="1">
      <w:lvlJc w:val="left"/>
      <w:lvlText w:val="•"/>
      <w:numFmt w:val="bullet"/>
      <w:start w:val="1"/>
    </w:lvl>
  </w:abstractNum>
  <w:abstractNum w:abstractNumId="40">
    <w:nsid w:val="77485850"/>
    <w:multiLevelType w:val="hybridMultilevel"/>
    <w:lvl w:ilvl="0">
      <w:lvlJc w:val="left"/>
      <w:lvlText w:val="%1:"/>
      <w:numFmt w:val="upperLetter"/>
      <w:start w:val="1"/>
    </w:lvl>
    <w:lvl w:ilvl="1">
      <w:lvlJc w:val="left"/>
      <w:lvlText w:val="•"/>
      <w:numFmt w:val="bullet"/>
      <w:start w:val="1"/>
    </w:lvl>
  </w:abstractNum>
  <w:abstractNum w:abstractNumId="41">
    <w:nsid w:val="744939A3"/>
    <w:multiLevelType w:val="hybridMultilevel"/>
    <w:lvl w:ilvl="0">
      <w:lvlJc w:val="left"/>
      <w:lvlText w:val="%1:"/>
      <w:numFmt w:val="upperLetter"/>
      <w:start w:val="1"/>
    </w:lvl>
  </w:abstractNum>
  <w:abstractNum w:abstractNumId="42">
    <w:nsid w:val="4FA0D2E3"/>
    <w:multiLevelType w:val="hybridMultilevel"/>
    <w:lvl w:ilvl="0">
      <w:lvlJc w:val="left"/>
      <w:lvlText w:val="%1:"/>
      <w:numFmt w:val="upperLetter"/>
      <w:start w:val="1"/>
    </w:lvl>
  </w:abstractNum>
  <w:abstractNum w:abstractNumId="43">
    <w:nsid w:val="6B1D2C14"/>
    <w:multiLevelType w:val="hybridMultilevel"/>
    <w:lvl w:ilvl="0">
      <w:lvlJc w:val="left"/>
      <w:lvlText w:val="%1:"/>
      <w:numFmt w:val="upperLetter"/>
      <w:start w:val="1"/>
    </w:lvl>
  </w:abstractNum>
  <w:abstractNum w:abstractNumId="44">
    <w:nsid w:val="68B867D3"/>
    <w:multiLevelType w:val="hybridMultilevel"/>
    <w:lvl w:ilvl="0">
      <w:lvlJc w:val="left"/>
      <w:lvlText w:val="%1:"/>
      <w:numFmt w:val="upperLetter"/>
      <w:start w:val="1"/>
    </w:lvl>
  </w:abstractNum>
  <w:abstractNum w:abstractNumId="45">
    <w:nsid w:val="3F7F5DD9"/>
    <w:multiLevelType w:val="hybridMultilevel"/>
    <w:lvl w:ilvl="0">
      <w:lvlJc w:val="left"/>
      <w:lvlText w:val="%1:"/>
      <w:numFmt w:val="upperLetter"/>
      <w:start w:val="1"/>
    </w:lvl>
  </w:abstractNum>
  <w:abstractNum w:abstractNumId="46">
    <w:nsid w:val="2AE05A34"/>
    <w:multiLevelType w:val="hybridMultilevel"/>
    <w:lvl w:ilvl="0">
      <w:lvlJc w:val="left"/>
      <w:lvlText w:val="%1:"/>
      <w:numFmt w:val="upperLetter"/>
      <w:start w:val="1"/>
    </w:lvl>
  </w:abstractNum>
  <w:abstractNum w:abstractNumId="47">
    <w:nsid w:val="32794FF7"/>
    <w:multiLevelType w:val="hybridMultilevel"/>
    <w:lvl w:ilvl="0">
      <w:lvlJc w:val="left"/>
      <w:lvlText w:val="%1:"/>
      <w:numFmt w:val="upperLetter"/>
      <w:start w:val="1"/>
    </w:lvl>
  </w:abstractNum>
  <w:abstractNum w:abstractNumId="48">
    <w:nsid w:val="5454945E"/>
    <w:multiLevelType w:val="hybridMultilevel"/>
    <w:lvl w:ilvl="0">
      <w:lvlJc w:val="left"/>
      <w:lvlText w:val="%1:"/>
      <w:numFmt w:val="upperLetter"/>
      <w:start w:val="1"/>
    </w:lvl>
  </w:abstractNum>
  <w:abstractNum w:abstractNumId="49">
    <w:nsid w:val="4DEFDFA0"/>
    <w:multiLevelType w:val="hybridMultilevel"/>
    <w:lvl w:ilvl="0">
      <w:lvlJc w:val="left"/>
      <w:lvlText w:val="•"/>
      <w:numFmt w:val="bullet"/>
      <w:start w:val="1"/>
    </w:lvl>
  </w:abstractNum>
  <w:abstractNum w:abstractNumId="50">
    <w:nsid w:val="2123D5F2"/>
    <w:multiLevelType w:val="hybridMultilevel"/>
    <w:lvl w:ilvl="0">
      <w:lvlJc w:val="left"/>
      <w:lvlText w:val="•"/>
      <w:numFmt w:val="bullet"/>
      <w:start w:val="1"/>
    </w:lvl>
  </w:abstractNum>
  <w:abstractNum w:abstractNumId="51">
    <w:nsid w:val="135B8110"/>
    <w:multiLevelType w:val="hybridMultilevel"/>
    <w:lvl w:ilvl="0">
      <w:lvlJc w:val="left"/>
      <w:lvlText w:val="•"/>
      <w:numFmt w:val="bullet"/>
      <w:start w:val="1"/>
    </w:lvl>
  </w:abstractNum>
  <w:abstractNum w:abstractNumId="52">
    <w:nsid w:val="94927A8"/>
    <w:multiLevelType w:val="hybridMultilevel"/>
    <w:lvl w:ilvl="0">
      <w:lvlJc w:val="left"/>
      <w:lvlText w:val="•"/>
      <w:numFmt w:val="bullet"/>
      <w:start w:val="1"/>
    </w:lvl>
  </w:abstractNum>
  <w:abstractNum w:abstractNumId="53">
    <w:nsid w:val="DCDF8F6"/>
    <w:multiLevelType w:val="hybridMultilevel"/>
    <w:lvl w:ilvl="0">
      <w:lvlJc w:val="left"/>
      <w:lvlText w:val="•"/>
      <w:numFmt w:val="bullet"/>
      <w:start w:val="1"/>
    </w:lvl>
  </w:abstractNum>
  <w:abstractNum w:abstractNumId="54">
    <w:nsid w:val="52D7B105"/>
    <w:multiLevelType w:val="hybridMultilevel"/>
    <w:lvl w:ilvl="0">
      <w:lvlJc w:val="left"/>
      <w:lvlText w:val="(%1)"/>
      <w:numFmt w:val="decimal"/>
      <w:start w:val="609"/>
    </w:lvl>
  </w:abstractNum>
  <w:abstractNum w:abstractNumId="55">
    <w:nsid w:val="2E8A6394"/>
    <w:multiLevelType w:val="hybridMultilevel"/>
    <w:lvl w:ilvl="0">
      <w:lvlJc w:val="left"/>
      <w:lvlText w:val="•"/>
      <w:numFmt w:val="bullet"/>
      <w:start w:val="1"/>
    </w:lvl>
  </w:abstractNum>
  <w:abstractNum w:abstractNumId="56">
    <w:nsid w:val="24E60401"/>
    <w:multiLevelType w:val="hybridMultilevel"/>
    <w:lvl w:ilvl="0">
      <w:lvlJc w:val="left"/>
      <w:lvlText w:val="•"/>
      <w:numFmt w:val="bullet"/>
      <w:start w:val="1"/>
    </w:lvl>
  </w:abstractNum>
  <w:abstractNum w:abstractNumId="57">
    <w:nsid w:val="2A6AD9BE"/>
    <w:multiLevelType w:val="hybridMultilevel"/>
    <w:lvl w:ilvl="0">
      <w:lvlJc w:val="left"/>
      <w:lvlText w:val="(%1)"/>
      <w:numFmt w:val="lowerRoman"/>
      <w:start w:val="3"/>
    </w:lvl>
  </w:abstractNum>
  <w:abstractNum w:abstractNumId="58">
    <w:nsid w:val="BAAC1B4"/>
    <w:multiLevelType w:val="hybridMultilevel"/>
    <w:lvl w:ilvl="0">
      <w:lvlJc w:val="left"/>
      <w:lvlText w:val="(%1)"/>
      <w:numFmt w:val="lowerRoman"/>
      <w:start w:val="1"/>
    </w:lvl>
  </w:abstractNum>
  <w:abstractNum w:abstractNumId="59">
    <w:nsid w:val="36B2ACBC"/>
    <w:multiLevelType w:val="hybridMultilevel"/>
    <w:lvl w:ilvl="0">
      <w:lvlJc w:val="left"/>
      <w:lvlText w:val="(%1)"/>
      <w:numFmt w:val="lowerRoman"/>
      <w:start w:val="2"/>
    </w:lvl>
  </w:abstractNum>
  <w:abstractNum w:abstractNumId="60">
    <w:nsid w:val="779D8544"/>
    <w:multiLevelType w:val="hybridMultilevel"/>
    <w:lvl w:ilvl="0">
      <w:lvlJc w:val="left"/>
      <w:lvlText w:val="(%1)"/>
      <w:numFmt w:val="lowerRoman"/>
      <w:start w:val="4"/>
    </w:lvl>
  </w:abstractNum>
  <w:abstractNum w:abstractNumId="61">
    <w:nsid w:val="4AB26E78"/>
    <w:multiLevelType w:val="hybridMultilevel"/>
    <w:lvl w:ilvl="0">
      <w:lvlJc w:val="left"/>
      <w:lvlText w:val="•"/>
      <w:numFmt w:val="bullet"/>
      <w:start w:val="1"/>
    </w:lvl>
  </w:abstractNum>
  <w:abstractNum w:abstractNumId="62">
    <w:nsid w:val="21FAA2FA"/>
    <w:multiLevelType w:val="hybridMultilevel"/>
    <w:lvl w:ilvl="0">
      <w:lvlJc w:val="left"/>
      <w:lvlText w:val="•"/>
      <w:numFmt w:val="bullet"/>
      <w:start w:val="1"/>
    </w:lvl>
  </w:abstractNum>
  <w:abstractNum w:abstractNumId="63">
    <w:nsid w:val="5451CF49"/>
    <w:multiLevelType w:val="hybridMultilevel"/>
    <w:lvl w:ilvl="0">
      <w:lvlJc w:val="left"/>
      <w:lvlText w:val="○"/>
      <w:numFmt w:val="bullet"/>
      <w:start w:val="1"/>
    </w:lvl>
  </w:abstractNum>
  <w:abstractNum w:abstractNumId="64">
    <w:nsid w:val="6181EF69"/>
    <w:multiLevelType w:val="hybridMultilevel"/>
    <w:lvl w:ilvl="0">
      <w:lvlJc w:val="left"/>
      <w:lvlText w:val="•"/>
      <w:numFmt w:val="bullet"/>
      <w:start w:val="1"/>
    </w:lvl>
  </w:abstractNum>
  <w:abstractNum w:abstractNumId="65">
    <w:nsid w:val="3E6400E6"/>
    <w:multiLevelType w:val="hybridMultilevel"/>
    <w:lvl w:ilvl="0">
      <w:lvlJc w:val="left"/>
      <w:lvlText w:val="•"/>
      <w:numFmt w:val="bullet"/>
      <w:start w:val="1"/>
    </w:lvl>
  </w:abstractNum>
  <w:abstractNum w:abstractNumId="66">
    <w:nsid w:val="14217E23"/>
    <w:multiLevelType w:val="hybridMultilevel"/>
    <w:lvl w:ilvl="0">
      <w:lvlJc w:val="left"/>
      <w:lvlText w:val="•"/>
      <w:numFmt w:val="bullet"/>
      <w:start w:val="1"/>
    </w:lvl>
    <w:lvl w:ilvl="1">
      <w:lvlJc w:val="left"/>
      <w:lvlText w:val="○"/>
      <w:numFmt w:val="bullet"/>
      <w:start w:val="1"/>
    </w:lvl>
  </w:abstractNum>
  <w:abstractNum w:abstractNumId="67">
    <w:nsid w:val="710757D0"/>
    <w:multiLevelType w:val="hybridMultilevel"/>
    <w:lvl w:ilvl="0">
      <w:lvlJc w:val="left"/>
      <w:lvlText w:val="•"/>
      <w:numFmt w:val="bullet"/>
      <w:start w:val="1"/>
    </w:lvl>
  </w:abstractNum>
  <w:abstractNum w:abstractNumId="68">
    <w:nsid w:val="5015CD1A"/>
    <w:multiLevelType w:val="hybridMultilevel"/>
    <w:lvl w:ilvl="0">
      <w:lvlJc w:val="left"/>
      <w:lvlText w:val="•"/>
      <w:numFmt w:val="bullet"/>
      <w:start w:val="1"/>
    </w:lvl>
  </w:abstractNum>
  <w:abstractNum w:abstractNumId="69">
    <w:nsid w:val="424479DA"/>
    <w:multiLevelType w:val="hybridMultilevel"/>
    <w:lvl w:ilvl="0">
      <w:lvlJc w:val="left"/>
      <w:lvlText w:val="(%1)"/>
      <w:numFmt w:val="lowerRoman"/>
      <w:start w:val="6"/>
    </w:lvl>
  </w:abstractNum>
  <w:abstractNum w:abstractNumId="70">
    <w:nsid w:val="1A9A9E69"/>
    <w:multiLevelType w:val="hybridMultilevel"/>
    <w:lvl w:ilvl="0">
      <w:lvlJc w:val="left"/>
      <w:lvlText w:val="•"/>
      <w:numFmt w:val="bullet"/>
      <w:start w:val="1"/>
    </w:lvl>
  </w:abstractNum>
  <w:abstractNum w:abstractNumId="71">
    <w:nsid w:val="475E256A"/>
    <w:multiLevelType w:val="hybridMultilevel"/>
    <w:lvl w:ilvl="0">
      <w:lvlJc w:val="left"/>
      <w:lvlText w:val="(%1)"/>
      <w:numFmt w:val="decimal"/>
      <w:start w:val="1"/>
    </w:lvl>
  </w:abstractNum>
  <w:abstractNum w:abstractNumId="72">
    <w:nsid w:val="368DB37E"/>
    <w:multiLevelType w:val="hybridMultilevel"/>
    <w:lvl w:ilvl="0">
      <w:lvlJc w:val="left"/>
      <w:lvlText w:val="(%1)"/>
      <w:numFmt w:val="decimal"/>
      <w:start w:val="1"/>
    </w:lvl>
  </w:abstractNum>
  <w:abstractNum w:abstractNumId="73">
    <w:nsid w:val="6A3B714C"/>
    <w:multiLevelType w:val="hybridMultilevel"/>
    <w:lvl w:ilvl="0">
      <w:lvlJc w:val="left"/>
      <w:lvlText w:val="**"/>
      <w:numFmt w:val="bullet"/>
      <w:start w:val="1"/>
    </w:lvl>
  </w:abstractNum>
  <w:abstractNum w:abstractNumId="74">
    <w:nsid w:val="327B517E"/>
    <w:multiLevelType w:val="hybridMultilevel"/>
    <w:lvl w:ilvl="0">
      <w:lvlJc w:val="left"/>
      <w:lvlText w:val="(%1)"/>
      <w:numFmt w:val="decimal"/>
      <w:start w:val="1"/>
    </w:lvl>
  </w:abstractNum>
  <w:abstractNum w:abstractNumId="75">
    <w:nsid w:val="1F461B51"/>
    <w:multiLevelType w:val="hybridMultilevel"/>
    <w:lvl w:ilvl="0">
      <w:lvlJc w:val="left"/>
      <w:lvlText w:val="**"/>
      <w:numFmt w:val="bullet"/>
      <w:start w:val="1"/>
    </w:lvl>
  </w:abstractNum>
  <w:abstractNum w:abstractNumId="76">
    <w:nsid w:val="29BACF25"/>
    <w:multiLevelType w:val="hybridMultilevel"/>
    <w:lvl w:ilvl="0">
      <w:lvlJc w:val="left"/>
      <w:lvlText w:val="(%1)"/>
      <w:numFmt w:val="decimal"/>
      <w:start w:val="1"/>
    </w:lvl>
  </w:abstractNum>
  <w:abstractNum w:abstractNumId="77">
    <w:nsid w:val="5D5BABB3"/>
    <w:multiLevelType w:val="hybridMultilevel"/>
    <w:lvl w:ilvl="0">
      <w:lvlJc w:val="left"/>
      <w:lvlText w:val="•"/>
      <w:numFmt w:val="bullet"/>
      <w:start w:val="1"/>
    </w:lvl>
  </w:abstractNum>
  <w:abstractNum w:abstractNumId="78">
    <w:nsid w:val="51BF6B48"/>
    <w:multiLevelType w:val="hybridMultilevel"/>
    <w:lvl w:ilvl="0">
      <w:lvlJc w:val="left"/>
      <w:lvlText w:val="(%1)"/>
      <w:numFmt w:val="decimal"/>
      <w:start w:val="1"/>
    </w:lvl>
  </w:abstractNum>
  <w:abstractNum w:abstractNumId="79">
    <w:nsid w:val="7E0F6384"/>
    <w:multiLevelType w:val="hybridMultilevel"/>
    <w:lvl w:ilvl="0">
      <w:lvlJc w:val="left"/>
      <w:lvlText w:val="•"/>
      <w:numFmt w:val="bullet"/>
      <w:start w:val="1"/>
    </w:lvl>
  </w:abstractNum>
  <w:abstractNum w:abstractNumId="80">
    <w:nsid w:val="2B4B8B53"/>
    <w:multiLevelType w:val="hybridMultilevel"/>
    <w:lvl w:ilvl="0">
      <w:lvlJc w:val="left"/>
      <w:lvlText w:val="•"/>
      <w:numFmt w:val="bullet"/>
      <w:start w:val="1"/>
    </w:lvl>
  </w:abstractNum>
  <w:abstractNum w:abstractNumId="81">
    <w:nsid w:val="72E3413A"/>
    <w:multiLevelType w:val="hybridMultilevel"/>
    <w:lvl w:ilvl="0">
      <w:lvlJc w:val="left"/>
      <w:lvlText w:val="(%1)"/>
      <w:numFmt w:val="decimal"/>
      <w:start w:val="1"/>
    </w:lvl>
  </w:abstractNum>
  <w:abstractNum w:abstractNumId="82">
    <w:nsid w:val="116AE494"/>
    <w:multiLevelType w:val="hybridMultilevel"/>
    <w:lvl w:ilvl="0">
      <w:lvlJc w:val="left"/>
      <w:lvlText w:val="(%1)"/>
      <w:numFmt w:val="decimal"/>
      <w:start w:val="4"/>
    </w:lvl>
  </w:abstractNum>
  <w:abstractNum w:abstractNumId="83">
    <w:nsid w:val="3494B2FB"/>
    <w:multiLevelType w:val="hybridMultilevel"/>
    <w:lvl w:ilvl="0">
      <w:lvlJc w:val="left"/>
      <w:lvlText w:val="•"/>
      <w:numFmt w:val="bullet"/>
      <w:start w:val="1"/>
    </w:lvl>
  </w:abstractNum>
  <w:abstractNum w:abstractNumId="84">
    <w:nsid w:val="B13A31"/>
    <w:multiLevelType w:val="hybridMultilevel"/>
    <w:lvl w:ilvl="0">
      <w:lvlJc w:val="left"/>
      <w:lvlText w:val="•"/>
      <w:numFmt w:val="bullet"/>
      <w:start w:val="1"/>
    </w:lvl>
  </w:abstractNum>
  <w:abstractNum w:abstractNumId="85">
    <w:nsid w:val="64429599"/>
    <w:multiLevelType w:val="hybridMultilevel"/>
    <w:lvl w:ilvl="0">
      <w:lvlJc w:val="left"/>
      <w:lvlText w:val="(%1)"/>
      <w:numFmt w:val="decimal"/>
      <w:start w:val="2"/>
    </w:lvl>
  </w:abstractNum>
  <w:abstractNum w:abstractNumId="86">
    <w:nsid w:val="631F1690"/>
    <w:multiLevelType w:val="hybridMultilevel"/>
    <w:lvl w:ilvl="0">
      <w:lvlJc w:val="left"/>
      <w:lvlText w:val="(%1)"/>
      <w:numFmt w:val="decimal"/>
      <w:start w:val="1"/>
    </w:lvl>
  </w:abstractNum>
  <w:abstractNum w:abstractNumId="87">
    <w:nsid w:val="25973E32"/>
    <w:multiLevelType w:val="hybridMultilevel"/>
    <w:lvl w:ilvl="0">
      <w:lvlJc w:val="left"/>
      <w:lvlText w:val="(%1)"/>
      <w:numFmt w:val="decimal"/>
      <w:start w:val="2"/>
    </w:lvl>
  </w:abstractNum>
  <w:abstractNum w:abstractNumId="88">
    <w:nsid w:val="EAD6F57"/>
    <w:multiLevelType w:val="hybridMultilevel"/>
    <w:lvl w:ilvl="0">
      <w:lvlJc w:val="left"/>
      <w:lvlText w:val="(%1)"/>
      <w:numFmt w:val="decimal"/>
      <w:start w:val="4"/>
    </w:lvl>
  </w:abstractNum>
  <w:abstractNum w:abstractNumId="89">
    <w:nsid w:val="6EC9D844"/>
    <w:multiLevelType w:val="hybridMultilevel"/>
    <w:lvl w:ilvl="0">
      <w:lvlJc w:val="left"/>
      <w:lvlText w:val="(%1)"/>
      <w:numFmt w:val="decimal"/>
      <w:start w:val="6"/>
    </w:lvl>
  </w:abstractNum>
  <w:abstractNum w:abstractNumId="90">
    <w:nsid w:val="5C49EAEE"/>
    <w:multiLevelType w:val="hybridMultilevel"/>
    <w:lvl w:ilvl="0">
      <w:lvlJc w:val="left"/>
      <w:lvlText w:val="(%1)"/>
      <w:numFmt w:val="lowerRoman"/>
      <w:start w:val="2"/>
    </w:lvl>
  </w:abstractNum>
  <w:abstractNum w:abstractNumId="91">
    <w:nsid w:val="64AF49B"/>
    <w:multiLevelType w:val="hybridMultilevel"/>
    <w:lvl w:ilvl="0">
      <w:lvlJc w:val="left"/>
      <w:lvlText w:val="(%1)"/>
      <w:numFmt w:val="lowerRoman"/>
      <w:start w:val="3"/>
    </w:lvl>
  </w:abstractNum>
  <w:abstractNum w:abstractNumId="92">
    <w:nsid w:val="397C46BC"/>
    <w:multiLevelType w:val="hybridMultilevel"/>
    <w:lvl w:ilvl="0">
      <w:lvlJc w:val="left"/>
      <w:lvlText w:val="(%1)"/>
      <w:numFmt w:val="lowerRoman"/>
      <w:start w:val="2"/>
    </w:lvl>
  </w:abstractNum>
  <w:abstractNum w:abstractNumId="93">
    <w:nsid w:val="7E448DE9"/>
    <w:multiLevelType w:val="hybridMultilevel"/>
    <w:lvl w:ilvl="0">
      <w:lvlJc w:val="left"/>
      <w:lvlText w:val="(%1)"/>
      <w:numFmt w:val="lowerRoman"/>
      <w:start w:val="1"/>
    </w:lvl>
  </w:abstractNum>
  <w:abstractNum w:abstractNumId="94">
    <w:nsid w:val="5A9CC3E5"/>
    <w:multiLevelType w:val="hybridMultilevel"/>
    <w:lvl w:ilvl="0">
      <w:lvlJc w:val="left"/>
      <w:lvlText w:val="(%1)"/>
      <w:numFmt w:val="lowerRoman"/>
      <w:start w:val="2"/>
    </w:lvl>
  </w:abstractNum>
  <w:abstractNum w:abstractNumId="95">
    <w:nsid w:val="1AFE3625"/>
    <w:multiLevelType w:val="hybridMultilevel"/>
    <w:lvl w:ilvl="0">
      <w:lvlJc w:val="left"/>
      <w:lvlText w:val="(%1)"/>
      <w:numFmt w:val="lowerRoman"/>
      <w:start w:val="2"/>
    </w:lvl>
  </w:abstractNum>
  <w:abstractNum w:abstractNumId="96">
    <w:nsid w:val="3CA88ECF"/>
    <w:multiLevelType w:val="hybridMultilevel"/>
    <w:lvl w:ilvl="0">
      <w:lvlJc w:val="left"/>
      <w:lvlText w:val="(%1)"/>
      <w:numFmt w:val="lowerLetter"/>
      <w:start w:val="2"/>
    </w:lvl>
  </w:abstractNum>
  <w:abstractNum w:abstractNumId="97">
    <w:nsid w:val="6EBE4208"/>
    <w:multiLevelType w:val="hybridMultilevel"/>
    <w:lvl w:ilvl="0">
      <w:lvlJc w:val="left"/>
      <w:lvlText w:val="•"/>
      <w:numFmt w:val="bullet"/>
      <w:start w:val="1"/>
    </w:lvl>
  </w:abstractNum>
  <w:abstractNum w:abstractNumId="98">
    <w:nsid w:val="C058DF5"/>
    <w:multiLevelType w:val="hybridMultilevel"/>
    <w:lvl w:ilvl="0">
      <w:lvlJc w:val="left"/>
      <w:lvlText w:val="•"/>
      <w:numFmt w:val="bullet"/>
      <w:start w:val="1"/>
    </w:lvl>
  </w:abstractNum>
  <w:abstractNum w:abstractNumId="99">
    <w:nsid w:val="CBE5BE9"/>
    <w:multiLevelType w:val="hybridMultilevel"/>
    <w:lvl w:ilvl="0">
      <w:lvlJc w:val="left"/>
      <w:lvlText w:val="•"/>
      <w:numFmt w:val="bullet"/>
      <w:start w:val="1"/>
    </w:lvl>
  </w:abstractNum>
  <w:abstractNum w:abstractNumId="100">
    <w:nsid w:val="3102BBE2"/>
    <w:multiLevelType w:val="hybridMultilevel"/>
    <w:lvl w:ilvl="0">
      <w:lvlJc w:val="left"/>
      <w:lvlText w:val="(%1)"/>
      <w:numFmt w:val="decimal"/>
      <w:start w:val="2"/>
    </w:lvl>
  </w:abstractNum>
  <w:abstractNum w:abstractNumId="101">
    <w:nsid w:val="26A02C5E"/>
    <w:multiLevelType w:val="hybridMultilevel"/>
    <w:lvl w:ilvl="0">
      <w:lvlJc w:val="left"/>
      <w:lvlText w:val="•"/>
      <w:numFmt w:val="bullet"/>
      <w:start w:val="1"/>
    </w:lvl>
  </w:abstractNum>
  <w:abstractNum w:abstractNumId="102">
    <w:nsid w:val="541C8153"/>
    <w:multiLevelType w:val="hybridMultilevel"/>
    <w:lvl w:ilvl="0">
      <w:lvlJc w:val="left"/>
      <w:lvlText w:val="•"/>
      <w:numFmt w:val="bullet"/>
      <w:start w:val="1"/>
    </w:lvl>
  </w:abstractNum>
  <w:abstractNum w:abstractNumId="103">
    <w:nsid w:val="67906F60"/>
    <w:multiLevelType w:val="hybridMultilevel"/>
    <w:lvl w:ilvl="0">
      <w:lvlJc w:val="left"/>
      <w:lvlText w:val="•"/>
      <w:numFmt w:val="bullet"/>
      <w:start w:val="1"/>
    </w:lvl>
  </w:abstractNum>
  <w:abstractNum w:abstractNumId="104">
    <w:nsid w:val="10DB9DAA"/>
    <w:multiLevelType w:val="hybridMultilevel"/>
    <w:lvl w:ilvl="0">
      <w:lvlJc w:val="left"/>
      <w:lvlText w:val="(%1)"/>
      <w:numFmt w:val="lowerRoman"/>
      <w:start w:val="2"/>
    </w:lvl>
  </w:abstractNum>
  <w:abstractNum w:abstractNumId="105">
    <w:nsid w:val="697D2D2"/>
    <w:multiLevelType w:val="hybridMultilevel"/>
    <w:lvl w:ilvl="0">
      <w:lvlJc w:val="left"/>
      <w:lvlText w:val="•"/>
      <w:numFmt w:val="bullet"/>
      <w:start w:val="1"/>
    </w:lvl>
  </w:abstractNum>
  <w:abstractNum w:abstractNumId="106">
    <w:nsid w:val="6D68AB2"/>
    <w:multiLevelType w:val="hybridMultilevel"/>
    <w:lvl w:ilvl="0">
      <w:lvlJc w:val="left"/>
      <w:lvlText w:val="•"/>
      <w:numFmt w:val="bullet"/>
      <w:start w:val="1"/>
    </w:lvl>
  </w:abstractNum>
  <w:abstractNum w:abstractNumId="107">
    <w:nsid w:val="3A966CD0"/>
    <w:multiLevelType w:val="hybridMultilevel"/>
    <w:lvl w:ilvl="0">
      <w:lvlJc w:val="left"/>
      <w:lvlText w:val="•"/>
      <w:numFmt w:val="bullet"/>
      <w:start w:val="1"/>
    </w:lvl>
  </w:abstractNum>
  <w:abstractNum w:abstractNumId="108">
    <w:nsid w:val="63F37E85"/>
    <w:multiLevelType w:val="hybridMultilevel"/>
    <w:lvl w:ilvl="0">
      <w:lvlJc w:val="left"/>
      <w:lvlText w:val="•"/>
      <w:numFmt w:val="bullet"/>
      <w:start w:val="1"/>
    </w:lvl>
  </w:abstractNum>
  <w:abstractNum w:abstractNumId="109">
    <w:nsid w:val="5895F5FA"/>
    <w:multiLevelType w:val="hybridMultilevel"/>
    <w:lvl w:ilvl="0">
      <w:lvlJc w:val="left"/>
      <w:lvlText w:val="•"/>
      <w:numFmt w:val="bullet"/>
      <w:start w:val="1"/>
    </w:lvl>
  </w:abstractNum>
  <w:abstractNum w:abstractNumId="110">
    <w:nsid w:val="38A5D054"/>
    <w:multiLevelType w:val="hybridMultilevel"/>
    <w:lvl w:ilvl="0">
      <w:lvlJc w:val="left"/>
      <w:lvlText w:val="(%1)"/>
      <w:numFmt w:val="lowerRoman"/>
      <w:start w:val="3"/>
    </w:lvl>
    <w:lvl w:ilvl="1">
      <w:lvlJc w:val="left"/>
      <w:lvlText w:val="•"/>
      <w:numFmt w:val="bullet"/>
      <w:start w:val="1"/>
    </w:lvl>
  </w:abstractNum>
  <w:abstractNum w:abstractNumId="111">
    <w:nsid w:val="F3F09D8"/>
    <w:multiLevelType w:val="hybridMultilevel"/>
    <w:lvl w:ilvl="0">
      <w:lvlJc w:val="left"/>
      <w:lvlText w:val="•"/>
      <w:numFmt w:val="bullet"/>
      <w:start w:val="1"/>
    </w:lvl>
  </w:abstractNum>
  <w:abstractNum w:abstractNumId="112">
    <w:nsid w:val="4B793735"/>
    <w:multiLevelType w:val="hybridMultilevel"/>
    <w:lvl w:ilvl="0">
      <w:lvlJc w:val="left"/>
      <w:lvlText w:val="•"/>
      <w:numFmt w:val="bullet"/>
      <w:start w:val="1"/>
    </w:lvl>
    <w:lvl w:ilvl="1">
      <w:lvlJc w:val="left"/>
      <w:lvlText w:val="(%2)"/>
      <w:numFmt w:val="lowerRoman"/>
      <w:start w:val="2"/>
    </w:lvl>
  </w:abstractNum>
  <w:abstractNum w:abstractNumId="113">
    <w:nsid w:val="4A10B4E8"/>
    <w:multiLevelType w:val="hybridMultilevel"/>
    <w:lvl w:ilvl="0">
      <w:lvlJc w:val="left"/>
      <w:lvlText w:val="•"/>
      <w:numFmt w:val="bullet"/>
      <w:start w:val="1"/>
    </w:lvl>
    <w:lvl w:ilvl="1">
      <w:lvlJc w:val="left"/>
      <w:lvlText w:val="(%2)"/>
      <w:numFmt w:val="lowerRoman"/>
      <w:start w:val="5"/>
    </w:lvl>
  </w:abstractNum>
  <w:abstractNum w:abstractNumId="114">
    <w:nsid w:val="43D3BCD4"/>
    <w:multiLevelType w:val="hybridMultilevel"/>
    <w:lvl w:ilvl="0">
      <w:lvlJc w:val="left"/>
      <w:lvlText w:val="•"/>
      <w:numFmt w:val="bullet"/>
      <w:start w:val="1"/>
    </w:lvl>
  </w:abstractNum>
  <w:abstractNum w:abstractNumId="115">
    <w:nsid w:val="4C2A7166"/>
    <w:multiLevelType w:val="hybridMultilevel"/>
    <w:lvl w:ilvl="0">
      <w:lvlJc w:val="left"/>
      <w:lvlText w:val="•"/>
      <w:numFmt w:val="bullet"/>
      <w:start w:val="1"/>
    </w:lvl>
  </w:abstractNum>
  <w:abstractNum w:abstractNumId="116">
    <w:nsid w:val="2E534A82"/>
    <w:multiLevelType w:val="hybridMultilevel"/>
    <w:lvl w:ilvl="0">
      <w:lvlJc w:val="left"/>
      <w:lvlText w:val="(%1)"/>
      <w:numFmt w:val="lowerRoman"/>
      <w:start w:val="4"/>
    </w:lvl>
  </w:abstractNum>
  <w:abstractNum w:abstractNumId="117">
    <w:nsid w:val="26F2D364"/>
    <w:multiLevelType w:val="hybridMultilevel"/>
    <w:lvl w:ilvl="0">
      <w:lvlJc w:val="left"/>
      <w:lvlText w:val="(%1)"/>
      <w:numFmt w:val="lowerRoman"/>
      <w:start w:val="6"/>
    </w:lvl>
  </w:abstractNum>
  <w:abstractNum w:abstractNumId="118">
    <w:nsid w:val="71C1AF98"/>
    <w:multiLevelType w:val="hybridMultilevel"/>
    <w:lvl w:ilvl="0">
      <w:lvlJc w:val="left"/>
      <w:lvlText w:val="•"/>
      <w:numFmt w:val="bullet"/>
      <w:start w:val="1"/>
    </w:lvl>
  </w:abstractNum>
  <w:abstractNum w:abstractNumId="119">
    <w:nsid w:val="3D00B9D9"/>
    <w:multiLevelType w:val="hybridMultilevel"/>
    <w:lvl w:ilvl="0">
      <w:lvlJc w:val="left"/>
      <w:lvlText w:val="•"/>
      <w:numFmt w:val="bullet"/>
      <w:start w:val="1"/>
    </w:lvl>
  </w:abstractNum>
  <w:abstractNum w:abstractNumId="120">
    <w:nsid w:val="15BCABA8"/>
    <w:multiLevelType w:val="hybridMultilevel"/>
    <w:lvl w:ilvl="0">
      <w:lvlJc w:val="left"/>
      <w:lvlText w:val="•"/>
      <w:numFmt w:val="bullet"/>
      <w:start w:val="1"/>
    </w:lvl>
  </w:abstractNum>
  <w:abstractNum w:abstractNumId="121">
    <w:nsid w:val="4E0B9A87"/>
    <w:multiLevelType w:val="hybridMultilevel"/>
    <w:lvl w:ilvl="0">
      <w:lvlJc w:val="left"/>
      <w:lvlText w:val="(%1)"/>
      <w:numFmt w:val="upperLetter"/>
      <w:start w:val="2"/>
    </w:lvl>
  </w:abstractNum>
  <w:abstractNum w:abstractNumId="122">
    <w:nsid w:val="434BAE75"/>
    <w:multiLevelType w:val="hybridMultilevel"/>
    <w:lvl w:ilvl="0">
      <w:lvlJc w:val="left"/>
      <w:lvlText w:val="(%1)"/>
      <w:numFmt w:val="lowerRoman"/>
      <w:start w:val="1"/>
    </w:lvl>
  </w:abstractNum>
  <w:abstractNum w:abstractNumId="123">
    <w:nsid w:val="4F38F265"/>
    <w:multiLevelType w:val="hybridMultilevel"/>
    <w:lvl w:ilvl="0">
      <w:lvlJc w:val="left"/>
      <w:lvlText w:val="(%1)"/>
      <w:numFmt w:val="upperLetter"/>
      <w:start w:val="1"/>
    </w:lvl>
  </w:abstractNum>
  <w:abstractNum w:abstractNumId="124">
    <w:nsid w:val="4C502870"/>
    <w:multiLevelType w:val="hybridMultilevel"/>
    <w:lvl w:ilvl="0">
      <w:lvlJc w:val="left"/>
      <w:lvlText w:val="(%1)"/>
      <w:numFmt w:val="upperLetter"/>
      <w:start w:val="3"/>
    </w:lvl>
  </w:abstractNum>
  <w:abstractNum w:abstractNumId="125">
    <w:nsid w:val="1DE8725A"/>
    <w:multiLevelType w:val="hybridMultilevel"/>
    <w:lvl w:ilvl="0">
      <w:lvlJc w:val="left"/>
      <w:lvlText w:val="•"/>
      <w:numFmt w:val="bullet"/>
      <w:start w:val="1"/>
    </w:lvl>
  </w:abstractNum>
  <w:abstractNum w:abstractNumId="126">
    <w:nsid w:val="6A37288A"/>
    <w:multiLevelType w:val="hybridMultilevel"/>
    <w:lvl w:ilvl="0">
      <w:lvlJc w:val="left"/>
      <w:lvlText w:val="•"/>
      <w:numFmt w:val="bullet"/>
      <w:start w:val="1"/>
    </w:lvl>
  </w:abstractNum>
  <w:abstractNum w:abstractNumId="127">
    <w:nsid w:val="8F8B73F"/>
    <w:multiLevelType w:val="hybridMultilevel"/>
    <w:lvl w:ilvl="0">
      <w:lvlJc w:val="left"/>
      <w:lvlText w:val="•"/>
      <w:numFmt w:val="bullet"/>
      <w:start w:val="1"/>
    </w:lvl>
  </w:abstractNum>
  <w:abstractNum w:abstractNumId="128">
    <w:nsid w:val="CA6B462"/>
    <w:multiLevelType w:val="hybridMultilevel"/>
    <w:lvl w:ilvl="0">
      <w:lvlJc w:val="left"/>
      <w:lvlText w:val="•"/>
      <w:numFmt w:val="bullet"/>
      <w:start w:val="1"/>
    </w:lvl>
  </w:abstractNum>
  <w:abstractNum w:abstractNumId="129">
    <w:nsid w:val="763CB680"/>
    <w:multiLevelType w:val="hybridMultilevel"/>
    <w:lvl w:ilvl="0">
      <w:lvlJc w:val="left"/>
      <w:lvlText w:val="•"/>
      <w:numFmt w:val="bullet"/>
      <w:start w:val="1"/>
    </w:lvl>
  </w:abstractNum>
  <w:abstractNum w:abstractNumId="130">
    <w:nsid w:val="15B71329"/>
    <w:multiLevelType w:val="hybridMultilevel"/>
    <w:lvl w:ilvl="0">
      <w:lvlJc w:val="left"/>
      <w:lvlText w:val="•"/>
      <w:numFmt w:val="bullet"/>
      <w:start w:val="1"/>
    </w:lvl>
  </w:abstractNum>
  <w:abstractNum w:abstractNumId="131">
    <w:nsid w:val="3DA97044"/>
    <w:multiLevelType w:val="hybridMultilevel"/>
    <w:lvl w:ilvl="0">
      <w:lvlJc w:val="left"/>
      <w:lvlText w:val="•"/>
      <w:numFmt w:val="bullet"/>
      <w:start w:val="1"/>
    </w:lvl>
  </w:abstractNum>
  <w:abstractNum w:abstractNumId="132">
    <w:nsid w:val="1CDCE2DE"/>
    <w:multiLevelType w:val="hybridMultilevel"/>
    <w:lvl w:ilvl="0">
      <w:lvlJc w:val="left"/>
      <w:lvlText w:val="(%1)"/>
      <w:numFmt w:val="lowerRoman"/>
      <w:start w:val="1"/>
    </w:lvl>
  </w:abstractNum>
  <w:abstractNum w:abstractNumId="133">
    <w:nsid w:val="69D3947C"/>
    <w:multiLevelType w:val="hybridMultilevel"/>
    <w:lvl w:ilvl="0">
      <w:lvlJc w:val="left"/>
      <w:lvlText w:val="•"/>
      <w:numFmt w:val="bullet"/>
      <w:start w:val="1"/>
    </w:lvl>
  </w:abstractNum>
  <w:abstractNum w:abstractNumId="134">
    <w:nsid w:val="2539DFA5"/>
    <w:multiLevelType w:val="hybridMultilevel"/>
    <w:lvl w:ilvl="0">
      <w:lvlJc w:val="left"/>
      <w:lvlText w:val="•"/>
      <w:numFmt w:val="bullet"/>
      <w:start w:val="1"/>
    </w:lvl>
  </w:abstractNum>
  <w:abstractNum w:abstractNumId="135">
    <w:nsid w:val="2DB88089"/>
    <w:multiLevelType w:val="hybridMultilevel"/>
    <w:lvl w:ilvl="0">
      <w:lvlJc w:val="left"/>
      <w:lvlText w:val="•"/>
      <w:numFmt w:val="bullet"/>
      <w:start w:val="1"/>
    </w:lvl>
  </w:abstractNum>
  <w:abstractNum w:abstractNumId="136">
    <w:nsid w:val="706B674E"/>
    <w:multiLevelType w:val="hybridMultilevel"/>
    <w:lvl w:ilvl="0">
      <w:lvlJc w:val="left"/>
      <w:lvlText w:val="*"/>
      <w:numFmt w:val="bullet"/>
      <w:start w:val="1"/>
    </w:lvl>
  </w:abstractNum>
  <w:abstractNum w:abstractNumId="137">
    <w:nsid w:val="2C106A57"/>
    <w:multiLevelType w:val="hybridMultilevel"/>
    <w:lvl w:ilvl="0">
      <w:lvlJc w:val="left"/>
      <w:lvlText w:val="(%1)"/>
      <w:numFmt w:val="decimal"/>
      <w:start w:val="1"/>
    </w:lvl>
  </w:abstractNum>
  <w:abstractNum w:abstractNumId="138">
    <w:nsid w:val="684EED59"/>
    <w:multiLevelType w:val="hybridMultilevel"/>
    <w:lvl w:ilvl="0">
      <w:lvlJc w:val="left"/>
      <w:lvlText w:val="(%1)"/>
      <w:numFmt w:val="decimal"/>
      <w:start w:val="5"/>
    </w:lvl>
  </w:abstractNum>
  <w:abstractNum w:abstractNumId="139">
    <w:nsid w:val="545EE5D3"/>
    <w:multiLevelType w:val="hybridMultilevel"/>
    <w:lvl w:ilvl="0">
      <w:lvlJc w:val="left"/>
      <w:lvlText w:val="•"/>
      <w:numFmt w:val="bullet"/>
      <w:start w:val="1"/>
    </w:lvl>
  </w:abstractNum>
  <w:abstractNum w:abstractNumId="140">
    <w:nsid w:val="4A66051"/>
    <w:multiLevelType w:val="hybridMultilevel"/>
    <w:lvl w:ilvl="0">
      <w:lvlJc w:val="left"/>
      <w:lvlText w:val="(%1)"/>
      <w:numFmt w:val="lowerLetter"/>
      <w:start w:val="1"/>
    </w:lvl>
  </w:abstractNum>
  <w:abstractNum w:abstractNumId="141">
    <w:nsid w:val="20F4BDAD"/>
    <w:multiLevelType w:val="hybridMultilevel"/>
    <w:lvl w:ilvl="0">
      <w:lvlJc w:val="left"/>
      <w:lvlText w:val="(%1)"/>
      <w:numFmt w:val="lowerLetter"/>
      <w:start w:val="1"/>
    </w:lvl>
  </w:abstractNum>
  <w:abstractNum w:abstractNumId="142">
    <w:nsid w:val="639DEFAC"/>
    <w:multiLevelType w:val="hybridMultilevel"/>
    <w:lvl w:ilvl="0">
      <w:lvlJc w:val="left"/>
      <w:lvlText w:val="(%1)"/>
      <w:numFmt w:val="lowerLetter"/>
      <w:start w:val="2"/>
    </w:lvl>
  </w:abstractNum>
  <w:abstractNum w:abstractNumId="143">
    <w:nsid w:val="501F9786"/>
    <w:multiLevelType w:val="hybridMultilevel"/>
    <w:lvl w:ilvl="0">
      <w:lvlJc w:val="left"/>
      <w:lvlText w:val="(%1)"/>
      <w:numFmt w:val="lowerLetter"/>
      <w:start w:val="1"/>
    </w:lvl>
  </w:abstractNum>
  <w:abstractNum w:abstractNumId="144">
    <w:nsid w:val="6B057295"/>
    <w:multiLevelType w:val="hybridMultilevel"/>
    <w:lvl w:ilvl="0">
      <w:lvlJc w:val="left"/>
      <w:lvlText w:val="%1"/>
      <w:numFmt w:val="lowerLetter"/>
      <w:start w:val="1"/>
    </w:lvl>
    <w:lvl w:ilvl="1">
      <w:lvlJc w:val="left"/>
      <w:lvlText w:val="(%2)"/>
      <w:numFmt w:val="lowerLetter"/>
      <w:start w:val="35"/>
    </w:lvl>
  </w:abstractNum>
  <w:abstractNum w:abstractNumId="145">
    <w:nsid w:val="2771AC80"/>
    <w:multiLevelType w:val="hybridMultilevel"/>
    <w:lvl w:ilvl="0">
      <w:lvlJc w:val="left"/>
      <w:lvlText w:val="(%1)"/>
      <w:numFmt w:val="lowerLetter"/>
      <w:start w:val="3"/>
    </w:lvl>
    <w:lvl w:ilvl="1">
      <w:lvlJc w:val="left"/>
      <w:lvlText w:val="%2"/>
      <w:numFmt w:val="lowerLetter"/>
      <w:start w:val="1"/>
    </w:lvl>
  </w:abstractNum>
  <w:abstractNum w:abstractNumId="146">
    <w:nsid w:val="1C4A08EC"/>
    <w:multiLevelType w:val="hybridMultilevel"/>
    <w:lvl w:ilvl="0">
      <w:lvlJc w:val="left"/>
      <w:lvlText w:val="(%1)"/>
      <w:numFmt w:val="lowerLetter"/>
      <w:start w:val="1"/>
    </w:lvl>
  </w:abstractNum>
  <w:abstractNum w:abstractNumId="147">
    <w:nsid w:val="1958BD17"/>
    <w:multiLevelType w:val="hybridMultilevel"/>
    <w:lvl w:ilvl="0">
      <w:lvlJc w:val="left"/>
      <w:lvlText w:val="(%1)"/>
      <w:numFmt w:val="lowerLetter"/>
      <w:start w:val="1"/>
    </w:lvl>
  </w:abstractNum>
  <w:abstractNum w:abstractNumId="148">
    <w:nsid w:val="4E647FE4"/>
    <w:multiLevelType w:val="hybridMultilevel"/>
    <w:lvl w:ilvl="0">
      <w:lvlJc w:val="left"/>
      <w:lvlText w:val="(%1)"/>
      <w:numFmt w:val="lowerLetter"/>
      <w:start w:val="5"/>
    </w:lvl>
  </w:abstractNum>
  <w:abstractNum w:abstractNumId="149">
    <w:nsid w:val="E0BB885"/>
    <w:multiLevelType w:val="hybridMultilevel"/>
    <w:lvl w:ilvl="0">
      <w:lvlJc w:val="left"/>
      <w:lvlText w:val="%1"/>
      <w:numFmt w:val="lowerRoman"/>
      <w:start w:val="1"/>
    </w:lvl>
    <w:lvl w:ilvl="1">
      <w:lvlJc w:val="left"/>
      <w:lvlText w:val="(%2)"/>
      <w:numFmt w:val="lowerLetter"/>
      <w:start w:val="1"/>
    </w:lvl>
  </w:abstractNum>
  <w:abstractNum w:abstractNumId="150">
    <w:nsid w:val="565976F1"/>
    <w:multiLevelType w:val="hybridMultilevel"/>
    <w:lvl w:ilvl="0">
      <w:lvlJc w:val="left"/>
      <w:lvlText w:val="(%1)"/>
      <w:numFmt w:val="lowerRoman"/>
      <w:start w:val="5"/>
    </w:lvl>
    <w:lvl w:ilvl="1">
      <w:lvlJc w:val="left"/>
      <w:lvlText w:val="(%2)"/>
      <w:numFmt w:val="lowerLetter"/>
      <w:start w:val="2"/>
    </w:lvl>
  </w:abstractNum>
  <w:abstractNum w:abstractNumId="151">
    <w:nsid w:val="64212B8C"/>
    <w:multiLevelType w:val="hybridMultilevel"/>
    <w:lvl w:ilvl="0">
      <w:lvlJc w:val="left"/>
      <w:lvlText w:val="(%1)"/>
      <w:numFmt w:val="lowerRoman"/>
      <w:start w:val="3"/>
    </w:lvl>
  </w:abstractNum>
  <w:abstractNum w:abstractNumId="152">
    <w:nsid w:val="5C17530C"/>
    <w:multiLevelType w:val="hybridMultilevel"/>
    <w:lvl w:ilvl="0">
      <w:lvlJc w:val="left"/>
      <w:lvlText w:val="(%1)"/>
      <w:numFmt w:val="lowerLetter"/>
      <w:start w:val="4"/>
    </w:lvl>
  </w:abstractNum>
  <w:abstractNum w:abstractNumId="153">
    <w:nsid w:val="19A52566"/>
    <w:multiLevelType w:val="hybridMultilevel"/>
    <w:lvl w:ilvl="0">
      <w:lvlJc w:val="left"/>
      <w:lvlText w:val="(%1)"/>
      <w:numFmt w:val="lowerLetter"/>
      <w:start w:val="1"/>
    </w:lvl>
  </w:abstractNum>
  <w:abstractNum w:abstractNumId="154">
    <w:nsid w:val="335A1DF1"/>
    <w:multiLevelType w:val="hybridMultilevel"/>
    <w:lvl w:ilvl="0">
      <w:lvlJc w:val="left"/>
      <w:lvlText w:val="(%1)"/>
      <w:numFmt w:val="lowerLetter"/>
      <w:start w:val="5"/>
    </w:lvl>
  </w:abstractNum>
  <w:abstractNum w:abstractNumId="155">
    <w:nsid w:val="28677B7C"/>
    <w:multiLevelType w:val="hybridMultilevel"/>
    <w:lvl w:ilvl="0">
      <w:lvlJc w:val="left"/>
      <w:lvlText w:val="(%1)"/>
      <w:numFmt w:val="lowerLetter"/>
      <w:start w:val="1"/>
    </w:lvl>
  </w:abstractNum>
  <w:abstractNum w:abstractNumId="156">
    <w:nsid w:val="378D97C0"/>
    <w:multiLevelType w:val="hybridMultilevel"/>
    <w:lvl w:ilvl="0">
      <w:lvlJc w:val="left"/>
      <w:lvlText w:val="(%1)"/>
      <w:numFmt w:val="lowerLetter"/>
      <w:start w:val="1"/>
    </w:lvl>
  </w:abstractNum>
  <w:abstractNum w:abstractNumId="157">
    <w:nsid w:val="1D91467C"/>
    <w:multiLevelType w:val="hybridMultilevel"/>
    <w:lvl w:ilvl="0">
      <w:lvlJc w:val="left"/>
      <w:lvlText w:val="(%1)"/>
      <w:numFmt w:val="lowerLetter"/>
      <w:start w:val="3"/>
    </w:lvl>
  </w:abstractNum>
  <w:abstractNum w:abstractNumId="158">
    <w:nsid w:val="316032BB"/>
    <w:multiLevelType w:val="hybridMultilevel"/>
    <w:lvl w:ilvl="0">
      <w:lvlJc w:val="left"/>
      <w:lvlText w:val="(%1)"/>
      <w:numFmt w:val="lowerLetter"/>
      <w:start w:val="61"/>
    </w:lvl>
    <w:lvl w:ilvl="1">
      <w:lvlJc w:val="left"/>
      <w:lvlText w:val="(%2)"/>
      <w:numFmt w:val="lowerLetter"/>
      <w:start w:val="7"/>
    </w:lvl>
  </w:abstractNum>
  <w:abstractNum w:abstractNumId="159">
    <w:nsid w:val="44344C22"/>
    <w:multiLevelType w:val="hybridMultilevel"/>
    <w:lvl w:ilvl="0">
      <w:lvlJc w:val="left"/>
      <w:lvlText w:val="(%1)"/>
      <w:numFmt w:val="lowerLetter"/>
      <w:start w:val="1"/>
    </w:lvl>
  </w:abstractNum>
  <w:abstractNum w:abstractNumId="160">
    <w:nsid w:val="13CDFCFC"/>
    <w:multiLevelType w:val="hybridMultilevel"/>
    <w:lvl w:ilvl="0">
      <w:lvlJc w:val="left"/>
      <w:lvlText w:val="(%1)"/>
      <w:numFmt w:val="lowerLetter"/>
      <w:start w:val="1"/>
    </w:lvl>
  </w:abstractNum>
  <w:abstractNum w:abstractNumId="161">
    <w:nsid w:val="471745E4"/>
    <w:multiLevelType w:val="hybridMultilevel"/>
    <w:lvl w:ilvl="0">
      <w:lvlJc w:val="left"/>
      <w:lvlText w:val="(%1)"/>
      <w:numFmt w:val="lowerLetter"/>
      <w:start w:val="2"/>
    </w:lvl>
  </w:abstractNum>
  <w:abstractNum w:abstractNumId="162">
    <w:nsid w:val="1DDBC66"/>
    <w:multiLevelType w:val="hybridMultilevel"/>
    <w:lvl w:ilvl="0">
      <w:lvlJc w:val="left"/>
      <w:lvlText w:val="%1"/>
      <w:numFmt w:val="lowerLetter"/>
      <w:start w:val="1"/>
    </w:lvl>
    <w:lvl w:ilvl="1">
      <w:lvlJc w:val="left"/>
      <w:lvlText w:val="(%2)"/>
      <w:numFmt w:val="lowerLetter"/>
      <w:start w:val="1"/>
    </w:lvl>
  </w:abstractNum>
  <w:abstractNum w:abstractNumId="163">
    <w:nsid w:val="30AADFDA"/>
    <w:multiLevelType w:val="hybridMultilevel"/>
    <w:lvl w:ilvl="0">
      <w:lvlJc w:val="left"/>
      <w:lvlText w:val="(%1)"/>
      <w:numFmt w:val="lowerLetter"/>
      <w:start w:val="35"/>
    </w:lvl>
    <w:lvl w:ilvl="1">
      <w:lvlJc w:val="left"/>
      <w:lvlText w:val="%2"/>
      <w:numFmt w:val="lowerLetter"/>
      <w:start w:val="1"/>
    </w:lvl>
  </w:abstractNum>
  <w:abstractNum w:abstractNumId="164">
    <w:nsid w:val="30EADA61"/>
    <w:multiLevelType w:val="hybridMultilevel"/>
    <w:lvl w:ilvl="0">
      <w:lvlJc w:val="left"/>
      <w:lvlText w:val="(%1)"/>
      <w:numFmt w:val="lowerLetter"/>
      <w:start w:val="9"/>
    </w:lvl>
  </w:abstractNum>
  <w:abstractNum w:abstractNumId="165">
    <w:nsid w:val="27179C0B"/>
    <w:multiLevelType w:val="hybridMultilevel"/>
    <w:lvl w:ilvl="0">
      <w:lvlJc w:val="left"/>
      <w:lvlText w:val="(%1)"/>
      <w:numFmt w:val="lowerLetter"/>
      <w:start w:val="13"/>
    </w:lvl>
  </w:abstractNum>
  <w:abstractNum w:abstractNumId="166">
    <w:nsid w:val="5E636063"/>
    <w:multiLevelType w:val="hybridMultilevel"/>
    <w:lvl w:ilvl="0">
      <w:lvlJc w:val="left"/>
      <w:lvlText w:val="%1"/>
      <w:numFmt w:val="lowerLetter"/>
      <w:start w:val="1"/>
    </w:lvl>
    <w:lvl w:ilvl="1">
      <w:lvlJc w:val="left"/>
      <w:lvlText w:val="(%2)"/>
      <w:numFmt w:val="lowerLetter"/>
      <w:start w:val="1"/>
    </w:lvl>
  </w:abstractNum>
  <w:abstractNum w:abstractNumId="167">
    <w:nsid w:val="215641AF"/>
    <w:multiLevelType w:val="hybridMultilevel"/>
    <w:lvl w:ilvl="0">
      <w:lvlJc w:val="left"/>
      <w:lvlText w:val="(%1)"/>
      <w:numFmt w:val="lowerLetter"/>
      <w:start w:val="61"/>
    </w:lvl>
    <w:lvl w:ilvl="1">
      <w:lvlJc w:val="left"/>
      <w:lvlText w:val="%2"/>
      <w:numFmt w:val="lowerLetter"/>
      <w:start w:val="1"/>
    </w:lvl>
  </w:abstractNum>
  <w:abstractNum w:abstractNumId="168">
    <w:nsid w:val="53280662"/>
    <w:multiLevelType w:val="hybridMultilevel"/>
    <w:lvl w:ilvl="0">
      <w:lvlJc w:val="left"/>
      <w:lvlText w:val="(%1)"/>
      <w:numFmt w:val="lowerLetter"/>
      <w:start w:val="3"/>
    </w:lvl>
    <w:lvl w:ilvl="1">
      <w:lvlJc w:val="left"/>
      <w:lvlText w:val="(%2)"/>
      <w:numFmt w:val="lowerLetter"/>
      <w:start w:val="2"/>
    </w:lvl>
  </w:abstractNum>
  <w:abstractNum w:abstractNumId="169">
    <w:nsid w:val="46B24DBC"/>
    <w:multiLevelType w:val="hybridMultilevel"/>
    <w:lvl w:ilvl="0">
      <w:lvlJc w:val="left"/>
      <w:lvlText w:val="(%1)"/>
      <w:numFmt w:val="lowerLetter"/>
      <w:start w:val="4"/>
    </w:lvl>
  </w:abstractNum>
  <w:abstractNum w:abstractNumId="170">
    <w:nsid w:val="75B52783"/>
    <w:multiLevelType w:val="hybridMultilevel"/>
    <w:lvl w:ilvl="0">
      <w:lvlJc w:val="left"/>
      <w:lvlText w:val="(%1)"/>
      <w:numFmt w:val="lowerLetter"/>
      <w:start w:val="1"/>
    </w:lvl>
  </w:abstractNum>
  <w:abstractNum w:abstractNumId="171">
    <w:nsid w:val="57CE66B4"/>
    <w:multiLevelType w:val="hybridMultilevel"/>
    <w:lvl w:ilvl="0">
      <w:lvlJc w:val="left"/>
      <w:lvlText w:val="(%1)"/>
      <w:numFmt w:val="lowerLetter"/>
      <w:start w:val="3"/>
    </w:lvl>
  </w:abstractNum>
  <w:abstractNum w:abstractNumId="172">
    <w:nsid w:val="67A70B69"/>
    <w:multiLevelType w:val="hybridMultilevel"/>
    <w:lvl w:ilvl="0">
      <w:lvlJc w:val="left"/>
      <w:lvlText w:val="%1"/>
      <w:numFmt w:val="lowerLetter"/>
      <w:start w:val="1"/>
    </w:lvl>
    <w:lvl w:ilvl="1">
      <w:lvlJc w:val="left"/>
      <w:lvlText w:val="(%2)"/>
      <w:numFmt w:val="lowerLetter"/>
      <w:start w:val="1"/>
    </w:lvl>
  </w:abstractNum>
  <w:abstractNum w:abstractNumId="173">
    <w:nsid w:val="5953172F"/>
    <w:multiLevelType w:val="hybridMultilevel"/>
    <w:lvl w:ilvl="0">
      <w:lvlJc w:val="left"/>
      <w:lvlText w:val="(%1)"/>
      <w:numFmt w:val="lowerLetter"/>
      <w:start w:val="61"/>
    </w:lvl>
    <w:lvl w:ilvl="1">
      <w:lvlJc w:val="left"/>
      <w:lvlText w:val="(%2)"/>
      <w:numFmt w:val="lowerLetter"/>
      <w:start w:val="3"/>
    </w:lvl>
  </w:abstractNum>
  <w:abstractNum w:abstractNumId="174">
    <w:nsid w:val="27EDFE3A"/>
    <w:multiLevelType w:val="hybridMultilevel"/>
    <w:lvl w:ilvl="0">
      <w:lvlJc w:val="left"/>
      <w:lvlText w:val="(%1)"/>
      <w:numFmt w:val="lowerLetter"/>
      <w:start w:val="1"/>
    </w:lvl>
  </w:abstractNum>
  <w:abstractNum w:abstractNumId="175">
    <w:nsid w:val="52AC7DFF"/>
    <w:multiLevelType w:val="hybridMultilevel"/>
    <w:lvl w:ilvl="0">
      <w:lvlJc w:val="left"/>
      <w:lvlText w:val="(%1)"/>
      <w:numFmt w:val="lowerLetter"/>
      <w:start w:val="9"/>
    </w:lvl>
  </w:abstractNum>
  <w:abstractNum w:abstractNumId="176">
    <w:nsid w:val="C4C3AF"/>
    <w:multiLevelType w:val="hybridMultilevel"/>
    <w:lvl w:ilvl="0">
      <w:lvlJc w:val="left"/>
      <w:lvlText w:val="(%1)"/>
      <w:numFmt w:val="lowerLetter"/>
      <w:start w:val="13"/>
    </w:lvl>
  </w:abstractNum>
  <w:abstractNum w:abstractNumId="177">
    <w:nsid w:val="44380727"/>
    <w:multiLevelType w:val="hybridMultilevel"/>
    <w:lvl w:ilvl="0">
      <w:lvlJc w:val="left"/>
      <w:lvlText w:val="(%1)"/>
      <w:numFmt w:val="lowerLetter"/>
      <w:start w:val="19"/>
    </w:lvl>
  </w:abstractNum>
  <w:abstractNum w:abstractNumId="178">
    <w:nsid w:val="6C053B16"/>
    <w:multiLevelType w:val="hybridMultilevel"/>
    <w:lvl w:ilvl="0">
      <w:lvlJc w:val="left"/>
      <w:lvlText w:val="(%1)"/>
      <w:numFmt w:val="lowerLetter"/>
      <w:start w:val="1"/>
    </w:lvl>
    <w:lvl w:ilvl="1">
      <w:lvlJc w:val="left"/>
      <w:lvlText w:val="(%2)"/>
      <w:numFmt w:val="lowerLetter"/>
      <w:start w:val="9"/>
    </w:lvl>
  </w:abstractNum>
  <w:abstractNum w:abstractNumId="179">
    <w:nsid w:val="4F294393"/>
    <w:multiLevelType w:val="hybridMultilevel"/>
    <w:lvl w:ilvl="0">
      <w:lvlJc w:val="left"/>
      <w:lvlText w:val="(%1)"/>
      <w:numFmt w:val="lowerRoman"/>
      <w:start w:val="2"/>
    </w:lvl>
  </w:abstractNum>
  <w:abstractNum w:abstractNumId="180">
    <w:nsid w:val="5243BFAC"/>
    <w:multiLevelType w:val="hybridMultilevel"/>
    <w:lvl w:ilvl="0">
      <w:lvlJc w:val="left"/>
      <w:lvlText w:val="%1"/>
      <w:numFmt w:val="lowerLetter"/>
      <w:start w:val="1"/>
    </w:lvl>
    <w:lvl w:ilvl="1">
      <w:lvlJc w:val="left"/>
      <w:lvlText w:val="(%2)"/>
      <w:numFmt w:val="lowerRoman"/>
      <w:start w:val="13"/>
    </w:lvl>
  </w:abstractNum>
  <w:abstractNum w:abstractNumId="181">
    <w:nsid w:val="425EB207"/>
    <w:multiLevelType w:val="hybridMultilevel"/>
    <w:lvl w:ilvl="0">
      <w:lvlJc w:val="left"/>
      <w:lvlText w:val="(%1)"/>
      <w:numFmt w:val="lowerLetter"/>
      <w:start w:val="2"/>
    </w:lvl>
    <w:lvl w:ilvl="1">
      <w:lvlJc w:val="left"/>
      <w:lvlText w:val="%2"/>
      <w:numFmt w:val="lowerRoman"/>
      <w:start w:val="1"/>
    </w:lvl>
  </w:abstractNum>
  <w:abstractNum w:abstractNumId="182">
    <w:nsid w:val="334A6F1F"/>
    <w:multiLevelType w:val="hybridMultilevel"/>
    <w:lvl w:ilvl="0">
      <w:lvlJc w:val="left"/>
      <w:lvlText w:val="(%1)"/>
      <w:numFmt w:val="lowerLetter"/>
      <w:start w:val="1"/>
    </w:lvl>
  </w:abstractNum>
  <w:abstractNum w:abstractNumId="183">
    <w:nsid w:val="2E5B12B8"/>
    <w:multiLevelType w:val="hybridMultilevel"/>
    <w:lvl w:ilvl="0">
      <w:lvlJc w:val="left"/>
      <w:lvlText w:val="(%1)"/>
      <w:numFmt w:val="lowerLetter"/>
      <w:start w:val="2"/>
    </w:lvl>
  </w:abstractNum>
  <w:abstractNum w:abstractNumId="184">
    <w:nsid w:val="5C03D76D"/>
    <w:multiLevelType w:val="hybridMultilevel"/>
    <w:lvl w:ilvl="0">
      <w:lvlJc w:val="left"/>
      <w:lvlText w:val="(%1)"/>
      <w:numFmt w:val="lowerLetter"/>
      <w:start w:val="8"/>
    </w:lvl>
  </w:abstractNum>
  <w:abstractNum w:abstractNumId="185">
    <w:nsid w:val="66A48D11"/>
    <w:multiLevelType w:val="hybridMultilevel"/>
    <w:lvl w:ilvl="0">
      <w:lvlJc w:val="left"/>
      <w:lvlText w:val="(%1)"/>
      <w:numFmt w:val="lowerLetter"/>
      <w:start w:val="11"/>
    </w:lvl>
  </w:abstractNum>
  <w:abstractNum w:abstractNumId="186">
    <w:nsid w:val="56C28E34"/>
    <w:multiLevelType w:val="hybridMultilevel"/>
    <w:lvl w:ilvl="0">
      <w:lvlJc w:val="left"/>
      <w:lvlText w:val="%1"/>
      <w:numFmt w:val="lowerLetter"/>
      <w:start w:val="1"/>
    </w:lvl>
    <w:lvl w:ilvl="1">
      <w:lvlJc w:val="left"/>
      <w:lvlText w:val="(%2)"/>
      <w:numFmt w:val="lowerLetter"/>
      <w:start w:val="1"/>
    </w:lvl>
  </w:abstractNum>
  <w:abstractNum w:abstractNumId="187">
    <w:nsid w:val="13916F2D"/>
    <w:multiLevelType w:val="hybridMultilevel"/>
    <w:lvl w:ilvl="0">
      <w:lvlJc w:val="left"/>
      <w:lvlText w:val="(%1)"/>
      <w:numFmt w:val="lowerLetter"/>
      <w:start w:val="26"/>
    </w:lvl>
    <w:lvl w:ilvl="1">
      <w:lvlJc w:val="left"/>
      <w:lvlText w:val="%2"/>
      <w:numFmt w:val="lowerLetter"/>
      <w:start w:val="1"/>
    </w:lvl>
  </w:abstractNum>
  <w:abstractNum w:abstractNumId="188">
    <w:nsid w:val="435D38D"/>
    <w:multiLevelType w:val="hybridMultilevel"/>
    <w:lvl w:ilvl="0">
      <w:lvlJc w:val="left"/>
      <w:lvlText w:val="%1"/>
      <w:numFmt w:val="lowerLetter"/>
      <w:start w:val="1"/>
    </w:lvl>
    <w:lvl w:ilvl="1">
      <w:lvlJc w:val="left"/>
      <w:lvlText w:val="(%2)"/>
      <w:numFmt w:val="lowerLetter"/>
      <w:start w:val="2"/>
    </w:lvl>
  </w:abstractNum>
  <w:abstractNum w:abstractNumId="189">
    <w:nsid w:val="822C0EF"/>
    <w:multiLevelType w:val="hybridMultilevel"/>
    <w:lvl w:ilvl="0">
      <w:lvlJc w:val="left"/>
      <w:lvlText w:val="(%1)"/>
      <w:numFmt w:val="lowerLetter"/>
      <w:start w:val="35"/>
    </w:lvl>
    <w:lvl w:ilvl="1">
      <w:lvlJc w:val="left"/>
      <w:lvlText w:val="(%2)"/>
      <w:numFmt w:val="lowerLetter"/>
      <w:start w:val="3"/>
    </w:lvl>
  </w:abstractNum>
  <w:abstractNum w:abstractNumId="190">
    <w:nsid w:val="57C5BB4F"/>
    <w:multiLevelType w:val="hybridMultilevel"/>
    <w:lvl w:ilvl="0">
      <w:lvlJc w:val="left"/>
      <w:lvlText w:val="(%1)"/>
      <w:numFmt w:val="lowerLetter"/>
      <w:start w:val="9"/>
    </w:lvl>
  </w:abstractNum>
  <w:abstractNum w:abstractNumId="191">
    <w:nsid w:val="1803D089"/>
    <w:multiLevelType w:val="hybridMultilevel"/>
    <w:lvl w:ilvl="0">
      <w:lvlJc w:val="left"/>
      <w:lvlText w:val="(%1)"/>
      <w:numFmt w:val="lowerLetter"/>
      <w:start w:val="1"/>
    </w:lvl>
  </w:abstractNum>
  <w:abstractNum w:abstractNumId="192">
    <w:nsid w:val="4F3A06D4"/>
    <w:multiLevelType w:val="hybridMultilevel"/>
    <w:lvl w:ilvl="0">
      <w:lvlJc w:val="left"/>
      <w:lvlText w:val="(%1)"/>
      <w:numFmt w:val="lowerLetter"/>
      <w:start w:val="1"/>
    </w:lvl>
  </w:abstractNum>
  <w:abstractNum w:abstractNumId="193">
    <w:nsid w:val="59A377B6"/>
    <w:multiLevelType w:val="hybridMultilevel"/>
    <w:lvl w:ilvl="0">
      <w:lvlJc w:val="left"/>
      <w:lvlText w:val="(%1)"/>
      <w:numFmt w:val="lowerLetter"/>
      <w:start w:val="1"/>
    </w:lvl>
  </w:abstractNum>
  <w:abstractNum w:abstractNumId="194">
    <w:nsid w:val="48AEB063"/>
    <w:multiLevelType w:val="hybridMultilevel"/>
    <w:lvl w:ilvl="0">
      <w:lvlJc w:val="left"/>
      <w:lvlText w:val="%1"/>
      <w:numFmt w:val="upperLetter"/>
      <w:start w:val="1"/>
    </w:lvl>
    <w:lvl w:ilvl="1">
      <w:lvlJc w:val="left"/>
      <w:lvlText w:val="(%2)"/>
      <w:numFmt w:val="lowerLetter"/>
      <w:start w:val="9"/>
    </w:lvl>
  </w:abstractNum>
  <w:abstractNum w:abstractNumId="195">
    <w:nsid w:val="24E135"/>
    <w:multiLevelType w:val="hybridMultilevel"/>
    <w:lvl w:ilvl="0">
      <w:lvlJc w:val="left"/>
      <w:lvlText w:val="(%1)"/>
      <w:numFmt w:val="upperLetter"/>
      <w:start w:val="6"/>
    </w:lvl>
    <w:lvl w:ilvl="1">
      <w:lvlJc w:val="left"/>
      <w:lvlText w:val="(%2)"/>
      <w:numFmt w:val="lowerLetter"/>
      <w:start w:val="16"/>
    </w:lvl>
  </w:abstractNum>
  <w:abstractNum w:abstractNumId="196">
    <w:nsid w:val="BB13C1"/>
    <w:multiLevelType w:val="hybridMultilevel"/>
    <w:lvl w:ilvl="0">
      <w:lvlJc w:val="left"/>
      <w:lvlText w:val="%1"/>
      <w:numFmt w:val="lowerRoman"/>
      <w:start w:val="1"/>
    </w:lvl>
    <w:lvl w:ilvl="1">
      <w:lvlJc w:val="left"/>
      <w:lvlText w:val="(%2)"/>
      <w:numFmt w:val="lowerLetter"/>
      <w:start w:val="18"/>
    </w:lvl>
  </w:abstractNum>
  <w:abstractNum w:abstractNumId="197">
    <w:nsid w:val="271210C7"/>
    <w:multiLevelType w:val="hybridMultilevel"/>
    <w:lvl w:ilvl="0">
      <w:lvlJc w:val="left"/>
      <w:lvlText w:val="(%1)"/>
      <w:numFmt w:val="lowerRoman"/>
      <w:start w:val="9"/>
    </w:lvl>
    <w:lvl w:ilvl="1">
      <w:lvlJc w:val="left"/>
      <w:lvlText w:val="(%2)"/>
      <w:numFmt w:val="lowerLetter"/>
      <w:start w:val="21"/>
    </w:lvl>
  </w:abstractNum>
  <w:abstractNum w:abstractNumId="198">
    <w:nsid w:val="217B22E4"/>
    <w:multiLevelType w:val="hybridMultilevel"/>
    <w:lvl w:ilvl="0">
      <w:lvlJc w:val="left"/>
      <w:lvlText w:val="%1"/>
      <w:numFmt w:val="lowerLetter"/>
      <w:start w:val="1"/>
    </w:lvl>
    <w:lvl w:ilvl="1">
      <w:lvlJc w:val="left"/>
      <w:lvlText w:val="(%2)"/>
      <w:numFmt w:val="lowerLetter"/>
      <w:start w:val="1"/>
    </w:lvl>
  </w:abstractNum>
  <w:abstractNum w:abstractNumId="199">
    <w:nsid w:val="53E31A24"/>
    <w:multiLevelType w:val="hybridMultilevel"/>
    <w:lvl w:ilvl="0">
      <w:lvlJc w:val="left"/>
      <w:lvlText w:val="(%1)"/>
      <w:numFmt w:val="lowerLetter"/>
      <w:start w:val="9"/>
    </w:lvl>
    <w:lvl w:ilvl="1">
      <w:lvlJc w:val="left"/>
      <w:lvlText w:val="%2"/>
      <w:numFmt w:val="lowerLetter"/>
      <w:start w:val="1"/>
    </w:lvl>
  </w:abstractNum>
  <w:abstractNum w:abstractNumId="200">
    <w:nsid w:val="6DC45E83"/>
    <w:multiLevelType w:val="hybridMultilevel"/>
    <w:lvl w:ilvl="0">
      <w:lvlJc w:val="left"/>
      <w:lvlText w:val="(%1)"/>
      <w:numFmt w:val="lowerLetter"/>
      <w:start w:val="2"/>
    </w:lvl>
  </w:abstractNum>
  <w:abstractNum w:abstractNumId="201">
    <w:nsid w:val="17304A67"/>
    <w:multiLevelType w:val="hybridMultilevel"/>
    <w:lvl w:ilvl="0">
      <w:lvlJc w:val="left"/>
      <w:lvlText w:val="%1"/>
      <w:numFmt w:val="lowerLetter"/>
      <w:start w:val="1"/>
    </w:lvl>
    <w:lvl w:ilvl="1">
      <w:lvlJc w:val="left"/>
      <w:lvlText w:val="(%2)"/>
      <w:numFmt w:val="lowerLetter"/>
      <w:start w:val="1"/>
    </w:lvl>
  </w:abstractNum>
  <w:abstractNum w:abstractNumId="202">
    <w:nsid w:val="2BB180D8"/>
    <w:multiLevelType w:val="hybridMultilevel"/>
    <w:lvl w:ilvl="0">
      <w:lvlJc w:val="left"/>
      <w:lvlText w:val="(%1)"/>
      <w:numFmt w:val="lowerLetter"/>
      <w:start w:val="61"/>
    </w:lvl>
    <w:lvl w:ilvl="1">
      <w:lvlJc w:val="left"/>
      <w:lvlText w:val="(%2)"/>
      <w:numFmt w:val="lowerLetter"/>
      <w:start w:val="2"/>
    </w:lvl>
  </w:abstractNum>
  <w:abstractNum w:abstractNumId="203">
    <w:nsid w:val="556B69ED"/>
    <w:multiLevelType w:val="hybridMultilevel"/>
    <w:lvl w:ilvl="0">
      <w:lvlJc w:val="left"/>
      <w:lvlText w:val="%1"/>
      <w:numFmt w:val="decimal"/>
      <w:start w:val="1"/>
    </w:lvl>
    <w:lvl w:ilvl="1">
      <w:lvlJc w:val="left"/>
      <w:lvlText w:val="(%2)"/>
      <w:numFmt w:val="lowerLetter"/>
      <w:start w:val="4"/>
    </w:lvl>
  </w:abstractNum>
  <w:abstractNum w:abstractNumId="204">
    <w:nsid w:val="70836196"/>
    <w:multiLevelType w:val="hybridMultilevel"/>
    <w:lvl w:ilvl="0">
      <w:lvlJc w:val="left"/>
      <w:lvlText w:val="(%1)"/>
      <w:numFmt w:val="decimal"/>
      <w:start w:val="1"/>
    </w:lvl>
    <w:lvl w:ilvl="1">
      <w:lvlJc w:val="left"/>
      <w:lvlText w:val="(%2)"/>
      <w:numFmt w:val="lowerLetter"/>
      <w:start w:val="5"/>
    </w:lvl>
  </w:abstractNum>
  <w:abstractNum w:abstractNumId="205">
    <w:nsid w:val="539F7F12"/>
    <w:multiLevelType w:val="hybridMultilevel"/>
    <w:lvl w:ilvl="0">
      <w:lvlJc w:val="left"/>
      <w:lvlText w:val="%1"/>
      <w:numFmt w:val="lowerLetter"/>
      <w:start w:val="1"/>
    </w:lvl>
    <w:lvl w:ilvl="1">
      <w:lvlJc w:val="left"/>
      <w:lvlText w:val="(%2)"/>
      <w:numFmt w:val="lowerRoman"/>
      <w:start w:val="1"/>
    </w:lvl>
  </w:abstractNum>
  <w:abstractNum w:abstractNumId="206">
    <w:nsid w:val="2817E7EC"/>
    <w:multiLevelType w:val="hybridMultilevel"/>
    <w:lvl w:ilvl="0">
      <w:lvlJc w:val="left"/>
      <w:lvlText w:val="(%1)"/>
      <w:numFmt w:val="lowerLetter"/>
      <w:start w:val="7"/>
    </w:lvl>
    <w:lvl w:ilvl="1">
      <w:lvlJc w:val="left"/>
      <w:lvlText w:val="%2"/>
      <w:numFmt w:val="lowerRoman"/>
      <w:start w:val="1"/>
    </w:lvl>
  </w:abstractNum>
  <w:abstractNum w:abstractNumId="207">
    <w:nsid w:val="71482545"/>
    <w:multiLevelType w:val="hybridMultilevel"/>
    <w:lvl w:ilvl="0">
      <w:lvlJc w:val="left"/>
      <w:lvlText w:val="(%1)"/>
      <w:numFmt w:val="lowerRoman"/>
      <w:start w:val="1"/>
    </w:lvl>
    <w:lvl w:ilvl="1">
      <w:lvlJc w:val="left"/>
      <w:lvlText w:val="(%2)"/>
      <w:numFmt w:val="lowerRoman"/>
      <w:start w:val="1"/>
    </w:lvl>
  </w:abstractNum>
  <w:abstractNum w:abstractNumId="208">
    <w:nsid w:val="17D78639"/>
    <w:multiLevelType w:val="hybridMultilevel"/>
    <w:lvl w:ilvl="0">
      <w:lvlJc w:val="left"/>
      <w:lvlText w:val="(%1)"/>
      <w:numFmt w:val="lowerLetter"/>
      <w:start w:val="1"/>
    </w:lvl>
  </w:abstractNum>
  <w:abstractNum w:abstractNumId="209">
    <w:nsid w:val="141D2302"/>
    <w:multiLevelType w:val="hybridMultilevel"/>
    <w:lvl w:ilvl="0">
      <w:lvlJc w:val="left"/>
      <w:lvlText w:val="(%1)"/>
      <w:numFmt w:val="lowerLetter"/>
      <w:start w:val="3"/>
    </w:lvl>
  </w:abstractNum>
  <w:abstractNum w:abstractNumId="210">
    <w:nsid w:val="407168D8"/>
    <w:multiLevelType w:val="hybridMultilevel"/>
    <w:lvl w:ilvl="0">
      <w:lvlJc w:val="left"/>
      <w:lvlText w:val="%1"/>
      <w:numFmt w:val="lowerLetter"/>
      <w:start w:val="1"/>
    </w:lvl>
    <w:lvl w:ilvl="1">
      <w:lvlJc w:val="left"/>
      <w:lvlText w:val="(%2)"/>
      <w:numFmt w:val="lowerLetter"/>
      <w:start w:val="1"/>
    </w:lvl>
  </w:abstractNum>
  <w:abstractNum w:abstractNumId="211">
    <w:nsid w:val="6A1B45E5"/>
    <w:multiLevelType w:val="hybridMultilevel"/>
    <w:lvl w:ilvl="0">
      <w:lvlJc w:val="left"/>
      <w:lvlText w:val="(%1)"/>
      <w:numFmt w:val="lowerLetter"/>
      <w:start w:val="9"/>
    </w:lvl>
    <w:lvl w:ilvl="1">
      <w:lvlJc w:val="left"/>
      <w:lvlText w:val="(%2)"/>
      <w:numFmt w:val="lowerLetter"/>
      <w:start w:val="2"/>
    </w:lvl>
  </w:abstractNum>
  <w:abstractNum w:abstractNumId="212">
    <w:nsid w:val="567BD50A"/>
    <w:multiLevelType w:val="hybridMultilevel"/>
    <w:lvl w:ilvl="0">
      <w:lvlJc w:val="left"/>
      <w:lvlText w:val="%1"/>
      <w:numFmt w:val="upperLetter"/>
      <w:start w:val="1"/>
    </w:lvl>
    <w:lvl w:ilvl="1">
      <w:lvlJc w:val="left"/>
      <w:lvlText w:val="(%2)"/>
      <w:numFmt w:val="lowerLetter"/>
      <w:start w:val="3"/>
    </w:lvl>
  </w:abstractNum>
  <w:abstractNum w:abstractNumId="213">
    <w:nsid w:val="73BBD7F8"/>
    <w:multiLevelType w:val="hybridMultilevel"/>
    <w:lvl w:ilvl="0">
      <w:lvlJc w:val="left"/>
      <w:lvlText w:val="(%1)"/>
      <w:numFmt w:val="upperLetter"/>
      <w:start w:val="1"/>
    </w:lvl>
    <w:lvl w:ilvl="1">
      <w:lvlJc w:val="left"/>
      <w:lvlText w:val="(%2)"/>
      <w:numFmt w:val="lowerLetter"/>
      <w:start w:val="4"/>
    </w:lvl>
  </w:abstractNum>
  <w:abstractNum w:abstractNumId="214">
    <w:nsid w:val="1876589D"/>
    <w:multiLevelType w:val="hybridMultilevel"/>
    <w:lvl w:ilvl="0">
      <w:lvlJc w:val="left"/>
      <w:lvlText w:val="(%1)"/>
      <w:numFmt w:val="lowerLetter"/>
      <w:start w:val="1"/>
    </w:lvl>
  </w:abstractNum>
  <w:abstractNum w:abstractNumId="215">
    <w:nsid w:val="327FAC77"/>
    <w:multiLevelType w:val="hybridMultilevel"/>
    <w:lvl w:ilvl="0">
      <w:lvlJc w:val="left"/>
      <w:lvlText w:val="(%1)"/>
      <w:numFmt w:val="lowerLetter"/>
      <w:start w:val="2"/>
    </w:lvl>
  </w:abstractNum>
  <w:abstractNum w:abstractNumId="216">
    <w:nsid w:val="5A606509"/>
    <w:multiLevelType w:val="hybridMultilevel"/>
    <w:lvl w:ilvl="0">
      <w:lvlJc w:val="left"/>
      <w:lvlText w:val="%1"/>
      <w:numFmt w:val="lowerLetter"/>
      <w:start w:val="1"/>
    </w:lvl>
    <w:lvl w:ilvl="1">
      <w:lvlJc w:val="left"/>
      <w:lvlText w:val="(%2)"/>
      <w:numFmt w:val="lowerLetter"/>
      <w:start w:val="1"/>
    </w:lvl>
  </w:abstractNum>
  <w:abstractNum w:abstractNumId="217">
    <w:nsid w:val="6F38E6D1"/>
    <w:multiLevelType w:val="hybridMultilevel"/>
    <w:lvl w:ilvl="0">
      <w:lvlJc w:val="left"/>
      <w:lvlText w:val="(%1)"/>
      <w:numFmt w:val="lowerLetter"/>
      <w:start w:val="9"/>
    </w:lvl>
    <w:lvl w:ilvl="1">
      <w:lvlJc w:val="left"/>
      <w:lvlText w:val="%2"/>
      <w:numFmt w:val="lowerLetter"/>
      <w:start w:val="1"/>
    </w:lvl>
  </w:abstractNum>
  <w:abstractNum w:abstractNumId="218">
    <w:nsid w:val="46111BA5"/>
    <w:multiLevelType w:val="hybridMultilevel"/>
    <w:lvl w:ilvl="0">
      <w:lvlJc w:val="left"/>
      <w:lvlText w:val="(%1)"/>
      <w:numFmt w:val="lowerLetter"/>
      <w:start w:val="5"/>
    </w:lvl>
  </w:abstractNum>
  <w:abstractNum w:abstractNumId="219">
    <w:nsid w:val="5E963896"/>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20">
    <w:nsid w:val="775BA7C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21">
    <w:nsid w:val="1DD6D6F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22">
    <w:nsid w:val="769A091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3">
    <w:nsid w:val="4695AE95"/>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24">
    <w:nsid w:val="777A4EAA"/>
    <w:multiLevelType w:val="hybridMultilevel"/>
    <w:lvl w:ilvl="0">
      <w:lvlJc w:val="left"/>
      <w:lvlText w:val="(%1)"/>
      <w:numFmt w:val="lowerLetter"/>
      <w:start w:val="1"/>
    </w:lvl>
    <w:lvl w:ilvl="1">
      <w:lvlJc w:val="left"/>
      <w:lvlText w:val="(%2)"/>
      <w:numFmt w:val="lowerRoman"/>
      <w:start w:val="1"/>
    </w:lvl>
  </w:abstractNum>
  <w:abstractNum w:abstractNumId="225">
    <w:nsid w:val="3F48B982"/>
    <w:multiLevelType w:val="hybridMultilevel"/>
    <w:lvl w:ilvl="0">
      <w:lvlJc w:val="left"/>
      <w:lvlText w:val="(%1)"/>
      <w:numFmt w:val="lowerLetter"/>
      <w:start w:val="2"/>
    </w:lvl>
  </w:abstractNum>
  <w:abstractNum w:abstractNumId="226">
    <w:nsid w:val="46BA8FCA"/>
    <w:multiLevelType w:val="hybridMultilevel"/>
    <w:lvl w:ilvl="0">
      <w:lvlJc w:val="left"/>
      <w:lvlText w:val="%1"/>
      <w:numFmt w:val="lowerRoman"/>
      <w:start w:val="1"/>
    </w:lvl>
    <w:lvl w:ilvl="1">
      <w:lvlJc w:val="left"/>
      <w:lvlText w:val="(%2)"/>
      <w:numFmt w:val="lowerLetter"/>
      <w:start w:val="1"/>
    </w:lvl>
  </w:abstractNum>
  <w:abstractNum w:abstractNumId="227">
    <w:nsid w:val="7835626C"/>
    <w:multiLevelType w:val="hybridMultilevel"/>
    <w:lvl w:ilvl="0">
      <w:lvlJc w:val="left"/>
      <w:lvlText w:val="(%1)"/>
      <w:numFmt w:val="lowerRoman"/>
      <w:start w:val="1"/>
    </w:lvl>
    <w:lvl w:ilvl="1">
      <w:lvlJc w:val="left"/>
      <w:lvlText w:val="(%2)"/>
      <w:numFmt w:val="lowerLetter"/>
      <w:start w:val="2"/>
    </w:lvl>
  </w:abstractNum>
  <w:abstractNum w:abstractNumId="228">
    <w:nsid w:val="665ACA49"/>
    <w:multiLevelType w:val="hybridMultilevel"/>
    <w:lvl w:ilvl="0">
      <w:lvlJc w:val="left"/>
      <w:lvlText w:val="(%1)"/>
      <w:numFmt w:val="lowerLetter"/>
      <w:start w:val="1"/>
    </w:lvl>
  </w:abstractNum>
  <w:abstractNum w:abstractNumId="229">
    <w:nsid w:val="6835B2AE"/>
    <w:multiLevelType w:val="hybridMultilevel"/>
    <w:lvl w:ilvl="0">
      <w:lvlJc w:val="left"/>
      <w:lvlText w:val="(%1)"/>
      <w:numFmt w:val="lowerLetter"/>
      <w:start w:val="1"/>
    </w:lvl>
  </w:abstractNum>
  <w:abstractNum w:abstractNumId="230">
    <w:nsid w:val="4C187C90"/>
    <w:multiLevelType w:val="hybridMultilevel"/>
    <w:lvl w:ilvl="0">
      <w:lvlJc w:val="left"/>
      <w:lvlText w:val="%1"/>
      <w:numFmt w:val="lowerLetter"/>
      <w:start w:val="1"/>
    </w:lvl>
    <w:lvl w:ilvl="1">
      <w:lvlJc w:val="left"/>
      <w:lvlText w:val="(%2)"/>
      <w:numFmt w:val="lowerLetter"/>
      <w:start w:val="1"/>
    </w:lvl>
  </w:abstractNum>
  <w:abstractNum w:abstractNumId="231">
    <w:nsid w:val="541F28CD"/>
    <w:multiLevelType w:val="hybridMultilevel"/>
    <w:lvl w:ilvl="0">
      <w:lvlJc w:val="left"/>
      <w:lvlText w:val="(%1)"/>
      <w:numFmt w:val="lowerLetter"/>
      <w:start w:val="35"/>
    </w:lvl>
    <w:lvl w:ilvl="1">
      <w:lvlJc w:val="left"/>
      <w:lvlText w:val="%2"/>
      <w:numFmt w:val="lowerLetter"/>
      <w:start w:val="1"/>
    </w:lvl>
  </w:abstractNum>
  <w:abstractNum w:abstractNumId="232">
    <w:nsid w:val="7F65FD16"/>
    <w:multiLevelType w:val="hybridMultilevel"/>
    <w:lvl w:ilvl="0">
      <w:lvlJc w:val="left"/>
      <w:lvlText w:val="(%1)"/>
      <w:numFmt w:val="lowerLetter"/>
      <w:start w:val="2"/>
    </w:lvl>
  </w:abstractNum>
  <w:abstractNum w:abstractNumId="233">
    <w:nsid w:val="77C9FD68"/>
    <w:multiLevelType w:val="hybridMultilevel"/>
    <w:lvl w:ilvl="0">
      <w:lvlJc w:val="left"/>
      <w:lvlText w:val="(%1)"/>
      <w:numFmt w:val="lowerLetter"/>
      <w:start w:val="1"/>
    </w:lvl>
  </w:abstractNum>
  <w:abstractNum w:abstractNumId="234">
    <w:nsid w:val="298A92BA"/>
    <w:multiLevelType w:val="hybridMultilevel"/>
    <w:lvl w:ilvl="0">
      <w:lvlJc w:val="left"/>
      <w:lvlText w:val="(%1)"/>
      <w:numFmt w:val="lowerLetter"/>
      <w:start w:val="5"/>
    </w:lvl>
  </w:abstractNum>
  <w:abstractNum w:abstractNumId="235">
    <w:nsid w:val="6FE95EAC"/>
    <w:multiLevelType w:val="hybridMultilevel"/>
    <w:lvl w:ilvl="0">
      <w:lvlJc w:val="left"/>
      <w:lvlText w:val="(%1)"/>
      <w:numFmt w:val="lowerLetter"/>
      <w:start w:val="6"/>
    </w:lvl>
  </w:abstractNum>
  <w:abstractNum w:abstractNumId="236">
    <w:nsid w:val="4B697C7A"/>
    <w:multiLevelType w:val="hybridMultilevel"/>
    <w:lvl w:ilvl="0">
      <w:lvlJc w:val="left"/>
      <w:lvlText w:val="%1"/>
      <w:numFmt w:val="lowerLetter"/>
      <w:start w:val="1"/>
    </w:lvl>
    <w:lvl w:ilvl="1">
      <w:lvlJc w:val="left"/>
      <w:lvlText w:val="(%2)"/>
      <w:numFmt w:val="lowerLetter"/>
      <w:start w:val="1"/>
    </w:lvl>
  </w:abstractNum>
  <w:abstractNum w:abstractNumId="237">
    <w:nsid w:val="51A27AA6"/>
    <w:multiLevelType w:val="hybridMultilevel"/>
    <w:lvl w:ilvl="0">
      <w:lvlJc w:val="left"/>
      <w:lvlText w:val="(%1)"/>
      <w:numFmt w:val="lowerLetter"/>
      <w:start w:val="25"/>
    </w:lvl>
    <w:lvl w:ilvl="1">
      <w:lvlJc w:val="left"/>
      <w:lvlText w:val="%2"/>
      <w:numFmt w:val="lowerLetter"/>
      <w:start w:val="1"/>
    </w:lvl>
  </w:abstractNum>
  <w:abstractNum w:abstractNumId="238">
    <w:nsid w:val="613183F2"/>
    <w:multiLevelType w:val="hybridMultilevel"/>
    <w:lvl w:ilvl="0">
      <w:lvlJc w:val="left"/>
      <w:lvlText w:val="(%1)"/>
      <w:numFmt w:val="lowerRoman"/>
      <w:start w:val="2"/>
    </w:lvl>
    <w:lvl w:ilvl="1">
      <w:lvlJc w:val="left"/>
      <w:lvlText w:val="(%2)"/>
      <w:numFmt w:val="lowerLetter"/>
      <w:start w:val="3"/>
    </w:lvl>
  </w:abstractNum>
  <w:abstractNum w:abstractNumId="239">
    <w:nsid w:val="634102B4"/>
    <w:multiLevelType w:val="hybridMultilevel"/>
    <w:lvl w:ilvl="0">
      <w:lvlJc w:val="left"/>
      <w:lvlText w:val="(%1)"/>
      <w:numFmt w:val="lowerRoman"/>
      <w:start w:val="1"/>
    </w:lvl>
  </w:abstractNum>
  <w:abstractNum w:abstractNumId="240">
    <w:nsid w:val="65BF9DA8"/>
    <w:multiLevelType w:val="hybridMultilevel"/>
    <w:lvl w:ilvl="0">
      <w:lvlJc w:val="left"/>
      <w:lvlText w:val="(%1)"/>
      <w:numFmt w:val="lowerLetter"/>
      <w:start w:val="1"/>
    </w:lvl>
  </w:abstractNum>
  <w:abstractNum w:abstractNumId="241">
    <w:nsid w:val="21A2ECCA"/>
    <w:multiLevelType w:val="hybridMultilevel"/>
    <w:lvl w:ilvl="0">
      <w:lvlJc w:val="left"/>
      <w:lvlText w:val="(%1)"/>
      <w:numFmt w:val="lowerLetter"/>
      <w:start w:val="1"/>
    </w:lvl>
  </w:abstractNum>
  <w:abstractNum w:abstractNumId="242">
    <w:nsid w:val="4D5C4899"/>
    <w:multiLevelType w:val="hybridMultilevel"/>
    <w:lvl w:ilvl="0">
      <w:lvlJc w:val="left"/>
      <w:lvlText w:val="(%1)"/>
      <w:numFmt w:val="lowerLetter"/>
      <w:start w:val="2"/>
    </w:lvl>
  </w:abstractNum>
  <w:abstractNum w:abstractNumId="243">
    <w:nsid w:val="3C3B72B2"/>
    <w:multiLevelType w:val="hybridMultilevel"/>
    <w:lvl w:ilvl="0">
      <w:lvlJc w:val="left"/>
      <w:lvlText w:val="(%1)"/>
      <w:numFmt w:val="lowerLetter"/>
      <w:start w:val="1"/>
    </w:lvl>
  </w:abstractNum>
  <w:abstractNum w:abstractNumId="244">
    <w:nsid w:val="155EC4C2"/>
    <w:multiLevelType w:val="hybridMultilevel"/>
    <w:lvl w:ilvl="0">
      <w:lvlJc w:val="left"/>
      <w:lvlText w:val="(%1)"/>
      <w:numFmt w:val="lowerLetter"/>
      <w:start w:val="3"/>
    </w:lvl>
  </w:abstractNum>
  <w:abstractNum w:abstractNumId="245">
    <w:nsid w:val="65D2A137"/>
    <w:multiLevelType w:val="hybridMultilevel"/>
    <w:lvl w:ilvl="0">
      <w:lvlJc w:val="left"/>
      <w:lvlText w:val="(%1)"/>
      <w:numFmt w:val="lowerRoman"/>
      <w:start w:val="2"/>
    </w:lvl>
  </w:abstractNum>
  <w:abstractNum w:abstractNumId="246">
    <w:nsid w:val="6EBB1F2A"/>
    <w:multiLevelType w:val="hybridMultilevel"/>
    <w:lvl w:ilvl="0">
      <w:lvlJc w:val="left"/>
      <w:lvlText w:val="(%1)"/>
      <w:numFmt w:val="lowerRoman"/>
      <w:start w:val="3"/>
    </w:lvl>
  </w:abstractNum>
  <w:abstractNum w:abstractNumId="247">
    <w:nsid w:val="6FBF29CB"/>
    <w:multiLevelType w:val="hybridMultilevel"/>
    <w:lvl w:ilvl="0">
      <w:lvlJc w:val="left"/>
      <w:lvlText w:val="(%1)"/>
      <w:numFmt w:val="lowerRoman"/>
      <w:start w:val="1"/>
    </w:lvl>
  </w:abstractNum>
  <w:abstractNum w:abstractNumId="248">
    <w:nsid w:val="550B8808"/>
    <w:multiLevelType w:val="hybridMultilevel"/>
    <w:lvl w:ilvl="0">
      <w:lvlJc w:val="left"/>
      <w:lvlText w:val="(%1)"/>
      <w:numFmt w:val="lowerRoman"/>
      <w:start w:val="3"/>
    </w:lvl>
  </w:abstractNum>
  <w:abstractNum w:abstractNumId="249">
    <w:nsid w:val="34CC3ACF"/>
    <w:multiLevelType w:val="hybridMultilevel"/>
    <w:lvl w:ilvl="0">
      <w:lvlJc w:val="left"/>
      <w:lvlText w:val="(%1)"/>
      <w:numFmt w:val="lowerLetter"/>
      <w:start w:val="1"/>
    </w:lvl>
  </w:abstractNum>
  <w:abstractNum w:abstractNumId="250">
    <w:nsid w:val="4E556261"/>
    <w:multiLevelType w:val="hybridMultilevel"/>
    <w:lvl w:ilvl="0">
      <w:lvlJc w:val="left"/>
      <w:lvlText w:val="(%1)"/>
      <w:numFmt w:val="lowerLetter"/>
      <w:start w:val="2"/>
    </w:lvl>
  </w:abstractNum>
  <w:abstractNum w:abstractNumId="251">
    <w:nsid w:val="4C672FC9"/>
    <w:multiLevelType w:val="hybridMultilevel"/>
    <w:lvl w:ilvl="0">
      <w:lvlJc w:val="left"/>
      <w:lvlText w:val="%1"/>
      <w:numFmt w:val="upperLetter"/>
      <w:start w:val="1"/>
    </w:lvl>
    <w:lvl w:ilvl="1">
      <w:lvlJc w:val="left"/>
      <w:lvlText w:val="(%2)"/>
      <w:numFmt w:val="lowerLetter"/>
      <w:start w:val="1"/>
    </w:lvl>
  </w:abstractNum>
  <w:abstractNum w:abstractNumId="252">
    <w:nsid w:val="52A311C3"/>
    <w:multiLevelType w:val="hybridMultilevel"/>
    <w:lvl w:ilvl="0">
      <w:lvlJc w:val="left"/>
      <w:lvlText w:val="(%1)"/>
      <w:numFmt w:val="upperLetter"/>
      <w:start w:val="9"/>
    </w:lvl>
    <w:lvl w:ilvl="1">
      <w:lvlJc w:val="left"/>
      <w:lvlText w:val="%2"/>
      <w:numFmt w:val="lowerLetter"/>
      <w:start w:val="1"/>
    </w:lvl>
  </w:abstractNum>
  <w:abstractNum w:abstractNumId="253">
    <w:nsid w:val="44EF6B80"/>
    <w:multiLevelType w:val="hybridMultilevel"/>
    <w:lvl w:ilvl="0">
      <w:lvlJc w:val="left"/>
      <w:lvlText w:val="%1"/>
      <w:numFmt w:val="lowerLetter"/>
      <w:start w:val="1"/>
    </w:lvl>
    <w:lvl w:ilvl="1">
      <w:lvlJc w:val="left"/>
      <w:lvlText w:val="(%2)"/>
      <w:numFmt w:val="lowerLetter"/>
      <w:start w:val="4"/>
    </w:lvl>
  </w:abstractNum>
  <w:abstractNum w:abstractNumId="254">
    <w:nsid w:val="12FCDE5E"/>
    <w:multiLevelType w:val="hybridMultilevel"/>
    <w:lvl w:ilvl="0">
      <w:lvlJc w:val="left"/>
      <w:lvlText w:val="(%1)"/>
      <w:numFmt w:val="lowerLetter"/>
      <w:start w:val="35"/>
    </w:lvl>
    <w:lvl w:ilvl="1">
      <w:lvlJc w:val="left"/>
      <w:lvlText w:val="%2"/>
      <w:numFmt w:val="lowerLetter"/>
      <w:start w:val="1"/>
    </w:lvl>
  </w:abstractNum>
  <w:abstractNum w:abstractNumId="255">
    <w:nsid w:val="4A1D606E"/>
    <w:multiLevelType w:val="hybridMultilevel"/>
    <w:lvl w:ilvl="0">
      <w:lvlJc w:val="left"/>
      <w:lvlText w:val="%1."/>
      <w:numFmt w:val="decimal"/>
      <w:start w:val="1"/>
    </w:lvl>
  </w:abstractNum>
  <w:abstractNum w:abstractNumId="256">
    <w:nsid w:val="4382503"/>
    <w:multiLevelType w:val="hybridMultilevel"/>
    <w:lvl w:ilvl="0">
      <w:lvlJc w:val="left"/>
      <w:lvlText w:val="%1"/>
      <w:numFmt w:val="lowerLetter"/>
      <w:start w:val="1"/>
    </w:lvl>
    <w:lvl w:ilvl="1">
      <w:lvlJc w:val="left"/>
      <w:lvlText w:val="%2."/>
      <w:numFmt w:val="decimal"/>
      <w:start w:val="2"/>
    </w:lvl>
  </w:abstractNum>
  <w:abstractNum w:abstractNumId="257">
    <w:nsid w:val="59B76E28"/>
    <w:multiLevelType w:val="hybridMultilevel"/>
    <w:lvl w:ilvl="0">
      <w:lvlJc w:val="left"/>
      <w:lvlText w:val="(%1)"/>
      <w:numFmt w:val="lowerLetter"/>
      <w:start w:val="3"/>
    </w:lvl>
    <w:lvl w:ilvl="1">
      <w:lvlJc w:val="left"/>
      <w:lvlText w:val="%2."/>
      <w:numFmt w:val="decimal"/>
      <w:start w:val="3"/>
    </w:lvl>
  </w:abstractNum>
  <w:abstractNum w:abstractNumId="258">
    <w:nsid w:val="4252C2DA"/>
    <w:multiLevelType w:val="hybridMultilevel"/>
    <w:lvl w:ilvl="0">
      <w:lvlJc w:val="left"/>
      <w:lvlText w:val="(%1)"/>
      <w:numFmt w:val="upperLetter"/>
      <w:start w:val="2"/>
    </w:lvl>
  </w:abstractNum>
  <w:abstractNum w:abstractNumId="259">
    <w:nsid w:val="6A92EF4C"/>
    <w:multiLevelType w:val="hybridMultilevel"/>
    <w:lvl w:ilvl="0">
      <w:lvlJc w:val="left"/>
      <w:lvlText w:val="(%1)"/>
      <w:numFmt w:val="lowerLetter"/>
      <w:start w:val="2"/>
    </w:lvl>
  </w:abstractNum>
  <w:abstractNum w:abstractNumId="260">
    <w:nsid w:val="41ED20D7"/>
    <w:multiLevelType w:val="hybridMultilevel"/>
    <w:lvl w:ilvl="0">
      <w:lvlJc w:val="left"/>
      <w:lvlText w:val="%1."/>
      <w:numFmt w:val="decimal"/>
      <w:start w:val="4"/>
    </w:lvl>
  </w:abstractNum>
  <w:abstractNum w:abstractNumId="261">
    <w:nsid w:val="E6B3F6A"/>
    <w:multiLevelType w:val="hybridMultilevel"/>
    <w:lvl w:ilvl="0">
      <w:lvlJc w:val="left"/>
      <w:lvlText w:val="(%1)"/>
      <w:numFmt w:val="lowerLetter"/>
      <w:start w:val="2"/>
    </w:lvl>
  </w:abstractNum>
  <w:abstractNum w:abstractNumId="262">
    <w:nsid w:val="3EB21819"/>
    <w:multiLevelType w:val="hybridMultilevel"/>
    <w:lvl w:ilvl="0">
      <w:lvlJc w:val="left"/>
      <w:lvlText w:val="%1."/>
      <w:numFmt w:val="decimal"/>
      <w:start w:val="5"/>
    </w:lvl>
  </w:abstractNum>
  <w:abstractNum w:abstractNumId="263">
    <w:nsid w:val="41531DED"/>
    <w:multiLevelType w:val="hybridMultilevel"/>
    <w:lvl w:ilvl="0">
      <w:lvlJc w:val="left"/>
      <w:lvlText w:val="(%1)"/>
      <w:numFmt w:val="lowerLetter"/>
      <w:start w:val="3"/>
    </w:lvl>
  </w:abstractNum>
  <w:abstractNum w:abstractNumId="264">
    <w:nsid w:val="6353CD2"/>
    <w:multiLevelType w:val="hybridMultilevel"/>
    <w:lvl w:ilvl="0">
      <w:lvlJc w:val="left"/>
      <w:lvlText w:val="%1."/>
      <w:numFmt w:val="decimal"/>
      <w:start w:val="6"/>
    </w:lvl>
  </w:abstractNum>
  <w:abstractNum w:abstractNumId="265">
    <w:nsid w:val="683CAAD3"/>
    <w:multiLevelType w:val="hybridMultilevel"/>
    <w:lvl w:ilvl="0">
      <w:lvlJc w:val="left"/>
      <w:lvlText w:val="%1."/>
      <w:numFmt w:val="decimal"/>
      <w:start w:val="8"/>
    </w:lvl>
  </w:abstractNum>
  <w:abstractNum w:abstractNumId="266">
    <w:nsid w:val="313C7C99"/>
    <w:multiLevelType w:val="hybridMultilevel"/>
    <w:lvl w:ilvl="0">
      <w:lvlJc w:val="left"/>
      <w:lvlText w:val="%1."/>
      <w:numFmt w:val="decimal"/>
      <w:start w:val="11"/>
    </w:lvl>
  </w:abstractNum>
  <w:abstractNum w:abstractNumId="267">
    <w:nsid w:val="519EB94C"/>
    <w:multiLevelType w:val="hybridMultilevel"/>
    <w:lvl w:ilvl="0">
      <w:lvlJc w:val="left"/>
      <w:lvlText w:val="%1"/>
      <w:numFmt w:val="lowerLetter"/>
      <w:start w:val="1"/>
    </w:lvl>
    <w:lvl w:ilvl="1">
      <w:lvlJc w:val="left"/>
      <w:lvlText w:val="%2."/>
      <w:numFmt w:val="decimal"/>
      <w:start w:val="12"/>
    </w:lvl>
  </w:abstractNum>
  <w:abstractNum w:abstractNumId="268">
    <w:nsid w:val="39DF2579"/>
    <w:multiLevelType w:val="hybridMultilevel"/>
    <w:lvl w:ilvl="0">
      <w:lvlJc w:val="left"/>
      <w:lvlText w:val="(%1)"/>
      <w:numFmt w:val="lowerLetter"/>
      <w:start w:val="2"/>
    </w:lvl>
    <w:lvl w:ilvl="1">
      <w:lvlJc w:val="left"/>
      <w:lvlText w:val="%2."/>
      <w:numFmt w:val="decimal"/>
      <w:start w:val="16"/>
    </w:lvl>
  </w:abstractNum>
  <w:abstractNum w:abstractNumId="269">
    <w:nsid w:val="126E008B"/>
    <w:multiLevelType w:val="hybridMultilevel"/>
    <w:lvl w:ilvl="0">
      <w:lvlJc w:val="left"/>
      <w:lvlText w:val="%1."/>
      <w:numFmt w:val="decimal"/>
      <w:start w:val="18"/>
    </w:lvl>
  </w:abstractNum>
  <w:abstractNum w:abstractNumId="270">
    <w:nsid w:val="34DFBC00"/>
    <w:multiLevelType w:val="hybridMultilevel"/>
    <w:lvl w:ilvl="0">
      <w:lvlJc w:val="left"/>
      <w:lvlText w:val="%1."/>
      <w:numFmt w:val="decimal"/>
      <w:start w:val="1"/>
    </w:lvl>
  </w:abstractNum>
  <w:abstractNum w:abstractNumId="271">
    <w:nsid w:val="1F9EC322"/>
    <w:multiLevelType w:val="hybridMultilevel"/>
    <w:lvl w:ilvl="0">
      <w:lvlJc w:val="left"/>
      <w:lvlText w:val="%1"/>
      <w:numFmt w:val="lowerLetter"/>
      <w:start w:val="1"/>
    </w:lvl>
    <w:lvl w:ilvl="1">
      <w:lvlJc w:val="left"/>
      <w:lvlText w:val="%2."/>
      <w:numFmt w:val="decimal"/>
      <w:start w:val="2"/>
    </w:lvl>
  </w:abstractNum>
  <w:abstractNum w:abstractNumId="272">
    <w:nsid w:val="3410ED56"/>
    <w:multiLevelType w:val="hybridMultilevel"/>
    <w:lvl w:ilvl="0">
      <w:lvlJc w:val="left"/>
      <w:lvlText w:val="(%1)"/>
      <w:numFmt w:val="lowerLetter"/>
      <w:start w:val="3"/>
    </w:lvl>
    <w:lvl w:ilvl="1">
      <w:lvlJc w:val="left"/>
      <w:lvlText w:val="%2."/>
      <w:numFmt w:val="decimal"/>
      <w:start w:val="3"/>
    </w:lvl>
  </w:abstractNum>
  <w:abstractNum w:abstractNumId="273">
    <w:nsid w:val="23C049A"/>
    <w:multiLevelType w:val="hybridMultilevel"/>
    <w:lvl w:ilvl="0">
      <w:lvlJc w:val="left"/>
      <w:lvlText w:val="(%1)"/>
      <w:numFmt w:val="upperLetter"/>
      <w:start w:val="2"/>
    </w:lvl>
  </w:abstractNum>
  <w:abstractNum w:abstractNumId="274">
    <w:nsid w:val="5BDA35D4"/>
    <w:multiLevelType w:val="hybridMultilevel"/>
    <w:lvl w:ilvl="0">
      <w:lvlJc w:val="left"/>
      <w:lvlText w:val="(%1)"/>
      <w:numFmt w:val="lowerLetter"/>
      <w:start w:val="2"/>
    </w:lvl>
  </w:abstractNum>
  <w:abstractNum w:abstractNumId="275">
    <w:nsid w:val="496FB218"/>
    <w:multiLevelType w:val="hybridMultilevel"/>
    <w:lvl w:ilvl="0">
      <w:lvlJc w:val="left"/>
      <w:lvlText w:val="%1."/>
      <w:numFmt w:val="decimal"/>
      <w:start w:val="4"/>
    </w:lvl>
  </w:abstractNum>
  <w:abstractNum w:abstractNumId="276">
    <w:nsid w:val="680EA5D1"/>
    <w:multiLevelType w:val="hybridMultilevel"/>
    <w:lvl w:ilvl="0">
      <w:lvlJc w:val="left"/>
      <w:lvlText w:val="%1."/>
      <w:numFmt w:val="decimal"/>
      <w:start w:val="5"/>
    </w:lvl>
  </w:abstractNum>
  <w:abstractNum w:abstractNumId="277">
    <w:nsid w:val="4A9554FE"/>
    <w:multiLevelType w:val="hybridMultilevel"/>
    <w:lvl w:ilvl="0">
      <w:lvlJc w:val="left"/>
      <w:lvlText w:val="(%1)"/>
      <w:numFmt w:val="lowerLetter"/>
      <w:start w:val="3"/>
    </w:lvl>
  </w:abstractNum>
  <w:abstractNum w:abstractNumId="278">
    <w:nsid w:val="392EDBE4"/>
    <w:multiLevelType w:val="hybridMultilevel"/>
    <w:lvl w:ilvl="0">
      <w:lvlJc w:val="left"/>
      <w:lvlText w:val="%1."/>
      <w:numFmt w:val="decimal"/>
      <w:start w:val="6"/>
    </w:lvl>
  </w:abstractNum>
  <w:abstractNum w:abstractNumId="279">
    <w:nsid w:val="3D1A2DD9"/>
    <w:multiLevelType w:val="hybridMultilevel"/>
    <w:lvl w:ilvl="0">
      <w:lvlJc w:val="left"/>
      <w:lvlText w:val="%1."/>
      <w:numFmt w:val="decimal"/>
      <w:start w:val="8"/>
    </w:lvl>
  </w:abstractNum>
  <w:abstractNum w:abstractNumId="280">
    <w:nsid w:val="7F618FCD"/>
    <w:multiLevelType w:val="hybridMultilevel"/>
    <w:lvl w:ilvl="0">
      <w:lvlJc w:val="left"/>
      <w:lvlText w:val="%1"/>
      <w:numFmt w:val="lowerLetter"/>
      <w:start w:val="1"/>
    </w:lvl>
    <w:lvl w:ilvl="1">
      <w:lvlJc w:val="left"/>
      <w:lvlText w:val="%2."/>
      <w:numFmt w:val="decimal"/>
      <w:start w:val="11"/>
    </w:lvl>
  </w:abstractNum>
  <w:abstractNum w:abstractNumId="281">
    <w:nsid w:val="7843E45"/>
    <w:multiLevelType w:val="hybridMultilevel"/>
    <w:lvl w:ilvl="0">
      <w:lvlJc w:val="left"/>
      <w:lvlText w:val="(%1)"/>
      <w:numFmt w:val="lowerLetter"/>
      <w:start w:val="2"/>
    </w:lvl>
    <w:lvl w:ilvl="1">
      <w:lvlJc w:val="left"/>
      <w:lvlText w:val="%2."/>
      <w:numFmt w:val="decimal"/>
      <w:start w:val="16"/>
    </w:lvl>
  </w:abstractNum>
  <w:abstractNum w:abstractNumId="282">
    <w:nsid w:val="9815DA3"/>
    <w:multiLevelType w:val="hybridMultilevel"/>
    <w:lvl w:ilvl="0">
      <w:lvlJc w:val="left"/>
      <w:lvlText w:val="%1."/>
      <w:numFmt w:val="decimal"/>
      <w:start w:val="18"/>
    </w:lvl>
  </w:abstractNum>
  <w:abstractNum w:abstractNumId="283">
    <w:nsid w:val="5204A191"/>
    <w:multiLevelType w:val="hybridMultilevel"/>
    <w:lvl w:ilvl="0">
      <w:lvlJc w:val="left"/>
      <w:lvlText w:val="(%1)"/>
      <w:numFmt w:val="upperLetter"/>
      <w:start w:val="2"/>
    </w:lvl>
  </w:abstractNum>
  <w:abstractNum w:abstractNumId="284">
    <w:nsid w:val="4C73A9C6"/>
    <w:multiLevelType w:val="hybridMultilevel"/>
    <w:lvl w:ilvl="0">
      <w:lvlJc w:val="left"/>
      <w:lvlText w:val="(%1)"/>
      <w:numFmt w:val="lowerRoman"/>
      <w:start w:val="4"/>
    </w:lvl>
  </w:abstractNum>
  <w:abstractNum w:abstractNumId="285">
    <w:nsid w:val="1C7E3C01"/>
    <w:multiLevelType w:val="hybridMultilevel"/>
    <w:lvl w:ilvl="0">
      <w:lvlJc w:val="left"/>
      <w:lvlText w:val="(%1)"/>
      <w:numFmt w:val="lowerRoman"/>
      <w:start w:val="1"/>
    </w:lvl>
  </w:abstractNum>
  <w:abstractNum w:abstractNumId="286">
    <w:nsid w:val="1C2201FF"/>
    <w:multiLevelType w:val="hybridMultilevel"/>
    <w:lvl w:ilvl="0">
      <w:lvlJc w:val="left"/>
      <w:lvlText w:val="(%1)"/>
      <w:numFmt w:val="lowerLetter"/>
      <w:start w:val="4"/>
    </w:lvl>
  </w:abstractNum>
  <w:abstractNum w:abstractNumId="287">
    <w:nsid w:val="50ABCEC9"/>
    <w:multiLevelType w:val="hybridMultilevel"/>
    <w:lvl w:ilvl="0">
      <w:lvlJc w:val="left"/>
      <w:lvlText w:val="(%1)"/>
      <w:numFmt w:val="lowerLetter"/>
      <w:start w:val="4"/>
    </w:lvl>
  </w:abstractNum>
  <w:abstractNum w:abstractNumId="288">
    <w:nsid w:val="7635AA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jpe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jpeg"/><Relationship Id="rId290" Type="http://schemas.openxmlformats.org/officeDocument/2006/relationships/image" Target="media/image278.png"/><Relationship Id="rId291" Type="http://schemas.openxmlformats.org/officeDocument/2006/relationships/image" Target="media/image279.jpeg"/><Relationship Id="rId168" Type="http://schemas.openxmlformats.org/officeDocument/2006/relationships/hyperlink" Target="https://www.sec.gov/ix?doc=/Archives/edgar/data/0001436126/000162828026016765/mg-20251231.htm" TargetMode="External"/><Relationship Id="rId169" Type="http://schemas.openxmlformats.org/officeDocument/2006/relationships/hyperlink" Target="https://www.sec.gov/ix?doc=/Archives/edgar/data/0001436126/000162828026031968/mg-20260331.htm" TargetMode="External"/><Relationship Id="rId170" Type="http://schemas.openxmlformats.org/officeDocument/2006/relationships/hyperlink" Target="https://www.sec.gov/ix?doc=/Archives/edgar/data/0001436126/000162828026055351/mg-20260630.htm" TargetMode="External"/><Relationship Id="rId171" Type="http://schemas.openxmlformats.org/officeDocument/2006/relationships/hyperlink" Target="https://www.sec.gov/ix?doc=/Archives/edgar/data/0001436126/000114036126037107/ef20082419_8k.htm" TargetMode="External"/><Relationship Id="rId172" Type="http://schemas.openxmlformats.org/officeDocument/2006/relationships/hyperlink" Target="https://www.sec.gov/ix?doc=/Archives/edgar/data/0001436126/000114036126013689/ny20063324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2026-10-27T07:47:18Z</dcterms:created>
  <dcterms:modified xsi:type="dcterms:W3CDTF">2026-10-27T07:47:18Z</dcterms:modified>
</cp:coreProperties>
</file>