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-85090</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00"/>
        </w:trPr>
        <w:tc>
          <w:tcPr>
            <w:tcW w:w="5020" w:type="dxa"/>
            <w:vAlign w:val="bottom"/>
            <w:gridSpan w:val="4"/>
            <w:vMerge w:val="restart"/>
          </w:tcPr>
          <w:p>
            <w:pPr>
              <w:jc w:val="right"/>
              <w:spacing w:after="0"/>
              <w:rPr>
                <w:sz w:val="20"/>
                <w:szCs w:val="20"/>
                <w:color w:val="auto"/>
              </w:rPr>
            </w:pPr>
            <w:r>
              <w:rPr>
                <w:rFonts w:ascii="Arial" w:cs="Arial" w:eastAsia="Arial" w:hAnsi="Arial"/>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0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980" w:type="dxa"/>
            <w:vAlign w:val="bottom"/>
            <w:gridSpan w:val="5"/>
          </w:tcPr>
          <w:p>
            <w:pPr>
              <w:jc w:val="center"/>
              <w:ind w:right="30"/>
              <w:spacing w:after="0" w:line="189" w:lineRule="exact"/>
              <w:rPr>
                <w:sz w:val="20"/>
                <w:szCs w:val="20"/>
                <w:color w:val="auto"/>
              </w:rPr>
            </w:pPr>
            <w:r>
              <w:rPr>
                <w:rFonts w:ascii="Arial" w:cs="Arial" w:eastAsia="Arial" w:hAnsi="Arial"/>
                <w:sz w:val="18"/>
                <w:szCs w:val="18"/>
                <w:i w:val="1"/>
                <w:iCs w:val="1"/>
                <w:color w:val="auto"/>
                <w:w w:val="93"/>
              </w:rPr>
              <w:t>(State or other jurisdiction of</w:t>
            </w:r>
          </w:p>
        </w:tc>
        <w:tc>
          <w:tcPr>
            <w:tcW w:w="4820" w:type="dxa"/>
            <w:vAlign w:val="bottom"/>
            <w:gridSpan w:val="5"/>
          </w:tcPr>
          <w:p>
            <w:pPr>
              <w:jc w:val="center"/>
              <w:ind w:right="3220"/>
              <w:spacing w:after="0" w:line="189"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4"/>
              </w:rPr>
              <w:t>incorporation or organization)</w:t>
            </w:r>
          </w:p>
        </w:tc>
        <w:tc>
          <w:tcPr>
            <w:tcW w:w="4820" w:type="dxa"/>
            <w:vAlign w:val="bottom"/>
            <w:gridSpan w:val="5"/>
          </w:tcPr>
          <w:p>
            <w:pPr>
              <w:jc w:val="center"/>
              <w:ind w:right="3220"/>
              <w:spacing w:after="0"/>
              <w:rPr>
                <w:sz w:val="20"/>
                <w:szCs w:val="20"/>
                <w:color w:val="auto"/>
              </w:rPr>
            </w:pPr>
            <w:r>
              <w:rPr>
                <w:rFonts w:ascii="Arial" w:cs="Arial" w:eastAsia="Arial" w:hAnsi="Arial"/>
                <w:sz w:val="18"/>
                <w:szCs w:val="18"/>
                <w:i w:val="1"/>
                <w:iCs w:val="1"/>
                <w:color w:val="auto"/>
                <w:w w:val="94"/>
              </w:rPr>
              <w:t>Identification No.)</w:t>
            </w:r>
          </w:p>
        </w:tc>
        <w:tc>
          <w:tcPr>
            <w:tcW w:w="0" w:type="dxa"/>
            <w:vAlign w:val="bottom"/>
          </w:tcPr>
          <w:p>
            <w:pPr>
              <w:spacing w:after="0"/>
              <w:rPr>
                <w:sz w:val="1"/>
                <w:szCs w:val="1"/>
                <w:color w:val="auto"/>
              </w:rPr>
            </w:pPr>
          </w:p>
        </w:tc>
      </w:tr>
      <w:tr>
        <w:trPr>
          <w:trHeight w:val="499"/>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2"/>
                <w:szCs w:val="22"/>
                <w:color w:val="auto"/>
              </w:rPr>
            </w:pPr>
          </w:p>
        </w:tc>
        <w:tc>
          <w:tcPr>
            <w:tcW w:w="29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w w:val="91"/>
              </w:rPr>
              <w:t>Princeton Junction, New Jersey</w:t>
            </w:r>
          </w:p>
        </w:tc>
        <w:tc>
          <w:tcPr>
            <w:tcW w:w="36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08550</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Arial" w:cs="Arial" w:eastAsia="Arial" w:hAnsi="Arial"/>
                <w:sz w:val="18"/>
                <w:szCs w:val="18"/>
                <w:i w:val="1"/>
                <w:iCs w:val="1"/>
                <w:color w:val="auto"/>
                <w:w w:val="94"/>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Arial" w:cs="Arial" w:eastAsia="Arial" w:hAnsi="Arial"/>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i w:val="1"/>
                <w:iCs w:val="1"/>
                <w:color w:val="auto"/>
                <w:w w:val="8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i w:val="1"/>
                <w:iCs w:val="1"/>
                <w:color w:val="auto"/>
                <w:w w:val="91"/>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3420" w:type="dxa"/>
            <w:vAlign w:val="bottom"/>
          </w:tcPr>
          <w:p>
            <w:pPr>
              <w:jc w:val="center"/>
              <w:ind w:left="970"/>
              <w:spacing w:after="0"/>
              <w:rPr>
                <w:sz w:val="20"/>
                <w:szCs w:val="20"/>
                <w:color w:val="auto"/>
              </w:rPr>
            </w:pPr>
            <w:r>
              <w:rPr>
                <w:rFonts w:ascii="Arial" w:cs="Arial" w:eastAsia="Arial" w:hAnsi="Arial"/>
                <w:sz w:val="18"/>
                <w:szCs w:val="18"/>
                <w:color w:val="auto"/>
                <w:w w:val="90"/>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193"/>
        </w:trPr>
        <w:tc>
          <w:tcPr>
            <w:tcW w:w="1980" w:type="dxa"/>
            <w:vAlign w:val="bottom"/>
          </w:tcPr>
          <w:p>
            <w:pPr>
              <w:spacing w:after="0" w:line="193" w:lineRule="exact"/>
              <w:rPr>
                <w:sz w:val="20"/>
                <w:szCs w:val="20"/>
                <w:color w:val="auto"/>
              </w:rPr>
            </w:pPr>
            <w:r>
              <w:rPr>
                <w:rFonts w:ascii="Arial" w:cs="Arial" w:eastAsia="Arial" w:hAnsi="Arial"/>
                <w:sz w:val="18"/>
                <w:szCs w:val="18"/>
                <w:color w:val="auto"/>
              </w:rPr>
              <w:t>Large accelerated filer</w:t>
            </w:r>
          </w:p>
        </w:tc>
        <w:tc>
          <w:tcPr>
            <w:tcW w:w="2500" w:type="dxa"/>
            <w:vAlign w:val="bottom"/>
          </w:tcPr>
          <w:p>
            <w:pPr>
              <w:ind w:left="380"/>
              <w:spacing w:after="0" w:line="193" w:lineRule="exact"/>
              <w:rPr>
                <w:sz w:val="20"/>
                <w:szCs w:val="20"/>
                <w:color w:val="auto"/>
              </w:rPr>
            </w:pPr>
            <w:r>
              <w:rPr>
                <w:rFonts w:ascii="Arial" w:cs="Arial" w:eastAsia="Arial" w:hAnsi="Arial"/>
                <w:sz w:val="18"/>
                <w:szCs w:val="18"/>
                <w:color w:val="auto"/>
              </w:rPr>
              <w:t>o</w:t>
            </w:r>
          </w:p>
        </w:tc>
        <w:tc>
          <w:tcPr>
            <w:tcW w:w="4500" w:type="dxa"/>
            <w:vAlign w:val="bottom"/>
          </w:tcPr>
          <w:p>
            <w:pPr>
              <w:ind w:left="2040"/>
              <w:spacing w:after="0" w:line="193" w:lineRule="exact"/>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line="193" w:lineRule="exact"/>
              <w:rPr>
                <w:sz w:val="20"/>
                <w:szCs w:val="20"/>
                <w:color w:val="auto"/>
              </w:rPr>
            </w:pPr>
            <w:r>
              <w:rPr>
                <w:rFonts w:ascii="Arial" w:cs="Arial" w:eastAsia="Arial" w:hAnsi="Arial"/>
                <w:sz w:val="18"/>
                <w:szCs w:val="18"/>
                <w:color w:val="auto"/>
              </w:rPr>
              <w:t>x</w:t>
            </w: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50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5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229" w:right="339" w:bottom="0" w:gutter="0" w:footer="0" w:header="0"/>
        </w:sect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 2023, the registrant had 30,353,100 shares of common stock outstanding.</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830580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980" w:type="dxa"/>
            <w:vAlign w:val="bottom"/>
            <w:gridSpan w:val="11"/>
            <w:vMerge w:val="restart"/>
          </w:tcPr>
          <w:p>
            <w:pPr>
              <w:spacing w:after="0"/>
              <w:rPr>
                <w:sz w:val="20"/>
                <w:szCs w:val="20"/>
                <w:color w:val="auto"/>
              </w:rPr>
            </w:pPr>
            <w:r>
              <w:rPr>
                <w:rFonts w:ascii="Arial" w:cs="Arial" w:eastAsia="Arial" w:hAnsi="Arial"/>
                <w:sz w:val="18"/>
                <w:szCs w:val="18"/>
                <w:color w:val="0000FF"/>
                <w:w w:val="98"/>
              </w:rPr>
              <w:t>PART I—FINANCIAL INFORMATION</w:t>
            </w:r>
          </w:p>
        </w:tc>
        <w:tc>
          <w:tcPr>
            <w:tcW w:w="7520" w:type="dxa"/>
            <w:vAlign w:val="bottom"/>
            <w:gridSpan w:val="18"/>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FF"/>
            </w:tcBorders>
            <w:gridSpan w:val="11"/>
            <w:vMerge w:val="continue"/>
          </w:tcPr>
          <w:p>
            <w:pPr>
              <w:spacing w:after="0"/>
              <w:rPr>
                <w:sz w:val="14"/>
                <w:szCs w:val="14"/>
                <w:color w:val="auto"/>
              </w:rPr>
            </w:pPr>
          </w:p>
        </w:tc>
        <w:tc>
          <w:tcPr>
            <w:tcW w:w="7520" w:type="dxa"/>
            <w:vAlign w:val="bottom"/>
            <w:gridSpan w:val="18"/>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8900" w:type="dxa"/>
            <w:vAlign w:val="bottom"/>
            <w:gridSpan w:val="24"/>
          </w:tcPr>
          <w:p>
            <w:pPr>
              <w:spacing w:after="0"/>
              <w:rPr>
                <w:sz w:val="20"/>
                <w:szCs w:val="20"/>
                <w:color w:val="auto"/>
              </w:rPr>
            </w:pPr>
            <w:r>
              <w:rPr>
                <w:rFonts w:ascii="Arial" w:cs="Arial" w:eastAsia="Arial" w:hAnsi="Arial"/>
                <w:sz w:val="18"/>
                <w:szCs w:val="18"/>
                <w:color w:val="0000FF"/>
              </w:rPr>
              <w:t>Financial Statements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E32E1"/>
              </w:rPr>
              <w:t>Condensed Consolidated Balance Sheets as of September 30, 2023 (unaudited) and December 31, 2022</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8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E32E1"/>
                <w:w w:val="89"/>
              </w:rPr>
              <w:t>Unaudited Condensed Consolidated Statements of Income (Loss) for the three and nine months ended September 30, 2023</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20" w:type="dxa"/>
            <w:vAlign w:val="bottom"/>
            <w:tcBorders>
              <w:top w:val="single" w:sz="8" w:color="0E32E1"/>
            </w:tcBorders>
            <w:gridSpan w:val="15"/>
          </w:tcPr>
          <w:p>
            <w:pPr>
              <w:spacing w:after="0" w:line="142" w:lineRule="exact"/>
              <w:rPr>
                <w:sz w:val="20"/>
                <w:szCs w:val="20"/>
                <w:color w:val="auto"/>
              </w:rPr>
            </w:pPr>
            <w:r>
              <w:rPr>
                <w:rFonts w:ascii="Arial" w:cs="Arial" w:eastAsia="Arial" w:hAnsi="Arial"/>
                <w:sz w:val="16"/>
                <w:szCs w:val="16"/>
                <w:color w:val="0E32E1"/>
              </w:rPr>
              <w:t>and September 30, 2022</w:t>
            </w:r>
          </w:p>
        </w:tc>
        <w:tc>
          <w:tcPr>
            <w:tcW w:w="60" w:type="dxa"/>
            <w:vAlign w:val="bottom"/>
          </w:tcPr>
          <w:p>
            <w:pPr>
              <w:spacing w:after="0"/>
              <w:rPr>
                <w:sz w:val="13"/>
                <w:szCs w:val="13"/>
                <w:color w:val="auto"/>
              </w:rPr>
            </w:pPr>
          </w:p>
        </w:tc>
        <w:tc>
          <w:tcPr>
            <w:tcW w:w="1180" w:type="dxa"/>
            <w:vAlign w:val="bottom"/>
            <w:tcBorders>
              <w:top w:val="single" w:sz="8" w:color="0E32E1"/>
            </w:tcBorders>
          </w:tcPr>
          <w:p>
            <w:pPr>
              <w:spacing w:after="0"/>
              <w:rPr>
                <w:sz w:val="13"/>
                <w:szCs w:val="13"/>
                <w:color w:val="auto"/>
              </w:rPr>
            </w:pPr>
          </w:p>
        </w:tc>
        <w:tc>
          <w:tcPr>
            <w:tcW w:w="640" w:type="dxa"/>
            <w:vAlign w:val="bottom"/>
            <w:tcBorders>
              <w:top w:val="single" w:sz="8" w:color="0E32E1"/>
            </w:tcBorders>
          </w:tcPr>
          <w:p>
            <w:pPr>
              <w:spacing w:after="0"/>
              <w:rPr>
                <w:sz w:val="13"/>
                <w:szCs w:val="13"/>
                <w:color w:val="auto"/>
              </w:rPr>
            </w:pPr>
          </w:p>
        </w:tc>
        <w:tc>
          <w:tcPr>
            <w:tcW w:w="1120" w:type="dxa"/>
            <w:vAlign w:val="bottom"/>
            <w:tcBorders>
              <w:top w:val="single" w:sz="8" w:color="0E32E1"/>
            </w:tcBorders>
            <w:gridSpan w:val="2"/>
          </w:tcPr>
          <w:p>
            <w:pPr>
              <w:spacing w:after="0"/>
              <w:rPr>
                <w:sz w:val="13"/>
                <w:szCs w:val="13"/>
                <w:color w:val="auto"/>
              </w:rPr>
            </w:pPr>
          </w:p>
        </w:tc>
        <w:tc>
          <w:tcPr>
            <w:tcW w:w="34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200" w:type="dxa"/>
            <w:vAlign w:val="bottom"/>
            <w:tcBorders>
              <w:top w:val="single" w:sz="8" w:color="0E32E1"/>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E32E1"/>
                <w:w w:val="91"/>
              </w:rPr>
              <w:t>Unaudited Condensed Consolidated Statements of Comprehensive Loss for the three and nine months ended September</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20" w:type="dxa"/>
            <w:vAlign w:val="bottom"/>
            <w:tcBorders>
              <w:top w:val="single" w:sz="8" w:color="0E32E1"/>
            </w:tcBorders>
            <w:gridSpan w:val="22"/>
          </w:tcPr>
          <w:p>
            <w:pPr>
              <w:spacing w:after="0" w:line="142" w:lineRule="exact"/>
              <w:rPr>
                <w:sz w:val="20"/>
                <w:szCs w:val="20"/>
                <w:color w:val="auto"/>
              </w:rPr>
            </w:pPr>
            <w:r>
              <w:rPr>
                <w:rFonts w:ascii="Arial" w:cs="Arial" w:eastAsia="Arial" w:hAnsi="Arial"/>
                <w:sz w:val="16"/>
                <w:szCs w:val="16"/>
                <w:color w:val="0E32E1"/>
              </w:rPr>
              <w:t>30, 2023 and September 30, 2022</w:t>
            </w:r>
          </w:p>
        </w:tc>
        <w:tc>
          <w:tcPr>
            <w:tcW w:w="28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E32E1"/>
                <w:w w:val="92"/>
              </w:rPr>
              <w:t>Unaudited Condensed Consolidated Statements of Equity for the three and nine months ended September 30, 2023 and</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560" w:type="dxa"/>
            <w:vAlign w:val="bottom"/>
            <w:tcBorders>
              <w:top w:val="single" w:sz="8" w:color="0E32E1"/>
            </w:tcBorders>
            <w:gridSpan w:val="21"/>
          </w:tcPr>
          <w:p>
            <w:pPr>
              <w:spacing w:after="0" w:line="142" w:lineRule="exact"/>
              <w:rPr>
                <w:sz w:val="20"/>
                <w:szCs w:val="20"/>
                <w:color w:val="auto"/>
              </w:rPr>
            </w:pPr>
            <w:r>
              <w:rPr>
                <w:rFonts w:ascii="Arial" w:cs="Arial" w:eastAsia="Arial" w:hAnsi="Arial"/>
                <w:sz w:val="16"/>
                <w:szCs w:val="16"/>
                <w:color w:val="0E32E1"/>
              </w:rPr>
              <w:t>September 30, 2022</w:t>
            </w:r>
          </w:p>
        </w:tc>
        <w:tc>
          <w:tcPr>
            <w:tcW w:w="340" w:type="dxa"/>
            <w:vAlign w:val="bottom"/>
            <w:gridSpan w:val="3"/>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E32E1"/>
                <w:w w:val="96"/>
              </w:rPr>
              <w:t>Unaudited Condensed Consolidated Statements of Cash Flows for the nine months ended September 30, 2023 and</w:t>
            </w:r>
          </w:p>
        </w:tc>
        <w:tc>
          <w:tcPr>
            <w:tcW w:w="6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E32E1"/>
            </w:tcBorders>
            <w:gridSpan w:val="10"/>
          </w:tcPr>
          <w:p>
            <w:pPr>
              <w:spacing w:after="0" w:line="142" w:lineRule="exact"/>
              <w:rPr>
                <w:sz w:val="20"/>
                <w:szCs w:val="20"/>
                <w:color w:val="auto"/>
              </w:rPr>
            </w:pPr>
            <w:r>
              <w:rPr>
                <w:rFonts w:ascii="Arial" w:cs="Arial" w:eastAsia="Arial" w:hAnsi="Arial"/>
                <w:sz w:val="16"/>
                <w:szCs w:val="16"/>
                <w:color w:val="0E32E1"/>
              </w:rPr>
              <w:t>September 30, 2022</w:t>
            </w:r>
          </w:p>
        </w:tc>
        <w:tc>
          <w:tcPr>
            <w:tcW w:w="6460" w:type="dxa"/>
            <w:vAlign w:val="bottom"/>
            <w:tcBorders>
              <w:top w:val="single" w:sz="8" w:color="0E32E1"/>
            </w:tcBorders>
            <w:gridSpan w:val="10"/>
          </w:tcPr>
          <w:p>
            <w:pPr>
              <w:spacing w:after="0"/>
              <w:rPr>
                <w:sz w:val="13"/>
                <w:szCs w:val="13"/>
                <w:color w:val="auto"/>
              </w:rPr>
            </w:pPr>
          </w:p>
        </w:tc>
        <w:tc>
          <w:tcPr>
            <w:tcW w:w="680" w:type="dxa"/>
            <w:vAlign w:val="bottom"/>
            <w:gridSpan w:val="4"/>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E32E1"/>
          </w:tcPr>
          <w:p>
            <w:pPr>
              <w:spacing w:after="0"/>
              <w:rPr>
                <w:sz w:val="2"/>
                <w:szCs w:val="2"/>
                <w:color w:val="auto"/>
              </w:rPr>
            </w:pPr>
          </w:p>
        </w:tc>
        <w:tc>
          <w:tcPr>
            <w:tcW w:w="300" w:type="dxa"/>
            <w:vAlign w:val="bottom"/>
            <w:shd w:val="clear" w:color="auto" w:fill="0E32E1"/>
          </w:tcPr>
          <w:p>
            <w:pPr>
              <w:spacing w:after="0"/>
              <w:rPr>
                <w:sz w:val="2"/>
                <w:szCs w:val="2"/>
                <w:color w:val="auto"/>
              </w:rPr>
            </w:pPr>
          </w:p>
        </w:tc>
        <w:tc>
          <w:tcPr>
            <w:tcW w:w="160" w:type="dxa"/>
            <w:vAlign w:val="bottom"/>
            <w:shd w:val="clear" w:color="auto" w:fill="0E32E1"/>
          </w:tcPr>
          <w:p>
            <w:pPr>
              <w:spacing w:after="0"/>
              <w:rPr>
                <w:sz w:val="2"/>
                <w:szCs w:val="2"/>
                <w:color w:val="auto"/>
              </w:rPr>
            </w:pPr>
          </w:p>
        </w:tc>
        <w:tc>
          <w:tcPr>
            <w:tcW w:w="260" w:type="dxa"/>
            <w:vAlign w:val="bottom"/>
            <w:shd w:val="clear" w:color="auto" w:fill="0E32E1"/>
          </w:tcPr>
          <w:p>
            <w:pPr>
              <w:spacing w:after="0"/>
              <w:rPr>
                <w:sz w:val="2"/>
                <w:szCs w:val="2"/>
                <w:color w:val="auto"/>
              </w:rPr>
            </w:pPr>
          </w:p>
        </w:tc>
        <w:tc>
          <w:tcPr>
            <w:tcW w:w="20" w:type="dxa"/>
            <w:vAlign w:val="bottom"/>
            <w:shd w:val="clear" w:color="auto" w:fill="0E32E1"/>
          </w:tcPr>
          <w:p>
            <w:pPr>
              <w:spacing w:after="0"/>
              <w:rPr>
                <w:sz w:val="2"/>
                <w:szCs w:val="2"/>
                <w:color w:val="auto"/>
              </w:rPr>
            </w:pPr>
          </w:p>
        </w:tc>
        <w:tc>
          <w:tcPr>
            <w:tcW w:w="420" w:type="dxa"/>
            <w:vAlign w:val="bottom"/>
            <w:gridSpan w:val="5"/>
            <w:shd w:val="clear" w:color="auto" w:fill="0E32E1"/>
          </w:tcPr>
          <w:p>
            <w:pPr>
              <w:spacing w:after="0"/>
              <w:rPr>
                <w:sz w:val="2"/>
                <w:szCs w:val="2"/>
                <w:color w:val="auto"/>
              </w:rPr>
            </w:pPr>
          </w:p>
        </w:tc>
        <w:tc>
          <w:tcPr>
            <w:tcW w:w="56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gridSpan w:val="6"/>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2.</w:t>
            </w:r>
          </w:p>
        </w:tc>
        <w:tc>
          <w:tcPr>
            <w:tcW w:w="540" w:type="dxa"/>
            <w:vAlign w:val="bottom"/>
            <w:gridSpan w:val="2"/>
          </w:tcPr>
          <w:p>
            <w:pPr>
              <w:spacing w:after="0"/>
              <w:rPr>
                <w:sz w:val="24"/>
                <w:szCs w:val="24"/>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44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3.</w:t>
            </w:r>
          </w:p>
        </w:tc>
        <w:tc>
          <w:tcPr>
            <w:tcW w:w="540" w:type="dxa"/>
            <w:vAlign w:val="bottom"/>
            <w:gridSpan w:val="2"/>
          </w:tcPr>
          <w:p>
            <w:pPr>
              <w:spacing w:after="0"/>
              <w:rPr>
                <w:sz w:val="24"/>
                <w:szCs w:val="24"/>
                <w:color w:val="auto"/>
              </w:rPr>
            </w:pPr>
          </w:p>
        </w:tc>
        <w:tc>
          <w:tcPr>
            <w:tcW w:w="64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44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92"/>
              </w:rPr>
              <w:t>ITEM 4</w:t>
            </w:r>
          </w:p>
        </w:tc>
        <w:tc>
          <w:tcPr>
            <w:tcW w:w="540" w:type="dxa"/>
            <w:vAlign w:val="bottom"/>
            <w:gridSpan w:val="2"/>
          </w:tcPr>
          <w:p>
            <w:pPr>
              <w:spacing w:after="0"/>
              <w:rPr>
                <w:sz w:val="24"/>
                <w:szCs w:val="24"/>
                <w:color w:val="auto"/>
              </w:rPr>
            </w:pPr>
          </w:p>
        </w:tc>
        <w:tc>
          <w:tcPr>
            <w:tcW w:w="430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460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37</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9"/>
          </w:tcPr>
          <w:p>
            <w:pPr>
              <w:spacing w:after="0"/>
              <w:rPr>
                <w:sz w:val="20"/>
                <w:szCs w:val="20"/>
                <w:color w:val="auto"/>
              </w:rPr>
            </w:pPr>
            <w:r>
              <w:rPr>
                <w:rFonts w:ascii="Arial" w:cs="Arial" w:eastAsia="Arial" w:hAnsi="Arial"/>
                <w:sz w:val="18"/>
                <w:szCs w:val="18"/>
                <w:color w:val="0000FF"/>
              </w:rPr>
              <w:t>PART II—OTHER INFORMATION</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ITEM 1.</w:t>
            </w:r>
          </w:p>
        </w:tc>
        <w:tc>
          <w:tcPr>
            <w:tcW w:w="54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7560" w:type="dxa"/>
            <w:vAlign w:val="bottom"/>
            <w:gridSpan w:val="19"/>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0000FF"/>
                <w:w w:val="97"/>
              </w:rPr>
              <w:t>ITEM 1.A.</w:t>
            </w: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000FF"/>
              </w:rPr>
              <w:t>Risk Factors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4"/>
          </w:tcPr>
          <w:p>
            <w:pPr>
              <w:spacing w:after="0"/>
              <w:rPr>
                <w:sz w:val="20"/>
                <w:szCs w:val="20"/>
                <w:color w:val="auto"/>
              </w:rPr>
            </w:pPr>
            <w:r>
              <w:rPr>
                <w:rFonts w:ascii="Arial" w:cs="Arial" w:eastAsia="Arial" w:hAnsi="Arial"/>
                <w:sz w:val="18"/>
                <w:szCs w:val="18"/>
                <w:color w:val="0000FF"/>
              </w:rPr>
              <w:t>Unregistered Sales of Equity Securities, Use of Proceeds and Issuer Purchases of Equity Securities</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3.</w:t>
            </w:r>
          </w:p>
        </w:tc>
        <w:tc>
          <w:tcPr>
            <w:tcW w:w="540" w:type="dxa"/>
            <w:vAlign w:val="bottom"/>
            <w:gridSpan w:val="2"/>
          </w:tcPr>
          <w:p>
            <w:pPr>
              <w:spacing w:after="0"/>
              <w:rPr>
                <w:sz w:val="24"/>
                <w:szCs w:val="24"/>
                <w:color w:val="auto"/>
              </w:rPr>
            </w:pPr>
          </w:p>
        </w:tc>
        <w:tc>
          <w:tcPr>
            <w:tcW w:w="7100" w:type="dxa"/>
            <w:vAlign w:val="bottom"/>
            <w:gridSpan w:val="18"/>
          </w:tcPr>
          <w:p>
            <w:pPr>
              <w:spacing w:after="0"/>
              <w:rPr>
                <w:sz w:val="20"/>
                <w:szCs w:val="20"/>
                <w:color w:val="auto"/>
              </w:rPr>
            </w:pPr>
            <w:r>
              <w:rPr>
                <w:rFonts w:ascii="Arial" w:cs="Arial" w:eastAsia="Arial" w:hAnsi="Arial"/>
                <w:sz w:val="18"/>
                <w:szCs w:val="18"/>
                <w:color w:val="0000FF"/>
              </w:rPr>
              <w:t>Defaults Upon Senior Securities</w:t>
            </w:r>
          </w:p>
        </w:tc>
        <w:tc>
          <w:tcPr>
            <w:tcW w:w="180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65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4.</w:t>
            </w:r>
          </w:p>
        </w:tc>
        <w:tc>
          <w:tcPr>
            <w:tcW w:w="540" w:type="dxa"/>
            <w:vAlign w:val="bottom"/>
            <w:gridSpan w:val="2"/>
          </w:tcPr>
          <w:p>
            <w:pPr>
              <w:spacing w:after="0"/>
              <w:rPr>
                <w:sz w:val="24"/>
                <w:szCs w:val="24"/>
                <w:color w:val="auto"/>
              </w:rPr>
            </w:pPr>
          </w:p>
        </w:tc>
        <w:tc>
          <w:tcPr>
            <w:tcW w:w="2320" w:type="dxa"/>
            <w:vAlign w:val="bottom"/>
            <w:gridSpan w:val="11"/>
          </w:tcPr>
          <w:p>
            <w:pPr>
              <w:spacing w:after="0"/>
              <w:rPr>
                <w:sz w:val="20"/>
                <w:szCs w:val="20"/>
                <w:color w:val="auto"/>
              </w:rPr>
            </w:pPr>
            <w:r>
              <w:rPr>
                <w:rFonts w:ascii="Arial" w:cs="Arial" w:eastAsia="Arial" w:hAnsi="Arial"/>
                <w:sz w:val="18"/>
                <w:szCs w:val="18"/>
                <w:color w:val="0000FF"/>
              </w:rPr>
              <w:t>Mine Safety Disclosures</w:t>
            </w:r>
          </w:p>
        </w:tc>
        <w:tc>
          <w:tcPr>
            <w:tcW w:w="6580" w:type="dxa"/>
            <w:vAlign w:val="bottom"/>
            <w:gridSpan w:val="13"/>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5"/>
              </w:rPr>
              <w:t>ITEM 5.</w:t>
            </w:r>
          </w:p>
        </w:tc>
        <w:tc>
          <w:tcPr>
            <w:tcW w:w="540" w:type="dxa"/>
            <w:vAlign w:val="bottom"/>
            <w:gridSpan w:val="2"/>
          </w:tcPr>
          <w:p>
            <w:pPr>
              <w:spacing w:after="0"/>
              <w:rPr>
                <w:sz w:val="24"/>
                <w:szCs w:val="24"/>
                <w:color w:val="auto"/>
              </w:rPr>
            </w:pP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6"/>
          </w:tcPr>
          <w:p>
            <w:pPr>
              <w:spacing w:after="0"/>
              <w:rPr>
                <w:sz w:val="24"/>
                <w:szCs w:val="24"/>
                <w:color w:val="auto"/>
              </w:rPr>
            </w:pPr>
          </w:p>
        </w:tc>
        <w:tc>
          <w:tcPr>
            <w:tcW w:w="71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58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0000FF"/>
                <w:w w:val="85"/>
              </w:rPr>
              <w:t>ITEM 6.</w:t>
            </w:r>
          </w:p>
        </w:tc>
        <w:tc>
          <w:tcPr>
            <w:tcW w:w="540" w:type="dxa"/>
            <w:vAlign w:val="bottom"/>
            <w:gridSpan w:val="2"/>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gridSpan w:val="3"/>
          </w:tcPr>
          <w:p>
            <w:pPr>
              <w:spacing w:after="0"/>
              <w:rPr>
                <w:sz w:val="24"/>
                <w:szCs w:val="24"/>
                <w:color w:val="auto"/>
              </w:rPr>
            </w:pPr>
          </w:p>
        </w:tc>
        <w:tc>
          <w:tcPr>
            <w:tcW w:w="7580" w:type="dxa"/>
            <w:vAlign w:val="bottom"/>
            <w:gridSpan w:val="20"/>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12,752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20,488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123,657</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15,780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183,154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167,882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40,032</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536,690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534,904</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12,532</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81,853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77,844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103,728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183,826</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Obligations under finance leases, net of current portion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32,273</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336,155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Preferred stock, 10,000,000 shares authorized</w:t>
            </w: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Common stock, $0.01 par value, 200,000,000 shares authorized, 30,353,100 and 29,895,487 shares issued</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246,075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243,031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198,450</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198,749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536,690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534,904</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68"/>
        </w:trPr>
        <w:tc>
          <w:tcPr>
            <w:tcW w:w="4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519,155</w:t>
            </w: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118,812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355,304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354,848</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17,074</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54,382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150,181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147,233</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123,545</w:t>
            </w: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w w:val="92"/>
              </w:rPr>
              <w:t>Bad debt provision for troubled customers, net of recoveries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Goodwill Impairment Charges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8,058</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13,991</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w w:val="92"/>
              </w:rPr>
              <w:t>Income (loss) before provision (benefit) for income taxes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7,201</w:t>
            </w: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3,707</w:t>
            </w:r>
          </w:p>
        </w:tc>
      </w:tr>
      <w:tr>
        <w:trPr>
          <w:trHeight w:val="175"/>
        </w:trPr>
        <w:tc>
          <w:tcPr>
            <w:tcW w:w="45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noncontrolling</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 net of taxes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29,879</w:t>
            </w:r>
          </w:p>
        </w:tc>
      </w:tr>
      <w:tr>
        <w:trPr>
          <w:trHeight w:val="22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36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45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(10,338)</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r>
      <w:tr>
        <w:trPr>
          <w:trHeight w:val="223"/>
        </w:trPr>
        <w:tc>
          <w:tcPr>
            <w:tcW w:w="45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(15,766)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(17,264)</w:t>
            </w:r>
          </w:p>
        </w:tc>
      </w:tr>
      <w:tr>
        <w:trPr>
          <w:trHeight w:val="229"/>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4540" w:type="dxa"/>
            <w:vAlign w:val="bottom"/>
          </w:tcPr>
          <w:p>
            <w:pPr>
              <w:ind w:left="40"/>
              <w:spacing w:after="0"/>
              <w:rPr>
                <w:sz w:val="20"/>
                <w:szCs w:val="20"/>
                <w:color w:val="auto"/>
              </w:rPr>
            </w:pPr>
            <w:r>
              <w:rPr>
                <w:rFonts w:ascii="Arial" w:cs="Arial" w:eastAsia="Arial" w:hAnsi="Arial"/>
                <w:sz w:val="18"/>
                <w:szCs w:val="18"/>
                <w:color w:val="auto"/>
              </w:rPr>
              <w:t>Comprehensive loss attributable to Mistras Group, Inc</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(15,726)</w:t>
            </w:r>
          </w:p>
        </w:tc>
        <w:tc>
          <w:tcPr>
            <w:tcW w:w="12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(17,318)</w:t>
            </w:r>
          </w:p>
        </w:tc>
      </w:tr>
      <w:tr>
        <w:trPr>
          <w:trHeight w:val="20"/>
        </w:trPr>
        <w:tc>
          <w:tcPr>
            <w:tcW w:w="4540" w:type="dxa"/>
            <w:vAlign w:val="bottom"/>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5"/>
              </w:rPr>
              <w:t>Three months ended</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86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line="20" w:lineRule="exact"/>
              <w:rPr>
                <w:sz w:val="1"/>
                <w:szCs w:val="1"/>
                <w:color w:val="auto"/>
              </w:rPr>
            </w:pPr>
          </w:p>
        </w:tc>
      </w:tr>
      <w:tr>
        <w:trPr>
          <w:trHeight w:val="170"/>
        </w:trPr>
        <w:tc>
          <w:tcPr>
            <w:tcW w:w="2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(deficit)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3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 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2023</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30,302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245,058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200,187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200,533</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3"/>
                <w:szCs w:val="13"/>
                <w:color w:val="auto"/>
              </w:rPr>
              <w:t>Net income</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(10,338)</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w w:val="99"/>
              </w:rPr>
              <w:t>Other comprehensive loss, net of tax</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(5,428)</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1,017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1,017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1,017</w:t>
            </w: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w w:val="95"/>
              </w:rPr>
              <w:t>Net settlement of restricted stock units</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20"/>
                <w:szCs w:val="20"/>
                <w:color w:val="auto"/>
              </w:rPr>
            </w:pPr>
            <w:r>
              <w:rPr>
                <w:rFonts w:ascii="Arial" w:cs="Arial" w:eastAsia="Arial" w:hAnsi="Arial"/>
                <w:sz w:val="13"/>
                <w:szCs w:val="13"/>
                <w:b w:val="1"/>
                <w:bCs w:val="1"/>
                <w:color w:val="auto"/>
              </w:rPr>
              <w:t>Balance at September 30, 2023</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3"/>
                <w:szCs w:val="13"/>
                <w:color w:val="auto"/>
              </w:rPr>
              <w:t>30,353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246,075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(26,436)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(34,463)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185,478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185,784</w:t>
            </w: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120" w:type="dxa"/>
            <w:vAlign w:val="bottom"/>
          </w:tcPr>
          <w:p>
            <w:pPr>
              <w:spacing w:after="0"/>
              <w:rPr>
                <w:sz w:val="20"/>
                <w:szCs w:val="20"/>
                <w:color w:val="auto"/>
              </w:rPr>
            </w:pPr>
            <w:r>
              <w:rPr>
                <w:rFonts w:ascii="Arial" w:cs="Arial" w:eastAsia="Arial" w:hAnsi="Arial"/>
                <w:sz w:val="13"/>
                <w:szCs w:val="13"/>
                <w:b w:val="1"/>
                <w:bCs w:val="1"/>
                <w:color w:val="auto"/>
              </w:rPr>
              <w:t>Balance at June 30, 2022</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29,807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240,697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(18,708)</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(28,287)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18"/>
              <w:spacing w:after="0"/>
              <w:rPr>
                <w:sz w:val="20"/>
                <w:szCs w:val="20"/>
                <w:color w:val="auto"/>
              </w:rPr>
            </w:pPr>
            <w:r>
              <w:rPr>
                <w:rFonts w:ascii="Arial" w:cs="Arial" w:eastAsia="Arial" w:hAnsi="Arial"/>
                <w:sz w:val="13"/>
                <w:szCs w:val="13"/>
                <w:color w:val="auto"/>
              </w:rPr>
              <w:t>193,999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194,261</w:t>
            </w:r>
          </w:p>
        </w:tc>
        <w:tc>
          <w:tcPr>
            <w:tcW w:w="0" w:type="dxa"/>
            <w:vAlign w:val="bottom"/>
          </w:tcPr>
          <w:p>
            <w:pPr>
              <w:spacing w:after="0"/>
              <w:rPr>
                <w:sz w:val="1"/>
                <w:szCs w:val="1"/>
                <w:color w:val="auto"/>
              </w:rPr>
            </w:pPr>
          </w:p>
        </w:tc>
      </w:tr>
      <w:tr>
        <w:trPr>
          <w:trHeight w:val="181"/>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4,373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4,394</w:t>
            </w:r>
          </w:p>
        </w:tc>
        <w:tc>
          <w:tcPr>
            <w:tcW w:w="0" w:type="dxa"/>
            <w:vAlign w:val="bottom"/>
          </w:tcPr>
          <w:p>
            <w:pPr>
              <w:spacing w:after="0"/>
              <w:rPr>
                <w:sz w:val="1"/>
                <w:szCs w:val="1"/>
                <w:color w:val="auto"/>
              </w:rPr>
            </w:pPr>
          </w:p>
        </w:tc>
      </w:tr>
      <w:tr>
        <w:trPr>
          <w:trHeight w:val="168"/>
        </w:trPr>
        <w:tc>
          <w:tcPr>
            <w:tcW w:w="2120" w:type="dxa"/>
            <w:vAlign w:val="bottom"/>
          </w:tcPr>
          <w:p>
            <w:pPr>
              <w:spacing w:after="0"/>
              <w:rPr>
                <w:sz w:val="20"/>
                <w:szCs w:val="20"/>
                <w:color w:val="auto"/>
              </w:rPr>
            </w:pPr>
            <w:r>
              <w:rPr>
                <w:rFonts w:ascii="Arial" w:cs="Arial" w:eastAsia="Arial" w:hAnsi="Arial"/>
                <w:sz w:val="13"/>
                <w:szCs w:val="13"/>
                <w:color w:val="auto"/>
                <w:w w:val="91"/>
              </w:rPr>
              <w:t>Other comprehensive income, net of tax</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(12,995)</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20"/>
                <w:szCs w:val="20"/>
                <w:color w:val="auto"/>
              </w:rPr>
            </w:pPr>
            <w:r>
              <w:rPr>
                <w:rFonts w:ascii="Arial" w:cs="Arial" w:eastAsia="Arial" w:hAnsi="Arial"/>
                <w:sz w:val="13"/>
                <w:szCs w:val="13"/>
                <w:color w:val="auto"/>
                <w:w w:val="95"/>
              </w:rPr>
              <w:t>Net settlement of restricted stock units</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2022</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29,842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242,093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186,773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187,056</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Nine months ended</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Retained</w:t>
            </w:r>
          </w:p>
        </w:tc>
        <w:tc>
          <w:tcPr>
            <w:tcW w:w="1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Mistras Group,</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82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4"/>
                <w:szCs w:val="4"/>
                <w:color w:val="auto"/>
              </w:rPr>
            </w:pPr>
          </w:p>
        </w:tc>
        <w:tc>
          <w:tcPr>
            <w:tcW w:w="1240" w:type="dxa"/>
            <w:vAlign w:val="bottom"/>
            <w:gridSpan w:val="2"/>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comprehensive</w:t>
            </w:r>
          </w:p>
        </w:tc>
        <w:tc>
          <w:tcPr>
            <w:tcW w:w="140" w:type="dxa"/>
            <w:vAlign w:val="bottom"/>
          </w:tcPr>
          <w:p>
            <w:pPr>
              <w:spacing w:after="0"/>
              <w:rPr>
                <w:sz w:val="4"/>
                <w:szCs w:val="4"/>
                <w:color w:val="auto"/>
              </w:rPr>
            </w:pPr>
          </w:p>
        </w:tc>
        <w:tc>
          <w:tcPr>
            <w:tcW w:w="12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Inc.</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line="20" w:lineRule="exact"/>
              <w:rPr>
                <w:sz w:val="1"/>
                <w:szCs w:val="1"/>
                <w:color w:val="auto"/>
              </w:rPr>
            </w:pPr>
          </w:p>
        </w:tc>
      </w:tr>
      <w:tr>
        <w:trPr>
          <w:trHeight w:val="170"/>
        </w:trPr>
        <w:tc>
          <w:tcPr>
            <w:tcW w:w="20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income (loss)</w:t>
            </w: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Stockholders’ Equity</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2022</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243,031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(33,390)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198,749</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20"/>
                <w:szCs w:val="20"/>
                <w:color w:val="auto"/>
              </w:rPr>
            </w:pPr>
            <w:r>
              <w:rPr>
                <w:rFonts w:ascii="Arial" w:cs="Arial" w:eastAsia="Arial" w:hAnsi="Arial"/>
                <w:sz w:val="13"/>
                <w:szCs w:val="13"/>
                <w:color w:val="auto"/>
              </w:rPr>
              <w:t>Net income (loss)</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(14,947)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(14,947)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(14,940)</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w w:val="96"/>
              </w:rPr>
              <w:t>Other comprehensive loss, net of tax</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3,985</w:t>
            </w:r>
          </w:p>
        </w:tc>
        <w:tc>
          <w:tcPr>
            <w:tcW w:w="0" w:type="dxa"/>
            <w:vAlign w:val="bottom"/>
          </w:tcPr>
          <w:p>
            <w:pPr>
              <w:spacing w:after="0"/>
              <w:rPr>
                <w:sz w:val="1"/>
                <w:szCs w:val="1"/>
                <w:color w:val="auto"/>
              </w:rPr>
            </w:pPr>
          </w:p>
        </w:tc>
      </w:tr>
      <w:tr>
        <w:trPr>
          <w:trHeight w:val="177"/>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w w:val="92"/>
              </w:rPr>
              <w:t>Net settlement of 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20"/>
                <w:szCs w:val="20"/>
                <w:color w:val="auto"/>
              </w:rPr>
            </w:pPr>
            <w:r>
              <w:rPr>
                <w:rFonts w:ascii="Arial" w:cs="Arial" w:eastAsia="Arial" w:hAnsi="Arial"/>
                <w:sz w:val="13"/>
                <w:szCs w:val="13"/>
                <w:b w:val="1"/>
                <w:bCs w:val="1"/>
                <w:color w:val="auto"/>
              </w:rPr>
              <w:t>Balance at September 30, 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30,353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302</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246,075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(26,436)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(34,463)</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185,478</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185,784</w:t>
            </w:r>
          </w:p>
        </w:tc>
        <w:tc>
          <w:tcPr>
            <w:tcW w:w="0" w:type="dxa"/>
            <w:vAlign w:val="bottom"/>
          </w:tcPr>
          <w:p>
            <w:pPr>
              <w:spacing w:after="0"/>
              <w:rPr>
                <w:sz w:val="1"/>
                <w:szCs w:val="1"/>
                <w:color w:val="auto"/>
              </w:rPr>
            </w:pPr>
          </w:p>
        </w:tc>
      </w:tr>
      <w:tr>
        <w:trPr>
          <w:trHeight w:val="20"/>
        </w:trPr>
        <w:tc>
          <w:tcPr>
            <w:tcW w:w="2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60" w:type="dxa"/>
            <w:vAlign w:val="bottom"/>
          </w:tcPr>
          <w:p>
            <w:pPr>
              <w:spacing w:after="0"/>
              <w:rPr>
                <w:sz w:val="20"/>
                <w:szCs w:val="20"/>
                <w:color w:val="auto"/>
              </w:rPr>
            </w:pPr>
            <w:r>
              <w:rPr>
                <w:rFonts w:ascii="Arial" w:cs="Arial" w:eastAsia="Arial" w:hAnsi="Arial"/>
                <w:sz w:val="13"/>
                <w:szCs w:val="13"/>
                <w:b w:val="1"/>
                <w:bCs w:val="1"/>
                <w:color w:val="auto"/>
              </w:rPr>
              <w:t>Balance at December 31, 2021</w:t>
            </w:r>
          </w:p>
        </w:tc>
        <w:tc>
          <w:tcPr>
            <w:tcW w:w="840" w:type="dxa"/>
            <w:vAlign w:val="bottom"/>
          </w:tcPr>
          <w:p>
            <w:pPr>
              <w:jc w:val="right"/>
              <w:spacing w:after="0"/>
              <w:rPr>
                <w:sz w:val="20"/>
                <w:szCs w:val="20"/>
                <w:color w:val="auto"/>
              </w:rPr>
            </w:pPr>
            <w:r>
              <w:rPr>
                <w:rFonts w:ascii="Arial" w:cs="Arial" w:eastAsia="Arial" w:hAnsi="Arial"/>
                <w:sz w:val="13"/>
                <w:szCs w:val="13"/>
                <w:color w:val="auto"/>
              </w:rPr>
              <w:t>29,546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295</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238,687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(17,988)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(20,311)</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200,683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200,912</w:t>
            </w: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3,707</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20"/>
                <w:szCs w:val="20"/>
                <w:color w:val="auto"/>
              </w:rPr>
            </w:pPr>
            <w:r>
              <w:rPr>
                <w:rFonts w:ascii="Arial" w:cs="Arial" w:eastAsia="Arial" w:hAnsi="Arial"/>
                <w:sz w:val="13"/>
                <w:szCs w:val="13"/>
                <w:color w:val="auto"/>
                <w:w w:val="88"/>
              </w:rPr>
              <w:t>Other comprehensive income, net of tax</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(20,971)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(20,971)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(20,971)</w:t>
            </w:r>
          </w:p>
        </w:tc>
        <w:tc>
          <w:tcPr>
            <w:tcW w:w="0" w:type="dxa"/>
            <w:vAlign w:val="bottom"/>
          </w:tcPr>
          <w:p>
            <w:pPr>
              <w:spacing w:after="0"/>
              <w:rPr>
                <w:sz w:val="1"/>
                <w:szCs w:val="1"/>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4,166</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20"/>
                <w:szCs w:val="20"/>
                <w:color w:val="auto"/>
              </w:rPr>
            </w:pPr>
            <w:r>
              <w:rPr>
                <w:rFonts w:ascii="Arial" w:cs="Arial" w:eastAsia="Arial" w:hAnsi="Arial"/>
                <w:sz w:val="13"/>
                <w:szCs w:val="13"/>
                <w:color w:val="auto"/>
                <w:w w:val="92"/>
              </w:rPr>
              <w:t>Net settlement of restricted stock units</w:t>
            </w:r>
          </w:p>
        </w:tc>
        <w:tc>
          <w:tcPr>
            <w:tcW w:w="84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200"/>
        </w:trPr>
        <w:tc>
          <w:tcPr>
            <w:tcW w:w="2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242,093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(41,282)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186,773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187,056</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Pr>
          <w:p>
            <w:pPr>
              <w:spacing w:after="0"/>
              <w:rPr>
                <w:sz w:val="16"/>
                <w:szCs w:val="16"/>
                <w:color w:val="auto"/>
              </w:rPr>
            </w:pPr>
          </w:p>
        </w:tc>
      </w:tr>
      <w:tr>
        <w:trPr>
          <w:trHeight w:val="26"/>
        </w:trPr>
        <w:tc>
          <w:tcPr>
            <w:tcW w:w="78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9"/>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6"/>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3,707</w:t>
            </w:r>
          </w:p>
        </w:tc>
      </w:tr>
      <w:tr>
        <w:trPr>
          <w:trHeight w:val="182"/>
        </w:trPr>
        <w:tc>
          <w:tcPr>
            <w:tcW w:w="788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25,470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25,132</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Goodwill impairment charges</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13,799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816</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1,790</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3,985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4,166</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Bad debt provision for troubled customers, net of recoveries</w:t>
            </w:r>
          </w:p>
        </w:tc>
        <w:tc>
          <w:tcPr>
            <w:tcW w:w="10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Change in provision for doubtful accounts</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Fair value adjustments to contingent consideration</w:t>
            </w:r>
          </w:p>
        </w:tc>
        <w:tc>
          <w:tcPr>
            <w:tcW w:w="10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Foreign currency (gain) loss</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(924)</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 of finance costs</w:t>
            </w:r>
          </w:p>
        </w:tc>
        <w:tc>
          <w:tcPr>
            <w:tcW w:w="10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Other</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969</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2"/>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(13,393)</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(27,692)</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(7,572)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2,105</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2,094</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578</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4,165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2,539</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Payment of contingent consideration liability in excess of acquisition-date fair value</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10,684</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10,531</w:t>
            </w:r>
          </w:p>
        </w:tc>
      </w:tr>
      <w:tr>
        <w:trPr>
          <w:trHeight w:val="194"/>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(14,403)</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(9,050)</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(580)</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 of business, net of cash acquired</w:t>
            </w:r>
          </w:p>
        </w:tc>
        <w:tc>
          <w:tcPr>
            <w:tcW w:w="10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sale of equipment</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753</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(15,170)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(8,877)</w:t>
            </w:r>
          </w:p>
        </w:tc>
      </w:tr>
      <w:tr>
        <w:trPr>
          <w:trHeight w:val="194"/>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 of finance lease obligations</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borrowings of long-term debt</w:t>
            </w:r>
          </w:p>
        </w:tc>
        <w:tc>
          <w:tcPr>
            <w:tcW w:w="10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125,000</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(5,684)</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(79,519)</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revolver</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66,110</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168,000</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 of revolver</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(57,851)</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(213,750)</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Payment of financing costs</w:t>
            </w:r>
          </w:p>
        </w:tc>
        <w:tc>
          <w:tcPr>
            <w:tcW w:w="10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 of contingent consideration for business acquisitions</w:t>
            </w:r>
          </w:p>
        </w:tc>
        <w:tc>
          <w:tcPr>
            <w:tcW w:w="10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Taxes paid related to net share settlement of share-based awards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(758)</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(2,927)</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(7,736)</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(6,026)</w:t>
            </w:r>
          </w:p>
        </w:tc>
      </w:tr>
      <w:tr>
        <w:trPr>
          <w:trHeight w:val="182"/>
        </w:trPr>
        <w:tc>
          <w:tcPr>
            <w:tcW w:w="788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20,488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24,110</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12,752</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18,084</w:t>
            </w:r>
          </w:p>
        </w:tc>
      </w:tr>
      <w:tr>
        <w:trPr>
          <w:trHeight w:val="17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10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r>
      <w:tr>
        <w:trPr>
          <w:trHeight w:val="25"/>
        </w:trPr>
        <w:tc>
          <w:tcPr>
            <w:tcW w:w="7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7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net</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12,683</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5,354</w:t>
            </w: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Income taxes, net of refunds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3,704</w:t>
            </w:r>
          </w:p>
        </w:tc>
        <w:tc>
          <w:tcPr>
            <w:tcW w:w="10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(3,764)</w:t>
            </w:r>
          </w:p>
        </w:tc>
      </w:tr>
      <w:tr>
        <w:trPr>
          <w:trHeight w:val="20"/>
        </w:trPr>
        <w:tc>
          <w:tcPr>
            <w:tcW w:w="7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7,169</w:t>
            </w:r>
          </w:p>
        </w:tc>
        <w:tc>
          <w:tcPr>
            <w:tcW w:w="100" w:type="dxa"/>
            <w:vAlign w:val="bottom"/>
          </w:tcPr>
          <w:p>
            <w:pPr>
              <w:spacing w:after="0"/>
              <w:rPr>
                <w:sz w:val="15"/>
                <w:szCs w:val="15"/>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3,373</w:t>
            </w:r>
          </w:p>
        </w:tc>
      </w:tr>
    </w:tbl>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Mistras Group, Inc., together with its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7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 for the benefit of its customers.</w:t>
      </w:r>
    </w:p>
    <w:p>
      <w:pPr>
        <w:spacing w:after="0" w:line="2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has three operating segments. During the first quarter of 2023, the Company renamed the Services segment to the North America segment to more closely align to the geographical area in which the Services segment operates. We did not recast the corresponding financial information for the historical periods presented, as there was no change in the manner which our chief operating decision maker reviews the financial results of each segment and allocates resources. Our Segments, with the updated naming convention, are as follows:</w:t>
      </w:r>
    </w:p>
    <w:p>
      <w:pPr>
        <w:spacing w:after="0" w:line="198" w:lineRule="exact"/>
        <w:rPr>
          <w:sz w:val="20"/>
          <w:szCs w:val="20"/>
          <w:color w:val="auto"/>
        </w:rPr>
      </w:pPr>
    </w:p>
    <w:p>
      <w:pPr>
        <w:ind w:left="900" w:right="120" w:hanging="244"/>
        <w:spacing w:after="0" w:line="279" w:lineRule="auto"/>
        <w:tabs>
          <w:tab w:leader="none" w:pos="89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North America (Referred to as "Services" in prior filings). </w:t>
      </w:r>
      <w:r>
        <w:rPr>
          <w:rFonts w:ascii="Arial" w:cs="Arial" w:eastAsia="Arial" w:hAnsi="Arial"/>
          <w:sz w:val="17"/>
          <w:szCs w:val="17"/>
          <w:color w:val="auto"/>
        </w:rPr>
        <w:t>This segment provides asset protection solutions predominantly in North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1" w:lineRule="exact"/>
        <w:rPr>
          <w:rFonts w:ascii="Arial" w:cs="Arial" w:eastAsia="Arial" w:hAnsi="Arial"/>
          <w:sz w:val="17"/>
          <w:szCs w:val="17"/>
          <w:i w:val="1"/>
          <w:iCs w:val="1"/>
          <w:color w:val="auto"/>
        </w:rPr>
      </w:pPr>
    </w:p>
    <w:p>
      <w:pPr>
        <w:ind w:left="900" w:right="160" w:hanging="244"/>
        <w:spacing w:after="0" w:line="263"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180" w:hanging="244"/>
        <w:spacing w:after="0" w:line="277" w:lineRule="auto"/>
        <w:tabs>
          <w:tab w:leader="none" w:pos="89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2022, the Company experienced unfavorable foreign currency exchange impacts as it relates to the Company's European operations. Additionally, the Russian-Ukrainian war continues to create disruptions in the oil and gas market and the supply chain in general, which is resulting in some disruption to our business operations. The Company’s European operations are currently experiencing increased costs associated with higher energy costs, among others, due in part to the Russian-Ukrainian 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 2022, the Company eliminated substantially all of the COVID related cost reduction initiatives undertaken in 2020, including re-instatement of the savings plan employer match and increasing wages back to pre-pandemic amounts.</w:t>
      </w:r>
    </w:p>
    <w:p>
      <w:pPr>
        <w:spacing w:after="0" w:line="198"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which resulted in an impairment within the reporting unit of $13.8 million. Refer to Note 9-</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222"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 will continue to monitor market conditions and respond accordingly.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statement of the results for the interim periods of the years ending December 31, 2023 and December 31, 2022.</w:t>
      </w:r>
    </w:p>
    <w:p>
      <w:pPr>
        <w:spacing w:after="0" w:line="18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2022 Annual Report on Form 10-K ("2022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b w:val="1"/>
          <w:bCs w:val="1"/>
          <w:i w:val="1"/>
          <w:iCs w:val="1"/>
          <w:color w:val="auto"/>
        </w:rPr>
        <w:t>Summary of Significant Accounting Policies and Practices</w:t>
      </w:r>
      <w:r>
        <w:rPr>
          <w:rFonts w:ascii="Arial" w:cs="Arial" w:eastAsia="Arial" w:hAnsi="Arial"/>
          <w:sz w:val="18"/>
          <w:szCs w:val="18"/>
          <w:color w:val="auto"/>
        </w:rPr>
        <w:t xml:space="preserve"> in the 2022 Annual Report. On an ongoing basis, the Company evaluates its estimates and assumptions, including among other things, those related to revenue recognition, long-lived assets, goodwill and acquisitions. Since the date of the 2022 Annual Report, there have been no material changes to the Company’s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1075055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18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of September 30, 2023, management concluded that it is more likely than not that a substantial portion of the Company’s deferred tax assets will be realized.</w:t>
      </w:r>
    </w:p>
    <w:p>
      <w:pPr>
        <w:spacing w:after="0" w:line="184"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income tax rate was approximately (16.8)% and 31.1% for the three months ended September 30, 2023 and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income tax rate was approximately (1.6)% and 48.5% for the nine months ended September 30, 2023 and 2022, respectively.</w:t>
      </w:r>
    </w:p>
    <w:p>
      <w:pPr>
        <w:spacing w:after="0" w:line="24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effective income tax rate for the three months ended September 30, 2023 was lower than the statutory rate primarily due to the impact of permanent tax adjustments related to executive compensation and goodwill impairments. The effective income tax rate for the three months ended September 30, 2022 was higher than the statutory rate primarily due to various permanent tax adjustments and a $0.1 million valuation allowance recorded on a foreign jurisdiction.</w:t>
      </w:r>
    </w:p>
    <w:p>
      <w:pPr>
        <w:spacing w:after="0" w:line="21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effective income tax rate for the nine months ended September 30, 2023 was lower than the statutory rate primarily due to the impact of permanent tax adjustments related to executive compensation and goodwill impairments. The effective income tax rate for the nine months ended September 30, 2022 was higher than the statutory rate due primarily to various permanent tax adjustments and a $0.9 million valuation allowance recorded during the period which was related to a foreign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2020 and updated in January 2021, the FASB issued Accounting Standards Update ("ASU") 2020-04 and 2021-01,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2024. The Company is currently evaluating applicable contracts and the available expedients provided by the new guidance.</w:t>
      </w: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2023</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6"/>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20,065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(3,269)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6"/>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21,293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(3,087)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5"/>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
        </w:trPr>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308,041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57,685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25,863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(8,457)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523,399</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0"/>
        </w:trPr>
        <w:tc>
          <w:tcPr>
            <w:tcW w:w="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6"/>
        </w:trPr>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292,519</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63,807</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31,062</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42,545</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19,130</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Petrochemical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(8,203)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11,955</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2023</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6"/>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126,542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2022</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22,593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6"/>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373,280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65,339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7,618</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523,399</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5"/>
        </w:trPr>
        <w:tc>
          <w:tcPr>
            <w:tcW w:w="4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North America</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5"/>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373,220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64,385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95"/>
        </w:trPr>
        <w:tc>
          <w:tcPr>
            <w:tcW w:w="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Revenue recognized during the nine months ended September 30, 2023 and 2022 that was included in the contract liability balance at the beginning of such year was $5.7 million and $4.0 million, respectively, for each period. Changes in the contract asset and liability balances during these periods were not materially impacted by any other factors. The Company applies the practical expedient to expense incremental costs incurred relating to obtaining a contract when the amortization period of the asset that the Company otherwise would have recognized is one year or less.</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grants share-based incentive awards to its eligible employees and non-employee directors under two equity incentive plans: (i) the 2009 Long-Term Incentive Plan (the "2009 Plan") and (ii) the 2016 Long-Term Incentive Plan (the "2016 Plan"). No awards have been granted under the 2009 Plan since the 2016 Plan was approved by shareholders in 2016, and the remaining stock option award granted under the 2009 Plan expired during the three months ended March 31, 2022. Awards granted under the 2016 Plan may be in the form of stock options, restricted stock units and other forms of share-based incentives, including performance restricted stock units, stock appreciation rights and deferred stock rights. At the annual shareholders meeting on May 23, 2022, the Company’s shareholders approved an amendment to increase the total number of shares that may be issued under the 2016 Plan by</w:t>
      </w:r>
    </w:p>
    <w:p>
      <w:pPr>
        <w:spacing w:after="0" w:line="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1.2 million, for a total of 4.9 million shares that are authorized for issuance under the 2016 Plan, of which approximately 1,300,000 shares were available for future grants as of September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During the three months ended March 31, 2022, all remaining outstanding stock options expired. For each of the three and nine months ended September 30, 2023 and 2022, the Company did not recognize any share-based compensation expense related to stock option awards.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three months ended September 30, 2023 and September 30, 2022, the Company recognized share-based compensation expense related to restricted stock unit awards of $0.7 million and $0.9 million, respectively. For the nine months ended September 30, 2023 and 2022, the Company recognized share-based compensation expense related to restricted stock unit awards of $2.5 million and $2.8 million, respectively. As of September 30, 2023, there was $8.1 million of unrecognized compensation costs, net of estimated forfeitures, related to restricted stock unit awards, which is expected to be recognized over a remaining weighted-average period of 2.7 years. Upon vesting, restricted stock units are generally net share-settled to cover the required withholding tax and the remaining amount is converted into an equivalent number of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2,164</w:t>
            </w:r>
          </w:p>
        </w:tc>
        <w:tc>
          <w:tcPr>
            <w:tcW w:w="40" w:type="dxa"/>
            <w:vAlign w:val="bottom"/>
          </w:tcPr>
          <w:p>
            <w:pPr>
              <w:spacing w:after="0"/>
              <w:rPr>
                <w:sz w:val="20"/>
                <w:szCs w:val="20"/>
                <w:color w:val="auto"/>
              </w:rPr>
            </w:pPr>
          </w:p>
        </w:tc>
      </w:tr>
      <w:tr>
        <w:trPr>
          <w:trHeight w:val="1815"/>
        </w:trPr>
        <w:tc>
          <w:tcPr>
            <w:tcW w:w="8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ind w:right="940"/>
        <w:spacing w:after="0" w:line="269" w:lineRule="auto"/>
        <w:rPr>
          <w:sz w:val="20"/>
          <w:szCs w:val="20"/>
          <w:color w:val="auto"/>
        </w:rPr>
      </w:pPr>
      <w:r>
        <w:rPr>
          <w:rFonts w:ascii="Arial" w:cs="Arial" w:eastAsia="Arial" w:hAnsi="Arial"/>
          <w:sz w:val="18"/>
          <w:szCs w:val="18"/>
          <w:color w:val="auto"/>
        </w:rPr>
        <w:t>A summary of the fully-vested common stock the Company issued to its non-employee directors, in connection with its non-employee director compensation, is as follows:</w:t>
      </w: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gridSpan w:val="8"/>
          </w:tcPr>
          <w:p>
            <w:pPr>
              <w:ind w:left="5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40" w:type="dxa"/>
            <w:vAlign w:val="bottom"/>
            <w:gridSpan w:val="4"/>
          </w:tcPr>
          <w:p>
            <w:pPr>
              <w:jc w:val="right"/>
              <w:ind w:right="82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20"/>
                <w:szCs w:val="20"/>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620" w:type="dxa"/>
            <w:vAlign w:val="bottom"/>
            <w:gridSpan w:val="4"/>
          </w:tcPr>
          <w:p>
            <w:pPr>
              <w:spacing w:after="0"/>
              <w:rPr>
                <w:sz w:val="20"/>
                <w:szCs w:val="20"/>
                <w:color w:val="auto"/>
              </w:rPr>
            </w:pPr>
            <w:r>
              <w:rPr>
                <w:rFonts w:ascii="Arial" w:cs="Arial" w:eastAsia="Arial" w:hAnsi="Arial"/>
                <w:sz w:val="18"/>
                <w:szCs w:val="18"/>
                <w:color w:val="auto"/>
                <w:w w:val="92"/>
              </w:rPr>
              <w:t>A summary of the Company’s outstanding, non-vested restricted share units is as follows: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5"/>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left="108"/>
              <w:spacing w:after="0" w:line="135" w:lineRule="exact"/>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108"/>
              <w:spacing w:after="0" w:line="13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9"/>
              </w:rPr>
              <w:t>Grant-Date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Units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Outstanding at beginning of period:</w:t>
            </w: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7.96</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Vested</w:t>
            </w:r>
          </w:p>
        </w:tc>
        <w:tc>
          <w:tcPr>
            <w:tcW w:w="154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6.14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7.96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end of period: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7.71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1,515</w:t>
            </w:r>
          </w:p>
        </w:tc>
        <w:tc>
          <w:tcPr>
            <w:tcW w:w="20" w:type="dxa"/>
            <w:vAlign w:val="bottom"/>
          </w:tcPr>
          <w:p>
            <w:pPr>
              <w:spacing w:after="0"/>
              <w:rPr>
                <w:sz w:val="19"/>
                <w:szCs w:val="19"/>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may vary between zero and 200% of the target award, based on the Company’s performance over a one-year period based on specific metrics approved by the Compensation Committee of the Board of Directors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2022, the Compensation Committee utilized the same performance metrics for the Company's PRSUs awarded in 2022 as it utilized for the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PRSUs. The three metrics were:</w:t>
      </w:r>
    </w:p>
    <w:p>
      <w:pPr>
        <w:spacing w:after="0" w:line="9"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defined as net cash provided by operating activities less purchases of property, plant, equipment and intangible assets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adjustments approved by the Compensation Committee.</w:t>
      </w:r>
    </w:p>
    <w:p>
      <w:pPr>
        <w:jc w:val="both"/>
        <w:ind w:left="660" w:hanging="328"/>
        <w:spacing w:after="0" w:line="281"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2021), compared to the average share price during the 20-trading day period ending on the final measurement date (the last 20 trading days of 2022). Any cash dividends or distributions paid in 2022 were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4" w:lineRule="exact"/>
        <w:rPr>
          <w:rFonts w:ascii="Arial" w:cs="Arial" w:eastAsia="Arial" w:hAnsi="Arial"/>
          <w:sz w:val="16"/>
          <w:szCs w:val="16"/>
          <w:color w:val="auto"/>
        </w:rPr>
      </w:pPr>
    </w:p>
    <w:p>
      <w:pPr>
        <w:ind w:left="1300" w:right="20" w:hanging="320"/>
        <w:spacing w:after="0" w:line="25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1074420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For 2023, the Compensation Committee used different performance metrics for PRSUs approved in that year. The three metrics are:</w:t>
      </w:r>
    </w:p>
    <w:p>
      <w:pPr>
        <w:spacing w:after="0" w:line="23" w:lineRule="exact"/>
        <w:rPr>
          <w:sz w:val="20"/>
          <w:szCs w:val="20"/>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defined as net cash provided by operating activities less purchases of property, plant, equipment and intangible assets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adjustments approved by the Compensation Committee.</w:t>
      </w:r>
    </w:p>
    <w:p>
      <w:pPr>
        <w:jc w:val="both"/>
        <w:ind w:left="660" w:hanging="328"/>
        <w:spacing w:after="0" w:line="281"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Compensation cost related to the PRSUs with a market condition is not reversed if the market condition is not achieved, provided the employee requisite service has been rendered. Earned PRSUs generally vest ratably on each of the first four anniversary dates following completion of the performance period, for a total requisite service period of up to five years and have no dividend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41"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2023</w:t>
            </w:r>
          </w:p>
        </w:tc>
        <w:tc>
          <w:tcPr>
            <w:tcW w:w="12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37"/>
              <w:spacing w:after="0" w:line="13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3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9"/>
              </w:rPr>
              <w:t>Grant-Date</w:t>
            </w: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7"/>
              <w:spacing w:after="0" w:line="13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6"/>
        </w:trPr>
        <w:tc>
          <w:tcPr>
            <w:tcW w:w="5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center"/>
              <w:ind w:left="757"/>
              <w:spacing w:after="0"/>
              <w:rPr>
                <w:sz w:val="20"/>
                <w:szCs w:val="20"/>
                <w:color w:val="auto"/>
              </w:rPr>
            </w:pPr>
            <w:r>
              <w:rPr>
                <w:rFonts w:ascii="Arial" w:cs="Arial" w:eastAsia="Arial" w:hAnsi="Arial"/>
                <w:sz w:val="18"/>
                <w:szCs w:val="18"/>
                <w:color w:val="auto"/>
                <w:w w:val="91"/>
              </w:rPr>
              <w:t>9.96</w:t>
            </w: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91"/>
              </w:rPr>
              <w:t>8.50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(314)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left="757"/>
              <w:spacing w:after="0"/>
              <w:rPr>
                <w:sz w:val="20"/>
                <w:szCs w:val="20"/>
                <w:color w:val="auto"/>
              </w:rPr>
            </w:pPr>
            <w:r>
              <w:rPr>
                <w:rFonts w:ascii="Arial" w:cs="Arial" w:eastAsia="Arial" w:hAnsi="Arial"/>
                <w:sz w:val="18"/>
                <w:szCs w:val="18"/>
                <w:color w:val="auto"/>
                <w:w w:val="91"/>
              </w:rPr>
              <w:t>8.34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91"/>
              </w:rPr>
              <w:t>5.58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center"/>
              <w:ind w:left="717"/>
              <w:spacing w:after="0"/>
              <w:rPr>
                <w:sz w:val="20"/>
                <w:szCs w:val="20"/>
                <w:color w:val="auto"/>
              </w:rPr>
            </w:pPr>
            <w:r>
              <w:rPr>
                <w:rFonts w:ascii="Arial" w:cs="Arial" w:eastAsia="Arial" w:hAnsi="Arial"/>
                <w:sz w:val="18"/>
                <w:szCs w:val="18"/>
                <w:color w:val="auto"/>
                <w:w w:val="93"/>
              </w:rPr>
              <w:t>(6.95)</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91"/>
              </w:rPr>
              <w:t>9.83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During the nine months ended September 30, 2023, the Compensation Committee approved the final calculation of the award metrics for calendar year 2022. As a result, the calendar year 2023 PRSUs decreased by approximately 314,000 units during the nine months ended September 30, 2023 as a result of the final calculation of award metrics for 2022 awards and based on forecasted results for 2023 as compared to performance metrics determined by the Compensation Committee.</w:t>
      </w:r>
    </w:p>
    <w:p>
      <w:pPr>
        <w:spacing w:after="0" w:line="2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three months ended September 30, 2023 and September 30, 2022, the Company recognized aggregate share-based compensation expense related to the awards described above of approximately $0.1 million and $0.3 million, respectively. For the nine months ended September 30, 2023 and September 30, 2022, the Company recognized aggregate share-based compensation expense related to the awards described above of approximately $0.6 million and $0.9 million, respectively. At September 30, 2023, there was $0.7 million of total unrecognized compensation costs related to approximately 100,000 non-vested PRSUs, which is expected to be recognized over a remaining weighted-average period of 1.0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1248410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Basic earnings (loss) per share is computed by dividing net income (loss) by the weighted-average number of shares outstanding during the period. Diluted earnings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(loss)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r>
      <w:tr>
        <w:trPr>
          <w:trHeight w:val="41"/>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29,879</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68"/>
        </w:trPr>
        <w:tc>
          <w:tcPr>
            <w:tcW w:w="48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(10,298)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3,653</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29,879</w:t>
            </w:r>
          </w:p>
        </w:tc>
      </w:tr>
      <w:tr>
        <w:trPr>
          <w:trHeight w:val="230"/>
        </w:trPr>
        <w:tc>
          <w:tcPr>
            <w:tcW w:w="4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Dilutive effect of restricted stock units outstanding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23"/>
        </w:trPr>
        <w:tc>
          <w:tcPr>
            <w:tcW w:w="4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30,402</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30,277</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30,209</w:t>
            </w:r>
          </w:p>
        </w:tc>
      </w:tr>
      <w:tr>
        <w:trPr>
          <w:trHeight w:val="22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4" w:lineRule="exact"/>
        <w:rPr>
          <w:sz w:val="20"/>
          <w:szCs w:val="20"/>
          <w:color w:val="auto"/>
        </w:rPr>
      </w:pPr>
    </w:p>
    <w:p>
      <w:pPr>
        <w:ind w:left="180" w:right="120" w:hanging="172"/>
        <w:spacing w:after="0" w:line="261" w:lineRule="auto"/>
        <w:tabs>
          <w:tab w:leader="none" w:pos="18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September 30, 2023, 1,508,255 and 926,224 shares related to restricted stock, respectively, were excluded from the calculation of diluted EPS due to the net loss for the period.</w:t>
      </w: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nine months ended September 30, 2023 and 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76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28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Pr>
          <w:p>
            <w:pPr>
              <w:spacing w:after="0"/>
              <w:rPr>
                <w:sz w:val="16"/>
                <w:szCs w:val="16"/>
                <w:color w:val="auto"/>
              </w:rPr>
            </w:pPr>
          </w:p>
        </w:tc>
      </w:tr>
      <w:tr>
        <w:trPr>
          <w:trHeight w:val="26"/>
        </w:trPr>
        <w:tc>
          <w:tcPr>
            <w:tcW w:w="4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48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Adjustments to fair value of contingent consideration liabilities</w:t>
            </w: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127,767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had $27.8 million and $13.5 million of unbilled revenue accrued as of September 30, 2023 and December 31, 2022,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1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The Company recorded a full reserve for this receivable during 2019. The parties agreed to a settlement in the quarter ending June 30, 2023 with releases executed in July 2023, whereby the Company released its claim for the $1.4 million of outstanding receivables. Accordingly, the receivable has been written off. See Note 14-</w:t>
      </w: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color w:val="auto"/>
        </w:rPr>
        <w:t>for additional details.</w:t>
      </w:r>
    </w:p>
    <w:p>
      <w:pPr>
        <w:spacing w:after="0" w:line="2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September 30, 2023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consumable supplies</w:t>
            </w:r>
          </w:p>
        </w:tc>
        <w:tc>
          <w:tcPr>
            <w:tcW w:w="102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5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Work in progress and finished goods</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9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940" w:type="dxa"/>
            <w:vAlign w:val="bottom"/>
          </w:tcPr>
          <w:p>
            <w:pPr>
              <w:spacing w:after="0"/>
              <w:rPr>
                <w:sz w:val="24"/>
                <w:szCs w:val="2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24"/>
                <w:szCs w:val="24"/>
                <w:color w:val="auto"/>
              </w:rPr>
            </w:pPr>
          </w:p>
        </w:tc>
        <w:tc>
          <w:tcPr>
            <w:tcW w:w="1400" w:type="dxa"/>
            <w:vAlign w:val="bottom"/>
            <w:gridSpan w:val="4"/>
            <w:vMerge w:val="restart"/>
          </w:tcPr>
          <w:p>
            <w:pPr>
              <w:jc w:val="right"/>
              <w:ind w:right="70"/>
              <w:spacing w:after="0"/>
              <w:rPr>
                <w:sz w:val="20"/>
                <w:szCs w:val="20"/>
                <w:color w:val="auto"/>
              </w:rPr>
            </w:pPr>
            <w:r>
              <w:rPr>
                <w:rFonts w:ascii="Arial" w:cs="Arial" w:eastAsia="Arial" w:hAnsi="Arial"/>
                <w:sz w:val="14"/>
                <w:szCs w:val="14"/>
                <w:b w:val="1"/>
                <w:bCs w:val="1"/>
                <w:color w:val="auto"/>
                <w:w w:val="93"/>
              </w:rPr>
              <w:t>September 30, 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7"/>
                <w:szCs w:val="17"/>
                <w:color w:val="auto"/>
              </w:rPr>
            </w:pPr>
          </w:p>
        </w:tc>
        <w:tc>
          <w:tcPr>
            <w:tcW w:w="14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25,671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0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262,370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251,282</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311,797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296,668</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(232,035)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79,762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three months ended September 30, 2023 and 2022 was approximately $6.6 million and $5.9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nine months ended September 30, 2023 and 2022 was $19.0 million and $18.3 million, respectively.</w:t>
      </w:r>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North America</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and Systems</w:t>
            </w: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
        </w:trPr>
        <w:tc>
          <w:tcPr>
            <w:tcW w:w="4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Balance at 30, September 30, 2023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185,519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185,519</w:t>
            </w: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8"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spacing w:after="0" w:line="21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of these valuation methodologies based upon availability and relevance of comparable company data and determining the appropriate weighting.</w:t>
      </w:r>
    </w:p>
    <w:p>
      <w:pPr>
        <w:spacing w:after="0" w:line="26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profitability,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 Increased interest rates in the current period increased the discount rate associated with the reporting units which contributed in an unfavorable decrease in the reporting units value.</w:t>
      </w:r>
    </w:p>
    <w:p>
      <w:pPr>
        <w:spacing w:after="0" w:line="21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1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Based upon the results of the interim quantitative goodwill impairment test, the Company recorded an impairment charge of $13.8 million within the International reporting units. The impairment was calculated based on the difference between the estimated fair value and the carrying value of the reporting units and is included in Goodwill impairment charges on the condensed consolidated statements of income (loss) for the three and nine months ended September 30, 2023.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 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57"/>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297"/>
              <w:spacing w:after="0" w:line="13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4"/>
        </w:trPr>
        <w:tc>
          <w:tcPr>
            <w:tcW w:w="2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ind w:right="297"/>
              <w:spacing w:after="0" w:line="14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7"/>
        </w:trPr>
        <w:tc>
          <w:tcPr>
            <w:tcW w:w="236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7"/>
                <w:szCs w:val="17"/>
                <w:color w:val="auto"/>
              </w:rPr>
            </w:pPr>
          </w:p>
        </w:tc>
        <w:tc>
          <w:tcPr>
            <w:tcW w:w="1280" w:type="dxa"/>
            <w:vAlign w:val="bottom"/>
          </w:tcPr>
          <w:p>
            <w:pPr>
              <w:jc w:val="center"/>
              <w:ind w:right="29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51,028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22,359</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 compete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September 30, 2023 and 2022 was approximately $2.2 million and $2.3 million,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nine months ended September 30, 2023 and September 30, 2022 was $6.5 million and $6.9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1406525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26,684</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10,376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77,844</w:t>
            </w:r>
          </w:p>
        </w:tc>
        <w:tc>
          <w:tcPr>
            <w:tcW w:w="0" w:type="dxa"/>
            <w:vAlign w:val="bottom"/>
          </w:tcPr>
          <w:p>
            <w:pPr>
              <w:spacing w:after="0"/>
              <w:rPr>
                <w:sz w:val="1"/>
                <w:szCs w:val="1"/>
                <w:color w:val="auto"/>
              </w:rPr>
            </w:pPr>
          </w:p>
        </w:tc>
      </w:tr>
      <w:tr>
        <w:trPr>
          <w:trHeight w:val="21"/>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12.  Long-Term Debt</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7"/>
                <w:szCs w:val="17"/>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65,250</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w w:val="91"/>
              </w:rPr>
              <w:t>Senior secured term loan, net of unamortized debt issuance costs of $0.4 million and $0.5 million, respectively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121,399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193,868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191,251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183,826</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1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Prior to entering into the Credit Agreement (defined and described below), the Company had a credit agreement with its banking group (the "Prior Credit Agreement") which provided the Company with a $150 million revolving credit facility and a $100 million term loan. The Prior Credit Agreement was most recently amended on May 19, 2021 and had a maturity date of December 12, 2023.</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August 1, 2022, the Company entered into a new credit agreement (the “Credit Agreement”) which replaced the Prior Credit Agreement and provides the Company with a $190 million 5-year committed revolving credit facility and a $125 million term loan with a balance of $118 million as of September 30, 2023. The Credit Agreement permits the Company to borrow up to $100 million in non-U.S. dollar currencies and to use up to $20 million of the credit limit for the issuance of letters of credit. Both the revolving line of credit and the term loan under the Credit Agreement have a maturity date of July 30, 2027.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has the following key terms, conditions and financial covenants:</w:t>
      </w:r>
    </w:p>
    <w:p>
      <w:pPr>
        <w:spacing w:after="0" w:line="239" w:lineRule="exact"/>
        <w:rPr>
          <w:sz w:val="20"/>
          <w:szCs w:val="20"/>
          <w:color w:val="auto"/>
        </w:rPr>
      </w:pPr>
    </w:p>
    <w:p>
      <w:pPr>
        <w:ind w:left="660" w:hanging="328"/>
        <w:spacing w:after="0" w:line="23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Borrowings bear interest at Secured Overnight Financing Rate ("SOFR") plus a credit spread adjustment and applicable SOFR margin ranging from 1.25% to 2.75%, based upon our Total Consolidated Debt Leverage Ratio (defined below); under the Prior Credit Agreement, the margin was based upon the LIBOR margin.</w:t>
      </w:r>
    </w:p>
    <w:p>
      <w:pPr>
        <w:spacing w:after="0" w:line="1" w:lineRule="exact"/>
        <w:rPr>
          <w:rFonts w:ascii="Arial" w:cs="Arial" w:eastAsia="Arial" w:hAnsi="Arial"/>
          <w:sz w:val="18"/>
          <w:szCs w:val="18"/>
          <w:color w:val="auto"/>
        </w:rPr>
      </w:pPr>
    </w:p>
    <w:p>
      <w:pPr>
        <w:ind w:left="1300" w:right="720" w:hanging="320"/>
        <w:spacing w:after="0" w:line="243"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Credit Agreement) for the trailing four consecutive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920115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35" w:lineRule="exact"/>
        <w:rPr>
          <w:sz w:val="20"/>
          <w:szCs w:val="20"/>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w:t>
      </w:r>
    </w:p>
    <w:p>
      <w:pPr>
        <w:spacing w:after="0" w:line="225" w:lineRule="exact"/>
        <w:rPr>
          <w:rFonts w:ascii="Arial" w:cs="Arial" w:eastAsia="Arial" w:hAnsi="Arial"/>
          <w:sz w:val="18"/>
          <w:szCs w:val="18"/>
          <w:color w:val="auto"/>
        </w:rPr>
      </w:pPr>
    </w:p>
    <w:p>
      <w:pPr>
        <w:jc w:val="both"/>
        <w:ind w:left="660" w:right="40" w:hanging="328"/>
        <w:spacing w:after="0" w:line="285"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spacing w:after="0" w:line="168" w:lineRule="exact"/>
        <w:rPr>
          <w:rFonts w:ascii="Arial" w:cs="Arial" w:eastAsia="Arial" w:hAnsi="Arial"/>
          <w:sz w:val="16"/>
          <w:szCs w:val="16"/>
          <w:color w:val="auto"/>
        </w:rPr>
      </w:pPr>
    </w:p>
    <w:p>
      <w:pPr>
        <w:ind w:left="660" w:right="320" w:hanging="328"/>
        <w:spacing w:after="0" w:line="274"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to maintain a Total Consolidated Debt Leverage Ratio of no more than 4.0 to 1.0 at the end of each quarter through June 30, 2023 and stepping down to a maximum permitted ratio of no more than 3.75 to 1.0 for the remainder of the term.</w:t>
      </w:r>
    </w:p>
    <w:p>
      <w:pPr>
        <w:spacing w:after="0" w:line="188" w:lineRule="exact"/>
        <w:rPr>
          <w:rFonts w:ascii="Arial" w:cs="Arial" w:eastAsia="Arial" w:hAnsi="Arial"/>
          <w:sz w:val="17"/>
          <w:szCs w:val="17"/>
          <w:color w:val="auto"/>
        </w:rPr>
      </w:pPr>
    </w:p>
    <w:p>
      <w:pPr>
        <w:ind w:left="660" w:right="48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to maintain a Fixed Charge Coverage Ratio of 1.25 to 1.0 for the duration of the New Credit Agreement, as defined in the Credit Agreement.</w:t>
      </w:r>
    </w:p>
    <w:p>
      <w:pPr>
        <w:spacing w:after="0" w:line="196" w:lineRule="exact"/>
        <w:rPr>
          <w:rFonts w:ascii="Arial" w:cs="Arial" w:eastAsia="Arial" w:hAnsi="Arial"/>
          <w:sz w:val="18"/>
          <w:szCs w:val="18"/>
          <w:color w:val="auto"/>
        </w:rPr>
      </w:pPr>
    </w:p>
    <w:p>
      <w:pPr>
        <w:jc w:val="both"/>
        <w:ind w:left="660" w:right="340" w:hanging="328"/>
        <w:spacing w:after="0" w:line="261"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185" w:lineRule="exact"/>
        <w:rPr>
          <w:rFonts w:ascii="Arial" w:cs="Arial" w:eastAsia="Arial" w:hAnsi="Arial"/>
          <w:sz w:val="17"/>
          <w:szCs w:val="17"/>
          <w:color w:val="auto"/>
        </w:rPr>
      </w:pPr>
    </w:p>
    <w:p>
      <w:pPr>
        <w:ind w:left="660" w:right="180" w:hanging="328"/>
        <w:spacing w:after="0" w:line="23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1" w:lineRule="exact"/>
        <w:rPr>
          <w:rFonts w:ascii="Arial" w:cs="Arial" w:eastAsia="Arial" w:hAnsi="Arial"/>
          <w:sz w:val="18"/>
          <w:szCs w:val="18"/>
          <w:color w:val="auto"/>
        </w:rPr>
      </w:pPr>
    </w:p>
    <w:p>
      <w:pPr>
        <w:ind w:left="660" w:right="500" w:hanging="328"/>
        <w:spacing w:after="0" w:line="24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Credit Agreement was accounted for as a modification and the Company expensed $0.8 million in unamortized capitalized debt issuance costs and fees during the three months ended September 30, 2022, which was included in selling, general and administrative expenses on the Consolidated Statements of Income (Loss). The Company incurred $1.6 million in financing costs for the Credit Agreement, of which $0.2 million of third party costs were expensed and included in selling, general and administrative expenses on the Consolidated Statements of Income (Loss) during the three months ended September 30, 2022.</w:t>
      </w:r>
    </w:p>
    <w:p>
      <w:pPr>
        <w:spacing w:after="0" w:line="22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As of September 30, 2023, the Company had borrowings of $189.7 million and a total of $2.9 million of letters of credit outstanding under the Credit Agreement. The Company has capitalized costs associated with debt modifications of $1.2 million as of September 30, 2023, which is included in Other assets on the Condensed Consolidated Balance Sheets and will be amortized into interest expense over the remaining term of the Credit Agreement through July 30, 2027.</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2023, the Company was in compliance with the terms of the Credit Agreement. The Company continuously monitors compliance with the covenants contained in its Credit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other debt includes bank financing provided at the local subsidiary level used to support working capital requirements and fund capital expenditures. At September 30, 2023, there was an aggregate of approximately $4.2 million outstanding, payable at various times through 2030. Monthly payments range from $1.0 thousand to $18.0 thousand and interest rates range from 0.4% to 3.5%.</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r>
      <w:tr>
        <w:trPr>
          <w:trHeight w:val="26"/>
        </w:trPr>
        <w:tc>
          <w:tcPr>
            <w:tcW w:w="8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9"/>
        </w:trPr>
        <w:tc>
          <w:tcPr>
            <w:tcW w:w="80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1,831</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Payments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is periodically involved in lawsuits, investigations and claims that arise in the ordinary course of business. The Company cannot predict with certainty the ultimate resolution of lawsuits, investigations and claims asserted against it. Except for possible losses from the matters described below, the Company does not believe that any currently pending or threatened legal proceeding to which the Company is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September 30, 2023,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filed a lawsuit in the District Court of Bexar County, Texas, 37th Judicial District on December 17, 2019, in an action captioned Mistras Group, Inc. v. Epic Y-Grade Pipeline LP, to recover the $1.4 million and other amounts due to the Company. The customer filed a counterclaim on March 6, 2020, alleging breach of contract and seeking recovery of its alleged damages. On April 25, 2023, the parties agreed to settle all claims, and in July 2023, the parties executed a settlement agreement. As part of the settlement, the Company paid $0.3 million in July 2023 (which the Company estimates is significantly less than the cost of going to trial) and released its claim of $1.4 million for associated past due receivables which were fully reserved for in prior periods. In the year ended December 31, 2022, the Company recorded a charge of $0.1 million for a potential loss from this matter. The Company recorded a reserve in the amount of $1.4 million during the twelve months ended December 31, 2019 for these past due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Two proceedings were filed in California Superior Court for the County of Los Angeles regarding alleged violations of the California Labor Code. Both cases were captioned </w:t>
      </w:r>
      <w:r>
        <w:rPr>
          <w:rFonts w:ascii="Arial" w:cs="Arial" w:eastAsia="Arial" w:hAnsi="Arial"/>
          <w:sz w:val="16"/>
          <w:szCs w:val="16"/>
          <w:i w:val="1"/>
          <w:iCs w:val="1"/>
          <w:color w:val="auto"/>
        </w:rPr>
        <w:t>Justin Price v. Mistras Group, Inc.</w:t>
      </w:r>
      <w:r>
        <w:rPr>
          <w:rFonts w:ascii="Arial" w:cs="Arial" w:eastAsia="Arial" w:hAnsi="Arial"/>
          <w:sz w:val="16"/>
          <w:szCs w:val="16"/>
          <w:color w:val="auto"/>
        </w:rPr>
        <w:t>, one being a purported class action lawsuit on behalf of current and former Mistras employees in California, filed on June 10, 2020, and the other was filed on September 18, 2020, on behalf of the State of California under the California Private Attorney General Act on the basis of the same alleged violations. The two cases were consolidated and payment was demanded for all damages, including unpaid wages, and various fines and penalties available under California law. On May 4, 2021, the Company agreed to a settlement of all claims in the cases, which was more formally documented pursuant to a settlement agreement completed October 5, 2021, as amended as of May 3, 2022. Pursuant to the settlement, the Company agreed to pay $2.3 million to resolve the allegations in these proceedings and to be responsible for the employer portion of payroll taxes on the amount of the settlement allocated to wages. The settlement as agreed upon by the parties received final court approval on September 26, 2022, and the Company paid the settlement proceeds and related payroll taxes to the claims administrator in the fourth quarter of 2022.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Certain of the Company’s subsidiaries had significant reductions in their unionized workers in 2018. The collective bargaining agreements for the</w:t>
      </w:r>
    </w:p>
    <w:p>
      <w:pPr>
        <w:spacing w:after="0" w:line="61"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employees of these subsidiaries required contributions for these employees to two national multi-employer pension funds. The reduction in employees resulted in the subsidiary incurring a complete withdrawal to one of the pension funds under the Employee Retirement Income Security Act of 1974</w:t>
      </w:r>
    </w:p>
    <w:p>
      <w:pPr>
        <w:jc w:val="both"/>
        <w:ind w:right="80"/>
        <w:spacing w:after="0" w:line="271" w:lineRule="auto"/>
        <w:rPr>
          <w:sz w:val="20"/>
          <w:szCs w:val="20"/>
          <w:color w:val="auto"/>
        </w:rPr>
      </w:pPr>
      <w:r>
        <w:rPr>
          <w:rFonts w:ascii="Arial" w:cs="Arial" w:eastAsia="Arial" w:hAnsi="Arial"/>
          <w:sz w:val="18"/>
          <w:szCs w:val="18"/>
          <w:color w:val="auto"/>
        </w:rPr>
        <w:t>("ERISA"), which was fully satisfied in 2019. The Company has determined that the subsidiary is likely to incur partial or complete withdrawal liability to the other pension fund. The balance of the estimated total amount of this potential liability as of September 30, 2023 is approximately $2.5 million, which were incurred in 2018 and 2019.</w:t>
      </w:r>
    </w:p>
    <w:p>
      <w:pPr>
        <w:spacing w:after="0" w:line="1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right="80" w:hanging="244"/>
        <w:spacing w:after="0" w:line="259" w:lineRule="auto"/>
        <w:tabs>
          <w:tab w:leader="none" w:pos="89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This segment provides asset protection solutions predominantly in North America, with the largest concentration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86" w:lineRule="exact"/>
        <w:rPr>
          <w:rFonts w:ascii="Arial" w:cs="Arial" w:eastAsia="Arial" w:hAnsi="Arial"/>
          <w:sz w:val="18"/>
          <w:szCs w:val="18"/>
          <w:i w:val="1"/>
          <w:iCs w:val="1"/>
          <w:color w:val="auto"/>
        </w:rPr>
      </w:pPr>
    </w:p>
    <w:p>
      <w:pPr>
        <w:ind w:left="900" w:right="180" w:hanging="244"/>
        <w:spacing w:after="0" w:line="263"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200" w:hanging="244"/>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accounting policies of the reportable segments are the same as those described in Note 1</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Description of Business and Basis of Presentation</w:t>
      </w:r>
      <w:r>
        <w:rPr>
          <w:rFonts w:ascii="Arial" w:cs="Arial" w:eastAsia="Arial" w:hAnsi="Arial"/>
          <w:sz w:val="16"/>
          <w:szCs w:val="16"/>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27"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tbl>
      <w:tblPr>
        <w:tblLayout w:type="fixed"/>
        <w:tblInd w:w="4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393"/>
              <w:spacing w:after="0"/>
              <w:rPr>
                <w:sz w:val="20"/>
                <w:szCs w:val="20"/>
                <w:color w:val="auto"/>
              </w:rPr>
            </w:pPr>
            <w:r>
              <w:rPr>
                <w:rFonts w:ascii="Arial" w:cs="Arial" w:eastAsia="Arial" w:hAnsi="Arial"/>
                <w:sz w:val="14"/>
                <w:szCs w:val="14"/>
                <w:b w:val="1"/>
                <w:bCs w:val="1"/>
                <w:color w:val="auto"/>
                <w:w w:val="97"/>
              </w:rPr>
              <w:t>Three months ended September 30,</w:t>
            </w:r>
          </w:p>
        </w:tc>
        <w:tc>
          <w:tcPr>
            <w:tcW w:w="360" w:type="dxa"/>
            <w:vAlign w:val="bottom"/>
          </w:tcPr>
          <w:p>
            <w:pPr>
              <w:spacing w:after="0"/>
              <w:rPr>
                <w:sz w:val="16"/>
                <w:szCs w:val="16"/>
                <w:color w:val="auto"/>
              </w:rPr>
            </w:pPr>
          </w:p>
        </w:tc>
        <w:tc>
          <w:tcPr>
            <w:tcW w:w="2800" w:type="dxa"/>
            <w:vAlign w:val="bottom"/>
            <w:gridSpan w:val="6"/>
          </w:tcPr>
          <w:p>
            <w:pPr>
              <w:jc w:val="right"/>
              <w:ind w:right="433"/>
              <w:spacing w:after="0"/>
              <w:rPr>
                <w:sz w:val="20"/>
                <w:szCs w:val="20"/>
                <w:color w:val="auto"/>
              </w:rPr>
            </w:pPr>
            <w:r>
              <w:rPr>
                <w:rFonts w:ascii="Arial" w:cs="Arial" w:eastAsia="Arial" w:hAnsi="Arial"/>
                <w:sz w:val="14"/>
                <w:szCs w:val="14"/>
                <w:b w:val="1"/>
                <w:bCs w:val="1"/>
                <w:color w:val="auto"/>
                <w:w w:val="98"/>
              </w:rPr>
              <w:t>Nine months ended September 30,</w:t>
            </w:r>
          </w:p>
        </w:tc>
        <w:tc>
          <w:tcPr>
            <w:tcW w:w="40" w:type="dxa"/>
            <w:vAlign w:val="bottom"/>
          </w:tcPr>
          <w:p>
            <w:pPr>
              <w:spacing w:after="0"/>
              <w:rPr>
                <w:sz w:val="16"/>
                <w:szCs w:val="16"/>
                <w:color w:val="auto"/>
              </w:rPr>
            </w:pPr>
          </w:p>
        </w:tc>
      </w:tr>
      <w:tr>
        <w:trPr>
          <w:trHeight w:val="26"/>
        </w:trPr>
        <w:tc>
          <w:tcPr>
            <w:tcW w:w="48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r>
      <w:tr>
        <w:trPr>
          <w:trHeight w:val="216"/>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431,295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435,251</w:t>
            </w:r>
          </w:p>
        </w:tc>
        <w:tc>
          <w:tcPr>
            <w:tcW w:w="40" w:type="dxa"/>
            <w:vAlign w:val="bottom"/>
          </w:tcPr>
          <w:p>
            <w:pPr>
              <w:spacing w:after="0"/>
              <w:rPr>
                <w:sz w:val="19"/>
                <w:szCs w:val="19"/>
                <w:color w:val="auto"/>
              </w:rPr>
            </w:pPr>
          </w:p>
        </w:tc>
      </w:tr>
      <w:tr>
        <w:trPr>
          <w:trHeight w:val="229"/>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25,693</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83,441</w:t>
            </w:r>
          </w:p>
        </w:tc>
        <w:tc>
          <w:tcPr>
            <w:tcW w:w="40" w:type="dxa"/>
            <w:vAlign w:val="bottom"/>
          </w:tcPr>
          <w:p>
            <w:pPr>
              <w:spacing w:after="0"/>
              <w:rPr>
                <w:sz w:val="19"/>
                <w:szCs w:val="19"/>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c>
          <w:tcPr>
            <w:tcW w:w="40" w:type="dxa"/>
            <w:vAlign w:val="bottom"/>
          </w:tcPr>
          <w:p>
            <w:pPr>
              <w:spacing w:after="0"/>
              <w:rPr>
                <w:sz w:val="19"/>
                <w:szCs w:val="19"/>
                <w:color w:val="auto"/>
              </w:rPr>
            </w:pPr>
          </w:p>
        </w:tc>
      </w:tr>
      <w:tr>
        <w:trPr>
          <w:trHeight w:val="229"/>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40" w:type="dxa"/>
            <w:vAlign w:val="bottom"/>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c>
          <w:tcPr>
            <w:tcW w:w="4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6"/>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6"/>
          </w:tcPr>
          <w:p>
            <w:pPr>
              <w:jc w:val="right"/>
              <w:ind w:right="353"/>
              <w:spacing w:after="0"/>
              <w:rPr>
                <w:sz w:val="20"/>
                <w:szCs w:val="20"/>
                <w:color w:val="auto"/>
              </w:rPr>
            </w:pPr>
            <w:r>
              <w:rPr>
                <w:rFonts w:ascii="Arial" w:cs="Arial" w:eastAsia="Arial" w:hAnsi="Arial"/>
                <w:sz w:val="14"/>
                <w:szCs w:val="14"/>
                <w:b w:val="1"/>
                <w:bCs w:val="1"/>
                <w:color w:val="auto"/>
                <w:w w:val="99"/>
              </w:rPr>
              <w:t>Three months ended September 30,</w:t>
            </w:r>
          </w:p>
        </w:tc>
        <w:tc>
          <w:tcPr>
            <w:tcW w:w="360" w:type="dxa"/>
            <w:vAlign w:val="bottom"/>
          </w:tcPr>
          <w:p>
            <w:pPr>
              <w:spacing w:after="0"/>
              <w:rPr>
                <w:sz w:val="24"/>
                <w:szCs w:val="24"/>
                <w:color w:val="auto"/>
              </w:rPr>
            </w:pPr>
          </w:p>
        </w:tc>
        <w:tc>
          <w:tcPr>
            <w:tcW w:w="2800" w:type="dxa"/>
            <w:vAlign w:val="bottom"/>
            <w:gridSpan w:val="6"/>
          </w:tcPr>
          <w:p>
            <w:pPr>
              <w:jc w:val="right"/>
              <w:ind w:right="393"/>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24"/>
                <w:szCs w:val="24"/>
                <w:color w:val="auto"/>
              </w:rPr>
            </w:pPr>
          </w:p>
        </w:tc>
      </w:tr>
      <w:tr>
        <w:trPr>
          <w:trHeight w:val="26"/>
        </w:trPr>
        <w:tc>
          <w:tcPr>
            <w:tcW w:w="4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9"/>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r>
      <w:tr>
        <w:trPr>
          <w:trHeight w:val="216"/>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118,348</w:t>
            </w:r>
          </w:p>
        </w:tc>
        <w:tc>
          <w:tcPr>
            <w:tcW w:w="40" w:type="dxa"/>
            <w:vAlign w:val="bottom"/>
            <w:shd w:val="clear" w:color="auto" w:fill="CCEEFF"/>
          </w:tcPr>
          <w:p>
            <w:pPr>
              <w:spacing w:after="0"/>
              <w:rPr>
                <w:sz w:val="19"/>
                <w:szCs w:val="19"/>
                <w:color w:val="auto"/>
              </w:rPr>
            </w:pPr>
          </w:p>
        </w:tc>
      </w:tr>
      <w:tr>
        <w:trPr>
          <w:trHeight w:val="229"/>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7,694</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25,324</w:t>
            </w:r>
          </w:p>
        </w:tc>
        <w:tc>
          <w:tcPr>
            <w:tcW w:w="40" w:type="dxa"/>
            <w:vAlign w:val="bottom"/>
          </w:tcPr>
          <w:p>
            <w:pPr>
              <w:spacing w:after="0"/>
              <w:rPr>
                <w:sz w:val="19"/>
                <w:szCs w:val="19"/>
                <w:color w:val="auto"/>
              </w:rPr>
            </w:pPr>
          </w:p>
        </w:tc>
      </w:tr>
      <w:tr>
        <w:trPr>
          <w:trHeight w:val="229"/>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40" w:type="dxa"/>
            <w:vAlign w:val="bottom"/>
            <w:shd w:val="clear" w:color="auto" w:fill="CCEEFF"/>
          </w:tcPr>
          <w:p>
            <w:pPr>
              <w:spacing w:after="0"/>
              <w:rPr>
                <w:sz w:val="19"/>
                <w:szCs w:val="19"/>
                <w:color w:val="auto"/>
              </w:rPr>
            </w:pPr>
          </w:p>
        </w:tc>
      </w:tr>
      <w:tr>
        <w:trPr>
          <w:trHeight w:val="230"/>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auto"/>
            </w:tcBorders>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53,784</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147,233</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6"/>
          </w:tcPr>
          <w:p>
            <w:pPr>
              <w:jc w:val="right"/>
              <w:ind w:right="413"/>
              <w:spacing w:after="0"/>
              <w:rPr>
                <w:sz w:val="20"/>
                <w:szCs w:val="20"/>
                <w:color w:val="auto"/>
              </w:rPr>
            </w:pPr>
            <w:r>
              <w:rPr>
                <w:rFonts w:ascii="Arial" w:cs="Arial" w:eastAsia="Arial" w:hAnsi="Arial"/>
                <w:sz w:val="14"/>
                <w:szCs w:val="14"/>
                <w:b w:val="1"/>
                <w:bCs w:val="1"/>
                <w:color w:val="auto"/>
                <w:w w:val="98"/>
              </w:rPr>
              <w:t>Three months ended September 30,</w:t>
            </w:r>
          </w:p>
        </w:tc>
        <w:tc>
          <w:tcPr>
            <w:tcW w:w="320" w:type="dxa"/>
            <w:vAlign w:val="bottom"/>
          </w:tcPr>
          <w:p>
            <w:pPr>
              <w:spacing w:after="0"/>
              <w:rPr>
                <w:sz w:val="16"/>
                <w:szCs w:val="16"/>
                <w:color w:val="auto"/>
              </w:rPr>
            </w:pPr>
          </w:p>
        </w:tc>
        <w:tc>
          <w:tcPr>
            <w:tcW w:w="2880" w:type="dxa"/>
            <w:vAlign w:val="bottom"/>
            <w:gridSpan w:val="7"/>
          </w:tcPr>
          <w:p>
            <w:pPr>
              <w:ind w:left="20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216"/>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35,315</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9"/>
                <w:szCs w:val="19"/>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tcPr>
          <w:p>
            <w:pPr>
              <w:spacing w:after="0"/>
              <w:rPr>
                <w:sz w:val="19"/>
                <w:szCs w:val="19"/>
                <w:color w:val="auto"/>
              </w:rPr>
            </w:pPr>
          </w:p>
        </w:tc>
      </w:tr>
      <w:tr>
        <w:trPr>
          <w:trHeight w:val="229"/>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(22,668)</w:t>
            </w:r>
          </w:p>
        </w:tc>
        <w:tc>
          <w:tcPr>
            <w:tcW w:w="60" w:type="dxa"/>
            <w:vAlign w:val="bottom"/>
          </w:tcPr>
          <w:p>
            <w:pPr>
              <w:spacing w:after="0"/>
              <w:rPr>
                <w:sz w:val="19"/>
                <w:szCs w:val="19"/>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w:t>
            </w:r>
          </w:p>
        </w:tc>
        <w:tc>
          <w:tcPr>
            <w:tcW w:w="60" w:type="dxa"/>
            <w:vAlign w:val="bottom"/>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3"/>
        </w:trPr>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60" w:type="dxa"/>
            <w:vAlign w:val="bottom"/>
            <w:gridSpan w:val="6"/>
          </w:tcPr>
          <w:p>
            <w:pPr>
              <w:jc w:val="right"/>
              <w:ind w:right="393"/>
              <w:spacing w:after="0"/>
              <w:rPr>
                <w:sz w:val="20"/>
                <w:szCs w:val="20"/>
                <w:color w:val="auto"/>
              </w:rPr>
            </w:pPr>
            <w:r>
              <w:rPr>
                <w:rFonts w:ascii="Arial" w:cs="Arial" w:eastAsia="Arial" w:hAnsi="Arial"/>
                <w:sz w:val="14"/>
                <w:szCs w:val="14"/>
                <w:b w:val="1"/>
                <w:bCs w:val="1"/>
                <w:color w:val="auto"/>
                <w:w w:val="99"/>
              </w:rPr>
              <w:t>Three months ended September 30,</w:t>
            </w:r>
          </w:p>
        </w:tc>
        <w:tc>
          <w:tcPr>
            <w:tcW w:w="320" w:type="dxa"/>
            <w:vAlign w:val="bottom"/>
          </w:tcPr>
          <w:p>
            <w:pPr>
              <w:spacing w:after="0"/>
              <w:rPr>
                <w:sz w:val="23"/>
                <w:szCs w:val="23"/>
                <w:color w:val="auto"/>
              </w:rPr>
            </w:pPr>
          </w:p>
        </w:tc>
        <w:tc>
          <w:tcPr>
            <w:tcW w:w="2880" w:type="dxa"/>
            <w:vAlign w:val="bottom"/>
            <w:gridSpan w:val="7"/>
          </w:tcPr>
          <w:p>
            <w:pPr>
              <w:ind w:left="22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18,927</w:t>
            </w:r>
          </w:p>
        </w:tc>
        <w:tc>
          <w:tcPr>
            <w:tcW w:w="60" w:type="dxa"/>
            <w:vAlign w:val="bottom"/>
            <w:tcBorders>
              <w:left w:val="single" w:sz="8" w:color="CCEEFF"/>
            </w:tcBorders>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1,858</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5,835</w:t>
            </w:r>
          </w:p>
        </w:tc>
        <w:tc>
          <w:tcPr>
            <w:tcW w:w="6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60" w:type="dxa"/>
            <w:vAlign w:val="bottom"/>
            <w:tcBorders>
              <w:left w:val="single" w:sz="8" w:color="CCEEFF"/>
            </w:tcBorders>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25,132</w:t>
            </w:r>
          </w:p>
        </w:tc>
        <w:tc>
          <w:tcPr>
            <w:tcW w:w="60" w:type="dxa"/>
            <w:vAlign w:val="bottom"/>
            <w:tcBorders>
              <w:left w:val="single" w:sz="8" w:color="CCEEFF"/>
            </w:tcBorders>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74"/>
        </w:trPr>
        <w:tc>
          <w:tcPr>
            <w:tcW w:w="1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8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43,260</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24"/>
                <w:szCs w:val="24"/>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6"/>
        </w:trPr>
        <w:tc>
          <w:tcPr>
            <w:tcW w:w="8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407,779</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93,951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104,531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534,904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color w:val="auto"/>
        </w:rPr>
        <w:t xml:space="preserve"> for revenue by geographic area for the three and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1236345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9, 2023, Sotirios Vahaviolos retired as Executive Chairman of the Board (the “Board”) of Mistras Group, Inc., but remains employed as a Senior Advisor to the Chief Executive Officer. In addition, Dr. Vahaviolos continues to serve as a member of the Board and as Chairman Emeritus. On the same day, the Board elected Manuel N. Stamatakis to serve as Chairman of the Board to succeed Dr. Vahaviolos in that role.</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October 9, 2023, the Board also approved the termination without cause of Dennis Bertolotti as the Company’s President and Chief Executive Officer. In connection with his termination as President and Chief Executive Officer, Mr. Bertolotti resigned as a director, effective immediately. The Board appointed Mr. Stamatakis to serve as interim President and Chief Executive Officer until a permanent President and Chief Executive Officer is appointed. The Company expects to record approximately $2.6 million during the fourth quarter of 2023 related to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Management’s Discussion and Analysis (“MD&amp;A”) provides a discussion of our results of operations and financial position for the three and nine months ended September 30, 2023 and 2022.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2022, (“2022 Annual Report”). Unless otherwise specified or the context otherwise requires, “Mistras,” “the Company,” “we,” “us” and “our” refer to Mistras Group, Inc. and its consolidated subsidiaries. The MD&amp;A includes the following sections:</w:t>
      </w:r>
    </w:p>
    <w:p>
      <w:pPr>
        <w:spacing w:after="0" w:line="1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2022 Annual Report as well as those discussed in this Quarterly Report on Form 10-Q and in our other filings with the SEC. In addition, there are various developments discussed below which could create risks and uncertainty about our business, results of operations or liquidity.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systems to help avoid catastrophic incidents, the Company helps the world at large.</w:t>
      </w:r>
    </w:p>
    <w:p>
      <w:pPr>
        <w:spacing w:after="0" w:line="20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Internet of Things ("IoT")-connected digital software and monitoring solutions,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OneSuite™, which serves as an ecosystem platform, pulling together all of the Company’s software and data services capabilities, for the benefit of its customers.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operations consist of three reportable segments: North America (which we previously referred to as our Services segment), International, and Products and Systems.</w:t>
      </w:r>
    </w:p>
    <w:p>
      <w:pPr>
        <w:spacing w:after="0" w:line="8" w:lineRule="exact"/>
        <w:rPr>
          <w:sz w:val="20"/>
          <w:szCs w:val="20"/>
          <w:color w:val="auto"/>
        </w:rPr>
      </w:pPr>
    </w:p>
    <w:p>
      <w:pPr>
        <w:ind w:left="660" w:right="120" w:hanging="328"/>
        <w:spacing w:after="0" w:line="249"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provides asset protection solutions predominantly in North America, with the largest concentration in the United States, followed</w:t>
      </w:r>
      <w:r>
        <w:rPr>
          <w:rFonts w:ascii="Arial" w:cs="Arial" w:eastAsia="Arial" w:hAnsi="Arial"/>
          <w:sz w:val="18"/>
          <w:szCs w:val="18"/>
          <w:i w:val="1"/>
          <w:iCs w:val="1"/>
          <w:color w:val="auto"/>
        </w:rPr>
        <w:t xml:space="preserve"> </w:t>
      </w:r>
      <w:r>
        <w:rPr>
          <w:rFonts w:ascii="Arial" w:cs="Arial" w:eastAsia="Arial" w:hAnsi="Arial"/>
          <w:sz w:val="18"/>
          <w:szCs w:val="18"/>
          <w:color w:val="auto"/>
        </w:rPr>
        <w:t>by 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18" w:lineRule="exact"/>
        <w:rPr>
          <w:rFonts w:ascii="Arial" w:cs="Arial" w:eastAsia="Arial" w:hAnsi="Arial"/>
          <w:sz w:val="18"/>
          <w:szCs w:val="18"/>
          <w:i w:val="1"/>
          <w:iCs w:val="1"/>
          <w:color w:val="auto"/>
        </w:rPr>
      </w:pPr>
    </w:p>
    <w:p>
      <w:pPr>
        <w:ind w:left="660" w:hanging="328"/>
        <w:spacing w:after="0" w:line="29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19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1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We have continued providing our customers with an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90 plus applications being offered on one centralized platform.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ind w:right="300"/>
        <w:spacing w:after="0" w:line="233" w:lineRule="auto"/>
        <w:rPr>
          <w:sz w:val="20"/>
          <w:szCs w:val="20"/>
          <w:color w:val="auto"/>
        </w:rPr>
      </w:pPr>
      <w:r>
        <w:rPr>
          <w:rFonts w:ascii="Arial" w:cs="Arial" w:eastAsia="Arial" w:hAnsi="Arial"/>
          <w:sz w:val="18"/>
          <w:szCs w:val="18"/>
          <w:color w:val="auto"/>
        </w:rPr>
        <w:t>The Russian-Ukrainian war is creating disruption in the oil and gas market and the supply chain in general, which is resulting in some disruption to our business operations primarily in Europe due to increased energy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1068070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3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Earlier in 2022, the Company eliminated substantially all of the COVID related cost reduction initiatives undertaken in 2020, including re-installment of the savings plan employer match and increasing wages back to pre-pandemic amounts. Our cash position and liquidity remains strong. As of September 30, 2023, the cash balance was approximately $12.8 million and our Credit Agreement provides us with significant liquidity.</w:t>
      </w:r>
    </w:p>
    <w:p>
      <w:pPr>
        <w:spacing w:after="0" w:line="2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 April 2021, the Biden Administration announced aggressive initiatives to battle climate change, which includes potential plans for a significant reduction in the use of fossil fuels and a transition to electric vehicles and increased use of alternative energy. Any legislation or regulations that may be adopted to implement these measures may negatively impact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28"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and the effect of inflationary pressures may have on its business, results of operations or liquidity or in other ways which the Company cannot yet determine. The Company’s European operations are currently experiencing higher energy costs, among other increased costs, due in part to the Russian-Ukrainian war and an impairment was recorded during the quarter ended September 30, 2023 related to the Company's European reporting units. The Company will continue to monitor market conditions and respond accordingly.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1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Company prepares its consolidated financial statements in accordance with U.S. GAAP. In this MD&amp;A under the heading "Income (loss) from Operations", the non-GAAP financial performance measure "Income (loss) from operations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nine months ended September 30, 2023 and 2022 were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6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179,354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178,462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523,399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519,155</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54,382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53,784</w:t>
            </w: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150,181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147,233</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profit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30.1 %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9,114</w:t>
            </w:r>
          </w:p>
        </w:tc>
        <w:tc>
          <w:tcPr>
            <w:tcW w:w="36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13,991</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Income from Operations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3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(8,849)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6,379</w:t>
            </w:r>
          </w:p>
        </w:tc>
        <w:tc>
          <w:tcPr>
            <w:tcW w:w="360" w:type="dxa"/>
            <w:vAlign w:val="bottom"/>
          </w:tcPr>
          <w:p>
            <w:pPr>
              <w:spacing w:after="0"/>
              <w:rPr>
                <w:sz w:val="19"/>
                <w:szCs w:val="19"/>
                <w:color w:val="auto"/>
              </w:rPr>
            </w:pP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(14,711)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7,201</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(10,338)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4,394</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(14,940)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3,707</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4,373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(14,947)</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3,653</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Revenue was $179.4 million for the three months ended September 30, 2023, an increase of $0.9 million, or 0.5%, compared with the three months ended September 30, 2022. Revenue for the nine months ended September 30, 2023 was $523.4 million, an increase of $4.2 million, or 0.8%, compared with the nine months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and nine months ended September 30, 2023 and 2022 was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w w:val="99"/>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152,778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435,251</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25,693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83,441</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w:t>
            </w:r>
          </w:p>
        </w:tc>
      </w:tr>
      <w:tr>
        <w:trPr>
          <w:trHeight w:val="230"/>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three months ended September 30, 2023, total revenue increased 0.5% versus the prior year comparable period due predominantly to increased sales volume as compared to the prior period. North America segment revenue decreased 2.6% due to decreases in sales volume in our aerospace and defense and power generation &amp; transmission end markets, amongst others. International segment revenue increased 20.6%, due predominantly to low double-digit organic growth and mid single-digit favorable foreign exchange rates impact. Products and Systems segment revenue decreased 8.1%, due to decreased sales volume as compared to the prior period.</w:t>
      </w:r>
    </w:p>
    <w:p>
      <w:pPr>
        <w:spacing w:after="0" w:line="2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Oil and gas customer revenue comprised approximately 58% and 54% of total revenue for the three months ended September 30, 2023 and 2022, respectively. Aerospace and defense customer revenue comprised approximately 11% and 12% of total revenue for the three months ended September 30, 2023 and 2022, respectively. The Company’s top ten customers comprised approximately 36% of total revenue for the three months ended September 30, 2023, as compared to 32% for the three months ended September 30, 2022, with no customer accounting for 10% or more of total revenue in either three-month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the nine months ended September 30, 2023, total revenue increased 0.8% versus the comparable prior period. The increase was due to organic growth in our core business, partially offset by an unfavorable revenue impact from foreign exchange rates. Our North America segment revenue decreased 0.9% due primarily to decreases in sales volume in our aerospace and defense and other process industries end markets which was partially offset by increased sales volume in our oil and gas end market. International segment revenue increased 8.7% due to mid single-digit organic growth and offset by low single-digit unfavorable revenue impact from foreign exchange rates. Products and Systems segment revenue increased by 14.2% due to increased sales volume within the power generation &amp; transmission end market, as compared to the prior period.</w:t>
      </w:r>
    </w:p>
    <w:p>
      <w:pPr>
        <w:spacing w:after="0" w:line="2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Oil and gas customer revenue comprised approximately 59% and 56% of total revenue for the nine months ended September 30, 2023 and 2022, respectively. Aerospace and defense customer revenue comprised approximately 11% and 12% of total revenue for the nine months ended September 30, 2023 and 2022, respectively. The Company’s top ten customers comprised approximately 35% of total revenue for the nine months ended September 30, 2023, as compared to 33% for the nine months ended September 30, 2022, with no customer accounting for 10% or more of total revenue in either nine-month period.</w:t>
      </w:r>
    </w:p>
    <w:p>
      <w:pPr>
        <w:spacing w:after="0" w:line="215"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The Company has retrospectively reclassified certain Oil and Gas sub-category revenues for each quarterly period in 2022 in order to conform the classification with the current year presentation. Total Oil and Gas sub-category revenues were unchanged in total in each quarterly period and for the full year ended December 31, 2022. The table below presents the reclassified balances for each quarterly period in the prior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80" w:type="dxa"/>
            <w:vAlign w:val="bottom"/>
            <w:gridSpan w:val="5"/>
          </w:tcPr>
          <w:p>
            <w:pPr>
              <w:ind w:left="520"/>
              <w:spacing w:after="0"/>
              <w:rPr>
                <w:sz w:val="20"/>
                <w:szCs w:val="20"/>
                <w:color w:val="auto"/>
              </w:rPr>
            </w:pPr>
            <w:r>
              <w:rPr>
                <w:rFonts w:ascii="Arial" w:cs="Arial" w:eastAsia="Arial" w:hAnsi="Arial"/>
                <w:sz w:val="14"/>
                <w:szCs w:val="14"/>
                <w:b w:val="1"/>
                <w:bCs w:val="1"/>
                <w:color w:val="auto"/>
              </w:rPr>
              <w:t>2022 Quarterly Revenues</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18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Three months ended March</w:t>
            </w:r>
          </w:p>
        </w:tc>
        <w:tc>
          <w:tcPr>
            <w:tcW w:w="1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Three months ended June 30,</w:t>
            </w:r>
          </w:p>
        </w:tc>
        <w:tc>
          <w:tcPr>
            <w:tcW w:w="200" w:type="dxa"/>
            <w:vAlign w:val="bottom"/>
          </w:tcPr>
          <w:p>
            <w:pPr>
              <w:spacing w:after="0"/>
              <w:rPr>
                <w:sz w:val="11"/>
                <w:szCs w:val="11"/>
                <w:color w:val="auto"/>
              </w:rPr>
            </w:pPr>
          </w:p>
        </w:tc>
        <w:tc>
          <w:tcPr>
            <w:tcW w:w="17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1"/>
                <w:szCs w:val="11"/>
                <w:color w:val="auto"/>
              </w:rPr>
            </w:pPr>
          </w:p>
        </w:tc>
        <w:tc>
          <w:tcPr>
            <w:tcW w:w="164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jc w:val="right"/>
              <w:ind w:right="714"/>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7"/>
                <w:szCs w:val="17"/>
                <w:color w:val="auto"/>
              </w:rPr>
            </w:pPr>
          </w:p>
        </w:tc>
        <w:tc>
          <w:tcPr>
            <w:tcW w:w="164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Oil and Gas Revenue by sub-category</w:t>
            </w:r>
          </w:p>
        </w:tc>
        <w:tc>
          <w:tcPr>
            <w:tcW w:w="4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Upstream</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36,435</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Arial" w:cs="Arial" w:eastAsia="Arial" w:hAnsi="Arial"/>
                <w:sz w:val="18"/>
                <w:szCs w:val="18"/>
                <w:color w:val="auto"/>
              </w:rPr>
              <w:t>Midstream</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25,885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23,540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Downstream</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35,258</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94,223</w:t>
            </w: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2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5"/>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16"/>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Oil and Gas Revenue by sub-category</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Upstream</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109,621</w:t>
            </w:r>
          </w:p>
        </w:tc>
      </w:tr>
      <w:tr>
        <w:trPr>
          <w:trHeight w:val="230"/>
        </w:trPr>
        <w:tc>
          <w:tcPr>
            <w:tcW w:w="4940" w:type="dxa"/>
            <w:vAlign w:val="bottom"/>
          </w:tcPr>
          <w:p>
            <w:pPr>
              <w:ind w:left="140"/>
              <w:spacing w:after="0"/>
              <w:rPr>
                <w:sz w:val="20"/>
                <w:szCs w:val="20"/>
                <w:color w:val="auto"/>
              </w:rPr>
            </w:pPr>
            <w:r>
              <w:rPr>
                <w:rFonts w:ascii="Arial" w:cs="Arial" w:eastAsia="Arial" w:hAnsi="Arial"/>
                <w:sz w:val="18"/>
                <w:szCs w:val="18"/>
                <w:color w:val="auto"/>
              </w:rPr>
              <w:t>Midstream</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73,465</w:t>
            </w:r>
          </w:p>
        </w:tc>
      </w:tr>
      <w:tr>
        <w:trPr>
          <w:trHeight w:val="229"/>
        </w:trPr>
        <w:tc>
          <w:tcPr>
            <w:tcW w:w="4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Downstream</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109,433</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292,519</w:t>
            </w: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Oil and gas upstream customer revenue increased approximately $7.3 million, or 7%, for the nine months ended September 30, 2023 as compared to the nine months ended September 30, 2022, and $2.9 million, or 8%, for the three months ended September 30, 2023 as compared to the three months ended September 30, 2022 due to increased exploration operations and market share gains compared to the prior period.</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Midstream customer revenues increased approximately $1.3 million, or 2%, for the nine months ended September 30, 2023 as compared to the nine months ended September 30, 2022, and $0.3 million, or 1%, for the three months ended September 30, 2023 as compared to the three months ended September 30, 2022 due to comparable pipe inspection services performed in both years.</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Downstream customer revenue increased $6.9 million, or 6%, for the nine months ended September 30, 2023 as compared to the nine months ended September 30, 2022, and $3.0 million, or 8%, for the three months ended September 30, 2023 as compared to the three months ended September 30, 2022 due to increased sales volume at customer refineries and increased customer turnarounds.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236"/>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Revenue by type</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6"/>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Field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345,385</w:t>
            </w: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Shop Laboratories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35,533</w:t>
            </w:r>
          </w:p>
        </w:tc>
      </w:tr>
      <w:tr>
        <w:trPr>
          <w:trHeight w:val="229"/>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Data Analytical Solutions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45,786</w:t>
            </w:r>
          </w:p>
        </w:tc>
      </w:tr>
      <w:tr>
        <w:trPr>
          <w:trHeight w:val="230"/>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519,155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Field Services revenues are comprised of revenue derived primarily by technicians performing asset inspections and maintenance services for our customers at locations other than Mistras properties. Field Services revenue increased by $3.1 million for the nine months ended September 30, 2023 as compared to the nine months ended September 30, 2022, and increased $4.2 million, for the three months ended September 30, 2023 as compared to the three months ended September 30, 2022. The increase in both periods was due to increased sales volume in our oil and gas end market for our North America and International segments.</w:t>
      </w:r>
    </w:p>
    <w:p>
      <w:pPr>
        <w:spacing w:after="0" w:line="21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Shop Laboratory revenues are comprised of quality assurance inspections of components and materials at our Mistras in house laboratory facilities. Shop revenues increased by $6.7 million for the nine months ended September 30, 2023 as compared to the nine months ended September 30, 2022, and increased $2.3 million for the three months ended September 30, 2023 as compared to the three months ended September 30, 2022. Shop revenues increased in both periods as compared to the prior year quarter due to increased sales volume related to our commercial aerospace and industrials end markets.</w:t>
      </w:r>
    </w:p>
    <w:p>
      <w:pPr>
        <w:spacing w:after="0" w:line="2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Data Analytical Solutions revenues are comprised of revenue derived from data software sales &amp; subscriptions, implementation services and analytics that offer insights and recommendations to improve asset integrity. Data Solutions revenue is derived from work performed by Mistras employees in our facilities, or at customer locations, using our proprietary portfolio of software applications. Data Solutions revenue increased by $7.1 million for the nine months ended September 30, 2023 as compared to the nine months ended September 30, 2022, and increased $0.8 million, for the three months ended September 30, 2023 as compared to the three months ended September 30, 2022 due primarily to increased sales volume within PCMS, Onstream and other Data Solutions offerings within our North America segment.</w:t>
      </w:r>
    </w:p>
    <w:p>
      <w:pPr>
        <w:spacing w:after="0" w:line="2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Other revenues are comprised of locations that perform both asset inspection services and testing of components and materials at in house Mistras laboratories. Other revenues decreased by $12.7 million for the nine months ended September 30, 2023 as compared to the nine months ended September 30, 2022, and decreased $6.5 million, for the three months ended September 30, 2023 as compared to the three months ended September 30, 2022. Other revenues decreased primarily due to decreased sales within the aerospace and defense sector and due to declines in our other end markets within the North America and International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profit increased by $0.6 million, or 1.1%, in the three months ended September 30, 2023 versus the prior year comparable period, on an increase in revenue of 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$2.9 million, or 2.0%, in the nine months ended September 30, 2023 on an increase in revenue of 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nine months ended September 30, 2023 and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(tabular dollars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1424940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9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4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9"/>
        </w:trPr>
        <w:tc>
          <w:tcPr>
            <w:tcW w:w="4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44,773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44,869</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121,088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118,348</w:t>
            </w:r>
          </w:p>
        </w:tc>
      </w:tr>
      <w:tr>
        <w:trPr>
          <w:trHeight w:val="229"/>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30.1 %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29.4 %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27.2 %</w:t>
            </w: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7,694</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24,247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25,324</w:t>
            </w:r>
          </w:p>
        </w:tc>
      </w:tr>
      <w:tr>
        <w:trPr>
          <w:trHeight w:val="229"/>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27.4 %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29.9 %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26.7 %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30.3 %</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1,189</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3,514</w:t>
            </w: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38.7 %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38.6 %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48.2 %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40.5 %</w:t>
            </w: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r>
      <w:tr>
        <w:trPr>
          <w:trHeight w:val="223"/>
        </w:trPr>
        <w:tc>
          <w:tcPr>
            <w:tcW w:w="44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54,382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53,784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150,181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147,233</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total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30.1 %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28.7 %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28.4 %</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Gross profit margin was 30.3% and 30.1% for the three-month periods ended September 30, 2023 and 2022, respectively. North America segment realized an increase of 0.7% in gross profit margin to 30.1% during the three months ended September 30, 2023. This was primarily due to reduced overhead costs associated with lower revenues, as compared to the prior year period. International segment realized a decrease of (2.5)% in gross profit margin to 27.4% during the three months ended September 30, 2023 due primarily to increased inflationary costs as compared to the prior year period. Products and Systems segment realized an increase of 0.1% in gross profit margin to 38.7% during the three months ended September 30, 2023 due to favorable sales mix.</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margin was 28.7% and 28.4% for the nine months ended September 30, 2023 and 2022, respectively. Gross profit margin increased due to favorable sales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and nine months ended September 30, 2023 and 2022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432"/>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39,537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40,767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123,844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123,545</w:t>
            </w:r>
          </w:p>
        </w:tc>
      </w:tr>
      <w:tr>
        <w:trPr>
          <w:trHeight w:val="176"/>
        </w:trPr>
        <w:tc>
          <w:tcPr>
            <w:tcW w:w="4000" w:type="dxa"/>
            <w:vAlign w:val="bottom"/>
          </w:tcPr>
          <w:p>
            <w:pPr>
              <w:ind w:left="140"/>
              <w:spacing w:after="0" w:line="176" w:lineRule="exact"/>
              <w:rPr>
                <w:sz w:val="20"/>
                <w:szCs w:val="20"/>
                <w:color w:val="auto"/>
              </w:rPr>
            </w:pPr>
            <w:r>
              <w:rPr>
                <w:rFonts w:ascii="Arial" w:cs="Arial" w:eastAsia="Arial" w:hAnsi="Arial"/>
                <w:sz w:val="18"/>
                <w:szCs w:val="18"/>
                <w:color w:val="auto"/>
                <w:w w:val="98"/>
              </w:rPr>
              <w:t>Bad debt provision for troubled customers, net of</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40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24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289</w:t>
            </w: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693</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693</w:t>
            </w:r>
          </w:p>
        </w:tc>
      </w:tr>
      <w:tr>
        <w:trPr>
          <w:trHeight w:val="229"/>
        </w:trPr>
        <w:tc>
          <w:tcPr>
            <w:tcW w:w="40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2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2,702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6,017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65</w:t>
            </w: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 Charges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24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1,523</w:t>
            </w: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2,629</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7,556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8,058</w:t>
            </w: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2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(994)</w:t>
            </w:r>
          </w:p>
        </w:tc>
      </w:tr>
      <w:tr>
        <w:trPr>
          <w:trHeight w:val="229"/>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w:t>
            </w:r>
          </w:p>
        </w:tc>
      </w:tr>
      <w:tr>
        <w:trPr>
          <w:trHeight w:val="223"/>
        </w:trPr>
        <w:tc>
          <w:tcPr>
            <w:tcW w:w="40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59,064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44,670</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152,799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133,242</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of total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32.9 %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25.0 %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25.7 %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Total operating expenses increased $14.4 million for the three months ended September 30, 2023 compared to the three months ended September 30, 2022, due predominantly to impairment charges of $13.8 million incurred in the third quarter of 2023 as more fully described in Note 9-</w:t>
      </w:r>
      <w:r>
        <w:rPr>
          <w:rFonts w:ascii="Arial" w:cs="Arial" w:eastAsia="Arial" w:hAnsi="Arial"/>
          <w:sz w:val="18"/>
          <w:szCs w:val="18"/>
          <w:b w:val="1"/>
          <w:bCs w:val="1"/>
          <w:i w:val="1"/>
          <w:iCs w:val="1"/>
          <w:color w:val="auto"/>
        </w:rPr>
        <w:t>Goodwill</w:t>
      </w:r>
      <w:r>
        <w:rPr>
          <w:rFonts w:ascii="Arial" w:cs="Arial" w:eastAsia="Arial" w:hAnsi="Arial"/>
          <w:sz w:val="18"/>
          <w:szCs w:val="18"/>
          <w:color w:val="auto"/>
        </w:rPr>
        <w:t xml:space="preserve"> of the Notes to the Unaudited Condensed Consolidated Financial Statements. Selling, general and administrative expenses decreased $1.2 million during the three months ended September 30, 2023 compared to the three months ended September 30, 2022, due mainly to favorable foreign currency exchange. Depreciation and amortization was flat during the three months ended September 30, 2023 compared to the three months ended September 30, 2022. During the three months ended September 30, 2023, $2.7 million of reorganization and other related costs were incurred, which were due to the Company's on-going efficiency and productivity initiatives.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Operating expenses increased $19.6 million for the nine months ended September 30, 2023 compared to the nine months ended September 30, 2022 due predominantly to impairment charges of $13.8 million incurred in the third quarter of 2023 as more fully described in Note 9-</w:t>
      </w:r>
      <w:r>
        <w:rPr>
          <w:rFonts w:ascii="Arial" w:cs="Arial" w:eastAsia="Arial" w:hAnsi="Arial"/>
          <w:sz w:val="16"/>
          <w:szCs w:val="16"/>
          <w:b w:val="1"/>
          <w:bCs w:val="1"/>
          <w:i w:val="1"/>
          <w:iCs w:val="1"/>
          <w:color w:val="auto"/>
        </w:rPr>
        <w:t>Goodwill</w:t>
      </w:r>
      <w:r>
        <w:rPr>
          <w:rFonts w:ascii="Arial" w:cs="Arial" w:eastAsia="Arial" w:hAnsi="Arial"/>
          <w:sz w:val="16"/>
          <w:szCs w:val="16"/>
          <w:color w:val="auto"/>
        </w:rPr>
        <w:t xml:space="preserve"> of the Notes to the Unaudited Condensed Consolidated Financial Statements. Selling, general, and administrative expenses increased $0.3 million during the nine months ended September 30, 2023 compared to the nine months ended September 30, 2022 primarily due to favorable foreign currency exchange. Reorganization and other costs for the nine months ended September 30, 2023 compared to the nine months ended September 30, 2022 increased $6.0 million due to professional fees and restructuring charges associated with changes in the Company's organizational structure. Depreciation and amortization decreased $0.5 million during the nine months ended September 30, 2023 compared to the nine months ended September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reconciliation of the income (loss) from operations to income (loss) before special items for each of our three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Corporate and Eliminations and the Company in total: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w w:val="99"/>
              </w:rPr>
              <w:t>Three months ended September 30,</w:t>
            </w:r>
          </w:p>
        </w:tc>
        <w:tc>
          <w:tcPr>
            <w:tcW w:w="320" w:type="dxa"/>
            <w:vAlign w:val="bottom"/>
          </w:tcPr>
          <w:p>
            <w:pPr>
              <w:spacing w:after="0"/>
              <w:rPr>
                <w:sz w:val="16"/>
                <w:szCs w:val="16"/>
                <w:color w:val="auto"/>
              </w:rPr>
            </w:pPr>
          </w:p>
        </w:tc>
        <w:tc>
          <w:tcPr>
            <w:tcW w:w="356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Income from operations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16,700</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39,719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35,315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Bad debt provision for troubled customers, net of</w:t>
            </w: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recoveries</w:t>
            </w:r>
          </w:p>
        </w:tc>
        <w:tc>
          <w:tcPr>
            <w:tcW w:w="3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color w:val="auto"/>
              </w:rPr>
              <w:t>Income from operations before special items (non-</w:t>
            </w:r>
          </w:p>
        </w:tc>
        <w:tc>
          <w:tcPr>
            <w:tcW w:w="3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34,848</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Goodwill Impairment charges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 net</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rPr>
              <w:t>Income from operations before special items (non-</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2,564</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rPr>
              <w:t>Income (loss) from operations before special items</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(non-GAAP)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(1,334)</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(8,067)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(22,668)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Loss from operations before special items (non-GAAP)</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13,991</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40"/>
              <w:spacing w:after="0" w:line="176" w:lineRule="exact"/>
              <w:rPr>
                <w:sz w:val="20"/>
                <w:szCs w:val="20"/>
                <w:color w:val="auto"/>
              </w:rPr>
            </w:pPr>
            <w:r>
              <w:rPr>
                <w:rFonts w:ascii="Arial" w:cs="Arial" w:eastAsia="Arial" w:hAnsi="Arial"/>
                <w:sz w:val="18"/>
                <w:szCs w:val="18"/>
                <w:color w:val="auto"/>
              </w:rPr>
              <w:t>Bad debt provision for troubled customers, net of</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 charges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Legal settlement and insurance recoveries, net</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expense, net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tcPr>
          <w:p>
            <w:pPr>
              <w:ind w:left="140"/>
              <w:spacing w:after="0" w:line="156" w:lineRule="exact"/>
              <w:rPr>
                <w:sz w:val="20"/>
                <w:szCs w:val="20"/>
                <w:color w:val="auto"/>
              </w:rPr>
            </w:pPr>
            <w:r>
              <w:rPr>
                <w:rFonts w:ascii="Arial" w:cs="Arial" w:eastAsia="Arial" w:hAnsi="Arial"/>
                <w:sz w:val="18"/>
                <w:szCs w:val="18"/>
                <w:color w:val="auto"/>
              </w:rPr>
              <w:t>Income from operations before special items (non-</w:t>
            </w: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11,819</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9,938</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17,353</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14,108</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200" w:type="dxa"/>
            <w:vAlign w:val="bottom"/>
          </w:tcPr>
          <w:p>
            <w:pPr>
              <w:ind w:left="140"/>
              <w:spacing w:after="0"/>
              <w:rPr>
                <w:sz w:val="20"/>
                <w:szCs w:val="20"/>
                <w:color w:val="auto"/>
              </w:rPr>
            </w:pPr>
            <w:r>
              <w:rPr>
                <w:rFonts w:ascii="Arial" w:cs="Arial" w:eastAsia="Arial" w:hAnsi="Arial"/>
                <w:sz w:val="18"/>
                <w:szCs w:val="18"/>
                <w:color w:val="auto"/>
              </w:rPr>
              <w:t>GAAP)</w:t>
            </w:r>
          </w:p>
        </w:tc>
        <w:tc>
          <w:tcPr>
            <w:tcW w:w="3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0"/>
        </w:trPr>
        <w:tc>
          <w:tcPr>
            <w:tcW w:w="4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section </w:t>
      </w:r>
      <w:r>
        <w:rPr>
          <w:rFonts w:ascii="Arial" w:cs="Arial" w:eastAsia="Arial" w:hAnsi="Arial"/>
          <w:sz w:val="17"/>
          <w:szCs w:val="17"/>
          <w:b w:val="1"/>
          <w:bCs w:val="1"/>
          <w:i w:val="1"/>
          <w:iCs w:val="1"/>
          <w:color w:val="auto"/>
        </w:rPr>
        <w:t>Note About Non-GAAP Measures</w:t>
      </w:r>
      <w:r>
        <w:rPr>
          <w:rFonts w:ascii="Arial" w:cs="Arial" w:eastAsia="Arial" w:hAnsi="Arial"/>
          <w:sz w:val="17"/>
          <w:szCs w:val="17"/>
          <w:color w:val="auto"/>
        </w:rPr>
        <w:t xml:space="preserve"> in this Quarterly Report on Form 10-Q for an explanation of the use of non-GAAP measurements.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September 30, 2023, income from operations (GAAP) decreased $13.8 million compared with the three months ended September 30, 2022, while income before special items (non-GAAP) increased $1.9 million for the three months ended September 30, 2023 compared with the three months ended September 30, 2022. As a percentage of revenue, income before special items increased by 100 basis points to 6.6% in the three months ended September 30, 2023 from 5.6% in the three months ended September 30,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the nine months ended September 30, 2023, income from operations (GAAP) decreased $16.6 million, compared with the nine months ended September 30, 2022, while income from operations before special items (non-GAAP) increased $3.2 million for the nine months ended September 30, 2023 compared with the nine months ended September 30, 2022. As a percentage of revenue, income from operations before special items increased by 60 basis points to 3.3% in the nine months ended September 30, 2023 from 2.7% in the nine months ended September 30, 2022. During the nine months ended September 30, 2023, the Company experienced overall organic growth offset by increased reorganization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1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Interest expense was approximately $4.2 million and $2.7 million for the three months ended September 30, 2023 and 2022, respectively. Interest expense was approximately $12.1 million and $6.8 million for the nine months ended September 30, 2023 and 2022, respectively. The increase in the three months ended September 30, 2023 was due to an increase in interest rates compared to the prior year period. The increase in interest expense for the nine months ended September 30, 2023 compared to the prior year period was due to an increase in the interest rates, partially offset by a decrease in outstanding borrowings.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Our effective income tax rate was approximately (16.8)% and 31.1% for the three months ended September 30, 2023 and 2022, respectively. Our effective income tax rate was approximately (1.6)% and 48.5% for the nine months ended September 30, 2023 and 2022, respectively.</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effective income tax rate for the three months ended September 30, 2023 was lower than the statutory rate primarily due to the impact of permanent tax adjustments related to executive compensation and goodwill impairment. The effective income tax rate for the three months ended September 30, 2022 was higher than the statutory rate primarily due to various permanent tax adjustments and a $0.1 million valuation allowance recorded on a foreign jurisdiction.</w:t>
      </w:r>
    </w:p>
    <w:p>
      <w:pPr>
        <w:spacing w:after="0" w:line="174"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color w:val="auto"/>
        </w:rPr>
        <w:t>The effective income tax rate for the nine months ended September 30, 2023 was lower than the statutory rate primarily due to the impact of permanent tax adjustments related to executive compensation and goodwill impairment. The effective income tax rate for the nine months ended September 30, 2022 was higher than the statutory rate due primarily to various permanent tax adjustments and a $0.9 million valuation allowance recorded during the period which was related to a foreign jurisdiction.</w:t>
      </w:r>
    </w:p>
    <w:p>
      <w:pPr>
        <w:spacing w:after="0" w:line="22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1210310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ind w:left="200"/>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r>
      <w:tr>
        <w:trPr>
          <w:trHeight w:val="216"/>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10,531</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w w:val="91"/>
              </w:rPr>
              <w:t>(8,877)</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1"/>
              </w:rPr>
              <w:t>(4,753)</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1"/>
              </w:rPr>
              <w:t>(2,927)</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1"/>
              </w:rPr>
              <w:t>(6,026)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nine months ended September 30, 2023, cash provided by operating activities was $10.7 million, representing a year-on-year increase of $0.2 million, or 1%. The increase was primarily related to decreased days sales outstanding in the current year period and offset by an increase in prepaid expenses and other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nine months ended September 30, 2023, cash used in investing activities was $15.2 million, compared to $8.9 million net cash used in investing activities for the nine months ended September 30, 2022. The change was primarily attributable to capital expenditures related to property, plant and equipment during the current period as compared to the prior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Net cash used in financing activities was $1.8 million for the nine months ended September 30, 2023, compared to net cash used in financing activities of $4.8 million for the nine months ended September 30, 2022. This was primarily due to during the nine months ended September 30, 2023, net repayments of debt were approximately $2.2 million higher as compared to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effect of exchange rate changes on our cash and cash equivalents was a decrease of $1.4 million in the nine months ended September 30, 2023, compared to a decrease of $2.9 million for the nine months ended September 30, 2022. The primary driver of the change was foreign currency fluctuations related to the Euro and the US Dollar.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As of September 30, 2023, we had cash and cash equivalents totaling $12.8 million and $114.2 million of unused commitments under our Credit Agreement with borrowings of $189.7 million and $2.9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September 30, 2023, we were in compliance with the terms of the Credit Agreement and will continuously monitor our compliance with the covenants contained in the Credit Agreement.</w:t>
      </w:r>
    </w:p>
    <w:p>
      <w:pPr>
        <w:spacing w:after="0" w:line="19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terms of our Credit Agreement are described in Note 12-</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significant increases in our contractual obligations and outstanding indebtedness as disclosed in the 2022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nine months ended September 30, 2023,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2022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2022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Senior Executive Vice President and Chief Financial Officer, of the effectiveness of the design and operation of our disclosure controls (as defined in Rule 13a-15(e) of the Exchange Act) and procedures. Based upon that evaluation, our President and Chief Executive Officer and our Senior Executive Vice President and Chief Financial Officer concluded that, as of September 30, 2023,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2023 that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1228725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2022 Annual Report, except as disclosed in such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2022 Annual Report. Except as described below, there have been no material changes to the risk factors previously disclosed in the 2022 Annual Report.</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500" w:hanging="652"/>
        <w:spacing w:after="0" w:line="500" w:lineRule="auto"/>
        <w:tabs>
          <w:tab w:leader="none" w:pos="267"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680" w:hanging="652"/>
        <w:spacing w:after="0" w:line="498" w:lineRule="auto"/>
        <w:tabs>
          <w:tab w:leader="none" w:pos="267"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During the three months ended September 30,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2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ind w:left="400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3"/>
        </w:trPr>
        <w:tc>
          <w:tcPr>
            <w:tcW w:w="20" w:type="dxa"/>
            <w:vAlign w:val="bottom"/>
          </w:tcPr>
          <w:p>
            <w:pPr>
              <w:spacing w:after="0"/>
              <w:rPr>
                <w:sz w:val="15"/>
                <w:szCs w:val="15"/>
                <w:color w:val="auto"/>
              </w:rPr>
            </w:pPr>
          </w:p>
        </w:tc>
        <w:tc>
          <w:tcPr>
            <w:tcW w:w="32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6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0"/>
              </w:rPr>
              <w:t>Employment Agreement between the Company and Gennaro A. D'Alterio dated September 11, 2023 (filed herewith).</w:t>
            </w:r>
          </w:p>
        </w:tc>
        <w:tc>
          <w:tcPr>
            <w:tcW w:w="280" w:type="dxa"/>
            <w:vAlign w:val="bottom"/>
          </w:tcPr>
          <w:p>
            <w:pPr>
              <w:spacing w:after="0"/>
              <w:rPr>
                <w:sz w:val="15"/>
                <w:szCs w:val="15"/>
                <w:color w:val="auto"/>
              </w:rPr>
            </w:pPr>
          </w:p>
        </w:tc>
      </w:tr>
      <w:tr>
        <w:trPr>
          <w:trHeight w:val="480"/>
        </w:trPr>
        <w:tc>
          <w:tcPr>
            <w:tcW w:w="340" w:type="dxa"/>
            <w:vAlign w:val="bottom"/>
            <w:gridSpan w:val="2"/>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0000FF"/>
                <w:w w:val="99"/>
              </w:rPr>
              <w:t>Certification of Chief Executive Officer pursuant to Rule 13a-14(a) under the Securities Exchange Act of 1934.</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Chief Financial Officer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720" w:type="dxa"/>
            <w:vAlign w:val="bottom"/>
            <w:gridSpan w:val="2"/>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Certification pursuant to Section 906 of the Sarbanes-Oxley Act of 2002.</w:t>
            </w:r>
          </w:p>
        </w:tc>
        <w:tc>
          <w:tcPr>
            <w:tcW w:w="3480" w:type="dxa"/>
            <w:vAlign w:val="bottom"/>
            <w:gridSpan w:val="4"/>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auto"/>
              </w:rPr>
              <w:t>Inline 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auto"/>
              </w:rPr>
              <w:t>Inline 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5"/>
          </w:tcPr>
          <w:p>
            <w:pPr>
              <w:spacing w:after="0"/>
              <w:rPr>
                <w:sz w:val="20"/>
                <w:szCs w:val="20"/>
                <w:color w:val="auto"/>
              </w:rPr>
            </w:pPr>
            <w:r>
              <w:rPr>
                <w:rFonts w:ascii="Arial" w:cs="Arial" w:eastAsia="Arial" w:hAnsi="Arial"/>
                <w:sz w:val="18"/>
                <w:szCs w:val="18"/>
                <w:color w:val="auto"/>
              </w:rPr>
              <w:t>Inline XBRL Definition Linkbase Document</w:t>
            </w:r>
          </w:p>
        </w:tc>
      </w:tr>
    </w:tbl>
    <w:p>
      <w:pPr>
        <w:spacing w:after="0" w:line="269" w:lineRule="exact"/>
        <w:rPr>
          <w:sz w:val="20"/>
          <w:szCs w:val="20"/>
          <w:color w:val="auto"/>
        </w:rPr>
      </w:pPr>
    </w:p>
    <w:p>
      <w:pPr>
        <w:ind w:left="1060" w:hanging="103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3" w:name="page44"/>
    <w:bookmarkEnd w:id="4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630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Senior Executive Vice President and Chief Financial Officer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ectPr>
          <w:pgSz w:w="11900" w:h="16838" w:orient="portrait"/>
          <w:cols w:equalWidth="0" w:num="1">
            <w:col w:w="10920"/>
          </w:cols>
          <w:pgMar w:left="320" w:top="121" w:right="65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color w:val="auto"/>
        </w:rPr>
        <w:t>EMPLOYMENT AGREEMENT</w:t>
      </w:r>
    </w:p>
    <w:p>
      <w:pPr>
        <w:spacing w:after="0" w:line="8" w:lineRule="exact"/>
        <w:rPr>
          <w:sz w:val="20"/>
          <w:szCs w:val="20"/>
          <w:color w:val="auto"/>
        </w:rPr>
      </w:pPr>
    </w:p>
    <w:p>
      <w:pPr>
        <w:ind w:firstLine="648"/>
        <w:spacing w:after="0" w:line="256" w:lineRule="auto"/>
        <w:rPr>
          <w:sz w:val="20"/>
          <w:szCs w:val="20"/>
          <w:color w:val="auto"/>
        </w:rPr>
      </w:pPr>
      <w:r>
        <w:rPr>
          <w:rFonts w:ascii="Arial" w:cs="Arial" w:eastAsia="Arial" w:hAnsi="Arial"/>
          <w:sz w:val="21"/>
          <w:szCs w:val="21"/>
          <w:color w:val="auto"/>
        </w:rPr>
        <w:t>This Employment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dated as of September 11, 2023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Mistras Group,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Gennaro A. D’Alterio (“</w:t>
      </w:r>
      <w:r>
        <w:rPr>
          <w:rFonts w:ascii="Arial" w:cs="Arial" w:eastAsia="Arial" w:hAnsi="Arial"/>
          <w:sz w:val="21"/>
          <w:szCs w:val="21"/>
          <w:b w:val="1"/>
          <w:bCs w:val="1"/>
          <w:color w:val="auto"/>
        </w:rPr>
        <w:t>Executive</w:t>
      </w:r>
      <w:r>
        <w:rPr>
          <w:rFonts w:ascii="Arial" w:cs="Arial" w:eastAsia="Arial" w:hAnsi="Arial"/>
          <w:sz w:val="21"/>
          <w:szCs w:val="21"/>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Agreement sets forth the terms and conditions of the Company’s employment of Executive.</w:t>
      </w:r>
    </w:p>
    <w:p>
      <w:pPr>
        <w:spacing w:after="0" w:line="233"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the receipt and sufficiency of which are hereby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and intending to be legally bound hereby, the parties agree as follows:</w:t>
      </w:r>
    </w:p>
    <w:p>
      <w:pPr>
        <w:spacing w:after="0" w:line="203" w:lineRule="exact"/>
        <w:rPr>
          <w:sz w:val="20"/>
          <w:szCs w:val="20"/>
          <w:color w:val="auto"/>
        </w:rPr>
      </w:pPr>
    </w:p>
    <w:p>
      <w:pPr>
        <w:ind w:left="660" w:hanging="328"/>
        <w:spacing w:after="0" w:line="256"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The Company shall employ Executive and Executive shall be employed by the Company upon the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set forth in this Agreement.</w:t>
      </w:r>
    </w:p>
    <w:p>
      <w:pPr>
        <w:spacing w:after="0" w:line="189"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Executive’s employment pursuant to this Agreement will commence on the Effective Date and will continue until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terminated in accordance with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hereof.</w:t>
      </w:r>
    </w:p>
    <w:p>
      <w:pPr>
        <w:spacing w:after="0" w:line="18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Position and Duties; Full Time Commitment</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1300" w:hanging="320"/>
        <w:spacing w:after="0" w:line="232" w:lineRule="auto"/>
        <w:tabs>
          <w:tab w:leader="none" w:pos="1288" w:val="left"/>
        </w:tabs>
        <w:numPr>
          <w:ilvl w:val="1"/>
          <w:numId w:val="14"/>
        </w:numPr>
        <w:rPr>
          <w:rFonts w:ascii="Arial" w:cs="Arial" w:eastAsia="Arial" w:hAnsi="Arial"/>
          <w:sz w:val="22"/>
          <w:szCs w:val="22"/>
          <w:color w:val="auto"/>
        </w:rPr>
      </w:pPr>
      <w:r>
        <w:rPr>
          <w:rFonts w:ascii="Arial" w:cs="Arial" w:eastAsia="Arial" w:hAnsi="Arial"/>
          <w:sz w:val="22"/>
          <w:szCs w:val="22"/>
          <w:color w:val="auto"/>
        </w:rPr>
        <w:t xml:space="preserve">Executive shall serve as the Executive Vice President and Chief Commercial Officer of the Company, and in this position, Executive will report to, and be subject to the control and direction of, the Company’s Senior Executive Vice President and Chief Financial Officer and carry out such duties and responsibilities as are customarily performed by persons in Executive’s position within the industry and such other duties and responsibilities as the Company may reasonably assign to him from time to time.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sets forth some of those duties and responsibilities that the Company currently expects Executive to perform, subject to the Company’s reservation of the right to reasonably change these duties and responsibilities or to reasonably assign to Executive other duties and responsibilities, as well as some of the key expectations of the Company in its hiring of Executive.</w:t>
      </w:r>
    </w:p>
    <w:p>
      <w:pPr>
        <w:spacing w:after="0" w:line="215" w:lineRule="exact"/>
        <w:rPr>
          <w:rFonts w:ascii="Arial" w:cs="Arial" w:eastAsia="Arial" w:hAnsi="Arial"/>
          <w:sz w:val="22"/>
          <w:szCs w:val="22"/>
          <w:color w:val="auto"/>
        </w:rPr>
      </w:pPr>
    </w:p>
    <w:p>
      <w:pPr>
        <w:jc w:val="both"/>
        <w:ind w:left="1300" w:hanging="320"/>
        <w:spacing w:after="0" w:line="252" w:lineRule="auto"/>
        <w:tabs>
          <w:tab w:leader="none" w:pos="1300" w:val="left"/>
        </w:tabs>
        <w:numPr>
          <w:ilvl w:val="1"/>
          <w:numId w:val="14"/>
        </w:numPr>
        <w:rPr>
          <w:rFonts w:ascii="Arial" w:cs="Arial" w:eastAsia="Arial" w:hAnsi="Arial"/>
          <w:sz w:val="21"/>
          <w:szCs w:val="21"/>
          <w:color w:val="auto"/>
        </w:rPr>
      </w:pPr>
      <w:r>
        <w:rPr>
          <w:rFonts w:ascii="Arial" w:cs="Arial" w:eastAsia="Arial" w:hAnsi="Arial"/>
          <w:sz w:val="21"/>
          <w:szCs w:val="21"/>
          <w:color w:val="auto"/>
        </w:rPr>
        <w:t>Executive agrees to devote his full business time and best efforts to the performance of his duties and responsibilities hereunder and in furtherance of the Company’s interests and will not engage in any other employment, consulting or business services; provided that Executive may engage in charitable activities so long as such activities do not interfere with the performance of his duties and responsibilities hereunder.</w:t>
      </w:r>
    </w:p>
    <w:p>
      <w:pPr>
        <w:spacing w:after="0" w:line="194" w:lineRule="exact"/>
        <w:rPr>
          <w:rFonts w:ascii="Arial" w:cs="Arial" w:eastAsia="Arial" w:hAnsi="Arial"/>
          <w:sz w:val="21"/>
          <w:szCs w:val="21"/>
          <w:color w:val="auto"/>
        </w:rPr>
      </w:pPr>
    </w:p>
    <w:p>
      <w:pPr>
        <w:jc w:val="both"/>
        <w:ind w:left="660" w:hanging="328"/>
        <w:spacing w:after="0" w:line="238"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 Policies</w:t>
      </w:r>
      <w:r>
        <w:rPr>
          <w:rFonts w:ascii="Arial" w:cs="Arial" w:eastAsia="Arial" w:hAnsi="Arial"/>
          <w:sz w:val="22"/>
          <w:szCs w:val="22"/>
          <w:color w:val="auto"/>
        </w:rPr>
        <w:t>. Executive will comply with all policies of the Company in effect from time to time,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limitation) policies regarding ethics, personal conduct, stock ownership, securities trading, compensation clawbacks and hedging and pledging of securities.</w:t>
      </w:r>
    </w:p>
    <w:p>
      <w:pPr>
        <w:sectPr>
          <w:pgSz w:w="11900" w:h="16838" w:orient="portrait"/>
          <w:cols w:equalWidth="0" w:num="1">
            <w:col w:w="11240"/>
          </w:cols>
          <w:pgMar w:left="320" w:top="1414" w:right="339" w:bottom="1440" w:gutter="0" w:footer="0" w:header="0"/>
        </w:sectPr>
      </w:pPr>
    </w:p>
    <w:bookmarkStart w:id="45" w:name="page46"/>
    <w:bookmarkEnd w:id="45"/>
    <w:p>
      <w:pPr>
        <w:jc w:val="both"/>
        <w:ind w:left="328" w:hanging="328"/>
        <w:spacing w:after="0" w:line="243" w:lineRule="auto"/>
        <w:tabs>
          <w:tab w:leader="none" w:pos="32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Place of Performance</w:t>
      </w:r>
      <w:r>
        <w:rPr>
          <w:rFonts w:ascii="Arial" w:cs="Arial" w:eastAsia="Arial" w:hAnsi="Arial"/>
          <w:sz w:val="22"/>
          <w:szCs w:val="22"/>
          <w:color w:val="auto"/>
        </w:rPr>
        <w:t>. Executive’s principal place of employment will be at the Company’s offices in Princeton</w:t>
      </w:r>
      <w:r>
        <w:rPr>
          <w:rFonts w:ascii="Arial" w:cs="Arial" w:eastAsia="Arial" w:hAnsi="Arial"/>
          <w:sz w:val="22"/>
          <w:szCs w:val="22"/>
          <w:b w:val="1"/>
          <w:bCs w:val="1"/>
          <w:color w:val="auto"/>
        </w:rPr>
        <w:t xml:space="preserve"> </w:t>
      </w:r>
      <w:r>
        <w:rPr>
          <w:rFonts w:ascii="Arial" w:cs="Arial" w:eastAsia="Arial" w:hAnsi="Arial"/>
          <w:sz w:val="22"/>
          <w:szCs w:val="22"/>
          <w:color w:val="auto"/>
        </w:rPr>
        <w:t>Junction, New Jersey; provided, however, that Executive will be required to travel from time to time for business purposes.</w:t>
      </w:r>
    </w:p>
    <w:p>
      <w:pPr>
        <w:spacing w:after="0" w:line="203" w:lineRule="exact"/>
        <w:rPr>
          <w:rFonts w:ascii="Arial" w:cs="Arial" w:eastAsia="Arial" w:hAnsi="Arial"/>
          <w:sz w:val="22"/>
          <w:szCs w:val="22"/>
          <w:color w:val="auto"/>
        </w:rPr>
      </w:pPr>
    </w:p>
    <w:p>
      <w:pPr>
        <w:jc w:val="both"/>
        <w:ind w:left="328" w:hanging="328"/>
        <w:spacing w:after="0" w:line="247" w:lineRule="auto"/>
        <w:tabs>
          <w:tab w:leader="none" w:pos="328" w:val="left"/>
        </w:tabs>
        <w:numPr>
          <w:ilvl w:val="0"/>
          <w:numId w:val="15"/>
        </w:numPr>
        <w:rPr>
          <w:rFonts w:ascii="Arial" w:cs="Arial" w:eastAsia="Arial" w:hAnsi="Arial"/>
          <w:sz w:val="21"/>
          <w:szCs w:val="21"/>
          <w:color w:val="auto"/>
        </w:rPr>
      </w:pPr>
      <w:r>
        <w:rPr>
          <w:rFonts w:ascii="Arial" w:cs="Arial" w:eastAsia="Arial" w:hAnsi="Arial"/>
          <w:sz w:val="21"/>
          <w:szCs w:val="21"/>
          <w:b w:val="1"/>
          <w:bCs w:val="1"/>
          <w:u w:val="single" w:color="auto"/>
          <w:color w:val="auto"/>
        </w:rPr>
        <w:t>Salary</w:t>
      </w:r>
      <w:r>
        <w:rPr>
          <w:rFonts w:ascii="Arial" w:cs="Arial" w:eastAsia="Arial" w:hAnsi="Arial"/>
          <w:sz w:val="21"/>
          <w:szCs w:val="21"/>
          <w:color w:val="auto"/>
        </w:rPr>
        <w:t>. Executive’s position with the Company is a full-time exempt position. The Company will pay Executive a salary</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Base Salary</w:t>
      </w:r>
      <w:r>
        <w:rPr>
          <w:rFonts w:ascii="Arial" w:cs="Arial" w:eastAsia="Arial" w:hAnsi="Arial"/>
          <w:sz w:val="21"/>
          <w:szCs w:val="21"/>
          <w:color w:val="auto"/>
        </w:rPr>
        <w:t>”) at an initial annual rate of $380,000, payable in accordance with the Company’s standard payroll schedule and subject to applicable deductions and withholdings. The amount of the Base Salary shall be reviewed on an annual basis by the Company in conjunction with an annual performance assessment of Executive and may be increased or decreased from time to time by the Company</w:t>
      </w:r>
    </w:p>
    <w:p>
      <w:pPr>
        <w:spacing w:after="0" w:line="201" w:lineRule="exact"/>
        <w:rPr>
          <w:rFonts w:ascii="Arial" w:cs="Arial" w:eastAsia="Arial" w:hAnsi="Arial"/>
          <w:sz w:val="21"/>
          <w:szCs w:val="21"/>
          <w:color w:val="auto"/>
        </w:rPr>
      </w:pPr>
    </w:p>
    <w:p>
      <w:pPr>
        <w:ind w:left="328" w:hanging="328"/>
        <w:spacing w:after="0"/>
        <w:tabs>
          <w:tab w:leader="none" w:pos="328"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Incentive Awards</w:t>
      </w:r>
      <w:r>
        <w:rPr>
          <w:rFonts w:ascii="Arial" w:cs="Arial" w:eastAsia="Arial" w:hAnsi="Arial"/>
          <w:sz w:val="22"/>
          <w:szCs w:val="22"/>
          <w:color w:val="auto"/>
        </w:rPr>
        <w:t>.</w:t>
      </w:r>
    </w:p>
    <w:p>
      <w:pPr>
        <w:spacing w:after="0" w:line="14" w:lineRule="exact"/>
        <w:rPr>
          <w:rFonts w:ascii="Arial" w:cs="Arial" w:eastAsia="Arial" w:hAnsi="Arial"/>
          <w:sz w:val="22"/>
          <w:szCs w:val="22"/>
          <w:color w:val="auto"/>
        </w:rPr>
      </w:pPr>
    </w:p>
    <w:p>
      <w:pPr>
        <w:jc w:val="both"/>
        <w:ind w:left="968" w:hanging="320"/>
        <w:spacing w:after="0" w:line="269" w:lineRule="auto"/>
        <w:tabs>
          <w:tab w:leader="none" w:pos="956" w:val="left"/>
        </w:tabs>
        <w:numPr>
          <w:ilvl w:val="1"/>
          <w:numId w:val="15"/>
        </w:numPr>
        <w:rPr>
          <w:rFonts w:ascii="Arial" w:cs="Arial" w:eastAsia="Arial" w:hAnsi="Arial"/>
          <w:sz w:val="19"/>
          <w:szCs w:val="19"/>
          <w:color w:val="auto"/>
        </w:rPr>
      </w:pPr>
      <w:r>
        <w:rPr>
          <w:rFonts w:ascii="Arial" w:cs="Arial" w:eastAsia="Arial" w:hAnsi="Arial"/>
          <w:sz w:val="19"/>
          <w:szCs w:val="19"/>
          <w:color w:val="auto"/>
        </w:rPr>
        <w:t>For each calendar year (other than calendar year 2023) during his employment, Executive will have the opportunity to earn an annual incentive award under the Company’s “Executive annual incentive plan” (sometimes referred to as the “Executive annual bonus plan”) applicable to senior executives generally, with Executive’s annual incentive target opportunity amount (and range of potential payouts, if any) for each calendar year (other than calendar year 2023) to be set by the Company and to be dependent upon the extent to which performance targets established by the Company are or are not achieved for such year. Any annual incentive award that is earned by Executive will be payable consistent with the Company’s regular payroll practices applicable to annual incentive awards for senior executives generally. The Company expects that Executive’s annual incentive award opportunity for calendar year 2024 may include performance targets tied to revenue and new business generation. Except as otherwise provided herein or determined by the Company, payment of any otherwise earned annual incentive award will be conditioned on Executive’s continued employment through the date that annual incentive awards are paid to senior executives generally with respect to the applicable year.</w:t>
      </w:r>
    </w:p>
    <w:p>
      <w:pPr>
        <w:spacing w:after="0" w:line="188" w:lineRule="exact"/>
        <w:rPr>
          <w:rFonts w:ascii="Arial" w:cs="Arial" w:eastAsia="Arial" w:hAnsi="Arial"/>
          <w:sz w:val="19"/>
          <w:szCs w:val="19"/>
          <w:color w:val="auto"/>
        </w:rPr>
      </w:pPr>
    </w:p>
    <w:p>
      <w:pPr>
        <w:jc w:val="both"/>
        <w:ind w:left="968" w:hanging="320"/>
        <w:spacing w:after="0" w:line="271" w:lineRule="auto"/>
        <w:tabs>
          <w:tab w:leader="none" w:pos="968"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For calendar year 2023, Executive will have the opportunity to earn an annual incentive award under the Company’s previously established “Executive annual incentive plan” (sometimes, as noted above, referred to as the “Executive annual bonus plan”) applicable to senior executives generally for calendar year 2023, but with the amount of amount of any payment on account thereof to be pro-rated and computed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the target amount (prior to the following proration) shall be equal to 50% of the Base Salary (and with the actual award amount (the “nominal amount”), if any and prior to the following proration, ranging from 0 to 200% of the target amount, depending upon the extent to which performance targets previously established by the Company under the annual incentive plan for calendar year 2023 are or are not achieved, and with the weightings among such performance targets applied in the same manner for Executive); and </w:t>
      </w:r>
      <w:r>
        <w:rPr>
          <w:rFonts w:ascii="Arial" w:cs="Arial" w:eastAsia="Arial" w:hAnsi="Arial"/>
          <w:sz w:val="19"/>
          <w:szCs w:val="19"/>
          <w:i w:val="1"/>
          <w:iCs w:val="1"/>
          <w:color w:val="auto"/>
        </w:rPr>
        <w:t>second</w:t>
      </w:r>
      <w:r>
        <w:rPr>
          <w:rFonts w:ascii="Arial" w:cs="Arial" w:eastAsia="Arial" w:hAnsi="Arial"/>
          <w:sz w:val="19"/>
          <w:szCs w:val="19"/>
          <w:color w:val="auto"/>
        </w:rPr>
        <w:t>, the actual payment amount, if any, shall be pro-rated to equal the product of the nominal amount multiplied by a fraction the numerator of which is the number of days from and including the Effective Date to and including December 31, 2023 and the denominator of which is three hundred sixty-five (365).</w:t>
      </w:r>
    </w:p>
    <w:p>
      <w:pPr>
        <w:sectPr>
          <w:pgSz w:w="11900" w:h="16838" w:orient="portrait"/>
          <w:cols w:equalWidth="0" w:num="1">
            <w:col w:w="10908"/>
          </w:cols>
          <w:pgMar w:left="652" w:top="1408" w:right="339" w:bottom="1440" w:gutter="0" w:footer="0" w:header="0"/>
        </w:sectPr>
      </w:pPr>
    </w:p>
    <w:bookmarkStart w:id="46" w:name="page47"/>
    <w:bookmarkEnd w:id="46"/>
    <w:p>
      <w:pPr>
        <w:ind w:left="328" w:hanging="328"/>
        <w:spacing w:after="0"/>
        <w:tabs>
          <w:tab w:leader="none" w:pos="328"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Long-Term Equity Incentive Grants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968" w:hanging="320"/>
        <w:spacing w:after="0" w:line="244" w:lineRule="auto"/>
        <w:tabs>
          <w:tab w:leader="none" w:pos="956" w:val="left"/>
        </w:tabs>
        <w:numPr>
          <w:ilvl w:val="1"/>
          <w:numId w:val="16"/>
        </w:numPr>
        <w:rPr>
          <w:rFonts w:ascii="Arial" w:cs="Arial" w:eastAsia="Arial" w:hAnsi="Arial"/>
          <w:sz w:val="21"/>
          <w:szCs w:val="21"/>
          <w:color w:val="auto"/>
        </w:rPr>
      </w:pPr>
      <w:r>
        <w:rPr>
          <w:rFonts w:ascii="Arial" w:cs="Arial" w:eastAsia="Arial" w:hAnsi="Arial"/>
          <w:sz w:val="21"/>
          <w:szCs w:val="21"/>
          <w:color w:val="auto"/>
        </w:rPr>
        <w:t>Reference is hereby made to hereby to the Company’s 2016 Long-Term Incentive Plan (as amended from time to time, the “</w:t>
      </w:r>
      <w:r>
        <w:rPr>
          <w:rFonts w:ascii="Arial" w:cs="Arial" w:eastAsia="Arial" w:hAnsi="Arial"/>
          <w:sz w:val="21"/>
          <w:szCs w:val="21"/>
          <w:b w:val="1"/>
          <w:bCs w:val="1"/>
          <w:color w:val="auto"/>
        </w:rPr>
        <w:t>LTIP</w:t>
      </w:r>
      <w:r>
        <w:rPr>
          <w:rFonts w:ascii="Arial" w:cs="Arial" w:eastAsia="Arial" w:hAnsi="Arial"/>
          <w:sz w:val="21"/>
          <w:szCs w:val="21"/>
          <w:color w:val="auto"/>
        </w:rPr>
        <w:t>”). On the Effective Date, Executive shall be granted, on a one-time basis, Restricted Stock Units (as defined in the LTIP) that represents the right to receive up to ten thousand (10,000) Shares (as defined in the LTIP) in the future (collectively, the “</w:t>
      </w:r>
      <w:r>
        <w:rPr>
          <w:rFonts w:ascii="Arial" w:cs="Arial" w:eastAsia="Arial" w:hAnsi="Arial"/>
          <w:sz w:val="21"/>
          <w:szCs w:val="21"/>
          <w:b w:val="1"/>
          <w:bCs w:val="1"/>
          <w:color w:val="auto"/>
        </w:rPr>
        <w:t>Initial RSUs</w:t>
      </w:r>
      <w:r>
        <w:rPr>
          <w:rFonts w:ascii="Arial" w:cs="Arial" w:eastAsia="Arial" w:hAnsi="Arial"/>
          <w:sz w:val="21"/>
          <w:szCs w:val="21"/>
          <w:color w:val="auto"/>
        </w:rPr>
        <w:t xml:space="preserve">”), provided that the Initial RSUs shall vest in three (3) equal installments on each of the first three anniversary dates of the Effective Date, conditioned upon the continued employment of Executive on such vesting dates and except as otherwise provided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below. Except as provided for in this </w:t>
      </w:r>
      <w:r>
        <w:rPr>
          <w:rFonts w:ascii="Arial" w:cs="Arial" w:eastAsia="Arial" w:hAnsi="Arial"/>
          <w:sz w:val="21"/>
          <w:szCs w:val="21"/>
          <w:u w:val="single" w:color="auto"/>
          <w:color w:val="auto"/>
        </w:rPr>
        <w:t>Section 8(a)</w:t>
      </w:r>
      <w:r>
        <w:rPr>
          <w:rFonts w:ascii="Arial" w:cs="Arial" w:eastAsia="Arial" w:hAnsi="Arial"/>
          <w:sz w:val="21"/>
          <w:szCs w:val="21"/>
          <w:color w:val="auto"/>
        </w:rPr>
        <w:t xml:space="preserve"> and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below, the Initial RSUs shall be subject to the terms of the LTIP, including Article 6 and Article 9 thereof.</w:t>
      </w:r>
    </w:p>
    <w:p>
      <w:pPr>
        <w:spacing w:after="0" w:line="209" w:lineRule="exact"/>
        <w:rPr>
          <w:rFonts w:ascii="Arial" w:cs="Arial" w:eastAsia="Arial" w:hAnsi="Arial"/>
          <w:sz w:val="21"/>
          <w:szCs w:val="21"/>
          <w:color w:val="auto"/>
        </w:rPr>
      </w:pPr>
    </w:p>
    <w:p>
      <w:pPr>
        <w:jc w:val="both"/>
        <w:ind w:left="968" w:hanging="320"/>
        <w:spacing w:after="0" w:line="275" w:lineRule="auto"/>
        <w:tabs>
          <w:tab w:leader="none" w:pos="968" w:val="left"/>
        </w:tabs>
        <w:numPr>
          <w:ilvl w:val="1"/>
          <w:numId w:val="16"/>
        </w:numPr>
        <w:rPr>
          <w:rFonts w:ascii="Arial" w:cs="Arial" w:eastAsia="Arial" w:hAnsi="Arial"/>
          <w:sz w:val="19"/>
          <w:szCs w:val="19"/>
          <w:color w:val="auto"/>
        </w:rPr>
      </w:pPr>
      <w:r>
        <w:rPr>
          <w:rFonts w:ascii="Arial" w:cs="Arial" w:eastAsia="Arial" w:hAnsi="Arial"/>
          <w:sz w:val="19"/>
          <w:szCs w:val="19"/>
          <w:color w:val="auto"/>
        </w:rPr>
        <w:t>For each calendar year (other than calendar year 2023) during his employment, Executive will be eligible to receive a grant of performance-based equity, which, as of the Effective Date, is contemplated to be in the form of Restricted Stock Unit Awards (“</w:t>
      </w:r>
      <w:r>
        <w:rPr>
          <w:rFonts w:ascii="Arial" w:cs="Arial" w:eastAsia="Arial" w:hAnsi="Arial"/>
          <w:sz w:val="19"/>
          <w:szCs w:val="19"/>
          <w:b w:val="1"/>
          <w:bCs w:val="1"/>
          <w:color w:val="auto"/>
        </w:rPr>
        <w:t>Performance-Based RSUs</w:t>
      </w:r>
      <w:r>
        <w:rPr>
          <w:rFonts w:ascii="Arial" w:cs="Arial" w:eastAsia="Arial" w:hAnsi="Arial"/>
          <w:sz w:val="19"/>
          <w:szCs w:val="19"/>
          <w:color w:val="auto"/>
        </w:rPr>
        <w:t>”) under the LTIP or a successor plan. Executive’s performance-based target equity opportunity amount (and range of potential payouts, if any) for each calendar year (other than calendar year 2023) will be set by the Company and will be dependent upon the extent to which performance targets established by the Company are or are not achieved for such year. The Company expects that Executive’s performance-based equity in the form of Performance-Based RSUs for calendar year 2024 may include performance targets tied to revenue and new business generation.</w:t>
      </w:r>
    </w:p>
    <w:p>
      <w:pPr>
        <w:spacing w:after="0" w:line="170" w:lineRule="exact"/>
        <w:rPr>
          <w:rFonts w:ascii="Arial" w:cs="Arial" w:eastAsia="Arial" w:hAnsi="Arial"/>
          <w:sz w:val="19"/>
          <w:szCs w:val="19"/>
          <w:color w:val="auto"/>
        </w:rPr>
      </w:pPr>
    </w:p>
    <w:p>
      <w:pPr>
        <w:jc w:val="both"/>
        <w:ind w:left="968" w:hanging="320"/>
        <w:spacing w:after="0" w:line="270" w:lineRule="auto"/>
        <w:tabs>
          <w:tab w:leader="none" w:pos="956"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For calendar year 2023, Executive will be eligible to receive a number of performance-based Restricted Stock Units under the LTIP as follows: </w:t>
      </w:r>
      <w:r>
        <w:rPr>
          <w:rFonts w:ascii="Arial" w:cs="Arial" w:eastAsia="Arial" w:hAnsi="Arial"/>
          <w:sz w:val="19"/>
          <w:szCs w:val="19"/>
          <w:i w:val="1"/>
          <w:iCs w:val="1"/>
          <w:color w:val="auto"/>
        </w:rPr>
        <w:t>first</w:t>
      </w:r>
      <w:r>
        <w:rPr>
          <w:rFonts w:ascii="Arial" w:cs="Arial" w:eastAsia="Arial" w:hAnsi="Arial"/>
          <w:sz w:val="19"/>
          <w:szCs w:val="19"/>
          <w:color w:val="auto"/>
        </w:rPr>
        <w:t>, any issuance of Restricted Stock Units to Executive for calendar year 2023 (“</w:t>
      </w:r>
      <w:r>
        <w:rPr>
          <w:rFonts w:ascii="Arial" w:cs="Arial" w:eastAsia="Arial" w:hAnsi="Arial"/>
          <w:sz w:val="19"/>
          <w:szCs w:val="19"/>
          <w:b w:val="1"/>
          <w:bCs w:val="1"/>
          <w:color w:val="auto"/>
        </w:rPr>
        <w:t>2023 RSUs</w:t>
      </w:r>
      <w:r>
        <w:rPr>
          <w:rFonts w:ascii="Arial" w:cs="Arial" w:eastAsia="Arial" w:hAnsi="Arial"/>
          <w:sz w:val="19"/>
          <w:szCs w:val="19"/>
          <w:color w:val="auto"/>
        </w:rPr>
        <w:t xml:space="preserve">”) will be contingent upon, and a direct function of, the extent to which the previously established performance targets applicable to performance-based equity for senior executives generally for calendar year 2023 are or are not achieved (and with the weightings among such performance targets applied in the same manner for Executive);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the target dollar amount of the 2023 RSUs (prior to the following proration) shall be equal to 80% of the Base Salary (and with the actual award amount, if any and prior to proration, ranging from 0 to 200% of the target dollar amount, depending upon the extent to which such previously established performance targets for calendar year 2023 are or are not achieved); </w:t>
      </w:r>
      <w:r>
        <w:rPr>
          <w:rFonts w:ascii="Arial" w:cs="Arial" w:eastAsia="Arial" w:hAnsi="Arial"/>
          <w:sz w:val="19"/>
          <w:szCs w:val="19"/>
          <w:i w:val="1"/>
          <w:iCs w:val="1"/>
          <w:color w:val="auto"/>
        </w:rPr>
        <w:t>third</w:t>
      </w:r>
      <w:r>
        <w:rPr>
          <w:rFonts w:ascii="Arial" w:cs="Arial" w:eastAsia="Arial" w:hAnsi="Arial"/>
          <w:sz w:val="19"/>
          <w:szCs w:val="19"/>
          <w:color w:val="auto"/>
        </w:rPr>
        <w:t xml:space="preserve">, the actual award amount (the “nominal amount”), if any, shall be pro-rated to equal the product of the nominal amount multiplied by a fraction the numerator of which is the number of days from and including the Effective Date to and including December 31, 2023 and the denominator of which is three hundred sixty-five (365); and </w:t>
      </w:r>
      <w:r>
        <w:rPr>
          <w:rFonts w:ascii="Arial" w:cs="Arial" w:eastAsia="Arial" w:hAnsi="Arial"/>
          <w:sz w:val="19"/>
          <w:szCs w:val="19"/>
          <w:i w:val="1"/>
          <w:iCs w:val="1"/>
          <w:color w:val="auto"/>
        </w:rPr>
        <w:t>fourth</w:t>
      </w:r>
      <w:r>
        <w:rPr>
          <w:rFonts w:ascii="Arial" w:cs="Arial" w:eastAsia="Arial" w:hAnsi="Arial"/>
          <w:sz w:val="19"/>
          <w:szCs w:val="19"/>
          <w:color w:val="auto"/>
        </w:rPr>
        <w:t>, the resulting dollar amount shall be converted into a number of earned 2023 RSUs using the Company’s valuation methodology for conversions generally applicable to other senior executives.</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968" w:hanging="320"/>
        <w:spacing w:after="0" w:line="250" w:lineRule="auto"/>
        <w:tabs>
          <w:tab w:leader="none" w:pos="968" w:val="left"/>
        </w:tabs>
        <w:numPr>
          <w:ilvl w:val="1"/>
          <w:numId w:val="16"/>
        </w:numPr>
        <w:rPr>
          <w:rFonts w:ascii="Arial" w:cs="Arial" w:eastAsia="Arial" w:hAnsi="Arial"/>
          <w:sz w:val="22"/>
          <w:szCs w:val="22"/>
          <w:color w:val="auto"/>
        </w:rPr>
      </w:pPr>
      <w:r>
        <w:rPr>
          <w:rFonts w:ascii="Arial" w:cs="Arial" w:eastAsia="Arial" w:hAnsi="Arial"/>
          <w:sz w:val="22"/>
          <w:szCs w:val="22"/>
          <w:color w:val="auto"/>
        </w:rPr>
        <w:t>Any earned 2023 RSUs shall vest in four equal installments on each of the first four anniversary dates of the Earned Date (as defined below), subject to the</w:t>
      </w:r>
    </w:p>
    <w:p>
      <w:pPr>
        <w:sectPr>
          <w:pgSz w:w="11900" w:h="16838" w:orient="portrait"/>
          <w:cols w:equalWidth="0" w:num="1">
            <w:col w:w="10908"/>
          </w:cols>
          <w:pgMar w:left="652" w:top="1408" w:right="339" w:bottom="1440" w:gutter="0" w:footer="0" w:header="0"/>
        </w:sectPr>
      </w:pPr>
    </w:p>
    <w:bookmarkStart w:id="47" w:name="page48"/>
    <w:bookmarkEnd w:id="47"/>
    <w:p>
      <w:pPr>
        <w:jc w:val="both"/>
        <w:ind w:left="968"/>
        <w:spacing w:after="0" w:line="282" w:lineRule="auto"/>
        <w:rPr>
          <w:sz w:val="20"/>
          <w:szCs w:val="20"/>
          <w:color w:val="auto"/>
        </w:rPr>
      </w:pPr>
      <w:r>
        <w:rPr>
          <w:rFonts w:ascii="Arial" w:cs="Arial" w:eastAsia="Arial" w:hAnsi="Arial"/>
          <w:sz w:val="19"/>
          <w:szCs w:val="19"/>
          <w:color w:val="auto"/>
        </w:rPr>
        <w:t xml:space="preserve">continued employment of Executive on such vesting dates and except as otherwise provided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the LTIP. Except as provided for in this </w:t>
      </w:r>
      <w:r>
        <w:rPr>
          <w:rFonts w:ascii="Arial" w:cs="Arial" w:eastAsia="Arial" w:hAnsi="Arial"/>
          <w:sz w:val="19"/>
          <w:szCs w:val="19"/>
          <w:u w:val="single" w:color="auto"/>
          <w:color w:val="auto"/>
        </w:rPr>
        <w:t>Section 8(d)</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below, the Performance-Based RSUs and 2023 RSUs shall be subject to the terms of the LTIP, including Article 6 and Article 9 thereof. The “</w:t>
      </w:r>
      <w:r>
        <w:rPr>
          <w:rFonts w:ascii="Arial" w:cs="Arial" w:eastAsia="Arial" w:hAnsi="Arial"/>
          <w:sz w:val="19"/>
          <w:szCs w:val="19"/>
          <w:b w:val="1"/>
          <w:bCs w:val="1"/>
          <w:color w:val="auto"/>
        </w:rPr>
        <w:t>Earned Date</w:t>
      </w:r>
      <w:r>
        <w:rPr>
          <w:rFonts w:ascii="Arial" w:cs="Arial" w:eastAsia="Arial" w:hAnsi="Arial"/>
          <w:sz w:val="19"/>
          <w:szCs w:val="19"/>
          <w:color w:val="auto"/>
        </w:rPr>
        <w:t>” in respect of Performance-Based RSUs and 2023 RSUs, as applicable, shall be the date on which the Committee (as defined in the LTIP) or its designee has determined the achievement levels in respect thereof.</w:t>
      </w:r>
    </w:p>
    <w:p>
      <w:pPr>
        <w:spacing w:after="0" w:line="174" w:lineRule="exact"/>
        <w:rPr>
          <w:sz w:val="20"/>
          <w:szCs w:val="20"/>
          <w:color w:val="auto"/>
        </w:rPr>
      </w:pPr>
    </w:p>
    <w:p>
      <w:pPr>
        <w:jc w:val="both"/>
        <w:ind w:left="968" w:hanging="320"/>
        <w:spacing w:after="0" w:line="236" w:lineRule="auto"/>
        <w:tabs>
          <w:tab w:leader="none" w:pos="956" w:val="left"/>
        </w:tabs>
        <w:numPr>
          <w:ilvl w:val="1"/>
          <w:numId w:val="17"/>
        </w:numPr>
        <w:rPr>
          <w:rFonts w:ascii="Arial" w:cs="Arial" w:eastAsia="Arial" w:hAnsi="Arial"/>
          <w:sz w:val="22"/>
          <w:szCs w:val="22"/>
          <w:color w:val="auto"/>
        </w:rPr>
      </w:pPr>
      <w:r>
        <w:rPr>
          <w:rFonts w:ascii="Arial" w:cs="Arial" w:eastAsia="Arial" w:hAnsi="Arial"/>
          <w:sz w:val="22"/>
          <w:szCs w:val="22"/>
          <w:color w:val="auto"/>
        </w:rPr>
        <w:t>Each equity award described herein will be subject to additional terms and conditions, not inconsistent with this Agreement, as specified by the administrator of the applicable equity plan and memorialized in a separate award agreement.</w:t>
      </w:r>
    </w:p>
    <w:p>
      <w:pPr>
        <w:spacing w:after="0" w:line="206" w:lineRule="exact"/>
        <w:rPr>
          <w:rFonts w:ascii="Arial" w:cs="Arial" w:eastAsia="Arial" w:hAnsi="Arial"/>
          <w:sz w:val="22"/>
          <w:szCs w:val="22"/>
          <w:color w:val="auto"/>
        </w:rPr>
      </w:pPr>
    </w:p>
    <w:p>
      <w:pPr>
        <w:ind w:left="328" w:hanging="328"/>
        <w:spacing w:after="0"/>
        <w:tabs>
          <w:tab w:leader="none" w:pos="328" w:val="left"/>
        </w:tabs>
        <w:numPr>
          <w:ilvl w:val="0"/>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 Business Expenses</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968" w:hanging="320"/>
        <w:spacing w:after="0" w:line="243" w:lineRule="auto"/>
        <w:tabs>
          <w:tab w:leader="none" w:pos="956" w:val="left"/>
        </w:tabs>
        <w:numPr>
          <w:ilvl w:val="1"/>
          <w:numId w:val="18"/>
        </w:numPr>
        <w:rPr>
          <w:rFonts w:ascii="Arial" w:cs="Arial" w:eastAsia="Arial" w:hAnsi="Arial"/>
          <w:sz w:val="21"/>
          <w:szCs w:val="21"/>
          <w:color w:val="auto"/>
        </w:rPr>
      </w:pPr>
      <w:r>
        <w:rPr>
          <w:rFonts w:ascii="Arial" w:cs="Arial" w:eastAsia="Arial" w:hAnsi="Arial"/>
          <w:sz w:val="21"/>
          <w:szCs w:val="21"/>
          <w:color w:val="auto"/>
        </w:rPr>
        <w:t>Executive shall be entitled to participate in Company benefit plans that are generally available to other employees of the Company of similar rank and tenure, in accordance with and subject to the terms and conditions of such plans, as in effect from time to time. These benefits include opportunities to enroll in the Company’s medical, dental, vision, supplemental life insurance and dependent life insurance plans. Moreover, on the first day of the month following three (3) months of continuous employment, Executive may elect to participate in the Company’s 401(k) Salary Savings plan. Executive will be eligible for vacation under the Paid Time Off Policy for other Company executives. In addition, as of the date of this Agreement, the Company offers eligible employees basic life insurance, accidental death and dismemberment (AD&amp;D) insurance, short-term and long-term disability insurance and identity theft protection at no additional cost.</w:t>
      </w:r>
    </w:p>
    <w:p>
      <w:pPr>
        <w:spacing w:after="0" w:line="216" w:lineRule="exact"/>
        <w:rPr>
          <w:rFonts w:ascii="Arial" w:cs="Arial" w:eastAsia="Arial" w:hAnsi="Arial"/>
          <w:sz w:val="21"/>
          <w:szCs w:val="21"/>
          <w:color w:val="auto"/>
        </w:rPr>
      </w:pPr>
    </w:p>
    <w:p>
      <w:pPr>
        <w:jc w:val="both"/>
        <w:ind w:left="968" w:hanging="320"/>
        <w:spacing w:after="0"/>
        <w:tabs>
          <w:tab w:leader="none" w:pos="968"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Company will pay or reimburse Executive for all reasonable business expenses incurred or paid by Executive in the performance of his duties and responsibilities for the Company in accordance with the expense reimbursement policies of the Company, as may be amended from time to time.</w:t>
      </w:r>
    </w:p>
    <w:p>
      <w:pPr>
        <w:spacing w:after="0" w:line="213" w:lineRule="exact"/>
        <w:rPr>
          <w:rFonts w:ascii="Arial" w:cs="Arial" w:eastAsia="Arial" w:hAnsi="Arial"/>
          <w:sz w:val="22"/>
          <w:szCs w:val="22"/>
          <w:color w:val="auto"/>
        </w:rPr>
      </w:pPr>
    </w:p>
    <w:p>
      <w:pPr>
        <w:jc w:val="both"/>
        <w:ind w:left="968" w:hanging="320"/>
        <w:spacing w:after="0" w:line="273" w:lineRule="auto"/>
        <w:tabs>
          <w:tab w:leader="none" w:pos="956" w:val="left"/>
        </w:tabs>
        <w:numPr>
          <w:ilvl w:val="1"/>
          <w:numId w:val="18"/>
        </w:numPr>
        <w:rPr>
          <w:rFonts w:ascii="Arial" w:cs="Arial" w:eastAsia="Arial" w:hAnsi="Arial"/>
          <w:sz w:val="19"/>
          <w:szCs w:val="19"/>
          <w:color w:val="auto"/>
        </w:rPr>
      </w:pPr>
      <w:r>
        <w:rPr>
          <w:rFonts w:ascii="Arial" w:cs="Arial" w:eastAsia="Arial" w:hAnsi="Arial"/>
          <w:sz w:val="19"/>
          <w:szCs w:val="19"/>
          <w:color w:val="auto"/>
        </w:rPr>
        <w:t xml:space="preserve">For each calendar year during his employment, Executive shall receive an annual vehicle allowance of $10,100, which shall be paid ratably in accordance with the Company’s standard payroll schedule and subject to applicable deductions and withholdings; provided that the annual vehicle allowance will be pro-rated for calendar year 2023. Executive acknowledges that (except for “excess business mileage” and parking and toll expenses incurred in business travel-related outside of normal commuting, which shall be reimbursable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9(b)</w:t>
      </w:r>
      <w:r>
        <w:rPr>
          <w:rFonts w:ascii="Arial" w:cs="Arial" w:eastAsia="Arial" w:hAnsi="Arial"/>
          <w:sz w:val="19"/>
          <w:szCs w:val="19"/>
          <w:color w:val="auto"/>
        </w:rPr>
        <w:t>) the annual vehicle allowance is inclusive of all fuel, insurance, maintenance and other costs and expenses associated with his acquisition (whether by lease or otherwise) and maintenance of his selected vehicle and that payments on account of the annual vehicle allowance may result in his receipt of additional taxable income.</w:t>
      </w:r>
    </w:p>
    <w:p>
      <w:pPr>
        <w:spacing w:after="0" w:line="185" w:lineRule="exact"/>
        <w:rPr>
          <w:rFonts w:ascii="Arial" w:cs="Arial" w:eastAsia="Arial" w:hAnsi="Arial"/>
          <w:sz w:val="19"/>
          <w:szCs w:val="19"/>
          <w:color w:val="auto"/>
        </w:rPr>
      </w:pPr>
    </w:p>
    <w:p>
      <w:pPr>
        <w:ind w:left="968" w:hanging="320"/>
        <w:spacing w:after="0" w:line="250" w:lineRule="auto"/>
        <w:tabs>
          <w:tab w:leader="none" w:pos="968"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Company will reimburse Executive for his out-of-pocket costs of continuing healthcare benefits with his prior employer under the Consolidated Omnibus</w:t>
      </w:r>
    </w:p>
    <w:p>
      <w:pPr>
        <w:sectPr>
          <w:pgSz w:w="11900" w:h="16838" w:orient="portrait"/>
          <w:cols w:equalWidth="0" w:num="1">
            <w:col w:w="10908"/>
          </w:cols>
          <w:pgMar w:left="652" w:top="1414" w:right="339" w:bottom="1440" w:gutter="0" w:footer="0" w:header="0"/>
        </w:sectPr>
      </w:pPr>
    </w:p>
    <w:bookmarkStart w:id="48" w:name="page49"/>
    <w:bookmarkEnd w:id="48"/>
    <w:p>
      <w:pPr>
        <w:jc w:val="both"/>
        <w:ind w:left="968"/>
        <w:spacing w:after="0" w:line="239" w:lineRule="auto"/>
        <w:rPr>
          <w:sz w:val="20"/>
          <w:szCs w:val="20"/>
          <w:color w:val="auto"/>
        </w:rPr>
      </w:pPr>
      <w:r>
        <w:rPr>
          <w:rFonts w:ascii="Arial" w:cs="Arial" w:eastAsia="Arial" w:hAnsi="Arial"/>
          <w:sz w:val="22"/>
          <w:szCs w:val="22"/>
          <w:color w:val="auto"/>
        </w:rPr>
        <w:t>Budget Reconciliation Act of 1985 (“</w:t>
      </w:r>
      <w:r>
        <w:rPr>
          <w:rFonts w:ascii="Arial" w:cs="Arial" w:eastAsia="Arial" w:hAnsi="Arial"/>
          <w:sz w:val="22"/>
          <w:szCs w:val="22"/>
          <w:b w:val="1"/>
          <w:bCs w:val="1"/>
          <w:color w:val="auto"/>
        </w:rPr>
        <w:t>COBRA</w:t>
      </w:r>
      <w:r>
        <w:rPr>
          <w:rFonts w:ascii="Arial" w:cs="Arial" w:eastAsia="Arial" w:hAnsi="Arial"/>
          <w:sz w:val="22"/>
          <w:szCs w:val="22"/>
          <w:color w:val="auto"/>
        </w:rPr>
        <w:t>”), less the amount Executive would contribute for healthcare benefits for comparable coverage under the Company’s plans, until Executive is eligible to enroll in the Company’s healthcare benefit plans, subject to his continued employment by the Company until the first day of the applicable month.</w:t>
      </w:r>
    </w:p>
    <w:p>
      <w:pPr>
        <w:spacing w:after="0" w:line="207" w:lineRule="exact"/>
        <w:rPr>
          <w:sz w:val="20"/>
          <w:szCs w:val="20"/>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968" w:hanging="320"/>
        <w:spacing w:after="0" w:line="273" w:lineRule="auto"/>
        <w:tabs>
          <w:tab w:leader="none" w:pos="956" w:val="left"/>
        </w:tabs>
        <w:numPr>
          <w:ilvl w:val="1"/>
          <w:numId w:val="19"/>
        </w:numPr>
        <w:rPr>
          <w:rFonts w:ascii="Arial" w:cs="Arial" w:eastAsia="Arial" w:hAnsi="Arial"/>
          <w:sz w:val="19"/>
          <w:szCs w:val="19"/>
          <w:color w:val="auto"/>
        </w:rPr>
      </w:pPr>
      <w:r>
        <w:rPr>
          <w:rFonts w:ascii="Arial" w:cs="Arial" w:eastAsia="Arial" w:hAnsi="Arial"/>
          <w:sz w:val="19"/>
          <w:szCs w:val="19"/>
          <w:color w:val="auto"/>
        </w:rPr>
        <w:t>Executive’s employment hereunder shall terminate on the earliest of: (i) on the date set forth in a written notice to Executive from the Company that Executive’s employment with the Company has been or will be terminated, (ii) on the date not less than 30 days following written notice from Executive to the Company that Executive is resigning from the Company, (iii) on the date of Executive’s death, or (iv) on the date set forth in a written notice to Executive from the Company that Executive’s employment is terminated on account of Executive’s Disability, as determined by the Company. Notwithstanding the foregoing, in the event that Executive gives notice of termination to the Company, the Company may unilaterally accelerate the date of termination and such acceleration shall not constitute a termination by the Company for purposes of this Agreement.</w:t>
      </w:r>
    </w:p>
    <w:p>
      <w:pPr>
        <w:spacing w:after="0" w:line="185" w:lineRule="exact"/>
        <w:rPr>
          <w:rFonts w:ascii="Arial" w:cs="Arial" w:eastAsia="Arial" w:hAnsi="Arial"/>
          <w:sz w:val="19"/>
          <w:szCs w:val="19"/>
          <w:color w:val="auto"/>
        </w:rPr>
      </w:pPr>
    </w:p>
    <w:p>
      <w:pPr>
        <w:jc w:val="both"/>
        <w:ind w:left="968" w:hanging="320"/>
        <w:spacing w:after="0" w:line="238" w:lineRule="auto"/>
        <w:tabs>
          <w:tab w:leader="none" w:pos="968" w:val="left"/>
        </w:tabs>
        <w:numPr>
          <w:ilvl w:val="1"/>
          <w:numId w:val="19"/>
        </w:numPr>
        <w:rPr>
          <w:rFonts w:ascii="Arial" w:cs="Arial" w:eastAsia="Arial" w:hAnsi="Arial"/>
          <w:sz w:val="22"/>
          <w:szCs w:val="22"/>
          <w:color w:val="auto"/>
        </w:rPr>
      </w:pPr>
      <w:r>
        <w:rPr>
          <w:rFonts w:ascii="Arial" w:cs="Arial" w:eastAsia="Arial" w:hAnsi="Arial"/>
          <w:sz w:val="22"/>
          <w:szCs w:val="22"/>
          <w:color w:val="auto"/>
        </w:rPr>
        <w:t>Upon cessation of Executive’s employment for any reason, unless otherwise consented to in writing by the Company, Executive will resign immediately from any and all officer, director and other positions Executive then holds with the Company and its affiliates and agrees to execute such documents as may be requested by the Company to confirm that resignation.</w:t>
      </w:r>
    </w:p>
    <w:p>
      <w:pPr>
        <w:spacing w:after="0" w:line="198" w:lineRule="exact"/>
        <w:rPr>
          <w:rFonts w:ascii="Arial" w:cs="Arial" w:eastAsia="Arial" w:hAnsi="Arial"/>
          <w:sz w:val="22"/>
          <w:szCs w:val="22"/>
          <w:color w:val="auto"/>
        </w:rPr>
      </w:pPr>
    </w:p>
    <w:p>
      <w:pPr>
        <w:ind w:left="968" w:hanging="320"/>
        <w:spacing w:after="0" w:line="250" w:lineRule="auto"/>
        <w:tabs>
          <w:tab w:leader="none" w:pos="956" w:val="left"/>
        </w:tabs>
        <w:numPr>
          <w:ilvl w:val="1"/>
          <w:numId w:val="19"/>
        </w:numPr>
        <w:rPr>
          <w:rFonts w:ascii="Arial" w:cs="Arial" w:eastAsia="Arial" w:hAnsi="Arial"/>
          <w:sz w:val="22"/>
          <w:szCs w:val="22"/>
          <w:color w:val="auto"/>
        </w:rPr>
      </w:pPr>
      <w:r>
        <w:rPr>
          <w:rFonts w:ascii="Arial" w:cs="Arial" w:eastAsia="Arial" w:hAnsi="Arial"/>
          <w:sz w:val="22"/>
          <w:szCs w:val="22"/>
          <w:color w:val="auto"/>
        </w:rPr>
        <w:t xml:space="preserve">Upon any cessation of Executive’s employment with the Company, Executive will be entitled only to such compensation and benefits as described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below.</w:t>
      </w:r>
    </w:p>
    <w:p>
      <w:pPr>
        <w:spacing w:after="0" w:line="201" w:lineRule="exact"/>
        <w:rPr>
          <w:rFonts w:ascii="Arial" w:cs="Arial" w:eastAsia="Arial" w:hAnsi="Arial"/>
          <w:sz w:val="22"/>
          <w:szCs w:val="22"/>
          <w:color w:val="auto"/>
        </w:rPr>
      </w:pPr>
    </w:p>
    <w:p>
      <w:pPr>
        <w:jc w:val="both"/>
        <w:ind w:left="968" w:hanging="320"/>
        <w:spacing w:after="0" w:line="279" w:lineRule="auto"/>
        <w:tabs>
          <w:tab w:leader="none" w:pos="968" w:val="left"/>
        </w:tabs>
        <w:numPr>
          <w:ilvl w:val="1"/>
          <w:numId w:val="19"/>
        </w:numPr>
        <w:rPr>
          <w:rFonts w:ascii="Arial" w:cs="Arial" w:eastAsia="Arial" w:hAnsi="Arial"/>
          <w:sz w:val="19"/>
          <w:szCs w:val="19"/>
          <w:color w:val="auto"/>
        </w:rPr>
      </w:pPr>
      <w:r>
        <w:rPr>
          <w:rFonts w:ascii="Arial" w:cs="Arial" w:eastAsia="Arial" w:hAnsi="Arial"/>
          <w:sz w:val="19"/>
          <w:szCs w:val="19"/>
          <w:color w:val="auto"/>
        </w:rPr>
        <w:t>Executive agrees that, following any cessation of his employment and subject to reimbursement of his reasonable expenses, he will cooperate with the Company and its counsel with respect to any matter (including litigation, investigations, or governmental proceedings) in which Executive was in any way involved during his employment with the Company. Executive agrees to render such cooperation in a timely manner on reasonable notice from the Company, provided the Company exercises reasonable efforts to limit and schedule the need for Executive’s cooperation so as not to materially interfere with his other professional obligations.</w:t>
      </w:r>
    </w:p>
    <w:p>
      <w:pPr>
        <w:spacing w:after="0" w:line="177" w:lineRule="exact"/>
        <w:rPr>
          <w:rFonts w:ascii="Arial" w:cs="Arial" w:eastAsia="Arial" w:hAnsi="Arial"/>
          <w:sz w:val="19"/>
          <w:szCs w:val="19"/>
          <w:color w:val="auto"/>
        </w:rPr>
      </w:pPr>
    </w:p>
    <w:p>
      <w:pPr>
        <w:jc w:val="both"/>
        <w:ind w:left="968" w:hanging="320"/>
        <w:spacing w:after="0" w:line="246" w:lineRule="auto"/>
        <w:tabs>
          <w:tab w:leader="none" w:pos="956" w:val="left"/>
        </w:tabs>
        <w:numPr>
          <w:ilvl w:val="1"/>
          <w:numId w:val="19"/>
        </w:numPr>
        <w:rPr>
          <w:rFonts w:ascii="Arial" w:cs="Arial" w:eastAsia="Arial" w:hAnsi="Arial"/>
          <w:sz w:val="21"/>
          <w:szCs w:val="21"/>
          <w:color w:val="auto"/>
        </w:rPr>
      </w:pPr>
      <w:r>
        <w:rPr>
          <w:rFonts w:ascii="Arial" w:cs="Arial" w:eastAsia="Arial" w:hAnsi="Arial"/>
          <w:sz w:val="21"/>
          <w:szCs w:val="21"/>
          <w:color w:val="auto"/>
        </w:rPr>
        <w:t>Executive agrees that, upon any cessation of his employment, he will deliver to the Company (and will not retain in his possession or control, or deliver to anyone else) all property and equipment of the Company, including without limitation (i) all keys, books, records, computer hardware, software, cellphones, access cards, credit cards and identification, and (ii) all other Company materials (including copies thereof), including without limitation any records, data, notes, reports, proposals, lists or correspondence.</w:t>
      </w:r>
    </w:p>
    <w:p>
      <w:pPr>
        <w:sectPr>
          <w:pgSz w:w="11900" w:h="16838" w:orient="portrait"/>
          <w:cols w:equalWidth="0" w:num="1">
            <w:col w:w="10908"/>
          </w:cols>
          <w:pgMar w:left="652" w:top="1408" w:right="339" w:bottom="1440" w:gutter="0" w:footer="0" w:header="0"/>
        </w:sectPr>
      </w:pPr>
    </w:p>
    <w:bookmarkStart w:id="49" w:name="page50"/>
    <w:bookmarkEnd w:id="49"/>
    <w:p>
      <w:pPr>
        <w:ind w:left="308" w:hanging="308"/>
        <w:spacing w:after="0"/>
        <w:tabs>
          <w:tab w:leader="none" w:pos="308"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Upon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968" w:hanging="324"/>
        <w:spacing w:after="0" w:line="243"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b w:val="1"/>
          <w:bCs w:val="1"/>
          <w:u w:val="single" w:color="auto"/>
          <w:color w:val="auto"/>
        </w:rPr>
        <w:t>Termination without Cause or Resignation for Good Reason</w:t>
      </w:r>
      <w:r>
        <w:rPr>
          <w:rFonts w:ascii="Arial" w:cs="Arial" w:eastAsia="Arial" w:hAnsi="Arial"/>
          <w:sz w:val="22"/>
          <w:szCs w:val="22"/>
          <w:color w:val="auto"/>
        </w:rPr>
        <w:t xml:space="preserve">. If Executive’s employment by the Company ceases due to a termination by the Company without Cause (as defined in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or a resignation by Executive for Good Reason (as defined in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09" w:lineRule="exact"/>
        <w:rPr>
          <w:rFonts w:ascii="Arial" w:cs="Arial" w:eastAsia="Arial" w:hAnsi="Arial"/>
          <w:sz w:val="22"/>
          <w:szCs w:val="22"/>
          <w:color w:val="auto"/>
        </w:rPr>
      </w:pPr>
    </w:p>
    <w:p>
      <w:pPr>
        <w:jc w:val="both"/>
        <w:ind w:left="1628" w:hanging="446"/>
        <w:spacing w:after="0" w:line="236" w:lineRule="auto"/>
        <w:tabs>
          <w:tab w:leader="none" w:pos="1628" w:val="left"/>
        </w:tabs>
        <w:numPr>
          <w:ilvl w:val="3"/>
          <w:numId w:val="20"/>
        </w:numPr>
        <w:rPr>
          <w:rFonts w:ascii="Arial" w:cs="Arial" w:eastAsia="Arial" w:hAnsi="Arial"/>
          <w:sz w:val="22"/>
          <w:szCs w:val="22"/>
          <w:color w:val="auto"/>
        </w:rPr>
      </w:pPr>
      <w:r>
        <w:rPr>
          <w:rFonts w:ascii="Arial" w:cs="Arial" w:eastAsia="Arial" w:hAnsi="Arial"/>
          <w:sz w:val="22"/>
          <w:szCs w:val="22"/>
          <w:color w:val="auto"/>
        </w:rPr>
        <w:t>the Company shall pay to Executive all accrued and unpaid Base Salary through the date of such cessation of employment at the time such Base Salary would otherwise be paid according to the Company’s usual payroll practices;</w:t>
      </w:r>
    </w:p>
    <w:p>
      <w:pPr>
        <w:spacing w:after="0" w:line="212" w:lineRule="exact"/>
        <w:rPr>
          <w:rFonts w:ascii="Arial" w:cs="Arial" w:eastAsia="Arial" w:hAnsi="Arial"/>
          <w:sz w:val="22"/>
          <w:szCs w:val="22"/>
          <w:color w:val="auto"/>
        </w:rPr>
      </w:pPr>
    </w:p>
    <w:p>
      <w:pPr>
        <w:ind w:left="1628" w:hanging="506"/>
        <w:spacing w:after="0" w:line="328" w:lineRule="auto"/>
        <w:tabs>
          <w:tab w:leader="none" w:pos="1628" w:val="left"/>
        </w:tabs>
        <w:numPr>
          <w:ilvl w:val="3"/>
          <w:numId w:val="20"/>
        </w:numPr>
        <w:rPr>
          <w:rFonts w:ascii="Arial" w:cs="Arial" w:eastAsia="Arial" w:hAnsi="Arial"/>
          <w:sz w:val="19"/>
          <w:szCs w:val="19"/>
          <w:color w:val="auto"/>
        </w:rPr>
      </w:pPr>
      <w:r>
        <w:rPr>
          <w:rFonts w:ascii="Arial" w:cs="Arial" w:eastAsia="Arial" w:hAnsi="Arial"/>
          <w:sz w:val="19"/>
          <w:szCs w:val="19"/>
          <w:color w:val="auto"/>
        </w:rPr>
        <w:t>the Company shall pay to Executive any business expenses that were incurred prior to the date of such cessation of employment but not reimbursed and that are otherwise eligible for reimbursement;</w:t>
      </w:r>
    </w:p>
    <w:p>
      <w:pPr>
        <w:spacing w:after="0" w:line="131" w:lineRule="exact"/>
        <w:rPr>
          <w:rFonts w:ascii="Arial" w:cs="Arial" w:eastAsia="Arial" w:hAnsi="Arial"/>
          <w:sz w:val="19"/>
          <w:szCs w:val="19"/>
          <w:color w:val="auto"/>
        </w:rPr>
      </w:pPr>
    </w:p>
    <w:p>
      <w:pPr>
        <w:ind w:left="1628" w:hanging="566"/>
        <w:spacing w:after="0" w:line="328" w:lineRule="auto"/>
        <w:tabs>
          <w:tab w:leader="none" w:pos="1628" w:val="left"/>
        </w:tabs>
        <w:numPr>
          <w:ilvl w:val="3"/>
          <w:numId w:val="20"/>
        </w:numPr>
        <w:rPr>
          <w:rFonts w:ascii="Arial" w:cs="Arial" w:eastAsia="Arial" w:hAnsi="Arial"/>
          <w:sz w:val="19"/>
          <w:szCs w:val="19"/>
          <w:color w:val="auto"/>
        </w:rPr>
      </w:pPr>
      <w:r>
        <w:rPr>
          <w:rFonts w:ascii="Arial" w:cs="Arial" w:eastAsia="Arial" w:hAnsi="Arial"/>
          <w:sz w:val="19"/>
          <w:szCs w:val="19"/>
          <w:color w:val="auto"/>
        </w:rPr>
        <w:t>to the extent then unpaid, the Company shall pay to Executive the annual incentive award (if any) earned with respect to the calendar year ended immediately prior to the date of such cessation of employment;</w:t>
      </w:r>
    </w:p>
    <w:p>
      <w:pPr>
        <w:spacing w:after="0" w:line="131" w:lineRule="exact"/>
        <w:rPr>
          <w:rFonts w:ascii="Arial" w:cs="Arial" w:eastAsia="Arial" w:hAnsi="Arial"/>
          <w:sz w:val="19"/>
          <w:szCs w:val="19"/>
          <w:color w:val="auto"/>
        </w:rPr>
      </w:pPr>
    </w:p>
    <w:p>
      <w:pPr>
        <w:jc w:val="both"/>
        <w:ind w:left="1628" w:hanging="554"/>
        <w:spacing w:after="0" w:line="271" w:lineRule="auto"/>
        <w:tabs>
          <w:tab w:leader="none" w:pos="1614" w:val="left"/>
        </w:tabs>
        <w:numPr>
          <w:ilvl w:val="2"/>
          <w:numId w:val="20"/>
        </w:numPr>
        <w:rPr>
          <w:rFonts w:ascii="Arial" w:cs="Arial" w:eastAsia="Arial" w:hAnsi="Arial"/>
          <w:sz w:val="19"/>
          <w:szCs w:val="19"/>
          <w:color w:val="auto"/>
        </w:rPr>
      </w:pPr>
      <w:r>
        <w:rPr>
          <w:rFonts w:ascii="Arial" w:cs="Arial" w:eastAsia="Arial" w:hAnsi="Arial"/>
          <w:sz w:val="19"/>
          <w:szCs w:val="19"/>
          <w:color w:val="auto"/>
        </w:rPr>
        <w:t xml:space="preserve">the Company shall make twelve (12) monthly severance payments to Executive, with each payment equal to one-twelfth (1/12) of the Base Salary as in effect immediately prior to such cessation of employment (or, if such cessation is due to the Good Reason described in clause (ii) of that definition, the Base Salary in effect immediately prior to such material diminution); provided, however, that if the cessation of Executive’s employment with the Company due to a termination by the Company without Cause or a resignation by Executive for Good Reason occurs within ninety (90) days preceding or twelve (12) months after the date of a Change in Control (as defined in </w:t>
      </w:r>
      <w:r>
        <w:rPr>
          <w:rFonts w:ascii="Arial" w:cs="Arial" w:eastAsia="Arial" w:hAnsi="Arial"/>
          <w:sz w:val="19"/>
          <w:szCs w:val="19"/>
          <w:u w:val="single" w:color="auto"/>
          <w:color w:val="auto"/>
        </w:rPr>
        <w:t>Section 14</w:t>
      </w:r>
      <w:r>
        <w:rPr>
          <w:rFonts w:ascii="Arial" w:cs="Arial" w:eastAsia="Arial" w:hAnsi="Arial"/>
          <w:sz w:val="19"/>
          <w:szCs w:val="19"/>
          <w:color w:val="auto"/>
        </w:rPr>
        <w:t>), then, in lieu of the foregoing, the number of monthly severance payments shall be changed to eighteen (18), with each payment equal to one-eighteenth (1/18) of 150% of the Base Salary as in effect immediately prior to such cessation of employment (or, if such cessation is due to the Good Reason described in clause (ii) of that definition, the Base Salary in effect immediately prior to such material diminution);</w:t>
      </w:r>
    </w:p>
    <w:p>
      <w:pPr>
        <w:spacing w:after="0" w:line="188" w:lineRule="exact"/>
        <w:rPr>
          <w:rFonts w:ascii="Arial" w:cs="Arial" w:eastAsia="Arial" w:hAnsi="Arial"/>
          <w:sz w:val="19"/>
          <w:szCs w:val="19"/>
          <w:color w:val="auto"/>
        </w:rPr>
      </w:pPr>
    </w:p>
    <w:p>
      <w:pPr>
        <w:jc w:val="both"/>
        <w:ind w:left="1628" w:hanging="446"/>
        <w:spacing w:after="0" w:line="273" w:lineRule="auto"/>
        <w:tabs>
          <w:tab w:leader="none" w:pos="1628" w:val="left"/>
        </w:tabs>
        <w:numPr>
          <w:ilvl w:val="3"/>
          <w:numId w:val="20"/>
        </w:numPr>
        <w:rPr>
          <w:rFonts w:ascii="Arial" w:cs="Arial" w:eastAsia="Arial" w:hAnsi="Arial"/>
          <w:sz w:val="19"/>
          <w:szCs w:val="19"/>
          <w:color w:val="auto"/>
        </w:rPr>
      </w:pPr>
      <w:r>
        <w:rPr>
          <w:rFonts w:ascii="Arial" w:cs="Arial" w:eastAsia="Arial" w:hAnsi="Arial"/>
          <w:sz w:val="19"/>
          <w:szCs w:val="19"/>
          <w:color w:val="auto"/>
        </w:rPr>
        <w:t>the Company shall pay to Executive a lump sum cash payment equal to a pro rata portion of the annual incentive award, if any, that Executive would have earned for the calendar year of his termination based on achievement of the applicable performance targets for such year (the “</w:t>
      </w:r>
      <w:r>
        <w:rPr>
          <w:rFonts w:ascii="Arial" w:cs="Arial" w:eastAsia="Arial" w:hAnsi="Arial"/>
          <w:sz w:val="19"/>
          <w:szCs w:val="19"/>
          <w:b w:val="1"/>
          <w:bCs w:val="1"/>
          <w:color w:val="auto"/>
        </w:rPr>
        <w:t>Terminal Award</w:t>
      </w:r>
      <w:r>
        <w:rPr>
          <w:rFonts w:ascii="Arial" w:cs="Arial" w:eastAsia="Arial" w:hAnsi="Arial"/>
          <w:sz w:val="19"/>
          <w:szCs w:val="19"/>
          <w:color w:val="auto"/>
        </w:rPr>
        <w:t>”) and, for the avoidance of doubt, if and to the extent that any portion of such achievement is based on subjective or judgmental factors, the Company’s determination of the extent of such achievement (if any) shall be final and binding. The pro-rated portion of the Terminal Award shall be determined by multiplying the Terminal Award by a fraction, the numerator of which is the number of days during which Executive was employed by the Company in the calendar year of his</w:t>
      </w:r>
    </w:p>
    <w:p>
      <w:pPr>
        <w:sectPr>
          <w:pgSz w:w="11900" w:h="16838" w:orient="portrait"/>
          <w:cols w:equalWidth="0" w:num="1">
            <w:col w:w="10908"/>
          </w:cols>
          <w:pgMar w:left="652" w:top="1408" w:right="339" w:bottom="1440" w:gutter="0" w:footer="0" w:header="0"/>
        </w:sectPr>
      </w:pPr>
    </w:p>
    <w:bookmarkStart w:id="50" w:name="page51"/>
    <w:bookmarkEnd w:id="50"/>
    <w:p>
      <w:pPr>
        <w:jc w:val="both"/>
        <w:ind w:left="840"/>
        <w:spacing w:after="0" w:line="270" w:lineRule="auto"/>
        <w:rPr>
          <w:sz w:val="20"/>
          <w:szCs w:val="20"/>
          <w:color w:val="auto"/>
        </w:rPr>
      </w:pPr>
      <w:r>
        <w:rPr>
          <w:rFonts w:ascii="Arial" w:cs="Arial" w:eastAsia="Arial" w:hAnsi="Arial"/>
          <w:sz w:val="19"/>
          <w:szCs w:val="19"/>
          <w:color w:val="auto"/>
        </w:rPr>
        <w:t xml:space="preserve">termination of employment and the denominator of which is three hundred sixty-five (365). Notwithstanding the foregoing, if the cessation of Executive’s employment with the Company due to a termination by the Company without Cause or a resignation by Executive for Good Reason occurs within ninety (90) days preceding or twelve (12) months after the date of a Change in Control, then in lieu of the foregoing, Executive shall receive 1.50 times his “base amount,” which “base amount” for Executive as of the Effective Date shall mean Executive’s annual incentive award target amount for the calendar year of Executive’s termination of employment; provided, however, that the formulation of the “base amount” is subject to change if the formulation for the base amount for similarly situated executives who experience a qualifying termination within an specified time window of a Change in Control is hereafter changed to something other than “annual incentive award target amount” for the calendar year of employment termination. Unless the payment is required to be delayed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below, the payment shall be made on the date that annual incentive awards are paid to similarly situated executives (or if later, the Settlement Date (as defined below)), but in no event later than two-and-a-half months following the end of the calendar year in which Executive’s termination date occurs;</w:t>
      </w:r>
    </w:p>
    <w:p>
      <w:pPr>
        <w:spacing w:after="0" w:line="190" w:lineRule="exact"/>
        <w:rPr>
          <w:sz w:val="20"/>
          <w:szCs w:val="20"/>
          <w:color w:val="auto"/>
        </w:rPr>
      </w:pPr>
    </w:p>
    <w:p>
      <w:pPr>
        <w:jc w:val="both"/>
        <w:ind w:left="840" w:hanging="506"/>
        <w:spacing w:after="0" w:line="272" w:lineRule="auto"/>
        <w:tabs>
          <w:tab w:leader="none" w:pos="8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if, immediately before the cessation of Executive’s employment, Executive participates (other than pursuant to COBRA) in a Company group health plan, then, for the twelve (12) months following the date of such cessation (or, if sooner, if executive becomes eligible to obtain coverage under another employer plan), the Company will provide COBRA continuation coverage under such plan to Executive and his spouse at the Company’s expense, if and to the extent they or either of them shall have elected and shall be entitled to receive COBRA continuation coverage; and Executive shall provide immediate notice to the Company of such election and the date of such entitlement. The Company may impute income to Executive in an amount determined by the Company, in its sole discretion, to the extent the Company determines that such imputation of income is necessary to mitigate the risk of penalties and/or taxes to Executive or the Company, or to otherwise comply with applicable law; and</w:t>
      </w:r>
    </w:p>
    <w:p>
      <w:pPr>
        <w:spacing w:after="0" w:line="183" w:lineRule="exact"/>
        <w:rPr>
          <w:rFonts w:ascii="Arial" w:cs="Arial" w:eastAsia="Arial" w:hAnsi="Arial"/>
          <w:sz w:val="19"/>
          <w:szCs w:val="19"/>
          <w:color w:val="auto"/>
        </w:rPr>
      </w:pPr>
    </w:p>
    <w:p>
      <w:pPr>
        <w:jc w:val="both"/>
        <w:ind w:left="840" w:hanging="566"/>
        <w:spacing w:after="0" w:line="273" w:lineRule="auto"/>
        <w:tabs>
          <w:tab w:leader="none" w:pos="8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Executive will immediately vest solely in (1) all of the Initial RSUs and that have not vested on such cessation date and (2) those Performance-Based RSUs and/or 2023 RSUs earned prior to the date of such cessation of employment and that (but for such cessation of employment) are scheduled to vest during (but not after) the one-year period following such cessation date; and, except as provided in the foregoing clauses (1) and (2), all other unvested and/or unearned Shares and equity-based awards then held by Executive will remain outstanding and held in suspense for ninety (90) days following such termination and (I) if a Change of Control occurs within such ninety (90) day period, then, in such circumstances only, those Shares and equity-based incentive awards shall become fully</w:t>
      </w:r>
    </w:p>
    <w:p>
      <w:pPr>
        <w:sectPr>
          <w:pgSz w:w="11900" w:h="16838" w:orient="portrait"/>
          <w:cols w:equalWidth="0" w:num="1">
            <w:col w:w="10120"/>
          </w:cols>
          <w:pgMar w:left="1440" w:top="1414" w:right="339" w:bottom="1440" w:gutter="0" w:footer="0" w:header="0"/>
        </w:sectPr>
      </w:pPr>
    </w:p>
    <w:bookmarkStart w:id="51" w:name="page52"/>
    <w:bookmarkEnd w:id="51"/>
    <w:p>
      <w:pPr>
        <w:jc w:val="both"/>
        <w:ind w:left="1960"/>
        <w:spacing w:after="0" w:line="265" w:lineRule="auto"/>
        <w:rPr>
          <w:sz w:val="20"/>
          <w:szCs w:val="20"/>
          <w:color w:val="auto"/>
        </w:rPr>
      </w:pPr>
      <w:r>
        <w:rPr>
          <w:rFonts w:ascii="Arial" w:cs="Arial" w:eastAsia="Arial" w:hAnsi="Arial"/>
          <w:sz w:val="20"/>
          <w:szCs w:val="20"/>
          <w:color w:val="auto"/>
        </w:rPr>
        <w:t>vested, with any performance-based equity awards then otherwise subject to an open performance period (as of the later of the termination or Change in Control) being deemed earned at the target amount established by the Company in connection with the grant of the applicable performance-based equity awards and (II) if a Change of Control does not occur within such ninety (90) day period, those Shares and equity-based awards shall be forfeited on such ninetieth (90</w:t>
      </w:r>
      <w:r>
        <w:rPr>
          <w:rFonts w:ascii="Arial" w:cs="Arial" w:eastAsia="Arial" w:hAnsi="Arial"/>
          <w:sz w:val="11"/>
          <w:szCs w:val="11"/>
          <w:color w:val="auto"/>
        </w:rPr>
        <w:t>th</w:t>
      </w:r>
      <w:r>
        <w:rPr>
          <w:rFonts w:ascii="Arial" w:cs="Arial" w:eastAsia="Arial" w:hAnsi="Arial"/>
          <w:sz w:val="20"/>
          <w:szCs w:val="20"/>
          <w:color w:val="auto"/>
        </w:rPr>
        <w:t>) day.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Except as and solely to the extent otherwise provided in this </w:t>
      </w:r>
      <w:r>
        <w:rPr>
          <w:rFonts w:ascii="Arial" w:cs="Arial" w:eastAsia="Arial" w:hAnsi="Arial"/>
          <w:sz w:val="20"/>
          <w:szCs w:val="20"/>
          <w:u w:val="single" w:color="auto"/>
          <w:color w:val="auto"/>
        </w:rPr>
        <w:t>Section 11(a)</w:t>
      </w:r>
      <w:r>
        <w:rPr>
          <w:rFonts w:ascii="Arial" w:cs="Arial" w:eastAsia="Arial" w:hAnsi="Arial"/>
          <w:sz w:val="20"/>
          <w:szCs w:val="20"/>
          <w:color w:val="auto"/>
        </w:rPr>
        <w:t xml:space="preserve">, all compensation and benefits will cease at the time of Executive’s cessation of employment and the Company will have no further liability or obligation by reason of such cessation of employment. The payments and benefits described in this </w:t>
      </w:r>
      <w:r>
        <w:rPr>
          <w:rFonts w:ascii="Arial" w:cs="Arial" w:eastAsia="Arial" w:hAnsi="Arial"/>
          <w:sz w:val="20"/>
          <w:szCs w:val="20"/>
          <w:u w:val="single" w:color="auto"/>
          <w:color w:val="auto"/>
        </w:rPr>
        <w:t>Section 11(a)</w:t>
      </w:r>
      <w:r>
        <w:rPr>
          <w:rFonts w:ascii="Arial" w:cs="Arial" w:eastAsia="Arial" w:hAnsi="Arial"/>
          <w:sz w:val="20"/>
          <w:szCs w:val="20"/>
          <w:color w:val="auto"/>
        </w:rPr>
        <w:t xml:space="preserve"> are in lieu of, and are not in addition to, any other severance arrangements maintained by the Company, including but not limited to severance arrangements in Company plans of applicability to other executives. Notwithstanding any provision of this Agreement, the payments and benefits described in </w:t>
      </w:r>
      <w:r>
        <w:rPr>
          <w:rFonts w:ascii="Arial" w:cs="Arial" w:eastAsia="Arial" w:hAnsi="Arial"/>
          <w:sz w:val="20"/>
          <w:szCs w:val="20"/>
          <w:u w:val="single" w:color="auto"/>
          <w:color w:val="auto"/>
        </w:rPr>
        <w:t>Section 11(a)(iii) - 11(a)(vii)</w:t>
      </w:r>
      <w:r>
        <w:rPr>
          <w:rFonts w:ascii="Arial" w:cs="Arial" w:eastAsia="Arial" w:hAnsi="Arial"/>
          <w:sz w:val="20"/>
          <w:szCs w:val="20"/>
          <w:color w:val="auto"/>
        </w:rPr>
        <w:t xml:space="preserve"> are conditioned on Executive’s execution and delivery to the Company and the expiration of all applicable statutory revocation periods, by the 60</w:t>
      </w:r>
      <w:r>
        <w:rPr>
          <w:rFonts w:ascii="Arial" w:cs="Arial" w:eastAsia="Arial" w:hAnsi="Arial"/>
          <w:sz w:val="11"/>
          <w:szCs w:val="11"/>
          <w:color w:val="auto"/>
        </w:rPr>
        <w:t>th</w:t>
      </w:r>
      <w:r>
        <w:rPr>
          <w:rFonts w:ascii="Arial" w:cs="Arial" w:eastAsia="Arial" w:hAnsi="Arial"/>
          <w:sz w:val="20"/>
          <w:szCs w:val="20"/>
          <w:color w:val="auto"/>
        </w:rPr>
        <w:t xml:space="preserve"> day following the effective date of Executive’s cessation of employment, of a general release of claims against the Company and its affiliates in a form and manner satisfactory to the Company (the “</w:t>
      </w:r>
      <w:r>
        <w:rPr>
          <w:rFonts w:ascii="Arial" w:cs="Arial" w:eastAsia="Arial" w:hAnsi="Arial"/>
          <w:sz w:val="20"/>
          <w:szCs w:val="20"/>
          <w:b w:val="1"/>
          <w:bCs w:val="1"/>
          <w:color w:val="auto"/>
        </w:rPr>
        <w:t>Release</w:t>
      </w:r>
      <w:r>
        <w:rPr>
          <w:rFonts w:ascii="Arial" w:cs="Arial" w:eastAsia="Arial" w:hAnsi="Arial"/>
          <w:sz w:val="20"/>
          <w:szCs w:val="20"/>
          <w:color w:val="auto"/>
        </w:rPr>
        <w:t xml:space="preserve">”) and on Executive’s continued compliance with the provisions of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below.</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below (to the extent applicable) and provided the Release requirement described above has been timely satisfied: (x) the payment described in </w:t>
      </w:r>
      <w:r>
        <w:rPr>
          <w:rFonts w:ascii="Arial" w:cs="Arial" w:eastAsia="Arial" w:hAnsi="Arial"/>
          <w:sz w:val="20"/>
          <w:szCs w:val="20"/>
          <w:u w:val="single" w:color="auto"/>
          <w:color w:val="auto"/>
        </w:rPr>
        <w:t>Section 11(a)(iii)</w:t>
      </w:r>
      <w:r>
        <w:rPr>
          <w:rFonts w:ascii="Arial" w:cs="Arial" w:eastAsia="Arial" w:hAnsi="Arial"/>
          <w:sz w:val="20"/>
          <w:szCs w:val="20"/>
          <w:color w:val="auto"/>
        </w:rPr>
        <w:t xml:space="preserve"> will be paid on the later of the sixty-fifth (65</w:t>
      </w:r>
      <w:r>
        <w:rPr>
          <w:rFonts w:ascii="Arial" w:cs="Arial" w:eastAsia="Arial" w:hAnsi="Arial"/>
          <w:sz w:val="11"/>
          <w:szCs w:val="11"/>
          <w:color w:val="auto"/>
        </w:rPr>
        <w:t>th</w:t>
      </w:r>
      <w:r>
        <w:rPr>
          <w:rFonts w:ascii="Arial" w:cs="Arial" w:eastAsia="Arial" w:hAnsi="Arial"/>
          <w:sz w:val="20"/>
          <w:szCs w:val="20"/>
          <w:color w:val="auto"/>
        </w:rPr>
        <w:t>) day following Executive’s cessation of employment (the “</w:t>
      </w:r>
      <w:r>
        <w:rPr>
          <w:rFonts w:ascii="Arial" w:cs="Arial" w:eastAsia="Arial" w:hAnsi="Arial"/>
          <w:sz w:val="20"/>
          <w:szCs w:val="20"/>
          <w:b w:val="1"/>
          <w:bCs w:val="1"/>
          <w:color w:val="auto"/>
        </w:rPr>
        <w:t>Settlement Date</w:t>
      </w:r>
      <w:r>
        <w:rPr>
          <w:rFonts w:ascii="Arial" w:cs="Arial" w:eastAsia="Arial" w:hAnsi="Arial"/>
          <w:sz w:val="20"/>
          <w:szCs w:val="20"/>
          <w:color w:val="auto"/>
        </w:rPr>
        <w:t xml:space="preserve">”) or the date such annual incentive award would have otherwise been paid, absent Executive’s cessation of employment, but in no event later than March 15 of the year following the year to which such annual incentive award relates; and (y) the payments described in </w:t>
      </w:r>
      <w:r>
        <w:rPr>
          <w:rFonts w:ascii="Arial" w:cs="Arial" w:eastAsia="Arial" w:hAnsi="Arial"/>
          <w:sz w:val="20"/>
          <w:szCs w:val="20"/>
          <w:u w:val="single" w:color="auto"/>
          <w:color w:val="auto"/>
        </w:rPr>
        <w:t>Section 11(a)(iv)</w:t>
      </w:r>
      <w:r>
        <w:rPr>
          <w:rFonts w:ascii="Arial" w:cs="Arial" w:eastAsia="Arial" w:hAnsi="Arial"/>
          <w:sz w:val="20"/>
          <w:szCs w:val="20"/>
          <w:color w:val="auto"/>
        </w:rPr>
        <w:t xml:space="preserve"> will commence to be paid on the Settlement Date, provided that the initial payment will include any payments that, but for the above-described timing rule, would have otherwise been paid since the date of Executive’s related cessation of employment.</w:t>
      </w:r>
    </w:p>
    <w:p>
      <w:pPr>
        <w:spacing w:after="0" w:line="200" w:lineRule="exact"/>
        <w:rPr>
          <w:sz w:val="20"/>
          <w:szCs w:val="20"/>
          <w:color w:val="auto"/>
        </w:rPr>
      </w:pPr>
    </w:p>
    <w:p>
      <w:pPr>
        <w:spacing w:after="0" w:line="237" w:lineRule="exact"/>
        <w:rPr>
          <w:sz w:val="20"/>
          <w:szCs w:val="20"/>
          <w:color w:val="auto"/>
        </w:rPr>
      </w:pPr>
    </w:p>
    <w:p>
      <w:pPr>
        <w:jc w:val="both"/>
        <w:ind w:left="1300" w:hanging="320"/>
        <w:spacing w:after="0" w:line="272" w:lineRule="auto"/>
        <w:tabs>
          <w:tab w:leader="none" w:pos="1300" w:val="left"/>
        </w:tabs>
        <w:numPr>
          <w:ilvl w:val="0"/>
          <w:numId w:val="22"/>
        </w:numPr>
        <w:rPr>
          <w:rFonts w:ascii="Arial" w:cs="Arial" w:eastAsia="Arial" w:hAnsi="Arial"/>
          <w:sz w:val="19"/>
          <w:szCs w:val="19"/>
          <w:color w:val="auto"/>
        </w:rPr>
      </w:pPr>
      <w:r>
        <w:rPr>
          <w:rFonts w:ascii="Arial" w:cs="Arial" w:eastAsia="Arial" w:hAnsi="Arial"/>
          <w:sz w:val="19"/>
          <w:szCs w:val="19"/>
          <w:b w:val="1"/>
          <w:bCs w:val="1"/>
          <w:u w:val="single" w:color="auto"/>
          <w:color w:val="auto"/>
        </w:rPr>
        <w:t>Other Terminations</w:t>
      </w:r>
      <w:r>
        <w:rPr>
          <w:rFonts w:ascii="Arial" w:cs="Arial" w:eastAsia="Arial" w:hAnsi="Arial"/>
          <w:sz w:val="19"/>
          <w:szCs w:val="19"/>
          <w:color w:val="auto"/>
        </w:rPr>
        <w:t>. If Executive’s employment with the Company ceases for any reason other than as described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above (including but not limited to (i) termination by the Company for Cause, (ii) resignation by Executive without Good Reason, (iii) termination as a result of Executive’s Disability (as defined in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or (iv) Executive’s death), then the Company’s obligation to Executive will be limited solely to the payment of accrued and unpaid Base Salary through the date of such cessation of employment and payment of any business expenses that were previously incurred but not reimbursed and are otherwise eligible for reimbursement. Except as otherwise provided by COBRA, all compensation and benefits will cease at the time of such cessation of employment and the Company will have no further liability or obligation by reason of such termination; and, for the avoidance of doubt, all unvested and/or unearned equity and equity-based awards then held by Executive (including, without limitation, Initial RSUs, 2023 RSUs and Performance-Based RSUs) will be forfeited; provided, however, that, notwithstanding the foregoing, but without limiting </w:t>
      </w:r>
      <w:r>
        <w:rPr>
          <w:rFonts w:ascii="Arial" w:cs="Arial" w:eastAsia="Arial" w:hAnsi="Arial"/>
          <w:sz w:val="19"/>
          <w:szCs w:val="19"/>
          <w:u w:val="single" w:color="auto"/>
          <w:color w:val="auto"/>
        </w:rPr>
        <w:t>Section 11(a)</w:t>
      </w:r>
      <w:r>
        <w:rPr>
          <w:rFonts w:ascii="Arial" w:cs="Arial" w:eastAsia="Arial" w:hAnsi="Arial"/>
          <w:sz w:val="19"/>
          <w:szCs w:val="19"/>
          <w:color w:val="auto"/>
        </w:rPr>
        <w:t>, if Executive’s employment with the Company ceases as a</w:t>
      </w:r>
    </w:p>
    <w:p>
      <w:pPr>
        <w:sectPr>
          <w:pgSz w:w="11900" w:h="16838" w:orient="portrait"/>
          <w:cols w:equalWidth="0" w:num="1">
            <w:col w:w="11240"/>
          </w:cols>
          <w:pgMar w:left="320" w:top="1414" w:right="339" w:bottom="1440" w:gutter="0" w:footer="0" w:header="0"/>
        </w:sectPr>
      </w:pPr>
    </w:p>
    <w:bookmarkStart w:id="52" w:name="page53"/>
    <w:bookmarkEnd w:id="52"/>
    <w:p>
      <w:pPr>
        <w:jc w:val="both"/>
        <w:ind w:left="968"/>
        <w:spacing w:after="0" w:line="248" w:lineRule="auto"/>
        <w:rPr>
          <w:sz w:val="20"/>
          <w:szCs w:val="20"/>
          <w:color w:val="auto"/>
        </w:rPr>
      </w:pPr>
      <w:r>
        <w:rPr>
          <w:rFonts w:ascii="Arial" w:cs="Arial" w:eastAsia="Arial" w:hAnsi="Arial"/>
          <w:sz w:val="21"/>
          <w:szCs w:val="21"/>
          <w:color w:val="auto"/>
        </w:rPr>
        <w:t>result of Executive’s Disability or death then (i) any then unvested Initial RSUs shall thereupon vest and (ii) any other unvested and/or unearned equity and equity-based awards then held by Executive shall vest if and to the extent determined by the Committee at or after the time of the grant of the applicable awards. The foregoing will not be construed to limit Executive’s right to payment or reimbursement for claims incurred prior to the date of such termination under any insurance contract funding an employee benefit plan or arrangement of the Company in accordance with the terms of such insurance contract.</w:t>
      </w:r>
    </w:p>
    <w:p>
      <w:pPr>
        <w:spacing w:after="0" w:line="184" w:lineRule="exact"/>
        <w:rPr>
          <w:sz w:val="20"/>
          <w:szCs w:val="20"/>
          <w:color w:val="auto"/>
        </w:rPr>
      </w:pPr>
    </w:p>
    <w:p>
      <w:pPr>
        <w:ind w:left="328" w:hanging="328"/>
        <w:spacing w:after="0"/>
        <w:tabs>
          <w:tab w:leader="none" w:pos="328"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968" w:hanging="320"/>
        <w:spacing w:after="0"/>
        <w:tabs>
          <w:tab w:leader="none" w:pos="956"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parties intend for this Agreement to comply with or be exempt from Section 409A of the Code, and all provisions of this Agreement will be interpreted and applied accordingly. Nonetheless, the Company does not guaranty the tax treatment of any compensation payable to Executive.</w:t>
      </w:r>
    </w:p>
    <w:p>
      <w:pPr>
        <w:spacing w:after="0" w:line="213" w:lineRule="exact"/>
        <w:rPr>
          <w:rFonts w:ascii="Arial" w:cs="Arial" w:eastAsia="Arial" w:hAnsi="Arial"/>
          <w:sz w:val="22"/>
          <w:szCs w:val="22"/>
          <w:color w:val="auto"/>
        </w:rPr>
      </w:pPr>
    </w:p>
    <w:p>
      <w:pPr>
        <w:jc w:val="both"/>
        <w:ind w:left="968" w:hanging="320"/>
        <w:spacing w:after="0" w:line="271" w:lineRule="auto"/>
        <w:tabs>
          <w:tab w:leader="none" w:pos="968"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no portion of the benefits or payments to be made under </w:t>
      </w:r>
      <w:r>
        <w:rPr>
          <w:rFonts w:ascii="Arial" w:cs="Arial" w:eastAsia="Arial" w:hAnsi="Arial"/>
          <w:sz w:val="19"/>
          <w:szCs w:val="19"/>
          <w:u w:val="single" w:color="auto"/>
          <w:color w:val="auto"/>
        </w:rPr>
        <w:t>Section 11(a) or 11(b)(ii)</w:t>
      </w:r>
      <w:r>
        <w:rPr>
          <w:rFonts w:ascii="Arial" w:cs="Arial" w:eastAsia="Arial" w:hAnsi="Arial"/>
          <w:sz w:val="19"/>
          <w:szCs w:val="19"/>
          <w:color w:val="auto"/>
        </w:rPr>
        <w:t xml:space="preserve"> above will be payable until Executive has a “separation from service” from the Company within the meaning of Section 409A of the Code. In addition, to the extent compliance with the requirements of Treas. Reg. § 1.409A-3(i)(2) (or any successor provision) is necessary to avoid the application of an additional tax under Section 409A of the Code to payments due to Executive upon or following his “separation from service,” then notwithstanding any other provision of this Agreement (or any otherwise applicable plan, policy, agreement or arrangement), any such payments that are otherwise due within six months following Executive’s “separation from service” (taking into account the preceding sentence of this paragraph) will be deferred without interest and paid to Executive in a lump sum immediately following that six month period. This paragraph should not be construed to prevent the application of Treas. Reg. § 1.409A-1(b)(9)(iii) (or any successor provision) to amounts payable hereunder. For purposes of the application of Section 409A of the Code, each payment in a series of payments will be deemed a separate payment.</w:t>
      </w:r>
    </w:p>
    <w:p>
      <w:pPr>
        <w:spacing w:after="0" w:line="185" w:lineRule="exact"/>
        <w:rPr>
          <w:rFonts w:ascii="Arial" w:cs="Arial" w:eastAsia="Arial" w:hAnsi="Arial"/>
          <w:sz w:val="19"/>
          <w:szCs w:val="19"/>
          <w:color w:val="auto"/>
        </w:rPr>
      </w:pPr>
    </w:p>
    <w:p>
      <w:pPr>
        <w:jc w:val="both"/>
        <w:ind w:left="968" w:hanging="320"/>
        <w:spacing w:after="0" w:line="273" w:lineRule="auto"/>
        <w:tabs>
          <w:tab w:leader="none" w:pos="956" w:val="left"/>
        </w:tabs>
        <w:numPr>
          <w:ilvl w:val="1"/>
          <w:numId w:val="23"/>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to the extent an expense, reimbursement or in-kind benefit provided to Executive pursuant to this Agreement or otherwise constitutes a “deferral of compensation” within the meaning of Section 409A of the Code: (i) the amount of expenses eligible for reimbursement or in-kind benefits provided to Executive during any calendar year will not affect the amount of expenses eligible for reimbursement or in-kind benefits provided to Executive in any other calendar year, (ii) the reimbursements for expenses for which Executive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ectPr>
          <w:pgSz w:w="11900" w:h="16838" w:orient="portrait"/>
          <w:cols w:equalWidth="0" w:num="1">
            <w:col w:w="10908"/>
          </w:cols>
          <w:pgMar w:left="652" w:top="1414" w:right="339" w:bottom="1440" w:gutter="0" w:footer="0" w:header="0"/>
        </w:sectPr>
      </w:pPr>
    </w:p>
    <w:bookmarkStart w:id="53" w:name="page54"/>
    <w:bookmarkEnd w:id="53"/>
    <w:p>
      <w:pPr>
        <w:jc w:val="both"/>
        <w:ind w:left="328" w:hanging="328"/>
        <w:spacing w:after="0" w:line="271" w:lineRule="auto"/>
        <w:tabs>
          <w:tab w:leader="none" w:pos="328" w:val="left"/>
        </w:tabs>
        <w:numPr>
          <w:ilvl w:val="0"/>
          <w:numId w:val="24"/>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280G</w:t>
      </w:r>
      <w:r>
        <w:rPr>
          <w:rFonts w:ascii="Arial" w:cs="Arial" w:eastAsia="Arial" w:hAnsi="Arial"/>
          <w:sz w:val="19"/>
          <w:szCs w:val="19"/>
          <w:color w:val="auto"/>
        </w:rPr>
        <w:t>. Notwithstanding any contrary provision of this Agreement (or any plan, policy,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 covering Executive), if any payment, right or benefit paid, provided or due to Executive, whether pursuant to this Agreement or otherwise (each, a “</w:t>
      </w:r>
      <w:r>
        <w:rPr>
          <w:rFonts w:ascii="Arial" w:cs="Arial" w:eastAsia="Arial" w:hAnsi="Arial"/>
          <w:sz w:val="19"/>
          <w:szCs w:val="19"/>
          <w:b w:val="1"/>
          <w:bCs w:val="1"/>
          <w:color w:val="auto"/>
        </w:rPr>
        <w:t>Payment</w:t>
      </w:r>
      <w:r>
        <w:rPr>
          <w:rFonts w:ascii="Arial" w:cs="Arial" w:eastAsia="Arial" w:hAnsi="Arial"/>
          <w:sz w:val="19"/>
          <w:szCs w:val="19"/>
          <w:color w:val="auto"/>
        </w:rPr>
        <w:t>,” and collectively, the “</w:t>
      </w:r>
      <w:r>
        <w:rPr>
          <w:rFonts w:ascii="Arial" w:cs="Arial" w:eastAsia="Arial" w:hAnsi="Arial"/>
          <w:sz w:val="19"/>
          <w:szCs w:val="19"/>
          <w:b w:val="1"/>
          <w:bCs w:val="1"/>
          <w:color w:val="auto"/>
        </w:rPr>
        <w:t>Total Payments</w:t>
      </w:r>
      <w:r>
        <w:rPr>
          <w:rFonts w:ascii="Arial" w:cs="Arial" w:eastAsia="Arial" w:hAnsi="Arial"/>
          <w:sz w:val="19"/>
          <w:szCs w:val="19"/>
          <w:color w:val="auto"/>
        </w:rPr>
        <w:t>”), would subject Executive to the excise tax imposed by Section 4999 of the Code (the “</w:t>
      </w:r>
      <w:r>
        <w:rPr>
          <w:rFonts w:ascii="Arial" w:cs="Arial" w:eastAsia="Arial" w:hAnsi="Arial"/>
          <w:sz w:val="19"/>
          <w:szCs w:val="19"/>
          <w:b w:val="1"/>
          <w:bCs w:val="1"/>
          <w:color w:val="auto"/>
        </w:rPr>
        <w:t>Excise Tax</w:t>
      </w:r>
      <w:r>
        <w:rPr>
          <w:rFonts w:ascii="Arial" w:cs="Arial" w:eastAsia="Arial" w:hAnsi="Arial"/>
          <w:sz w:val="19"/>
          <w:szCs w:val="19"/>
          <w:color w:val="auto"/>
        </w:rPr>
        <w:t>”), then the Total Payments will be reduced to the minimum extent necessary to avoid the imposition of the Excise Tax, but only if (i) the amount of such Total Payments, as so reduced, is greater than or equal to (ii) the amount of such Total Payments without reduction (in each case, determined by the Company on an after-tax basis). Any reduction of the Total Payments required by this paragraph will be implemented by determining the Parachute Ratio (as defined below and determined by the Company) for each Payment and then by reducing the Payments in order, beginning with the Payment with the highest Parachute Ratio. For Payments with the same Parachute Ratio, later Payments will be reduced before earlier Payments. For Payments with the same Parachute Ratio and the same time of payment, each Payment will be reduced proportionately. For purposes of this paragraph, “</w:t>
      </w:r>
      <w:r>
        <w:rPr>
          <w:rFonts w:ascii="Arial" w:cs="Arial" w:eastAsia="Arial" w:hAnsi="Arial"/>
          <w:sz w:val="19"/>
          <w:szCs w:val="19"/>
          <w:b w:val="1"/>
          <w:bCs w:val="1"/>
          <w:color w:val="auto"/>
        </w:rPr>
        <w:t>Parachute Ratio</w:t>
      </w:r>
      <w:r>
        <w:rPr>
          <w:rFonts w:ascii="Arial" w:cs="Arial" w:eastAsia="Arial" w:hAnsi="Arial"/>
          <w:sz w:val="19"/>
          <w:szCs w:val="19"/>
          <w:color w:val="auto"/>
        </w:rPr>
        <w:t>” means a fraction, (x) the numerator of which is the value of the applicable Payment, as calculated for purposes of Section 280G of the Code, and (y) the denominator of which is the economic value of the applicable Payment.</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328" w:hanging="328"/>
        <w:spacing w:after="0"/>
        <w:tabs>
          <w:tab w:leader="none" w:pos="328"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Definitions</w:t>
      </w:r>
      <w:r>
        <w:rPr>
          <w:rFonts w:ascii="Arial" w:cs="Arial" w:eastAsia="Arial" w:hAnsi="Arial"/>
          <w:sz w:val="22"/>
          <w:szCs w:val="22"/>
          <w:color w:val="auto"/>
        </w:rPr>
        <w:t>. For purposes of this Agreement:</w:t>
      </w:r>
    </w:p>
    <w:p>
      <w:pPr>
        <w:spacing w:after="0" w:line="233" w:lineRule="exact"/>
        <w:rPr>
          <w:rFonts w:ascii="Arial" w:cs="Arial" w:eastAsia="Arial" w:hAnsi="Arial"/>
          <w:sz w:val="22"/>
          <w:szCs w:val="22"/>
          <w:color w:val="auto"/>
        </w:rPr>
      </w:pPr>
    </w:p>
    <w:p>
      <w:pPr>
        <w:ind w:left="968" w:hanging="324"/>
        <w:spacing w:after="0" w:line="269" w:lineRule="auto"/>
        <w:rPr>
          <w:rFonts w:ascii="Arial" w:cs="Arial" w:eastAsia="Arial" w:hAnsi="Arial"/>
          <w:sz w:val="22"/>
          <w:szCs w:val="22"/>
          <w:color w:val="auto"/>
        </w:rPr>
      </w:pPr>
      <w:r>
        <w:rPr>
          <w:rFonts w:ascii="Arial" w:cs="Arial" w:eastAsia="Arial" w:hAnsi="Arial"/>
          <w:sz w:val="19"/>
          <w:szCs w:val="19"/>
          <w:color w:val="auto"/>
        </w:rPr>
        <w:t>a. “</w:t>
      </w:r>
      <w:r>
        <w:rPr>
          <w:rFonts w:ascii="Arial" w:cs="Arial" w:eastAsia="Arial" w:hAnsi="Arial"/>
          <w:sz w:val="19"/>
          <w:szCs w:val="19"/>
          <w:b w:val="1"/>
          <w:bCs w:val="1"/>
          <w:color w:val="auto"/>
        </w:rPr>
        <w:t>Cause</w:t>
      </w:r>
      <w:r>
        <w:rPr>
          <w:rFonts w:ascii="Arial" w:cs="Arial" w:eastAsia="Arial" w:hAnsi="Arial"/>
          <w:sz w:val="19"/>
          <w:szCs w:val="19"/>
          <w:color w:val="auto"/>
        </w:rPr>
        <w:t xml:space="preserve">” means any of the following: (i) failure of Executive to perform his duties and responsibilities to the Company (other than by reason of Executive’s physical or mental illness, incapacity or disability) which has continued for more than thirty (30) days following written notice of such non-performance from the Company; (ii) misconduct by Executive in connection with the performance of his duties and responsibilities to the Company, including, without limitation, a breach of fiduciary duties or a misappropriation of funds or property; (iii) the commission by Executive of any felony; (iv) the commission by Executive of a misdemeanor involving moral turpitude, deceit, dishonesty or fraud; (v) any conduct by Executive that would reasonably be expected to result in injury or reputational harm to the Company or any of its subsidiaries and affiliates; (vi) a breach by Executive of any agreement with the Company or its affiliates, which breach is not cured (if curable) within thirty (30) days after the delivery of written notice thereof (provided that if any such agreement includes a cure period and if such cure period is less than thirty (30) days, such shorter cure period shall apply); (vii) a violation by Executive of the Company’s written employment policies, which violation is not cured (if curable) within thirty (30) days after the delivery of written notice thereof (provided that if any such policies include a cure period and if such cure period is less than thirty (30) days, such shorter cure period shall apply); or (viii) Executive’s failure to cooperate with a </w:t>
      </w:r>
      <w:r>
        <w:rPr>
          <w:rFonts w:ascii="Arial" w:cs="Arial" w:eastAsia="Arial" w:hAnsi="Arial"/>
          <w:sz w:val="19"/>
          <w:szCs w:val="19"/>
          <w:i w:val="1"/>
          <w:iCs w:val="1"/>
          <w:color w:val="auto"/>
        </w:rPr>
        <w:t xml:space="preserve">bona fide </w:t>
      </w:r>
      <w:r>
        <w:rPr>
          <w:rFonts w:ascii="Arial" w:cs="Arial" w:eastAsia="Arial" w:hAnsi="Arial"/>
          <w:sz w:val="19"/>
          <w:szCs w:val="19"/>
          <w:color w:val="auto"/>
        </w:rPr>
        <w:t>internal investigation or an investigation by regulatory or law enforcement authorities, after being</w:t>
      </w:r>
      <w:r>
        <w:rPr>
          <w:rFonts w:ascii="Arial" w:cs="Arial" w:eastAsia="Arial" w:hAnsi="Arial"/>
          <w:sz w:val="19"/>
          <w:szCs w:val="19"/>
          <w:i w:val="1"/>
          <w:iCs w:val="1"/>
          <w:color w:val="auto"/>
        </w:rPr>
        <w:t xml:space="preserve"> </w:t>
      </w:r>
      <w:r>
        <w:rPr>
          <w:rFonts w:ascii="Arial" w:cs="Arial" w:eastAsia="Arial" w:hAnsi="Arial"/>
          <w:sz w:val="19"/>
          <w:szCs w:val="19"/>
          <w:color w:val="auto"/>
        </w:rPr>
        <w:t>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In regard to each of those clauses in this definition of “Cause” that afford Executive a “cure right,” such cure right shall apply solely to the first failure, breach or violation by</w:t>
      </w:r>
    </w:p>
    <w:p>
      <w:pPr>
        <w:sectPr>
          <w:pgSz w:w="11900" w:h="16838" w:orient="portrait"/>
          <w:cols w:equalWidth="0" w:num="1">
            <w:col w:w="10908"/>
          </w:cols>
          <w:pgMar w:left="652" w:top="1408" w:right="339" w:bottom="1440" w:gutter="0" w:footer="0" w:header="0"/>
        </w:sectPr>
      </w:pPr>
    </w:p>
    <w:bookmarkStart w:id="54" w:name="page55"/>
    <w:bookmarkEnd w:id="54"/>
    <w:p>
      <w:pPr>
        <w:jc w:val="both"/>
        <w:ind w:left="968"/>
        <w:spacing w:after="0" w:line="238" w:lineRule="auto"/>
        <w:rPr>
          <w:sz w:val="20"/>
          <w:szCs w:val="20"/>
          <w:color w:val="auto"/>
        </w:rPr>
      </w:pPr>
      <w:r>
        <w:rPr>
          <w:rFonts w:ascii="Arial" w:cs="Arial" w:eastAsia="Arial" w:hAnsi="Arial"/>
          <w:sz w:val="22"/>
          <w:szCs w:val="22"/>
          <w:color w:val="auto"/>
        </w:rPr>
        <w:t>Executive that gives rise to the cure right and shall not apply to any repeat or subsequent failure, breach or violation involving similar actions or omissions, whether or not related to the first failure, breach or violation. For avoidance of doubt, a termination of Executive’s employment due to his Disability will not constitute a termination without Cause.</w:t>
      </w:r>
    </w:p>
    <w:p>
      <w:pPr>
        <w:spacing w:after="0" w:line="206" w:lineRule="exact"/>
        <w:rPr>
          <w:sz w:val="20"/>
          <w:szCs w:val="20"/>
          <w:color w:val="auto"/>
        </w:rPr>
      </w:pPr>
    </w:p>
    <w:p>
      <w:pPr>
        <w:ind w:left="968" w:hanging="320"/>
        <w:spacing w:after="0"/>
        <w:tabs>
          <w:tab w:leader="none" w:pos="968" w:val="left"/>
        </w:tabs>
        <w:numPr>
          <w:ilvl w:val="1"/>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has the meaning given to this term in the LTIP.</w:t>
      </w:r>
    </w:p>
    <w:p>
      <w:pPr>
        <w:spacing w:after="0" w:line="233" w:lineRule="exact"/>
        <w:rPr>
          <w:rFonts w:ascii="Arial" w:cs="Arial" w:eastAsia="Arial" w:hAnsi="Arial"/>
          <w:sz w:val="22"/>
          <w:szCs w:val="22"/>
          <w:color w:val="auto"/>
        </w:rPr>
      </w:pPr>
    </w:p>
    <w:p>
      <w:pPr>
        <w:ind w:left="968" w:hanging="320"/>
        <w:spacing w:after="0"/>
        <w:tabs>
          <w:tab w:leader="none" w:pos="968" w:val="left"/>
        </w:tabs>
        <w:numPr>
          <w:ilvl w:val="1"/>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19" w:lineRule="exact"/>
        <w:rPr>
          <w:rFonts w:ascii="Arial" w:cs="Arial" w:eastAsia="Arial" w:hAnsi="Arial"/>
          <w:sz w:val="22"/>
          <w:szCs w:val="22"/>
          <w:color w:val="auto"/>
        </w:rPr>
      </w:pPr>
    </w:p>
    <w:p>
      <w:pPr>
        <w:jc w:val="both"/>
        <w:ind w:left="968" w:hanging="320"/>
        <w:spacing w:after="0" w:line="278" w:lineRule="auto"/>
        <w:tabs>
          <w:tab w:leader="none" w:pos="968"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means a condition entitling Executive to benefits under the Company’s long term disability plan, policy or arrangement; provided, however, that if no such plan, policy or arrangement is then maintained by the Company and applicable to Executive, “</w:t>
      </w:r>
      <w:r>
        <w:rPr>
          <w:rFonts w:ascii="Arial" w:cs="Arial" w:eastAsia="Arial" w:hAnsi="Arial"/>
          <w:sz w:val="19"/>
          <w:szCs w:val="19"/>
          <w:b w:val="1"/>
          <w:bCs w:val="1"/>
          <w:color w:val="auto"/>
        </w:rPr>
        <w:t>Disability</w:t>
      </w:r>
      <w:r>
        <w:rPr>
          <w:rFonts w:ascii="Arial" w:cs="Arial" w:eastAsia="Arial" w:hAnsi="Arial"/>
          <w:sz w:val="19"/>
          <w:szCs w:val="19"/>
          <w:color w:val="auto"/>
        </w:rPr>
        <w:t>” will mean Executive’s inability to perform his duties under this Agreement due to a mental or physical condition (other than alcohol or substance abuse) that can be expected to result in death or that can be expected to last (or has already lasted) for a continuous period of 90 days or more, or for 120 days in any 180 consecutive-day period. Termination as a result of a Disability will not be construed as a termination by the Company “without Cause.”</w:t>
      </w:r>
    </w:p>
    <w:p>
      <w:pPr>
        <w:spacing w:after="0" w:line="172" w:lineRule="exact"/>
        <w:rPr>
          <w:rFonts w:ascii="Arial" w:cs="Arial" w:eastAsia="Arial" w:hAnsi="Arial"/>
          <w:sz w:val="19"/>
          <w:szCs w:val="19"/>
          <w:color w:val="auto"/>
        </w:rPr>
      </w:pPr>
    </w:p>
    <w:p>
      <w:pPr>
        <w:jc w:val="both"/>
        <w:ind w:left="968" w:hanging="320"/>
        <w:spacing w:after="0" w:line="271" w:lineRule="auto"/>
        <w:tabs>
          <w:tab w:leader="none" w:pos="956"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(i) a reduction in the Base Salary that exceeds ten percent (10%) of the Base Salary as in effect immediately prior to the reduction (excluding, however, the impact of across-the-board salary reductions similarly affecting other senior executives of the Company); (ii) an annual cash incentive target opportunity amount set at less than 40% of the Base Salary (excluding, however, the impact of across-the-board reductions to annual incentive target opportunity amounts similarly affecting other senior executives of the Company); (iii) an annual equity incentive target opportunity amount (as measured using the same valuation methodology generally applicable to other senior executives) set at less than 70% of the Base Salary (excluding, however, the impact of across-the-board reductions to equity incentive target opportunity amounts similarly affecting other senior executives of the Company); (iv) a Company-mandated relocation of Executive’s principal place of employment to a location that is more than 50 miles from Princeton Junction, New Jersey; or (v) the material breach of this Agreement by the Company; provided, however, that no such event will constitute Good Reason unless (x) Executive provides the Company with written objection to such event within 30 days after the initial occurrence thereof, (y) such event is not reversed or corrected by the Company within 30 days of its receipt of such written objection, and (z) Executive separates from service within 30 days following the expiration of that cure period.</w:t>
      </w:r>
    </w:p>
    <w:p>
      <w:pPr>
        <w:spacing w:after="0" w:line="164" w:lineRule="exact"/>
        <w:rPr>
          <w:rFonts w:ascii="Arial" w:cs="Arial" w:eastAsia="Arial" w:hAnsi="Arial"/>
          <w:sz w:val="19"/>
          <w:szCs w:val="19"/>
          <w:color w:val="auto"/>
        </w:rPr>
      </w:pPr>
    </w:p>
    <w:p>
      <w:pPr>
        <w:ind w:left="328" w:hanging="328"/>
        <w:spacing w:after="0"/>
        <w:tabs>
          <w:tab w:leader="none" w:pos="328"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968" w:hanging="320"/>
        <w:spacing w:after="0" w:line="260" w:lineRule="auto"/>
        <w:tabs>
          <w:tab w:leader="none" w:pos="956" w:val="left"/>
        </w:tabs>
        <w:numPr>
          <w:ilvl w:val="1"/>
          <w:numId w:val="26"/>
        </w:numPr>
        <w:rPr>
          <w:rFonts w:ascii="Arial" w:cs="Arial" w:eastAsia="Arial" w:hAnsi="Arial"/>
          <w:sz w:val="21"/>
          <w:szCs w:val="21"/>
          <w:color w:val="auto"/>
        </w:rPr>
      </w:pPr>
      <w:r>
        <w:rPr>
          <w:rFonts w:ascii="Arial" w:cs="Arial" w:eastAsia="Arial" w:hAnsi="Arial"/>
          <w:sz w:val="21"/>
          <w:szCs w:val="21"/>
          <w:b w:val="1"/>
          <w:bCs w:val="1"/>
          <w:u w:val="single" w:color="auto"/>
          <w:color w:val="auto"/>
        </w:rPr>
        <w:t>Access to Secret and Confidential Information</w:t>
      </w:r>
      <w:r>
        <w:rPr>
          <w:rFonts w:ascii="Arial" w:cs="Arial" w:eastAsia="Arial" w:hAnsi="Arial"/>
          <w:sz w:val="21"/>
          <w:szCs w:val="21"/>
          <w:color w:val="auto"/>
        </w:rPr>
        <w:t>. The Company has furnished and shall furnish to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secret and confidential information with respect to the Company and its affiliates (collectively “</w:t>
      </w:r>
      <w:r>
        <w:rPr>
          <w:rFonts w:ascii="Arial" w:cs="Arial" w:eastAsia="Arial" w:hAnsi="Arial"/>
          <w:sz w:val="21"/>
          <w:szCs w:val="21"/>
          <w:b w:val="1"/>
          <w:bCs w:val="1"/>
          <w:color w:val="auto"/>
        </w:rPr>
        <w:t>Secret and</w:t>
      </w:r>
      <w:r>
        <w:rPr>
          <w:rFonts w:ascii="Arial" w:cs="Arial" w:eastAsia="Arial" w:hAnsi="Arial"/>
          <w:sz w:val="21"/>
          <w:szCs w:val="21"/>
          <w:color w:val="auto"/>
        </w:rPr>
        <w:t xml:space="preserve">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to which Executive would not otherwise have access and of</w:t>
      </w:r>
    </w:p>
    <w:p>
      <w:pPr>
        <w:sectPr>
          <w:pgSz w:w="11900" w:h="16838" w:orient="portrait"/>
          <w:cols w:equalWidth="0" w:num="1">
            <w:col w:w="10908"/>
          </w:cols>
          <w:pgMar w:left="652" w:top="1414" w:right="339" w:bottom="1440" w:gutter="0" w:footer="0" w:header="0"/>
        </w:sectPr>
      </w:pPr>
    </w:p>
    <w:bookmarkStart w:id="55" w:name="page56"/>
    <w:bookmarkEnd w:id="55"/>
    <w:p>
      <w:pPr>
        <w:jc w:val="both"/>
        <w:ind w:left="320"/>
        <w:spacing w:after="0" w:line="244" w:lineRule="auto"/>
        <w:rPr>
          <w:sz w:val="20"/>
          <w:szCs w:val="20"/>
          <w:color w:val="auto"/>
        </w:rPr>
      </w:pPr>
      <w:r>
        <w:rPr>
          <w:rFonts w:ascii="Arial" w:cs="Arial" w:eastAsia="Arial" w:hAnsi="Arial"/>
          <w:sz w:val="21"/>
          <w:szCs w:val="21"/>
          <w:color w:val="auto"/>
        </w:rPr>
        <w:t>which Executive would not otherwise have knowledge. Secret and Confidential Information includes, without limitation, technical and business information, whether patentable or not, which is of a confidential, trade secret or proprietary character, and which is either developed by Executive alone, with other or by others; lists of customers; identity of customers; identity of prospective customers; contract terms; bidding information and strategies; pricing methods or information; computer software; computer software methods and documentation; hardware; methods of operation; the procedures, forms and techniques used in servicing accounts; and other information or documents that the Company or any of its affiliates requires to be maintained in confidence for its or their continued business success.</w:t>
      </w:r>
    </w:p>
    <w:p>
      <w:pPr>
        <w:spacing w:after="0" w:line="203" w:lineRule="exact"/>
        <w:rPr>
          <w:sz w:val="20"/>
          <w:szCs w:val="20"/>
          <w:color w:val="auto"/>
        </w:rPr>
      </w:pPr>
    </w:p>
    <w:p>
      <w:pPr>
        <w:ind w:left="320" w:hanging="320"/>
        <w:spacing w:after="0"/>
        <w:tabs>
          <w:tab w:leader="none" w:pos="320"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Non-Disclosure of Secret and Confidential Information</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980" w:hanging="446"/>
        <w:spacing w:after="0" w:line="246" w:lineRule="auto"/>
        <w:tabs>
          <w:tab w:leader="none" w:pos="980" w:val="left"/>
        </w:tabs>
        <w:numPr>
          <w:ilvl w:val="1"/>
          <w:numId w:val="27"/>
        </w:numPr>
        <w:rPr>
          <w:rFonts w:ascii="Arial" w:cs="Arial" w:eastAsia="Arial" w:hAnsi="Arial"/>
          <w:sz w:val="21"/>
          <w:szCs w:val="21"/>
          <w:color w:val="auto"/>
        </w:rPr>
      </w:pPr>
      <w:r>
        <w:rPr>
          <w:rFonts w:ascii="Arial" w:cs="Arial" w:eastAsia="Arial" w:hAnsi="Arial"/>
          <w:sz w:val="21"/>
          <w:szCs w:val="21"/>
          <w:color w:val="auto"/>
        </w:rPr>
        <w:t xml:space="preserve">Executive shall not, during the period of his employment with the Company or at any time thereafter, disclose to anyone, including, without limitation, any person, firm, corporation, or other entity, or publish, or use for any purpose, any Secret and Confidential Information, except as properly required in the ordinary course of the Company’s business or as directed and authorized by the Company or as required by court order, law or subpoena, or other legal compulsion to disclose, it being understood that information that is known generally in the industry or is otherwise available to the public (other than as a result of a violation of Executive’s obligation under this </w:t>
      </w:r>
      <w:r>
        <w:rPr>
          <w:rFonts w:ascii="Arial" w:cs="Arial" w:eastAsia="Arial" w:hAnsi="Arial"/>
          <w:sz w:val="21"/>
          <w:szCs w:val="21"/>
          <w:u w:val="single" w:color="auto"/>
          <w:color w:val="auto"/>
        </w:rPr>
        <w:t>Section 15</w:t>
      </w:r>
      <w:r>
        <w:rPr>
          <w:rFonts w:ascii="Arial" w:cs="Arial" w:eastAsia="Arial" w:hAnsi="Arial"/>
          <w:sz w:val="21"/>
          <w:szCs w:val="21"/>
          <w:color w:val="auto"/>
        </w:rPr>
        <w:t>) shall not be considered Secret and Confidential Information.</w:t>
      </w:r>
    </w:p>
    <w:p>
      <w:pPr>
        <w:spacing w:after="0" w:line="193" w:lineRule="exact"/>
        <w:rPr>
          <w:rFonts w:ascii="Arial" w:cs="Arial" w:eastAsia="Arial" w:hAnsi="Arial"/>
          <w:sz w:val="21"/>
          <w:szCs w:val="21"/>
          <w:color w:val="auto"/>
        </w:rPr>
      </w:pPr>
    </w:p>
    <w:p>
      <w:pPr>
        <w:jc w:val="both"/>
        <w:ind w:left="980" w:hanging="506"/>
        <w:spacing w:after="0" w:line="271" w:lineRule="auto"/>
        <w:tabs>
          <w:tab w:leader="none" w:pos="980" w:val="left"/>
        </w:tabs>
        <w:numPr>
          <w:ilvl w:val="1"/>
          <w:numId w:val="27"/>
        </w:numPr>
        <w:rPr>
          <w:rFonts w:ascii="Arial" w:cs="Arial" w:eastAsia="Arial" w:hAnsi="Arial"/>
          <w:sz w:val="19"/>
          <w:szCs w:val="19"/>
          <w:color w:val="auto"/>
        </w:rPr>
      </w:pPr>
      <w:r>
        <w:rPr>
          <w:rFonts w:ascii="Arial" w:cs="Arial" w:eastAsia="Arial" w:hAnsi="Arial"/>
          <w:sz w:val="19"/>
          <w:szCs w:val="19"/>
          <w:color w:val="auto"/>
        </w:rPr>
        <w:t>Notwithstanding the foregoing, pursuant to 18 U.S.C. Section 1833(b), Executive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w:t>
      </w:r>
    </w:p>
    <w:p>
      <w:pPr>
        <w:spacing w:after="0" w:line="3" w:lineRule="exact"/>
        <w:rPr>
          <w:rFonts w:ascii="Arial" w:cs="Arial" w:eastAsia="Arial" w:hAnsi="Arial"/>
          <w:sz w:val="19"/>
          <w:szCs w:val="19"/>
          <w:color w:val="auto"/>
        </w:rPr>
      </w:pPr>
    </w:p>
    <w:p>
      <w:pPr>
        <w:ind w:left="980" w:hanging="8"/>
        <w:spacing w:after="0" w:line="236" w:lineRule="auto"/>
        <w:tabs>
          <w:tab w:leader="none" w:pos="1331" w:val="left"/>
        </w:tabs>
        <w:numPr>
          <w:ilvl w:val="2"/>
          <w:numId w:val="27"/>
        </w:numPr>
        <w:rPr>
          <w:rFonts w:ascii="Arial" w:cs="Arial" w:eastAsia="Arial" w:hAnsi="Arial"/>
          <w:sz w:val="22"/>
          <w:szCs w:val="22"/>
          <w:color w:val="auto"/>
        </w:rPr>
      </w:pPr>
      <w:r>
        <w:rPr>
          <w:rFonts w:ascii="Arial" w:cs="Arial" w:eastAsia="Arial" w:hAnsi="Arial"/>
          <w:sz w:val="22"/>
          <w:szCs w:val="22"/>
          <w:color w:val="auto"/>
        </w:rPr>
        <w:t>is made in a complaint or other document filed in a lawsuit or other proceeding, if such filing is made under seal.</w:t>
      </w:r>
    </w:p>
    <w:p>
      <w:pPr>
        <w:spacing w:after="0" w:line="213" w:lineRule="exact"/>
        <w:rPr>
          <w:rFonts w:ascii="Arial" w:cs="Arial" w:eastAsia="Arial" w:hAnsi="Arial"/>
          <w:sz w:val="22"/>
          <w:szCs w:val="22"/>
          <w:color w:val="auto"/>
        </w:rPr>
      </w:pPr>
    </w:p>
    <w:p>
      <w:pPr>
        <w:jc w:val="both"/>
        <w:ind w:left="980" w:hanging="566"/>
        <w:spacing w:after="0" w:line="273" w:lineRule="auto"/>
        <w:tabs>
          <w:tab w:leader="none" w:pos="980" w:val="left"/>
        </w:tabs>
        <w:numPr>
          <w:ilvl w:val="1"/>
          <w:numId w:val="27"/>
        </w:numPr>
        <w:rPr>
          <w:rFonts w:ascii="Arial" w:cs="Arial" w:eastAsia="Arial" w:hAnsi="Arial"/>
          <w:sz w:val="19"/>
          <w:szCs w:val="19"/>
          <w:color w:val="auto"/>
        </w:rPr>
      </w:pPr>
      <w:r>
        <w:rPr>
          <w:rFonts w:ascii="Arial" w:cs="Arial" w:eastAsia="Arial" w:hAnsi="Arial"/>
          <w:sz w:val="19"/>
          <w:szCs w:val="19"/>
          <w:color w:val="auto"/>
        </w:rPr>
        <w:t>Similarly, notwithstanding anything herein to the contrary, Executive understands that this Agreement will not (1) prohibit him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(2) require notification or prior approval by the Company of any such report; provided that, Executive is not authorized to disclose communications with counsel that were made for the purpose of receiving legal advice or that contain legal advice or that are protected by the attorney work product or similar privilege.</w:t>
      </w:r>
    </w:p>
    <w:p>
      <w:pPr>
        <w:sectPr>
          <w:pgSz w:w="11900" w:h="16838" w:orient="portrait"/>
          <w:cols w:equalWidth="0" w:num="1">
            <w:col w:w="10260"/>
          </w:cols>
          <w:pgMar w:left="1300" w:top="1414" w:right="339" w:bottom="1440" w:gutter="0" w:footer="0" w:header="0"/>
        </w:sectPr>
      </w:pPr>
    </w:p>
    <w:bookmarkStart w:id="56" w:name="page57"/>
    <w:bookmarkEnd w:id="56"/>
    <w:p>
      <w:pPr>
        <w:jc w:val="both"/>
        <w:ind w:left="320" w:hanging="320"/>
        <w:spacing w:after="0" w:line="275" w:lineRule="auto"/>
        <w:tabs>
          <w:tab w:leader="none" w:pos="308"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Duty to Return Company Documents and Property</w:t>
      </w:r>
      <w:r>
        <w:rPr>
          <w:rFonts w:ascii="Arial" w:cs="Arial" w:eastAsia="Arial" w:hAnsi="Arial"/>
          <w:sz w:val="19"/>
          <w:szCs w:val="19"/>
          <w:color w:val="auto"/>
        </w:rPr>
        <w:t>. Upon the termination of Executive’s employment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any reason, Executive shall immediately return and deliver to the Company any and all papers, books, records, documents, memoranda and manuals, e-mail, electronic or magnetic recordings or data, including all copies thereof, belonging to the Company or relating to its business, in Executive’s possession or control, whether prepared by Executive or others. If at any time after the termination of employment, Executive determines that he has any Secret and Confidential Information in his possession or control, Executive shall immediately return to the Company all such Secret and Confidential Information, including all copies and portions thereof.</w:t>
      </w:r>
    </w:p>
    <w:p>
      <w:pPr>
        <w:spacing w:after="0" w:line="178" w:lineRule="exact"/>
        <w:rPr>
          <w:rFonts w:ascii="Arial" w:cs="Arial" w:eastAsia="Arial" w:hAnsi="Arial"/>
          <w:sz w:val="19"/>
          <w:szCs w:val="19"/>
          <w:color w:val="auto"/>
        </w:rPr>
      </w:pPr>
    </w:p>
    <w:p>
      <w:pPr>
        <w:jc w:val="both"/>
        <w:ind w:left="320" w:hanging="320"/>
        <w:spacing w:after="0" w:line="270" w:lineRule="auto"/>
        <w:tabs>
          <w:tab w:leader="none" w:pos="320"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Inventions</w:t>
      </w:r>
      <w:r>
        <w:rPr>
          <w:rFonts w:ascii="Arial" w:cs="Arial" w:eastAsia="Arial" w:hAnsi="Arial"/>
          <w:sz w:val="19"/>
          <w:szCs w:val="19"/>
          <w:color w:val="auto"/>
        </w:rPr>
        <w:t>. Any and all writings, computer software, inventions, improvements, processes, procedures and/or</w:t>
      </w:r>
      <w:r>
        <w:rPr>
          <w:rFonts w:ascii="Arial" w:cs="Arial" w:eastAsia="Arial" w:hAnsi="Arial"/>
          <w:sz w:val="19"/>
          <w:szCs w:val="19"/>
          <w:b w:val="1"/>
          <w:bCs w:val="1"/>
          <w:color w:val="auto"/>
        </w:rPr>
        <w:t xml:space="preserve"> </w:t>
      </w:r>
      <w:r>
        <w:rPr>
          <w:rFonts w:ascii="Arial" w:cs="Arial" w:eastAsia="Arial" w:hAnsi="Arial"/>
          <w:sz w:val="19"/>
          <w:szCs w:val="19"/>
          <w:color w:val="auto"/>
        </w:rPr>
        <w:t>techniques which Executive may make, conceive, discover, or develop, either solely or jointly with any other person or persons, at any time during the term of his employment, whether at the request or upon the suggestion of the Company or otherwise, which relate to or are useful in connection with any business now or hereafter carried on or contemplated by the Company, including developments or expansions of its present fields of operations, shall be the sole and exclusive property of the Company. Executive shall take all actions necessary so that the Company can prepare and present applications for copyright or letters patent therefor, and can secure such copyright or letters patent wherever possible, as well as reissue renewals, and extensions thereof, and can obtain the record title to such copyright or patents. Executive shall not be entitled to any additional or special compensation or reimbursement regarding any such writings, computer software, inventions, improvements, processes, procedures and techniques. Executive acknowledges that the Company from time to time may have agreements with other persons or entities which impose obligations or restrictions on the Company regarding inventions made during the course of work thereunder or regarding the confidential nature of such work. Executive shall be bound by all such obligations and restrictions and take all action necessary to discharge the obligations of the Company.</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left="320" w:hanging="320"/>
        <w:spacing w:after="0" w:line="239" w:lineRule="auto"/>
        <w:tabs>
          <w:tab w:leader="none" w:pos="308"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Non-Solicitation and Non-Competition Restrictions</w:t>
      </w:r>
      <w:r>
        <w:rPr>
          <w:rFonts w:ascii="Arial" w:cs="Arial" w:eastAsia="Arial" w:hAnsi="Arial"/>
          <w:sz w:val="22"/>
          <w:szCs w:val="22"/>
          <w:color w:val="auto"/>
        </w:rPr>
        <w:t>. To protect the Company’s Secret and Confidential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and in the event of Executive’s termination of employment for any reason whatsoever, whether by Executive or the Company, Executive will be subject to the following restrictive covenants during and for the stated period following the termination of his employment.</w:t>
      </w:r>
    </w:p>
    <w:p>
      <w:pPr>
        <w:spacing w:after="0" w:line="207" w:lineRule="exact"/>
        <w:rPr>
          <w:rFonts w:ascii="Arial" w:cs="Arial" w:eastAsia="Arial" w:hAnsi="Arial"/>
          <w:sz w:val="22"/>
          <w:szCs w:val="22"/>
          <w:color w:val="auto"/>
        </w:rPr>
      </w:pPr>
    </w:p>
    <w:p>
      <w:pPr>
        <w:jc w:val="both"/>
        <w:ind w:left="980" w:hanging="446"/>
        <w:spacing w:after="0" w:line="275" w:lineRule="auto"/>
        <w:tabs>
          <w:tab w:leader="none" w:pos="980" w:val="left"/>
        </w:tabs>
        <w:numPr>
          <w:ilvl w:val="1"/>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color w:val="auto"/>
        </w:rPr>
        <w:t>. For one (1) year following the cessation of Executive’s employment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for any reason, Executive shall not, without the prior written consent of the Company, knowingly or intentionally (1) personally engage in Competitive Activities (as defined below) or (2) work for, own, manage, operate, control, or participate in the ownership, management, operation, or control of, or provide consulting or advisory services to, any person, partnership, firm, corporation, institution or other entity engaged in Competitive Activities, or any company or person affiliated with such person or entity engaged in Competitive Activities; provided that Executive’s purchase or holding, for investment</w:t>
      </w:r>
    </w:p>
    <w:p>
      <w:pPr>
        <w:sectPr>
          <w:pgSz w:w="11900" w:h="16838" w:orient="portrait"/>
          <w:cols w:equalWidth="0" w:num="1">
            <w:col w:w="10260"/>
          </w:cols>
          <w:pgMar w:left="1300" w:top="1408" w:right="339" w:bottom="1440" w:gutter="0" w:footer="0" w:header="0"/>
        </w:sectPr>
      </w:pPr>
    </w:p>
    <w:bookmarkStart w:id="57" w:name="page58"/>
    <w:bookmarkEnd w:id="57"/>
    <w:p>
      <w:pPr>
        <w:jc w:val="both"/>
        <w:ind w:left="980"/>
        <w:spacing w:after="0" w:line="243" w:lineRule="auto"/>
        <w:rPr>
          <w:sz w:val="20"/>
          <w:szCs w:val="20"/>
          <w:color w:val="auto"/>
        </w:rPr>
      </w:pPr>
      <w:r>
        <w:rPr>
          <w:rFonts w:ascii="Arial" w:cs="Arial" w:eastAsia="Arial" w:hAnsi="Arial"/>
          <w:sz w:val="21"/>
          <w:szCs w:val="21"/>
          <w:color w:val="auto"/>
        </w:rPr>
        <w:t xml:space="preserve">purposes, of securities of a publicly traded company shall not constitute “ownership” or “participation in the ownership” for purposes of this paragraph so long as such equity interest in any such company is not more than 2% of the value of the outstanding stock or 2% of the outstanding voting securities of said publicly traded company. For the avoidance of doubt, this </w:t>
      </w:r>
      <w:r>
        <w:rPr>
          <w:rFonts w:ascii="Arial" w:cs="Arial" w:eastAsia="Arial" w:hAnsi="Arial"/>
          <w:sz w:val="21"/>
          <w:szCs w:val="21"/>
          <w:u w:val="single" w:color="auto"/>
          <w:color w:val="auto"/>
        </w:rPr>
        <w:t>Section 15(e)(i)</w:t>
      </w:r>
      <w:r>
        <w:rPr>
          <w:rFonts w:ascii="Arial" w:cs="Arial" w:eastAsia="Arial" w:hAnsi="Arial"/>
          <w:sz w:val="21"/>
          <w:szCs w:val="21"/>
          <w:color w:val="auto"/>
        </w:rPr>
        <w:t xml:space="preserve"> shall not prohibit Executive from being employed by, or providing services to, a consulting firm, provided that Executive does not personally engage in Competitive Activities or provide consulting or advisory services to any individual, partnership, firm, corporation, institution or other entity engaged in Competitive Activities, or any person entity affiliated with such individual, partnership, firm, corporation, institution or other entity engaged in Competitive Activities.</w:t>
      </w:r>
    </w:p>
    <w:p>
      <w:pPr>
        <w:spacing w:after="0" w:line="210" w:lineRule="exact"/>
        <w:rPr>
          <w:sz w:val="20"/>
          <w:szCs w:val="20"/>
          <w:color w:val="auto"/>
        </w:rPr>
      </w:pPr>
    </w:p>
    <w:p>
      <w:pPr>
        <w:jc w:val="both"/>
        <w:ind w:left="980" w:hanging="506"/>
        <w:spacing w:after="0" w:line="280" w:lineRule="auto"/>
        <w:tabs>
          <w:tab w:leader="none" w:pos="980" w:val="left"/>
        </w:tabs>
        <w:numPr>
          <w:ilvl w:val="1"/>
          <w:numId w:val="29"/>
        </w:numPr>
        <w:rPr>
          <w:rFonts w:ascii="Arial" w:cs="Arial" w:eastAsia="Arial" w:hAnsi="Arial"/>
          <w:sz w:val="19"/>
          <w:szCs w:val="19"/>
          <w:color w:val="auto"/>
        </w:rPr>
      </w:pPr>
      <w:r>
        <w:rPr>
          <w:rFonts w:ascii="Arial" w:cs="Arial" w:eastAsia="Arial" w:hAnsi="Arial"/>
          <w:sz w:val="19"/>
          <w:szCs w:val="19"/>
          <w:b w:val="1"/>
          <w:bCs w:val="1"/>
          <w:u w:val="single" w:color="auto"/>
          <w:color w:val="auto"/>
        </w:rPr>
        <w:t>Competitive Activities</w:t>
      </w:r>
      <w:r>
        <w:rPr>
          <w:rFonts w:ascii="Arial" w:cs="Arial" w:eastAsia="Arial" w:hAnsi="Arial"/>
          <w:sz w:val="19"/>
          <w:szCs w:val="19"/>
          <w:color w:val="auto"/>
        </w:rPr>
        <w:t>. For the purposes hereof, the term “</w:t>
      </w:r>
      <w:r>
        <w:rPr>
          <w:rFonts w:ascii="Arial" w:cs="Arial" w:eastAsia="Arial" w:hAnsi="Arial"/>
          <w:sz w:val="19"/>
          <w:szCs w:val="19"/>
          <w:b w:val="1"/>
          <w:bCs w:val="1"/>
          <w:color w:val="auto"/>
        </w:rPr>
        <w:t>Competitive Activities</w:t>
      </w:r>
      <w:r>
        <w:rPr>
          <w:rFonts w:ascii="Arial" w:cs="Arial" w:eastAsia="Arial" w:hAnsi="Arial"/>
          <w:sz w:val="19"/>
          <w:szCs w:val="19"/>
          <w:color w:val="auto"/>
        </w:rPr>
        <w:t>” means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products or services of the same or similar type as the products or services which are sold (or, pursuant to an existing business plan, will be sold) to paying customers of the Company or any affiliate. Notwithstanding the previous sentence, an activity shall not be treated as a Competitive Activity if the geographic marketing area of the relevant products or services does not overlap with the geographic marketing area for the applicable products and services of the Company and its affiliates.</w:t>
      </w:r>
    </w:p>
    <w:p>
      <w:pPr>
        <w:spacing w:after="0" w:line="171" w:lineRule="exact"/>
        <w:rPr>
          <w:rFonts w:ascii="Arial" w:cs="Arial" w:eastAsia="Arial" w:hAnsi="Arial"/>
          <w:sz w:val="19"/>
          <w:szCs w:val="19"/>
          <w:color w:val="auto"/>
        </w:rPr>
      </w:pPr>
    </w:p>
    <w:p>
      <w:pPr>
        <w:jc w:val="both"/>
        <w:ind w:left="980" w:hanging="566"/>
        <w:spacing w:after="0" w:line="233" w:lineRule="auto"/>
        <w:tabs>
          <w:tab w:leader="none" w:pos="980" w:val="left"/>
        </w:tabs>
        <w:numPr>
          <w:ilvl w:val="1"/>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Interference With Business Relations</w:t>
      </w:r>
      <w:r>
        <w:rPr>
          <w:rFonts w:ascii="Arial" w:cs="Arial" w:eastAsia="Arial" w:hAnsi="Arial"/>
          <w:sz w:val="22"/>
          <w:szCs w:val="22"/>
          <w:color w:val="auto"/>
        </w:rPr>
        <w:t>. For two (2) years following the termination of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Executive shall not, without the prior written consent of the Company, knowingly or intentionally, directly or indirectly: (1) recruit, induce or solicit any individual who is or who, within the preceding six (6) months, was a non-clerical employee of the Company (including any of its subsidiaries) for employment or for retention as a consultant or service provider, or hire any such individual; or (2) solicit or induce any client, customer, or prospect of the Company (including any subsidiary of the Company) (x) to cease being, or not to become, a customer of the Company (or any such subsidiary), or (y) to divert any business of such customer or prospect from the Company (or any such subsidiary).</w:t>
      </w:r>
    </w:p>
    <w:p>
      <w:pPr>
        <w:spacing w:after="0" w:line="206" w:lineRule="exact"/>
        <w:rPr>
          <w:rFonts w:ascii="Arial" w:cs="Arial" w:eastAsia="Arial" w:hAnsi="Arial"/>
          <w:sz w:val="22"/>
          <w:szCs w:val="22"/>
          <w:color w:val="auto"/>
        </w:rPr>
      </w:pPr>
    </w:p>
    <w:p>
      <w:pPr>
        <w:jc w:val="both"/>
        <w:ind w:left="320" w:hanging="320"/>
        <w:spacing w:after="0" w:line="249" w:lineRule="auto"/>
        <w:tabs>
          <w:tab w:leader="none" w:pos="311" w:val="left"/>
        </w:tabs>
        <w:numPr>
          <w:ilvl w:val="0"/>
          <w:numId w:val="30"/>
        </w:numPr>
        <w:rPr>
          <w:rFonts w:ascii="Arial" w:cs="Arial" w:eastAsia="Arial" w:hAnsi="Arial"/>
          <w:sz w:val="21"/>
          <w:szCs w:val="21"/>
          <w:color w:val="auto"/>
        </w:rPr>
      </w:pPr>
      <w:r>
        <w:rPr>
          <w:rFonts w:ascii="Arial" w:cs="Arial" w:eastAsia="Arial" w:hAnsi="Arial"/>
          <w:sz w:val="21"/>
          <w:szCs w:val="21"/>
          <w:b w:val="1"/>
          <w:bCs w:val="1"/>
          <w:u w:val="single" w:color="auto"/>
          <w:color w:val="auto"/>
        </w:rPr>
        <w:t>Reformation</w:t>
      </w:r>
      <w:r>
        <w:rPr>
          <w:rFonts w:ascii="Arial" w:cs="Arial" w:eastAsia="Arial" w:hAnsi="Arial"/>
          <w:sz w:val="21"/>
          <w:szCs w:val="21"/>
          <w:color w:val="auto"/>
        </w:rPr>
        <w:t>. If a court concludes that any time period and/or the geographic area specified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15(e)</w:t>
      </w:r>
      <w:r>
        <w:rPr>
          <w:rFonts w:ascii="Arial" w:cs="Arial" w:eastAsia="Arial" w:hAnsi="Arial"/>
          <w:sz w:val="21"/>
          <w:szCs w:val="21"/>
          <w:b w:val="1"/>
          <w:bCs w:val="1"/>
          <w:color w:val="auto"/>
        </w:rPr>
        <w:t xml:space="preserve"> </w:t>
      </w:r>
      <w:r>
        <w:rPr>
          <w:rFonts w:ascii="Arial" w:cs="Arial" w:eastAsia="Arial" w:hAnsi="Arial"/>
          <w:sz w:val="21"/>
          <w:szCs w:val="21"/>
          <w:color w:val="auto"/>
        </w:rPr>
        <w:t>is</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unenforceable, then the time period will be reduced by the number of months, or the geographic area will be reduced by the elimination of the overbroad portion, or both, as the case may be, so that the restrictions may be enforced in the geographic area and for the time to the fullest extent permitted by law.</w:t>
      </w:r>
    </w:p>
    <w:p>
      <w:pPr>
        <w:spacing w:after="0" w:line="199" w:lineRule="exact"/>
        <w:rPr>
          <w:rFonts w:ascii="Arial" w:cs="Arial" w:eastAsia="Arial" w:hAnsi="Arial"/>
          <w:sz w:val="21"/>
          <w:szCs w:val="21"/>
          <w:color w:val="auto"/>
        </w:rPr>
      </w:pPr>
    </w:p>
    <w:p>
      <w:pPr>
        <w:jc w:val="both"/>
        <w:ind w:left="320" w:hanging="320"/>
        <w:spacing w:after="0" w:line="254" w:lineRule="auto"/>
        <w:tabs>
          <w:tab w:leader="none" w:pos="320" w:val="left"/>
        </w:tabs>
        <w:numPr>
          <w:ilvl w:val="0"/>
          <w:numId w:val="30"/>
        </w:numPr>
        <w:rPr>
          <w:rFonts w:ascii="Arial" w:cs="Arial" w:eastAsia="Arial" w:hAnsi="Arial"/>
          <w:sz w:val="21"/>
          <w:szCs w:val="21"/>
          <w:color w:val="auto"/>
        </w:rPr>
      </w:pPr>
      <w:r>
        <w:rPr>
          <w:rFonts w:ascii="Arial" w:cs="Arial" w:eastAsia="Arial" w:hAnsi="Arial"/>
          <w:sz w:val="21"/>
          <w:szCs w:val="21"/>
          <w:b w:val="1"/>
          <w:bCs w:val="1"/>
          <w:u w:val="single" w:color="auto"/>
          <w:color w:val="auto"/>
        </w:rPr>
        <w:t>Remedies</w:t>
      </w:r>
      <w:r>
        <w:rPr>
          <w:rFonts w:ascii="Arial" w:cs="Arial" w:eastAsia="Arial" w:hAnsi="Arial"/>
          <w:sz w:val="21"/>
          <w:szCs w:val="21"/>
          <w:color w:val="auto"/>
        </w:rPr>
        <w:t>. Executive acknowledges and agrees that, in view of the nature of the Company’s business,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restrictions contained in 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of the Agreement are reasonable and necessary to protect the Company’s legitimate business interests and that any violation of these restrictions would result in irreparable injury to the Company. In the event of a breach or a threatened breach</w:t>
      </w:r>
    </w:p>
    <w:p>
      <w:pPr>
        <w:sectPr>
          <w:pgSz w:w="11900" w:h="16838" w:orient="portrait"/>
          <w:cols w:equalWidth="0" w:num="1">
            <w:col w:w="10260"/>
          </w:cols>
          <w:pgMar w:left="1300" w:top="1414" w:right="339" w:bottom="1440" w:gutter="0" w:footer="0" w:header="0"/>
        </w:sectPr>
      </w:pPr>
    </w:p>
    <w:bookmarkStart w:id="58" w:name="page59"/>
    <w:bookmarkEnd w:id="58"/>
    <w:p>
      <w:pPr>
        <w:jc w:val="both"/>
        <w:ind w:left="968"/>
        <w:spacing w:after="0" w:line="272" w:lineRule="auto"/>
        <w:rPr>
          <w:sz w:val="20"/>
          <w:szCs w:val="20"/>
          <w:color w:val="auto"/>
        </w:rPr>
      </w:pPr>
      <w:r>
        <w:rPr>
          <w:rFonts w:ascii="Arial" w:cs="Arial" w:eastAsia="Arial" w:hAnsi="Arial"/>
          <w:sz w:val="19"/>
          <w:szCs w:val="19"/>
          <w:color w:val="auto"/>
        </w:rPr>
        <w:t>by Executive of any restrictive covenant contained herein, the Company shall be entitled to a temporary restraining order and injunctive relief restraining Executive from the commission of any breach, and to recover the Company’s attorneys’ fees, costs and expenses related to the breach or threatened breach. Nothing contained herein shall be construed as prohibiting the Company from pursuing any other remedies available to it for any breach or threatened breach, including, without limitation, the other remedies specified in this Agreement and/or the recovery of money damages, attorneys' fees, and costs. These covenants and restrictions shall each be construed as independent of any other provisions in the Agreement, and the existence of any claim or cause of action by Executive against the Company, whether predicated on this Agreement or otherwise, shall not constitute a defense to the enforcement by the Company of such covenants and restrictions.</w:t>
      </w:r>
    </w:p>
    <w:p>
      <w:pPr>
        <w:spacing w:after="0" w:line="182" w:lineRule="exact"/>
        <w:rPr>
          <w:sz w:val="20"/>
          <w:szCs w:val="20"/>
          <w:color w:val="auto"/>
        </w:rPr>
      </w:pPr>
    </w:p>
    <w:p>
      <w:pPr>
        <w:jc w:val="both"/>
        <w:ind w:left="968" w:hanging="320"/>
        <w:spacing w:after="0" w:line="251" w:lineRule="auto"/>
        <w:tabs>
          <w:tab w:leader="none" w:pos="968" w:val="left"/>
        </w:tabs>
        <w:numPr>
          <w:ilvl w:val="1"/>
          <w:numId w:val="31"/>
        </w:numPr>
        <w:rPr>
          <w:rFonts w:ascii="Arial" w:cs="Arial" w:eastAsia="Arial" w:hAnsi="Arial"/>
          <w:sz w:val="21"/>
          <w:szCs w:val="2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Should a court determine that any paragraph or sentence, or any portion of a paragraph or sentence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is invalid, unenforceable or void, this determination shall not have the effect of invalidating the remainder of the paragraph, sentence or any other provision of 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Further, it is intended that the court should construe this </w:t>
      </w:r>
      <w:r>
        <w:rPr>
          <w:rFonts w:ascii="Arial" w:cs="Arial" w:eastAsia="Arial" w:hAnsi="Arial"/>
          <w:sz w:val="21"/>
          <w:szCs w:val="21"/>
          <w:u w:val="single" w:color="auto"/>
          <w:color w:val="auto"/>
        </w:rPr>
        <w:t>Section 15</w:t>
      </w:r>
      <w:r>
        <w:rPr>
          <w:rFonts w:ascii="Arial" w:cs="Arial" w:eastAsia="Arial" w:hAnsi="Arial"/>
          <w:sz w:val="21"/>
          <w:szCs w:val="21"/>
          <w:color w:val="auto"/>
        </w:rPr>
        <w:t xml:space="preserve"> by limiting and reducing it only to the extent necessary to be enforceable under then applicable law, taking into account the intent of the parties.</w:t>
      </w:r>
    </w:p>
    <w:p>
      <w:pPr>
        <w:spacing w:after="0" w:line="195" w:lineRule="exact"/>
        <w:rPr>
          <w:rFonts w:ascii="Arial" w:cs="Arial" w:eastAsia="Arial" w:hAnsi="Arial"/>
          <w:sz w:val="21"/>
          <w:szCs w:val="21"/>
          <w:color w:val="auto"/>
        </w:rPr>
      </w:pPr>
    </w:p>
    <w:p>
      <w:pPr>
        <w:jc w:val="both"/>
        <w:ind w:left="968" w:hanging="320"/>
        <w:spacing w:after="0" w:line="236" w:lineRule="auto"/>
        <w:tabs>
          <w:tab w:leader="none" w:pos="960" w:val="left"/>
        </w:tabs>
        <w:numPr>
          <w:ilvl w:val="1"/>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Future Employment</w:t>
      </w:r>
      <w:r>
        <w:rPr>
          <w:rFonts w:ascii="Arial" w:cs="Arial" w:eastAsia="Arial" w:hAnsi="Arial"/>
          <w:sz w:val="22"/>
          <w:szCs w:val="22"/>
          <w:color w:val="auto"/>
        </w:rPr>
        <w:t>. If, before the expiration of the period covered by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15(e)(iii)</w:t>
      </w:r>
      <w:r>
        <w:rPr>
          <w:rFonts w:ascii="Arial" w:cs="Arial" w:eastAsia="Arial" w:hAnsi="Arial"/>
          <w:sz w:val="22"/>
          <w:szCs w:val="22"/>
          <w:b w:val="1"/>
          <w:bCs w:val="1"/>
          <w:color w:val="auto"/>
        </w:rPr>
        <w:t xml:space="preserve"> </w:t>
      </w:r>
      <w:r>
        <w:rPr>
          <w:rFonts w:ascii="Arial" w:cs="Arial" w:eastAsia="Arial" w:hAnsi="Arial"/>
          <w:sz w:val="22"/>
          <w:szCs w:val="22"/>
          <w:color w:val="auto"/>
        </w:rPr>
        <w:t>hereof, Executive seeks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is offered employment or engagement by any other company, firm, person or entity, Executive shall provide a copy of this </w:t>
      </w: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to the prospective service recipient before accepting employment with that prospective employer.</w:t>
      </w:r>
    </w:p>
    <w:p>
      <w:pPr>
        <w:spacing w:after="0" w:line="206" w:lineRule="exact"/>
        <w:rPr>
          <w:rFonts w:ascii="Arial" w:cs="Arial" w:eastAsia="Arial" w:hAnsi="Arial"/>
          <w:sz w:val="22"/>
          <w:szCs w:val="22"/>
          <w:color w:val="auto"/>
        </w:rPr>
      </w:pPr>
    </w:p>
    <w:p>
      <w:pPr>
        <w:ind w:left="328" w:hanging="328"/>
        <w:spacing w:after="0" w:line="334" w:lineRule="auto"/>
        <w:tabs>
          <w:tab w:leader="none" w:pos="328"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No Duty to Mitigate</w:t>
      </w:r>
      <w:r>
        <w:rPr>
          <w:rFonts w:ascii="Arial" w:cs="Arial" w:eastAsia="Arial" w:hAnsi="Arial"/>
          <w:sz w:val="19"/>
          <w:szCs w:val="19"/>
          <w:color w:val="auto"/>
        </w:rPr>
        <w:t>. Except as otherwise specifically provided herein, Executive’s entitlement to payments or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upon or following the termination of his employment will not be subject to mitigation or a duty to mitigate by Executive.</w:t>
      </w:r>
    </w:p>
    <w:p>
      <w:pPr>
        <w:spacing w:after="0" w:line="120" w:lineRule="exact"/>
        <w:rPr>
          <w:rFonts w:ascii="Arial" w:cs="Arial" w:eastAsia="Arial" w:hAnsi="Arial"/>
          <w:sz w:val="19"/>
          <w:szCs w:val="19"/>
          <w:color w:val="auto"/>
        </w:rPr>
      </w:pPr>
    </w:p>
    <w:p>
      <w:pPr>
        <w:jc w:val="both"/>
        <w:ind w:left="328" w:hanging="328"/>
        <w:spacing w:after="0" w:line="239" w:lineRule="auto"/>
        <w:tabs>
          <w:tab w:leader="none" w:pos="328"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No Conflicting Agreements</w:t>
      </w:r>
      <w:r>
        <w:rPr>
          <w:rFonts w:ascii="Arial" w:cs="Arial" w:eastAsia="Arial" w:hAnsi="Arial"/>
          <w:sz w:val="22"/>
          <w:szCs w:val="22"/>
          <w:color w:val="auto"/>
        </w:rPr>
        <w:t>. Executive represents and warrants that he is not a party to or otherwise bound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restriction that could conflict with, or be violated by, the performance of his duties to the Company or his obligations under this Agreement. Executive will not use or misappropriate any intellectual property, trade secrets or confidential information belonging to any third party.</w:t>
      </w:r>
    </w:p>
    <w:p>
      <w:pPr>
        <w:spacing w:after="0" w:line="207" w:lineRule="exact"/>
        <w:rPr>
          <w:rFonts w:ascii="Arial" w:cs="Arial" w:eastAsia="Arial" w:hAnsi="Arial"/>
          <w:sz w:val="22"/>
          <w:szCs w:val="22"/>
          <w:color w:val="auto"/>
        </w:rPr>
      </w:pPr>
    </w:p>
    <w:p>
      <w:pPr>
        <w:jc w:val="both"/>
        <w:ind w:left="328" w:hanging="328"/>
        <w:spacing w:after="0" w:line="284" w:lineRule="auto"/>
        <w:tabs>
          <w:tab w:leader="none" w:pos="328" w:val="left"/>
        </w:tabs>
        <w:numPr>
          <w:ilvl w:val="0"/>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All compensation payable to Executive is subject to reduction to reflect applicable withholding and payroll taxes</w:t>
      </w:r>
      <w:r>
        <w:rPr>
          <w:rFonts w:ascii="Arial" w:cs="Arial" w:eastAsia="Arial" w:hAnsi="Arial"/>
          <w:sz w:val="19"/>
          <w:szCs w:val="19"/>
          <w:b w:val="1"/>
          <w:bCs w:val="1"/>
          <w:color w:val="auto"/>
        </w:rPr>
        <w:t xml:space="preserve"> </w:t>
      </w:r>
      <w:r>
        <w:rPr>
          <w:rFonts w:ascii="Arial" w:cs="Arial" w:eastAsia="Arial" w:hAnsi="Arial"/>
          <w:sz w:val="19"/>
          <w:szCs w:val="19"/>
          <w:color w:val="auto"/>
        </w:rPr>
        <w:t>and other deductions required by law. Executive hereby acknowledges that the Company does not have a duty to design its compensation policies in a manner that minimizes Executive’s tax liabilities, and Executive not make any claim against the Company or its board of directors related to tax liabilities arising from his compensation.</w:t>
      </w:r>
    </w:p>
    <w:p>
      <w:pPr>
        <w:spacing w:after="0" w:line="167" w:lineRule="exact"/>
        <w:rPr>
          <w:rFonts w:ascii="Arial" w:cs="Arial" w:eastAsia="Arial" w:hAnsi="Arial"/>
          <w:sz w:val="19"/>
          <w:szCs w:val="19"/>
          <w:color w:val="auto"/>
        </w:rPr>
      </w:pPr>
    </w:p>
    <w:p>
      <w:pPr>
        <w:ind w:left="328" w:hanging="328"/>
        <w:spacing w:after="0"/>
        <w:tabs>
          <w:tab w:leader="none" w:pos="328"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Assignment; Amendment</w:t>
      </w:r>
      <w:r>
        <w:rPr>
          <w:rFonts w:ascii="Arial" w:cs="Arial" w:eastAsia="Arial" w:hAnsi="Arial"/>
          <w:sz w:val="22"/>
          <w:szCs w:val="22"/>
          <w:color w:val="auto"/>
        </w:rPr>
        <w:t>.</w:t>
      </w:r>
    </w:p>
    <w:p>
      <w:pPr>
        <w:sectPr>
          <w:pgSz w:w="11900" w:h="16838" w:orient="portrait"/>
          <w:cols w:equalWidth="0" w:num="1">
            <w:col w:w="10908"/>
          </w:cols>
          <w:pgMar w:left="652" w:top="1414" w:right="339" w:bottom="1440" w:gutter="0" w:footer="0" w:header="0"/>
        </w:sectPr>
      </w:pPr>
    </w:p>
    <w:bookmarkStart w:id="59" w:name="page60"/>
    <w:bookmarkEnd w:id="59"/>
    <w:p>
      <w:pPr>
        <w:jc w:val="both"/>
        <w:ind w:left="968" w:hanging="320"/>
        <w:spacing w:after="0" w:line="252" w:lineRule="auto"/>
        <w:tabs>
          <w:tab w:leader="none" w:pos="956"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This Agreement, including the exhibits, schedules and other documents referred to herein, constitutes the final and entire agreement of the parties with respect to the matters covered hereby and supersedes any prior and/or contemporaneous agreements, discussions, negotiations, representations or understandings (whether written, oral or implied) relating to the subject matter hereof.</w:t>
      </w:r>
    </w:p>
    <w:p>
      <w:pPr>
        <w:spacing w:after="0" w:line="200" w:lineRule="exact"/>
        <w:rPr>
          <w:rFonts w:ascii="Arial" w:cs="Arial" w:eastAsia="Arial" w:hAnsi="Arial"/>
          <w:sz w:val="21"/>
          <w:szCs w:val="21"/>
          <w:color w:val="auto"/>
        </w:rPr>
      </w:pPr>
    </w:p>
    <w:p>
      <w:pPr>
        <w:jc w:val="both"/>
        <w:ind w:left="968" w:hanging="320"/>
        <w:spacing w:after="0" w:line="278" w:lineRule="auto"/>
        <w:tabs>
          <w:tab w:leader="none" w:pos="968"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The rights and obligations of Executive hereunder are personal and may not be assigned. The Company may assign this Agreement, and its rights and obligations hereunder, to any entity to which the Company transfers substantially all of its assets (or an affiliate thereof). Notwithstanding any other provision of this Agreement, any such assignment of this Agreement by the Company will not entitle Executive to severance benefits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11(a)</w:t>
      </w:r>
      <w:r>
        <w:rPr>
          <w:rFonts w:ascii="Arial" w:cs="Arial" w:eastAsia="Arial" w:hAnsi="Arial"/>
          <w:sz w:val="19"/>
          <w:szCs w:val="19"/>
          <w:color w:val="auto"/>
        </w:rPr>
        <w:t xml:space="preserve"> or otherwise, whether or not Executive accepts employment with the assignee.</w:t>
      </w:r>
    </w:p>
    <w:p>
      <w:pPr>
        <w:spacing w:after="0" w:line="179" w:lineRule="exact"/>
        <w:rPr>
          <w:rFonts w:ascii="Arial" w:cs="Arial" w:eastAsia="Arial" w:hAnsi="Arial"/>
          <w:sz w:val="19"/>
          <w:szCs w:val="19"/>
          <w:color w:val="auto"/>
        </w:rPr>
      </w:pPr>
    </w:p>
    <w:p>
      <w:pPr>
        <w:ind w:left="968" w:hanging="320"/>
        <w:spacing w:after="0" w:line="250" w:lineRule="auto"/>
        <w:tabs>
          <w:tab w:leader="none" w:pos="956"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This Agreement may be amended or modified only by a written instrument signed by a duly authorized officer of the Company and Executive.</w:t>
      </w:r>
    </w:p>
    <w:p>
      <w:pPr>
        <w:spacing w:after="0" w:line="195" w:lineRule="exact"/>
        <w:rPr>
          <w:rFonts w:ascii="Arial" w:cs="Arial" w:eastAsia="Arial" w:hAnsi="Arial"/>
          <w:sz w:val="22"/>
          <w:szCs w:val="22"/>
          <w:color w:val="auto"/>
        </w:rPr>
      </w:pPr>
    </w:p>
    <w:p>
      <w:pPr>
        <w:jc w:val="both"/>
        <w:ind w:left="328" w:hanging="328"/>
        <w:spacing w:after="0" w:line="271" w:lineRule="auto"/>
        <w:tabs>
          <w:tab w:leader="none" w:pos="328"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color w:val="auto"/>
        </w:rPr>
        <w:t>. In the event of any dispute under the provisions of this Agreement or otherwise regarding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or compensation (other than a dispute in which the primary relief sought is an injunction or other equitable remedy, such as an action to enforce compliance with </w:t>
      </w:r>
      <w:r>
        <w:rPr>
          <w:rFonts w:ascii="Arial" w:cs="Arial" w:eastAsia="Arial" w:hAnsi="Arial"/>
          <w:sz w:val="19"/>
          <w:szCs w:val="19"/>
          <w:u w:val="single" w:color="auto"/>
          <w:color w:val="auto"/>
        </w:rPr>
        <w:t>Section 15</w:t>
      </w:r>
      <w:r>
        <w:rPr>
          <w:rFonts w:ascii="Arial" w:cs="Arial" w:eastAsia="Arial" w:hAnsi="Arial"/>
          <w:sz w:val="19"/>
          <w:szCs w:val="19"/>
          <w:color w:val="auto"/>
        </w:rPr>
        <w:t>), the parties shall be required to have the dispute, controversy or claim settled by arbitration in Princeton Junction, New Jersey in accordance with the National Rules for the Resolution of Employment Disputes then in effect of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by one arbitrator mutually agreed upon by the parties (or, if no agreement can be reached within thirty (30) days after names of potential arbitrators have been proposed by the AAA, then by one arbitrator having relevant experience who is chosen by the AAA). Any award or finding will be confidential. The arbitrator may not award attorneys’ fees to either party unless a statute or contract at issue specifically authorizes such an award. Any award entered by the arbitrators will be final, binding and non-appealable and judgment may be entered thereon by either party in accordance with applicable law in any court of competent jurisdiction. This arbitration provision will be specifically enforceable. Each party will be responsible for its own expenses relating to the conduct of the arbitration (including reasonable attorneys’ fees and expenses) and will share equally the fees of the arbitrator.</w:t>
      </w: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jc w:val="both"/>
        <w:ind w:left="328" w:hanging="328"/>
        <w:spacing w:after="0" w:line="244" w:lineRule="auto"/>
        <w:tabs>
          <w:tab w:leader="none" w:pos="328" w:val="left"/>
        </w:tabs>
        <w:numPr>
          <w:ilvl w:val="0"/>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demands or other communications hereunder shall be in writing and shall be deemed to have been</w:t>
      </w:r>
      <w:r>
        <w:rPr>
          <w:rFonts w:ascii="Arial" w:cs="Arial" w:eastAsia="Arial" w:hAnsi="Arial"/>
          <w:sz w:val="21"/>
          <w:szCs w:val="21"/>
          <w:b w:val="1"/>
          <w:bCs w:val="1"/>
          <w:color w:val="auto"/>
        </w:rPr>
        <w:t xml:space="preserve"> </w:t>
      </w:r>
      <w:r>
        <w:rPr>
          <w:rFonts w:ascii="Arial" w:cs="Arial" w:eastAsia="Arial" w:hAnsi="Arial"/>
          <w:sz w:val="21"/>
          <w:szCs w:val="21"/>
          <w:color w:val="auto"/>
        </w:rPr>
        <w:t>duly given if delivered in person, by e-mail or fax, by United States mail, certified or registered with return receipt requested, or by a nationally recognized overnight courier service, or otherwise actually delivered: (a) if to Executive, at the most recent address contained in the Company’s personnel files; (b) if to the Company, to the attention of its Legal Department at the address of its principal executive office; or (c) or at such other address as may have been furnished by such person in writing to the other party. Any such notice, demand or communication shall be deemed given on the date given, if delivered in person, e-mailed or faxed, on the date received, if given by registered or certified mail, return receipt requested or by overnight delivery service, or three days after the date mailed, if otherwise given by first class mail, postage prepaid.</w:t>
      </w:r>
    </w:p>
    <w:p>
      <w:pPr>
        <w:sectPr>
          <w:pgSz w:w="11900" w:h="16838" w:orient="portrait"/>
          <w:cols w:equalWidth="0" w:num="1">
            <w:col w:w="10908"/>
          </w:cols>
          <w:pgMar w:left="652" w:top="1414" w:right="339" w:bottom="1440" w:gutter="0" w:footer="0" w:header="0"/>
        </w:sectPr>
      </w:pPr>
    </w:p>
    <w:bookmarkStart w:id="60" w:name="page61"/>
    <w:bookmarkEnd w:id="60"/>
    <w:p>
      <w:pPr>
        <w:ind w:left="328" w:hanging="328"/>
        <w:spacing w:after="0" w:line="256" w:lineRule="auto"/>
        <w:tabs>
          <w:tab w:leader="none" w:pos="328"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of the sections of this Agreement are inserted for convenience only and shall not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of this Agreement.</w:t>
      </w:r>
    </w:p>
    <w:p>
      <w:pPr>
        <w:spacing w:after="0" w:line="189" w:lineRule="exact"/>
        <w:rPr>
          <w:rFonts w:ascii="Arial" w:cs="Arial" w:eastAsia="Arial" w:hAnsi="Arial"/>
          <w:sz w:val="22"/>
          <w:szCs w:val="22"/>
          <w:color w:val="auto"/>
        </w:rPr>
      </w:pPr>
    </w:p>
    <w:p>
      <w:pPr>
        <w:ind w:left="328" w:hanging="328"/>
        <w:spacing w:after="0" w:line="256" w:lineRule="auto"/>
        <w:tabs>
          <w:tab w:leader="none" w:pos="328"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internal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New Jersey, without regard to its choice of law provisions.</w:t>
      </w:r>
    </w:p>
    <w:p>
      <w:pPr>
        <w:spacing w:after="0" w:line="189" w:lineRule="exact"/>
        <w:rPr>
          <w:rFonts w:ascii="Arial" w:cs="Arial" w:eastAsia="Arial" w:hAnsi="Arial"/>
          <w:sz w:val="22"/>
          <w:szCs w:val="22"/>
          <w:color w:val="auto"/>
        </w:rPr>
      </w:pPr>
    </w:p>
    <w:p>
      <w:pPr>
        <w:ind w:left="328" w:hanging="328"/>
        <w:spacing w:after="0" w:line="280" w:lineRule="auto"/>
        <w:tabs>
          <w:tab w:leader="none" w:pos="328" w:val="left"/>
        </w:tabs>
        <w:numPr>
          <w:ilvl w:val="0"/>
          <w:numId w:val="35"/>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separate counterparts, any one of which need not contain signatures</w:t>
      </w:r>
      <w:r>
        <w:rPr>
          <w:rFonts w:ascii="Arial" w:cs="Arial" w:eastAsia="Arial" w:hAnsi="Arial"/>
          <w:sz w:val="21"/>
          <w:szCs w:val="21"/>
          <w:b w:val="1"/>
          <w:bCs w:val="1"/>
          <w:color w:val="auto"/>
        </w:rPr>
        <w:t xml:space="preserve"> </w:t>
      </w:r>
      <w:r>
        <w:rPr>
          <w:rFonts w:ascii="Arial" w:cs="Arial" w:eastAsia="Arial" w:hAnsi="Arial"/>
          <w:sz w:val="21"/>
          <w:szCs w:val="21"/>
          <w:color w:val="auto"/>
        </w:rPr>
        <w:t>of more than one party, but all of which taken together will constitute one and the same Agreement.</w:t>
      </w:r>
    </w:p>
    <w:p>
      <w:pPr>
        <w:spacing w:after="0" w:line="158" w:lineRule="exact"/>
        <w:rPr>
          <w:sz w:val="20"/>
          <w:szCs w:val="20"/>
          <w:color w:val="auto"/>
        </w:rPr>
      </w:pPr>
    </w:p>
    <w:p>
      <w:pPr>
        <w:jc w:val="center"/>
        <w:ind w:right="312"/>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8"/>
        <w:spacing w:after="0"/>
        <w:rPr>
          <w:sz w:val="20"/>
          <w:szCs w:val="20"/>
          <w:color w:val="auto"/>
        </w:rPr>
      </w:pPr>
      <w:r>
        <w:rPr>
          <w:rFonts w:ascii="Arial" w:cs="Arial" w:eastAsia="Arial" w:hAnsi="Arial"/>
          <w:sz w:val="22"/>
          <w:szCs w:val="22"/>
          <w:color w:val="auto"/>
        </w:rPr>
        <w:t>This Agreement has been executed and delivered on the date first above written.</w:t>
      </w:r>
    </w:p>
    <w:p>
      <w:pPr>
        <w:spacing w:after="0" w:line="8" w:lineRule="exact"/>
        <w:rPr>
          <w:sz w:val="20"/>
          <w:szCs w:val="20"/>
          <w:color w:val="auto"/>
        </w:rPr>
      </w:pPr>
    </w:p>
    <w:p>
      <w:pPr>
        <w:ind w:left="3568"/>
        <w:spacing w:after="0"/>
        <w:rPr>
          <w:sz w:val="20"/>
          <w:szCs w:val="20"/>
          <w:color w:val="auto"/>
        </w:rPr>
      </w:pPr>
      <w:r>
        <w:rPr>
          <w:rFonts w:ascii="Arial" w:cs="Arial" w:eastAsia="Arial" w:hAnsi="Arial"/>
          <w:sz w:val="22"/>
          <w:szCs w:val="22"/>
          <w:b w:val="1"/>
          <w:bCs w:val="1"/>
          <w:color w:val="auto"/>
        </w:rPr>
        <w:t>MISTRAS GROUP, INC.</w:t>
      </w:r>
    </w:p>
    <w:p>
      <w:pPr>
        <w:spacing w:after="0" w:line="200" w:lineRule="exact"/>
        <w:rPr>
          <w:sz w:val="20"/>
          <w:szCs w:val="20"/>
          <w:color w:val="auto"/>
        </w:rPr>
      </w:pPr>
    </w:p>
    <w:p>
      <w:pPr>
        <w:spacing w:after="0" w:line="258" w:lineRule="exact"/>
        <w:rPr>
          <w:sz w:val="20"/>
          <w:szCs w:val="20"/>
          <w:color w:val="auto"/>
        </w:rPr>
      </w:pPr>
    </w:p>
    <w:p>
      <w:pPr>
        <w:ind w:left="3568"/>
        <w:spacing w:after="0"/>
        <w:rPr>
          <w:sz w:val="20"/>
          <w:szCs w:val="20"/>
          <w:color w:val="auto"/>
        </w:rPr>
      </w:pPr>
      <w:r>
        <w:rPr>
          <w:rFonts w:ascii="Arial" w:cs="Arial" w:eastAsia="Arial" w:hAnsi="Arial"/>
          <w:sz w:val="22"/>
          <w:szCs w:val="22"/>
          <w:color w:val="auto"/>
        </w:rPr>
        <w:t>By:</w:t>
      </w:r>
    </w:p>
    <w:p>
      <w:pPr>
        <w:ind w:left="3568"/>
        <w:spacing w:after="0" w:line="238" w:lineRule="auto"/>
        <w:rPr>
          <w:sz w:val="20"/>
          <w:szCs w:val="20"/>
          <w:color w:val="auto"/>
        </w:rPr>
      </w:pPr>
      <w:r>
        <w:rPr>
          <w:rFonts w:ascii="Arial" w:cs="Arial" w:eastAsia="Arial" w:hAnsi="Arial"/>
          <w:sz w:val="22"/>
          <w:szCs w:val="22"/>
          <w:color w:val="auto"/>
        </w:rPr>
        <w:t>Name: Michael C. Keefe</w:t>
      </w:r>
    </w:p>
    <w:p>
      <w:pPr>
        <w:ind w:left="3568"/>
        <w:spacing w:after="0" w:line="230" w:lineRule="auto"/>
        <w:rPr>
          <w:sz w:val="20"/>
          <w:szCs w:val="20"/>
          <w:color w:val="auto"/>
        </w:rPr>
      </w:pPr>
      <w:r>
        <w:rPr>
          <w:rFonts w:ascii="Arial" w:cs="Arial" w:eastAsia="Arial" w:hAnsi="Arial"/>
          <w:sz w:val="22"/>
          <w:szCs w:val="22"/>
          <w:color w:val="auto"/>
        </w:rPr>
        <w:t>Title: Executive Vice President and</w:t>
      </w:r>
    </w:p>
    <w:p>
      <w:pPr>
        <w:spacing w:after="0" w:line="1" w:lineRule="exact"/>
        <w:rPr>
          <w:sz w:val="20"/>
          <w:szCs w:val="20"/>
          <w:color w:val="auto"/>
        </w:rPr>
      </w:pPr>
    </w:p>
    <w:p>
      <w:pPr>
        <w:ind w:left="4208"/>
        <w:spacing w:after="0"/>
        <w:rPr>
          <w:sz w:val="20"/>
          <w:szCs w:val="20"/>
          <w:color w:val="auto"/>
        </w:rPr>
      </w:pPr>
      <w:r>
        <w:rPr>
          <w:rFonts w:ascii="Arial" w:cs="Arial" w:eastAsia="Arial" w:hAnsi="Arial"/>
          <w:sz w:val="22"/>
          <w:szCs w:val="22"/>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68"/>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68"/>
        <w:spacing w:after="0"/>
        <w:rPr>
          <w:sz w:val="20"/>
          <w:szCs w:val="20"/>
          <w:color w:val="auto"/>
        </w:rPr>
      </w:pPr>
      <w:r>
        <w:rPr>
          <w:rFonts w:ascii="Arial" w:cs="Arial" w:eastAsia="Arial" w:hAnsi="Arial"/>
          <w:sz w:val="22"/>
          <w:szCs w:val="22"/>
          <w:b w:val="1"/>
          <w:bCs w:val="1"/>
          <w:color w:val="auto"/>
        </w:rPr>
        <w:t>Gennaro A. D’Alterio</w:t>
      </w:r>
    </w:p>
    <w:p>
      <w:pPr>
        <w:sectPr>
          <w:pgSz w:w="11900" w:h="16838" w:orient="portrait"/>
          <w:cols w:equalWidth="0" w:num="1">
            <w:col w:w="10908"/>
          </w:cols>
          <w:pgMar w:left="652" w:top="1408" w:right="339" w:bottom="1440" w:gutter="0" w:footer="0" w:header="0"/>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Manuel N. Stamatakis, certify that:</w:t>
      </w:r>
    </w:p>
    <w:p>
      <w:pPr>
        <w:spacing w:after="0" w:line="9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342" w:lineRule="auto"/>
        <w:tabs>
          <w:tab w:leader="none" w:pos="129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06, 2023</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575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Manuel N. Stamatakis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and Interim President and Chief Executive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644"/>
        <w:spacing w:after="0" w:line="342" w:lineRule="auto"/>
        <w:tabs>
          <w:tab w:leader="none" w:pos="12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06, 2023</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Senior Executive Vice President and Chief Financial Officer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98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2023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06, 2023</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Manuel N. Stamatakis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Manuel N. Stamatakis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and Interim President and Chief Executive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Executive Vice President and Chief Financial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 and Principal Accounting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lvl w:ilvl="1">
      <w:lvlJc w:val="left"/>
      <w:lvlText w:val="%2."/>
      <w:numFmt w:val="lowerLetter"/>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lvl w:ilvl="1">
      <w:lvlJc w:val="left"/>
      <w:lvlText w:val="◦"/>
      <w:numFmt w:val="bullet"/>
      <w:start w:val="1"/>
    </w:lvl>
  </w:abstractNum>
  <w:abstractNum w:abstractNumId="7">
    <w:nsid w:val="2443A858"/>
    <w:multiLevelType w:val="hybridMultilevel"/>
    <w:lvl w:ilvl="0">
      <w:lvlJc w:val="left"/>
      <w:lvlText w:val="•"/>
      <w:numFmt w:val="bullet"/>
      <w:start w:val="1"/>
    </w:lvl>
    <w:lvl w:ilvl="1">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decimal"/>
      <w:start w:val="104"/>
    </w:lvl>
  </w:abstractNum>
  <w:abstractNum w:abstractNumId="13">
    <w:nsid w:val="4353D0CD"/>
    <w:multiLevelType w:val="hybridMultilevel"/>
    <w:lvl w:ilvl="0">
      <w:lvlJc w:val="left"/>
      <w:lvlText w:val="%1."/>
      <w:numFmt w:val="decimal"/>
      <w:start w:val="1"/>
    </w:lvl>
    <w:lvl w:ilvl="1">
      <w:lvlJc w:val="left"/>
      <w:lvlText w:val="%2."/>
      <w:numFmt w:val="lowerLetter"/>
      <w:start w:val="1"/>
    </w:lvl>
  </w:abstractNum>
  <w:abstractNum w:abstractNumId="14">
    <w:nsid w:val="B03E0C6"/>
    <w:multiLevelType w:val="hybridMultilevel"/>
    <w:lvl w:ilvl="0">
      <w:lvlJc w:val="left"/>
      <w:lvlText w:val="%1."/>
      <w:numFmt w:val="decimal"/>
      <w:start w:val="5"/>
    </w:lvl>
    <w:lvl w:ilvl="1">
      <w:lvlJc w:val="left"/>
      <w:lvlText w:val="%2."/>
      <w:numFmt w:val="lowerLetter"/>
      <w:start w:val="1"/>
    </w:lvl>
  </w:abstractNum>
  <w:abstractNum w:abstractNumId="15">
    <w:nsid w:val="189A769B"/>
    <w:multiLevelType w:val="hybridMultilevel"/>
    <w:lvl w:ilvl="0">
      <w:lvlJc w:val="left"/>
      <w:lvlText w:val="%1."/>
      <w:numFmt w:val="decimal"/>
      <w:start w:val="8"/>
    </w:lvl>
    <w:lvl w:ilvl="1">
      <w:lvlJc w:val="left"/>
      <w:lvlText w:val="%2."/>
      <w:numFmt w:val="lowerLetter"/>
      <w:start w:val="1"/>
    </w:lvl>
  </w:abstractNum>
  <w:abstractNum w:abstractNumId="16">
    <w:nsid w:val="54E49EB4"/>
    <w:multiLevelType w:val="hybridMultilevel"/>
    <w:lvl w:ilvl="0">
      <w:lvlJc w:val="left"/>
      <w:lvlText w:val="%1"/>
      <w:numFmt w:val="decimal"/>
      <w:start w:val="1"/>
    </w:lvl>
    <w:lvl w:ilvl="1">
      <w:lvlJc w:val="left"/>
      <w:lvlText w:val="%2."/>
      <w:numFmt w:val="lowerLetter"/>
      <w:start w:val="5"/>
    </w:lvl>
  </w:abstractNum>
  <w:abstractNum w:abstractNumId="17">
    <w:nsid w:val="71F32454"/>
    <w:multiLevelType w:val="hybridMultilevel"/>
    <w:lvl w:ilvl="0">
      <w:lvlJc w:val="left"/>
      <w:lvlText w:val="%1."/>
      <w:numFmt w:val="decimal"/>
      <w:start w:val="9"/>
    </w:lvl>
    <w:lvl w:ilvl="1">
      <w:lvlJc w:val="left"/>
      <w:lvlText w:val="%2."/>
      <w:numFmt w:val="lowerLetter"/>
      <w:start w:val="1"/>
    </w:lvl>
  </w:abstractNum>
  <w:abstractNum w:abstractNumId="18">
    <w:nsid w:val="2CA88611"/>
    <w:multiLevelType w:val="hybridMultilevel"/>
    <w:lvl w:ilvl="0">
      <w:lvlJc w:val="left"/>
      <w:lvlText w:val="%1."/>
      <w:numFmt w:val="decimal"/>
      <w:start w:val="10"/>
    </w:lvl>
    <w:lvl w:ilvl="1">
      <w:lvlJc w:val="left"/>
      <w:lvlText w:val="%2."/>
      <w:numFmt w:val="lowerLetter"/>
      <w:start w:val="1"/>
    </w:lvl>
  </w:abstractNum>
  <w:abstractNum w:abstractNumId="19">
    <w:nsid w:val="836C40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20">
    <w:nsid w:val="2901D82"/>
    <w:multiLevelType w:val="hybridMultilevel"/>
    <w:lvl w:ilvl="0">
      <w:lvlJc w:val="left"/>
      <w:lvlText w:val="%1."/>
      <w:numFmt w:val="lowerRoman"/>
      <w:start w:val="2"/>
    </w:lvl>
  </w:abstractNum>
  <w:abstractNum w:abstractNumId="21">
    <w:nsid w:val="3A95F874"/>
    <w:multiLevelType w:val="hybridMultilevel"/>
    <w:lvl w:ilvl="0">
      <w:lvlJc w:val="left"/>
      <w:lvlText w:val="%1."/>
      <w:numFmt w:val="lowerLetter"/>
      <w:start w:val="2"/>
    </w:lvl>
  </w:abstractNum>
  <w:abstractNum w:abstractNumId="22">
    <w:nsid w:val="8138641"/>
    <w:multiLevelType w:val="hybridMultilevel"/>
    <w:lvl w:ilvl="0">
      <w:lvlJc w:val="left"/>
      <w:lvlText w:val="%1."/>
      <w:numFmt w:val="decimal"/>
      <w:start w:val="12"/>
    </w:lvl>
    <w:lvl w:ilvl="1">
      <w:lvlJc w:val="left"/>
      <w:lvlText w:val="%2."/>
      <w:numFmt w:val="lowerLetter"/>
      <w:start w:val="1"/>
    </w:lvl>
  </w:abstractNum>
  <w:abstractNum w:abstractNumId="23">
    <w:nsid w:val="1E7FF521"/>
    <w:multiLevelType w:val="hybridMultilevel"/>
    <w:lvl w:ilvl="0">
      <w:lvlJc w:val="left"/>
      <w:lvlText w:val="%1."/>
      <w:numFmt w:val="decimal"/>
      <w:start w:val="13"/>
    </w:lvl>
    <w:lvl w:ilvl="1">
      <w:lvlJc w:val="left"/>
      <w:lvlText w:val="%2"/>
      <w:numFmt w:val="lowerLetter"/>
      <w:start w:val="1"/>
    </w:lvl>
  </w:abstractNum>
  <w:abstractNum w:abstractNumId="24">
    <w:nsid w:val="7C3DBD3D"/>
    <w:multiLevelType w:val="hybridMultilevel"/>
    <w:lvl w:ilvl="0">
      <w:lvlJc w:val="left"/>
      <w:lvlText w:val="%1"/>
      <w:numFmt w:val="decimal"/>
      <w:start w:val="1"/>
    </w:lvl>
    <w:lvl w:ilvl="1">
      <w:lvlJc w:val="left"/>
      <w:lvlText w:val="%2."/>
      <w:numFmt w:val="lowerLetter"/>
      <w:start w:val="2"/>
    </w:lvl>
  </w:abstractNum>
  <w:abstractNum w:abstractNumId="25">
    <w:nsid w:val="737B8DDC"/>
    <w:multiLevelType w:val="hybridMultilevel"/>
    <w:lvl w:ilvl="0">
      <w:lvlJc w:val="left"/>
      <w:lvlText w:val="%1."/>
      <w:numFmt w:val="decimal"/>
      <w:start w:val="15"/>
    </w:lvl>
    <w:lvl w:ilvl="1">
      <w:lvlJc w:val="left"/>
      <w:lvlText w:val="%2."/>
      <w:numFmt w:val="lowerLetter"/>
      <w:start w:val="1"/>
    </w:lvl>
  </w:abstractNum>
  <w:abstractNum w:abstractNumId="26">
    <w:nsid w:val="6CEAF08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27">
    <w:nsid w:val="22221A70"/>
    <w:multiLevelType w:val="hybridMultilevel"/>
    <w:lvl w:ilvl="0">
      <w:lvlJc w:val="left"/>
      <w:lvlText w:val="%1."/>
      <w:numFmt w:val="lowerLetter"/>
      <w:start w:val="3"/>
    </w:lvl>
    <w:lvl w:ilvl="1">
      <w:lvlJc w:val="left"/>
      <w:lvlText w:val="%2."/>
      <w:numFmt w:val="lowerRoman"/>
      <w:start w:val="1"/>
    </w:lvl>
  </w:abstractNum>
  <w:abstractNum w:abstractNumId="28">
    <w:nsid w:val="4516DDE9"/>
    <w:multiLevelType w:val="hybridMultilevel"/>
    <w:lvl w:ilvl="0">
      <w:lvlJc w:val="left"/>
      <w:lvlText w:val="%1"/>
      <w:numFmt w:val="lowerLetter"/>
      <w:start w:val="1"/>
    </w:lvl>
    <w:lvl w:ilvl="1">
      <w:lvlJc w:val="left"/>
      <w:lvlText w:val="%2."/>
      <w:numFmt w:val="lowerRoman"/>
      <w:start w:val="2"/>
    </w:lvl>
  </w:abstractNum>
  <w:abstractNum w:abstractNumId="29">
    <w:nsid w:val="3006C83E"/>
    <w:multiLevelType w:val="hybridMultilevel"/>
    <w:lvl w:ilvl="0">
      <w:lvlJc w:val="left"/>
      <w:lvlText w:val="%1."/>
      <w:numFmt w:val="lowerLetter"/>
      <w:start w:val="6"/>
    </w:lvl>
    <w:lvl w:ilvl="1">
      <w:lvlJc w:val="left"/>
      <w:lvlText w:val="%2"/>
      <w:numFmt w:val="lowerRoman"/>
      <w:start w:val="1"/>
    </w:lvl>
  </w:abstractNum>
  <w:abstractNum w:abstractNumId="30">
    <w:nsid w:val="614FD4A1"/>
    <w:multiLevelType w:val="hybridMultilevel"/>
    <w:lvl w:ilvl="0">
      <w:lvlJc w:val="left"/>
      <w:lvlText w:val="%1"/>
      <w:numFmt w:val="decimal"/>
      <w:start w:val="1"/>
    </w:lvl>
    <w:lvl w:ilvl="1">
      <w:lvlJc w:val="left"/>
      <w:lvlText w:val="%2."/>
      <w:numFmt w:val="lowerLetter"/>
      <w:start w:val="8"/>
    </w:lvl>
  </w:abstractNum>
  <w:abstractNum w:abstractNumId="31">
    <w:nsid w:val="419AC241"/>
    <w:multiLevelType w:val="hybridMultilevel"/>
    <w:lvl w:ilvl="0">
      <w:lvlJc w:val="left"/>
      <w:lvlText w:val="%1."/>
      <w:numFmt w:val="decimal"/>
      <w:start w:val="16"/>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20"/>
    </w:lvl>
    <w:lvl w:ilvl="1">
      <w:lvlJc w:val="left"/>
      <w:lvlText w:val="%2"/>
      <w:numFmt w:val="lowerLetter"/>
      <w:start w:val="1"/>
    </w:lvl>
  </w:abstractNum>
  <w:abstractNum w:abstractNumId="34">
    <w:nsid w:val="5072367"/>
    <w:multiLevelType w:val="hybridMultilevel"/>
    <w:lvl w:ilvl="0">
      <w:lvlJc w:val="left"/>
      <w:lvlText w:val="%1."/>
      <w:numFmt w:val="decimal"/>
      <w:start w:val="22"/>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2023-11-06T15:02:14Z</dcterms:created>
  <dcterms:modified xsi:type="dcterms:W3CDTF">2023-11-06T15:02:14Z</dcterms:modified>
</cp:coreProperties>
</file>