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800" w:right="1880" w:hanging="3697"/>
        <w:spacing w:after="0" w:line="516"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February 29, 2016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68"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1440"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29" w:right="239" w:bottom="1440" w:gutter="0" w:footer="0" w:header="0"/>
          <w:type w:val="continuous"/>
        </w:sectPr>
      </w:pPr>
    </w:p>
    <w:p>
      <w:pPr>
        <w:spacing w:after="0" w:line="27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April 1, 2016, the registrant had 28,924,214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4"/>
          </w:tcPr>
          <w:p>
            <w:pPr>
              <w:spacing w:after="0" w:line="189" w:lineRule="exact"/>
              <w:rPr>
                <w:rFonts w:ascii="Arial" w:cs="Arial" w:eastAsia="Arial" w:hAnsi="Arial"/>
                <w:sz w:val="18"/>
                <w:szCs w:val="18"/>
                <w:color w:val="0000EE"/>
              </w:rPr>
            </w:pPr>
            <w:hyperlink w:anchor="page2">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February 29, 2016 (unaudited) and May 31, 2015</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Income for the three and nine months ended February 29, 2016 and</w:t>
              </w:r>
            </w:hyperlink>
          </w:p>
        </w:tc>
        <w:tc>
          <w:tcPr>
            <w:tcW w:w="58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February 28, 2015</w:t>
              </w:r>
            </w:hyperlink>
          </w:p>
        </w:tc>
        <w:tc>
          <w:tcPr>
            <w:tcW w:w="7780" w:type="dxa"/>
            <w:vAlign w:val="bottom"/>
            <w:gridSpan w:val="13"/>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Comprehensive Income for the three and nine months ended February 29,</w:t>
              </w:r>
            </w:hyperlink>
          </w:p>
        </w:tc>
        <w:tc>
          <w:tcPr>
            <w:tcW w:w="1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2016 and February 28, 2015</w:t>
              </w:r>
            </w:hyperlink>
          </w:p>
        </w:tc>
        <w:tc>
          <w:tcPr>
            <w:tcW w:w="7060" w:type="dxa"/>
            <w:vAlign w:val="bottom"/>
            <w:gridSpan w:val="10"/>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Cash Flows for the nine months ended February 29, 2016 and February 28,</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2015</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43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2.</w:t>
              </w:r>
            </w:hyperlink>
          </w:p>
        </w:tc>
        <w:tc>
          <w:tcPr>
            <w:tcW w:w="520" w:type="dxa"/>
            <w:vAlign w:val="bottom"/>
            <w:gridSpan w:val="3"/>
          </w:tcPr>
          <w:p>
            <w:pPr>
              <w:spacing w:after="0"/>
              <w:rPr>
                <w:sz w:val="24"/>
                <w:szCs w:val="24"/>
                <w:color w:val="auto"/>
              </w:rPr>
            </w:pPr>
          </w:p>
        </w:tc>
        <w:tc>
          <w:tcPr>
            <w:tcW w:w="910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19</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4320" w:type="dxa"/>
            <w:vAlign w:val="bottom"/>
            <w:gridSpan w:val="10"/>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4.A</w:t>
              </w:r>
            </w:hyperlink>
          </w:p>
        </w:tc>
        <w:tc>
          <w:tcPr>
            <w:tcW w:w="910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4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PART II—OTHER INFORMATION</w:t>
              </w:r>
            </w:hyperlink>
          </w:p>
        </w:tc>
        <w:tc>
          <w:tcPr>
            <w:tcW w:w="80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1.</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778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1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2.</w:t>
              </w:r>
            </w:hyperlink>
          </w:p>
        </w:tc>
        <w:tc>
          <w:tcPr>
            <w:tcW w:w="1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1"/>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3.</w:t>
              </w:r>
            </w:hyperlink>
          </w:p>
        </w:tc>
        <w:tc>
          <w:tcPr>
            <w:tcW w:w="520" w:type="dxa"/>
            <w:vAlign w:val="bottom"/>
            <w:gridSpan w:val="3"/>
          </w:tcPr>
          <w:p>
            <w:pPr>
              <w:spacing w:after="0"/>
              <w:rPr>
                <w:sz w:val="24"/>
                <w:szCs w:val="24"/>
                <w:color w:val="auto"/>
              </w:rPr>
            </w:pPr>
          </w:p>
        </w:tc>
        <w:tc>
          <w:tcPr>
            <w:tcW w:w="4360" w:type="dxa"/>
            <w:vAlign w:val="bottom"/>
            <w:gridSpan w:val="1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4.</w:t>
              </w:r>
            </w:hyperlink>
          </w:p>
        </w:tc>
        <w:tc>
          <w:tcPr>
            <w:tcW w:w="520" w:type="dxa"/>
            <w:vAlign w:val="bottom"/>
            <w:gridSpan w:val="3"/>
          </w:tcPr>
          <w:p>
            <w:pPr>
              <w:spacing w:after="0"/>
              <w:rPr>
                <w:sz w:val="24"/>
                <w:szCs w:val="24"/>
                <w:color w:val="auto"/>
              </w:rPr>
            </w:pPr>
          </w:p>
        </w:tc>
        <w:tc>
          <w:tcPr>
            <w:tcW w:w="1780" w:type="dxa"/>
            <w:vAlign w:val="bottom"/>
            <w:gridSpan w:val="7"/>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540" w:type="dxa"/>
            <w:vAlign w:val="bottom"/>
            <w:gridSpan w:val="2"/>
          </w:tcPr>
          <w:p>
            <w:pPr>
              <w:spacing w:after="0"/>
              <w:rPr>
                <w:sz w:val="24"/>
                <w:szCs w:val="24"/>
                <w:color w:val="auto"/>
              </w:rPr>
            </w:pPr>
          </w:p>
        </w:tc>
        <w:tc>
          <w:tcPr>
            <w:tcW w:w="6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5.</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Other Information</w:t>
              </w:r>
            </w:hyperlink>
          </w:p>
        </w:tc>
        <w:tc>
          <w:tcPr>
            <w:tcW w:w="460" w:type="dxa"/>
            <w:vAlign w:val="bottom"/>
            <w:gridSpan w:val="2"/>
          </w:tcPr>
          <w:p>
            <w:pPr>
              <w:spacing w:after="0"/>
              <w:rPr>
                <w:sz w:val="24"/>
                <w:szCs w:val="24"/>
                <w:color w:val="auto"/>
              </w:rPr>
            </w:pPr>
          </w:p>
        </w:tc>
        <w:tc>
          <w:tcPr>
            <w:tcW w:w="732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78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6.</w:t>
              </w:r>
            </w:hyperlink>
          </w:p>
        </w:tc>
        <w:tc>
          <w:tcPr>
            <w:tcW w:w="520" w:type="dxa"/>
            <w:vAlign w:val="bottom"/>
            <w:gridSpan w:val="3"/>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78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80" w:type="dxa"/>
            <w:vAlign w:val="bottom"/>
            <w:gridSpan w:val="3"/>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SIGNATURES</w:t>
              </w:r>
            </w:hyperlink>
          </w:p>
        </w:tc>
        <w:tc>
          <w:tcPr>
            <w:tcW w:w="52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February 29, 2016</w:t>
            </w:r>
          </w:p>
        </w:tc>
        <w:tc>
          <w:tcPr>
            <w:tcW w:w="26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May 31, 2015</w:t>
            </w: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10,555</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128,605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133,228</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5,144</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11,698</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174,581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171,466</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79,256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51,276</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166,414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1,208</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463,957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471,727</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53,184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55,914</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17,902</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8,646</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93,523</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95,557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10,717</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9,934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226,715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$0.01 par value, 200,000,000 shares authorized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208,064</w:t>
            </w:r>
          </w:p>
        </w:tc>
      </w:tr>
      <w:tr>
        <w:trPr>
          <w:trHeight w:val="27"/>
        </w:trPr>
        <w:tc>
          <w:tcPr>
            <w:tcW w:w="8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(21,113)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244,819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266,892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245,012</w:t>
            </w:r>
          </w:p>
        </w:tc>
      </w:tr>
      <w:tr>
        <w:trPr>
          <w:trHeight w:val="25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463,957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471,727</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2015</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200" w:type="dxa"/>
            <w:vAlign w:val="bottom"/>
          </w:tcPr>
          <w:p>
            <w:pPr>
              <w:spacing w:after="0"/>
              <w:rPr>
                <w:sz w:val="22"/>
                <w:szCs w:val="22"/>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rPr>
              <w:t>February 28, 2015</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536,566</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112,357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119,356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368,477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382,018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14,781</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42,809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151,008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139,767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105,158</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Acquisition-related (benefit), net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22,308</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12,001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13,851</w:t>
            </w: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rPr>
              <w:t>Less: net (income) loss attributable to noncontrolling</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interests, net of taxes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21,890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13,910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28,906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28,656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28,832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28,583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29,899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29,760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29,559</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2015</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160" w:type="dxa"/>
            <w:vAlign w:val="bottom"/>
          </w:tcPr>
          <w:p>
            <w:pPr>
              <w:spacing w:after="0"/>
              <w:rPr>
                <w:sz w:val="22"/>
                <w:szCs w:val="22"/>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February 28, 2015</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759</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18,000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loss (income) attributable to</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470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Mistras</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(8,877)</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18,012</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Group, Inc.</w:t>
            </w:r>
          </w:p>
        </w:tc>
        <w:tc>
          <w:tcPr>
            <w:tcW w:w="20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200" w:type="dxa"/>
            <w:vAlign w:val="bottom"/>
          </w:tcPr>
          <w:p>
            <w:pPr>
              <w:spacing w:after="0"/>
              <w:rPr>
                <w:sz w:val="22"/>
                <w:szCs w:val="22"/>
                <w:color w:val="auto"/>
              </w:rPr>
            </w:pPr>
          </w:p>
        </w:tc>
        <w:tc>
          <w:tcPr>
            <w:tcW w:w="1480" w:type="dxa"/>
            <w:vAlign w:val="bottom"/>
          </w:tcPr>
          <w:p>
            <w:pPr>
              <w:jc w:val="right"/>
              <w:ind w:right="191"/>
              <w:spacing w:after="0"/>
              <w:rPr>
                <w:sz w:val="20"/>
                <w:szCs w:val="20"/>
                <w:color w:val="auto"/>
              </w:rPr>
            </w:pPr>
            <w:r>
              <w:rPr>
                <w:rFonts w:ascii="Arial" w:cs="Arial" w:eastAsia="Arial" w:hAnsi="Arial"/>
                <w:sz w:val="14"/>
                <w:szCs w:val="14"/>
                <w:b w:val="1"/>
                <w:bCs w:val="1"/>
                <w:color w:val="auto"/>
                <w:w w:val="99"/>
              </w:rPr>
              <w:t>February 28, 2015</w:t>
            </w:r>
          </w:p>
        </w:tc>
      </w:tr>
      <w:tr>
        <w:trPr>
          <w:trHeight w:val="270"/>
        </w:trPr>
        <w:tc>
          <w:tcPr>
            <w:tcW w:w="78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CCEEFF"/>
              <w:bottom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1480" w:type="dxa"/>
            <w:vAlign w:val="bottom"/>
            <w:tcBorders>
              <w:top w:val="single" w:sz="8" w:color="auto"/>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Note 1</w:t>
            </w:r>
          </w:p>
        </w:tc>
      </w:tr>
      <w:tr>
        <w:trPr>
          <w:trHeight w:val="237"/>
        </w:trPr>
        <w:tc>
          <w:tcPr>
            <w:tcW w:w="782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13,851</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24,779</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2,177</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4,856</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Fair value adjustment to contingent consideration liabilities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(3,266)</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12,207</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(8,037)</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(4,594)</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37"/>
        </w:trPr>
        <w:tc>
          <w:tcPr>
            <w:tcW w:w="78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55,802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34,516</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(11,757)</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(34,671)</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r>
      <w:tr>
        <w:trPr>
          <w:trHeight w:val="237"/>
        </w:trPr>
        <w:tc>
          <w:tcPr>
            <w:tcW w:w="782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(46,137)</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(6,005)</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borrowings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Repayment of long-term debt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(11,741)</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of revolver</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99,200</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Repayments of revolver</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(62,100)</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 for business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Taxes paid related to net share settlement of share-based awards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(1,462)</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1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682</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17,067</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(2,081)</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3,365</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10,020</w:t>
            </w:r>
          </w:p>
        </w:tc>
      </w:tr>
      <w:tr>
        <w:trPr>
          <w:trHeight w:val="237"/>
        </w:trPr>
        <w:tc>
          <w:tcPr>
            <w:tcW w:w="782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18,095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13,385</w:t>
            </w:r>
          </w:p>
        </w:tc>
      </w:tr>
      <w:tr>
        <w:trPr>
          <w:trHeight w:val="27"/>
        </w:trPr>
        <w:tc>
          <w:tcPr>
            <w:tcW w:w="7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paid</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4,148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2,456</w:t>
            </w: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12,388</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acquired through capital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5,502</w:t>
            </w:r>
          </w:p>
        </w:tc>
      </w:tr>
      <w:tr>
        <w:trPr>
          <w:trHeight w:val="243"/>
        </w:trPr>
        <w:tc>
          <w:tcPr>
            <w:tcW w:w="7820" w:type="dxa"/>
            <w:vAlign w:val="bottom"/>
          </w:tcPr>
          <w:p>
            <w:pPr>
              <w:ind w:left="180"/>
              <w:spacing w:after="0"/>
              <w:rPr>
                <w:sz w:val="20"/>
                <w:szCs w:val="20"/>
                <w:color w:val="auto"/>
              </w:rPr>
            </w:pPr>
            <w:r>
              <w:rPr>
                <w:rFonts w:ascii="Arial" w:cs="Arial" w:eastAsia="Arial" w:hAnsi="Arial"/>
                <w:sz w:val="18"/>
                <w:szCs w:val="18"/>
                <w:color w:val="auto"/>
              </w:rPr>
              <w:t>Issuance of notes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20,488</w:t>
            </w:r>
          </w:p>
        </w:tc>
      </w:tr>
    </w:tbl>
    <w:p>
      <w:pPr>
        <w:spacing w:after="0" w:line="22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160"/>
          </w:cols>
          <w:pgMar w:left="240" w:top="121" w:right="499" w:bottom="867"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240" w:top="121" w:right="499" w:bottom="867"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commercial aerospace and defense,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May 31, 2016 and 2015. Reference to a fiscal year means the fiscal year ended May 31.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(“2015 Annual Report”) for fiscal 2015, as filed with the Securities and Exchange Commission on August 12,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subsidiaries in the International segment, which end on April 30. Accordingly, the Company’s International segment subsidiaries are consolidated on a one 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Correction</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Subsequent to the issuance of its interim condensed consolidated financial statements as of and for the three and nine months ended February 28, 2015, the Company identified errors related to the classification of amounts reported in the Condensed Consolidated Statement of Cash Flows for that period. In accordance with the SEC Staff Accounting Bulletin (SAB) No. 99, Materiality, and SAB No. 108, Considering the Effects of Prior Year Misstatements when Quantifying Misstatements in Current Year Financial Statements, management evaluated the materiality of the errors from qualitative and quantitative perspectives,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and concluded that the errors were immaterial. Accordingly, management has corrected the presentation of the affected line items of the accompanying Condensed Consolidated Statement of Cash Flows for the nine months ended February 28, 2015, as summarized below. These changes did not impact the Company’s net income, balance sheet, or stockholders’ equity for any periods previously reported.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Previously</w:t>
            </w:r>
          </w:p>
        </w:tc>
        <w:tc>
          <w:tcPr>
            <w:tcW w:w="158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Reported</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Revised</w:t>
            </w:r>
          </w:p>
        </w:tc>
      </w:tr>
      <w:tr>
        <w:trPr>
          <w:trHeight w:val="27"/>
        </w:trPr>
        <w:tc>
          <w:tcPr>
            <w:tcW w:w="66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20" w:type="dxa"/>
            <w:vAlign w:val="bottom"/>
          </w:tcPr>
          <w:p>
            <w:pPr>
              <w:jc w:val="right"/>
              <w:spacing w:after="0"/>
              <w:rPr>
                <w:sz w:val="20"/>
                <w:szCs w:val="20"/>
                <w:color w:val="auto"/>
              </w:rPr>
            </w:pPr>
            <w:r>
              <w:rPr>
                <w:rFonts w:ascii="Arial" w:cs="Arial" w:eastAsia="Arial" w:hAnsi="Arial"/>
                <w:sz w:val="18"/>
                <w:szCs w:val="18"/>
                <w:color w:val="auto"/>
              </w:rPr>
              <w:t>(7,741)</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(8,037)</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34,317</w:t>
            </w: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34,516</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66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(34,967)</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(34,671)</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tcPr>
          <w:p>
            <w:pPr>
              <w:jc w:val="right"/>
              <w:spacing w:after="0"/>
              <w:rPr>
                <w:sz w:val="20"/>
                <w:szCs w:val="20"/>
                <w:color w:val="auto"/>
              </w:rPr>
            </w:pPr>
            <w:r>
              <w:rPr>
                <w:rFonts w:ascii="Arial" w:cs="Arial" w:eastAsia="Arial" w:hAnsi="Arial"/>
                <w:sz w:val="18"/>
                <w:szCs w:val="18"/>
                <w:color w:val="auto"/>
              </w:rPr>
              <w:t>(46,433)</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(46,137)</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66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borrowings of long-term debt</w:t>
            </w:r>
          </w:p>
        </w:tc>
        <w:tc>
          <w:tcPr>
            <w:tcW w:w="1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1620" w:type="dxa"/>
            <w:vAlign w:val="bottom"/>
          </w:tcPr>
          <w:p>
            <w:pPr>
              <w:jc w:val="right"/>
              <w:spacing w:after="0"/>
              <w:rPr>
                <w:sz w:val="20"/>
                <w:szCs w:val="20"/>
                <w:color w:val="auto"/>
              </w:rPr>
            </w:pPr>
            <w:r>
              <w:rPr>
                <w:rFonts w:ascii="Arial" w:cs="Arial" w:eastAsia="Arial" w:hAnsi="Arial"/>
                <w:sz w:val="18"/>
                <w:szCs w:val="18"/>
                <w:color w:val="auto"/>
              </w:rPr>
              <w:t>(10,596)</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(11,741)</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borrowings against revolver</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35,544</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15,511</w:t>
            </w: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17,067</w:t>
            </w:r>
          </w:p>
        </w:tc>
      </w:tr>
      <w:tr>
        <w:trPr>
          <w:trHeight w:val="27"/>
        </w:trPr>
        <w:tc>
          <w:tcPr>
            <w:tcW w:w="6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66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664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(2,081)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2015 Annual Report. On an ongoing basis, the Company evaluates its estimates and assumptions, including, among other things those related to revenue recognition, valuations of accounts receivable, long-lived assets, goodwill, deferred tax assets and uncertain tax positions. Since the date of the 2015 Annual Report, there have been no material changes to the Company's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provides for income taxes in interim periods in an amount that aligns its year-to-date tax provision with the effective income tax rate expected for the full year, plus adjustments to certain discrete tax items. During the three months ended February 29, 2016 and February 28, 2015, the Company's effective income tax rate differed from the statutory rate principally due to adjustments to certain discrete tax items related to the resolution and adjustment of certain income tax contingencies, which decreased the effective tax rate by 11% and 8%, respectively.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fiscal years and interim periods within those fiscal years beginning December 15, 2017, as a result of a one year deferral in the standard issued by the FASB in August 2015 with ASU 2015-14, </w:t>
      </w:r>
      <w:r>
        <w:rPr>
          <w:rFonts w:ascii="Arial" w:cs="Arial" w:eastAsia="Arial" w:hAnsi="Arial"/>
          <w:sz w:val="18"/>
          <w:szCs w:val="18"/>
          <w:i w:val="1"/>
          <w:iCs w:val="1"/>
          <w:color w:val="auto"/>
        </w:rPr>
        <w:t>Revenue from Contracts with Customers - Deferral of the Effective Date.</w:t>
      </w:r>
      <w:r>
        <w:rPr>
          <w:rFonts w:ascii="Arial" w:cs="Arial" w:eastAsia="Arial" w:hAnsi="Arial"/>
          <w:sz w:val="18"/>
          <w:szCs w:val="18"/>
          <w:color w:val="auto"/>
        </w:rPr>
        <w:t xml:space="preserve"> Early application is not permitted. The standard permits the use of either the retrospective or cumulative effect transition method. The Company is evaluating the effect that ASU 2014-09 will have on its condensed consolidated financial statements and related disclosures.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September 2015, the FASB issued ASU No. 2015-16, </w:t>
      </w:r>
      <w:r>
        <w:rPr>
          <w:rFonts w:ascii="Arial" w:cs="Arial" w:eastAsia="Arial" w:hAnsi="Arial"/>
          <w:sz w:val="16"/>
          <w:szCs w:val="16"/>
          <w:i w:val="1"/>
          <w:iCs w:val="1"/>
          <w:color w:val="auto"/>
        </w:rPr>
        <w:t>Business Combinations (Topic 805): Simplifying the Accounting for Measurement-Period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This amendment will simplify the accounting for adjustments made to provisional amounts recognized in a business combination and eliminates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 to retrospectively account for those adjustments in previous reporting periods. This update will require on the face of the income statement or in the notes to the financial statements the amount recorded in current-period earnings that would have previously been recorded if the adjustment to the provisional amounts had been recognized as of the acquisition date. ASU 2015-16 is effective for fiscal years, and interim periods within those fiscal years beginning after December 15, 2015. This update should be applied prospectively and earlier adoption is permitted for financial statements that have not been issued. The Company is evaluating the effect that ASU 2015-16 will have on its condensed consolidated financial statements and related disclosures.</w:t>
      </w:r>
    </w:p>
    <w:p>
      <w:pPr>
        <w:spacing w:after="0" w:line="16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This amendment will simplify the presentation of deferred tax assets and liabilities on the balance sheet and require all deferred tax assets and liabilities to be treated as non-current. ASU 2015-17 is effective for fiscal years, and interim periods within those fiscal years beginning after December 15, 2016, with early adoption permitted. The Company is evaluating the effect that ASU 2015-17 will have on its condensed consolidated financial statements and related disclosures.</w:t>
      </w:r>
    </w:p>
    <w:p>
      <w:pPr>
        <w:spacing w:after="0" w:line="154"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amendment supersedes previous accounting guidance (</w:t>
      </w:r>
      <w:r>
        <w:rPr>
          <w:rFonts w:ascii="Arial" w:cs="Arial" w:eastAsia="Arial" w:hAnsi="Arial"/>
          <w:sz w:val="16"/>
          <w:szCs w:val="16"/>
          <w:i w:val="1"/>
          <w:iCs w:val="1"/>
          <w:color w:val="auto"/>
        </w:rPr>
        <w:t>Topic 840)</w:t>
      </w:r>
      <w:r>
        <w:rPr>
          <w:rFonts w:ascii="Arial" w:cs="Arial" w:eastAsia="Arial" w:hAnsi="Arial"/>
          <w:sz w:val="16"/>
          <w:szCs w:val="16"/>
          <w:color w:val="auto"/>
        </w:rPr>
        <w:t xml:space="preserve"> and requires all leases, with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condensed consolidated financial statements and related disclosures.</w:t>
      </w:r>
    </w:p>
    <w:p>
      <w:pPr>
        <w:spacing w:after="0" w:line="154"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share-based incentive awards outstanding to its eligible employees and Directors under two equity incentive plans: (i) the 2007 Stock Option Plan (the 2007 Plan), and (ii) the 2009 Long-Term Incentive Plan (the 2009 Plan). No further awards may be granted under the 2007 Plan, although awards granted under the 2007 Plan remain outstanding in accordance with their terms. Awards granted under the 2009 Plan may be in the form of stock options, restricted stock units and other forms of share-based incentives, including performance restricted stock units, stock appreciation rights and deferred stock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February 29, 2016 and February 28, 2015, the Company recognized share-based compensation expense related to stock option awards of less than $0.1 million for each period, respectively. As of February 29, 2016, there was less than $0.1 million of unrecognized compensation costs, net of estimated forfeitures, related to stock option awards, which are expected to be recognized over a remaining weighted average period of less than 0.1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nine months ended February 29, 2016 and February 28,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months ended February 29, 2016 and February 28, 2015, the Company recognized share-based compensation expense related to restricted stock unit awards of $1.1 million and $1.2 million, respectively. For the nine months ended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February 29, 2016 and February 28, 2015, the Company recognized share-based compensation expense related to restricted stock unit awards of $3.3 million and $3.5 million, respectively. As of February 29, 2016, there was $8.3 million of unrecognized compensation costs, net of estimated forfeitures, related to restricted stock unit awards, which are expected to be recognized over a remaining weighted average period of 2.3 years.</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first nine months of fiscal 2016 and 2015, the Company granted approximately 28,000 and 21,000 shares, respectively, of fully-vested common stock to its five non-employee directors, in connection with its non-employee director compensation plan. These shares had grant date fair values of $0.5 million and $0.4 million, respectively, which was recorded as share-based compensation expense during the nine months ended February 29, 2016 and February 28, 2015, respectively.</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first nine months of fiscal 2016 and 2015, approximately 220,000 and 231,000 restricted stock units, respectively, vested. The fair value of these units was $3.5 million and $5.2 million, respectively. Upon vesting, restricted stock units are generally net share-settled to cover the required minimum withholding tax and the remaining amount is converted into an equivalent number of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third quarter of fiscal 2014, the Company granted one-year, two-year and three-year performance restricted stock units to its executive officers and certain other senior officers. In the second quarter of fiscal 2015, the Company granted performance restricted stock units to its executive and certain other senior officers. In the first quarter of fiscal 2016, the Company modified its equity compensation program and granted 154,000 performance restricted stock units to its executive and certain other senior officers. As a condition for receiving any awards under the revised fiscal 2016 plan, the executive and senior officers surrendered and released all rights to receive any shares under the three-year 2014 awards and three-year 2015 awards with a performance or market condition. The Company has accounted for the fiscal 2016 awards as modifications in accordance with ASC 718, Compensation - Stock Compensation. These units have requisite service periods of five years and have no dividend rights. The actual payout of these units will vary based on the Company’s performance over a one-year period based on three metrics related to the Company’s fiscal 2016 performance: (1) Operating Income, (2) Adjusted EBITDAS, which is consistent with Adjusted EBITDA as disclosed in the financial statements, which is net income before interest, taxes, depreciation, amortization, non-cash stock-based compensation expense, acquisition related items, and other non-routine items as determined by the Committee and (3) Revenue. There is also a discretionary portion based on individual performance. During the three months ended November 30, 2015, the Company evaluated the expected performance metrics and increased the estimated performance shares expected to be granted by 80,000 units to a total of 234,000 units. No adjustment was required during the three months ended February 29, 2016.</w:t>
      </w:r>
    </w:p>
    <w:p>
      <w:pPr>
        <w:spacing w:after="0" w:line="18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Compensation costs are initially measured assuming that the target performance conditions will be achieved. However, compensation costs related to the performance conditions are adjusted for subsequent changes in the expected outcomes of the performance conditions. The discretionary portion of these awards are liability-classified and adjusted to fair value each reporting period. Compensation costs for the discretionary portion of the awards are recognized over the same five year requisite service period as the awards based on the Company’s fiscal 2016 performance. For the three months ended February 29, 2016 and February 28, 2015, the Company recognized share-based compensation expense/(benefit) related to performance restricted stock units, inclusive of all awards noted above, of approximately $0.4 million and $(0.8) million, respectively. For the nine months ended February 29, 2016 and February 28, 2015, the Company recognized share-based compensation expense related to these units of approximately $1.2 million and $0.9 million, respectively. At February 29, 2016, there was $3.4 million of total unrecognized compensation costs related to the 234,000 non-vested performance restricted stock units, which are expected to be recognized over a remaining weighted average period of 3.8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56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dilutive effect of assumed conversion of equity awards using the treasury stock method. With respect to the number of weighted-average shares outstanding (denominator), diluted shares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 2015</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Pr>
          <w:p>
            <w:pPr>
              <w:spacing w:after="0"/>
              <w:rPr>
                <w:sz w:val="22"/>
                <w:szCs w:val="22"/>
                <w:color w:val="auto"/>
              </w:rPr>
            </w:pPr>
          </w:p>
        </w:tc>
        <w:tc>
          <w:tcPr>
            <w:tcW w:w="142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February 28, 2015</w:t>
            </w:r>
          </w:p>
        </w:tc>
      </w:tr>
      <w:tr>
        <w:trPr>
          <w:trHeight w:val="162"/>
        </w:trPr>
        <w:tc>
          <w:tcPr>
            <w:tcW w:w="4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28,583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0.49</w:t>
            </w:r>
          </w:p>
        </w:tc>
      </w:tr>
      <w:tr>
        <w:trPr>
          <w:trHeight w:val="284"/>
        </w:trPr>
        <w:tc>
          <w:tcPr>
            <w:tcW w:w="4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21,890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13,910</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28,906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28,656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28,832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28,583</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234</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0.47</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7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58"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first nine months of fiscal 2016, the Company completed one acquisition. The Company purchased a company that provides unmanned aerial systems and NDT services, located in the U.S.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this acquisition, the Company acquired 100% of the common stock of the acquiree in exchange for consideration of $1.8 million in cash and contingent consideration estimated to be $0.9 million to be earned based upon the acquired business achieving specific performance metrics over the initial four years of operations from the acquisition date. The Company accounted for this transaction in accordance with the acquisition method of accounting for business combinations.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assets and liabilities of the business acquired in fiscal 2016 were included in the Company's condensed consolidated balance sheet based upon their estimated fair values on the date of acquisition as determined in a preliminary purchase price allocation, using available information and making assumptions management believes are reasonable. The Company is still in the process of completing its valuation of the assets, both tangible and intangible, and liabilities acquired. The results of operations for this acquisition is included in the Services segment's results from the date of acquisition. The Company's preliminary purchase price allocations are included in the table below, summarizing the estimated fair value of the assets acquired and liabilities assumed at the date of acquisition:</w:t>
      </w:r>
    </w:p>
    <w:p>
      <w:pPr>
        <w:spacing w:after="0" w:line="200" w:lineRule="exact"/>
        <w:rPr>
          <w:sz w:val="20"/>
          <w:szCs w:val="20"/>
          <w:color w:val="auto"/>
        </w:rPr>
      </w:pPr>
    </w:p>
    <w:p>
      <w:pPr>
        <w:spacing w:after="0" w:line="214" w:lineRule="exact"/>
        <w:rPr>
          <w:sz w:val="20"/>
          <w:szCs w:val="20"/>
          <w:color w:val="auto"/>
        </w:rPr>
      </w:pPr>
    </w:p>
    <w:tbl>
      <w:tblPr>
        <w:tblLayout w:type="fixed"/>
        <w:tblInd w:w="336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jc w:val="right"/>
              <w:ind w:right="871"/>
              <w:spacing w:after="0"/>
              <w:rPr>
                <w:sz w:val="20"/>
                <w:szCs w:val="20"/>
                <w:color w:val="auto"/>
              </w:rPr>
            </w:pPr>
            <w:r>
              <w:rPr>
                <w:rFonts w:ascii="Arial" w:cs="Arial" w:eastAsia="Arial" w:hAnsi="Arial"/>
                <w:sz w:val="14"/>
                <w:szCs w:val="14"/>
                <w:b w:val="1"/>
                <w:bCs w:val="1"/>
                <w:color w:val="auto"/>
              </w:rPr>
              <w:t>Fiscal</w:t>
            </w:r>
          </w:p>
        </w:tc>
      </w:tr>
      <w:tr>
        <w:trPr>
          <w:trHeight w:val="255"/>
        </w:trPr>
        <w:tc>
          <w:tcPr>
            <w:tcW w:w="2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40" w:type="dxa"/>
            <w:vAlign w:val="bottom"/>
          </w:tcPr>
          <w:p>
            <w:pPr>
              <w:jc w:val="right"/>
              <w:ind w:right="871"/>
              <w:spacing w:after="0"/>
              <w:rPr>
                <w:sz w:val="20"/>
                <w:szCs w:val="20"/>
                <w:color w:val="auto"/>
              </w:rPr>
            </w:pPr>
            <w:r>
              <w:rPr>
                <w:rFonts w:ascii="Arial" w:cs="Arial" w:eastAsia="Arial" w:hAnsi="Arial"/>
                <w:sz w:val="18"/>
                <w:szCs w:val="18"/>
                <w:color w:val="auto"/>
              </w:rPr>
              <w:t>2016</w:t>
            </w: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Entities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Consideration transferred:</w:t>
            </w:r>
          </w:p>
        </w:tc>
        <w:tc>
          <w:tcPr>
            <w:tcW w:w="5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945</w:t>
            </w:r>
          </w:p>
        </w:tc>
      </w:tr>
      <w:tr>
        <w:trPr>
          <w:trHeight w:val="27"/>
        </w:trPr>
        <w:tc>
          <w:tcPr>
            <w:tcW w:w="24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transferred</w:t>
            </w:r>
          </w:p>
        </w:tc>
        <w:tc>
          <w:tcPr>
            <w:tcW w:w="5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2,695</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w w:val="99"/>
              </w:rPr>
              <w:t>Property, plant and equipment</w:t>
            </w:r>
          </w:p>
        </w:tc>
        <w:tc>
          <w:tcPr>
            <w:tcW w:w="54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7"/>
        </w:trPr>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Long-term deferred tax liability</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24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2,695</w:t>
            </w:r>
          </w:p>
        </w:tc>
      </w:tr>
      <w:tr>
        <w:trPr>
          <w:trHeight w:val="20"/>
        </w:trPr>
        <w:tc>
          <w:tcPr>
            <w:tcW w:w="2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the first nine months of fiscal 2015, the Company completed four acquisitions. The Company purchased a company, located in Louisiana, a provider of maintenance and inspection services primarily on offshore platforms. This acquisition expanded the service offerings within the Services segment, allowing the Company to provide services to the upstream operations of its customers. The Company also purchased a group of asset protection businesses located in Quebec, Canada and an asset inspection business in Florida to complement service offerings within the Company’s Services segment and continue its market expansion strategy. The Company’s International Segment completed an acquisition of an asset inspection business located in the United Kingdom.</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these acquisitions, the Company acquired 100% of the common stock or certain assets of each acquiree in exchange for aggregate consideration of approximately $35.7 million in cash and $20.5 million in notes payable issued as part of the acquisitions. The Company accounted for these transactions in accordance with the acquisition method of accounting for business combinations. In addition, the acquisitions in Quebec and Florida provided for contingent consideration of up to $3.2 million to be earned based upon the acquired business achieving specific performance metrics over the initial two to three years of operation from the acquisition date.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The amortization period of intangible assets acquired in fiscal 2015 ranges from 3 to 10 years. The Company recorded $45.2 million of goodwill in connection with these acquisitions, reflecting the strategic fit and revenue and earnings growth potential of these businesses.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three and nine month periods ended February 29, 2016, the Company incurred acquisition-related costs of $0.1 million and $0.2 million, respectively, in connection with due diligence, professional fees, and other expenses for its acquisition activities. Additionally, the Company adjusted the fair value of certain previously recorded acquisition-related contingent consideration liabilities. These adjustments resulted in a net decrease of acquisition-related contingent consideration liabilities and a corresponding increase in income from operations of $0.2 million and $1.3 million, for the three and nine month periods ended February 29, 2016, respectively. The Company’s aggregate acquisition-related contingent consideration liabilities were $3.8 million and $6.4 million as of February 29, 2016 and May 31, 2015, respectively.</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and nine month periods ended February 28, 2015, the Company incurred acquisition-related costs of $0.2 million in connection with due diligence, professional fees, and other expenses for its acquisition activities. Additionally, the Company adjusted the fair value of certain previously recorded acquisition-related contingent consideration liabilities. For the three and nine month periods ended February 28, 2015, these adjustments resulted in a net decrease of acquisition-related contingent consideration liabilities and a corresponding increase in income from operations of $1.7 million and $3.3 million, respectively.</w:t>
      </w:r>
    </w:p>
    <w:p>
      <w:pPr>
        <w:spacing w:after="0" w:line="188"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fair value adjustments to acquisition-related contingent consideration liabilities and the acquisition-related transaction costs have been classified as acquisition-related expense, net, in the condensed consolidated statements of income for the three and nine month periods ended February 29, 2016 and February 28, 2015.</w:t>
      </w:r>
    </w:p>
    <w:p>
      <w:pPr>
        <w:spacing w:after="0" w:line="393"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February 29, 2016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132,340</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2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3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128,605</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133,228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6.</w:t>
            </w:r>
          </w:p>
        </w:tc>
        <w:tc>
          <w:tcPr>
            <w:tcW w:w="514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b w:val="1"/>
                <w:bCs w:val="1"/>
                <w:color w:val="auto"/>
              </w:rPr>
              <w:t>Property, Plant and Equipment, net</w:t>
            </w:r>
          </w:p>
        </w:tc>
        <w:tc>
          <w:tcPr>
            <w:tcW w:w="2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60" w:type="dxa"/>
            <w:vAlign w:val="bottom"/>
            <w:vMerge w:val="continue"/>
          </w:tcPr>
          <w:p>
            <w:pPr>
              <w:spacing w:after="0"/>
              <w:rPr>
                <w:sz w:val="24"/>
                <w:szCs w:val="24"/>
                <w:color w:val="auto"/>
              </w:rPr>
            </w:pPr>
          </w:p>
        </w:tc>
        <w:tc>
          <w:tcPr>
            <w:tcW w:w="514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30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360" w:type="dxa"/>
            <w:vAlign w:val="bottom"/>
          </w:tcPr>
          <w:p>
            <w:pPr>
              <w:jc w:val="center"/>
              <w:ind w:left="557"/>
              <w:spacing w:after="0"/>
              <w:rPr>
                <w:sz w:val="20"/>
                <w:szCs w:val="20"/>
                <w:color w:val="auto"/>
              </w:rPr>
            </w:pPr>
            <w:r>
              <w:rPr>
                <w:rFonts w:ascii="Arial" w:cs="Arial" w:eastAsia="Arial" w:hAnsi="Arial"/>
                <w:sz w:val="14"/>
                <w:szCs w:val="14"/>
                <w:b w:val="1"/>
                <w:bCs w:val="1"/>
                <w:color w:val="auto"/>
                <w:w w:val="94"/>
              </w:rPr>
              <w:t>Useful Life</w:t>
            </w:r>
          </w:p>
        </w:tc>
        <w:tc>
          <w:tcPr>
            <w:tcW w:w="300" w:type="dxa"/>
            <w:vAlign w:val="bottom"/>
          </w:tcPr>
          <w:p>
            <w:pPr>
              <w:spacing w:after="0"/>
              <w:rPr>
                <w:sz w:val="24"/>
                <w:szCs w:val="24"/>
                <w:color w:val="auto"/>
              </w:rPr>
            </w:pPr>
          </w:p>
        </w:tc>
        <w:tc>
          <w:tcPr>
            <w:tcW w:w="16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8"/>
              </w:rPr>
              <w:t>February 29, 2016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360" w:type="dxa"/>
            <w:vAlign w:val="bottom"/>
          </w:tcPr>
          <w:p>
            <w:pPr>
              <w:jc w:val="center"/>
              <w:ind w:left="557"/>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Buildings and improvements</w:t>
            </w:r>
          </w:p>
        </w:tc>
        <w:tc>
          <w:tcPr>
            <w:tcW w:w="2360" w:type="dxa"/>
            <w:vAlign w:val="bottom"/>
          </w:tcPr>
          <w:p>
            <w:pPr>
              <w:jc w:val="center"/>
              <w:ind w:left="577"/>
              <w:spacing w:after="0"/>
              <w:rPr>
                <w:sz w:val="20"/>
                <w:szCs w:val="20"/>
                <w:color w:val="auto"/>
              </w:rPr>
            </w:pPr>
            <w:r>
              <w:rPr>
                <w:rFonts w:ascii="Arial" w:cs="Arial" w:eastAsia="Arial" w:hAnsi="Arial"/>
                <w:sz w:val="18"/>
                <w:szCs w:val="18"/>
                <w:color w:val="auto"/>
                <w:w w:val="91"/>
              </w:rPr>
              <w:t>30-40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18,534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2360" w:type="dxa"/>
            <w:vAlign w:val="bottom"/>
            <w:tcBorders>
              <w:bottom w:val="single" w:sz="8" w:color="CCEEFF"/>
            </w:tcBorders>
            <w:shd w:val="clear" w:color="auto" w:fill="CCEEFF"/>
          </w:tcPr>
          <w:p>
            <w:pPr>
              <w:jc w:val="center"/>
              <w:ind w:left="557"/>
              <w:spacing w:after="0"/>
              <w:rPr>
                <w:sz w:val="20"/>
                <w:szCs w:val="20"/>
                <w:color w:val="auto"/>
              </w:rPr>
            </w:pPr>
            <w:r>
              <w:rPr>
                <w:rFonts w:ascii="Arial" w:cs="Arial" w:eastAsia="Arial" w:hAnsi="Arial"/>
                <w:sz w:val="18"/>
                <w:szCs w:val="18"/>
                <w:color w:val="auto"/>
                <w:w w:val="92"/>
              </w:rPr>
              <w:t>5-8</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2360" w:type="dxa"/>
            <w:vAlign w:val="bottom"/>
          </w:tcPr>
          <w:p>
            <w:pPr>
              <w:jc w:val="center"/>
              <w:ind w:left="557"/>
              <w:spacing w:after="0"/>
              <w:rPr>
                <w:sz w:val="20"/>
                <w:szCs w:val="20"/>
                <w:color w:val="auto"/>
              </w:rPr>
            </w:pPr>
            <w:r>
              <w:rPr>
                <w:rFonts w:ascii="Arial" w:cs="Arial" w:eastAsia="Arial" w:hAnsi="Arial"/>
                <w:sz w:val="18"/>
                <w:szCs w:val="18"/>
                <w:color w:val="auto"/>
                <w:w w:val="92"/>
              </w:rPr>
              <w:t>5-7</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166,379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162,612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190,264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(119,620)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(111,008)</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3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75,665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79,256</w:t>
            </w:r>
          </w:p>
        </w:tc>
        <w:tc>
          <w:tcPr>
            <w:tcW w:w="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Depreciation expense for the three months ended February 29, 2016 and February 28, 2015 was $5.5 million and $5.4 million, respectively. Depreciation expense for the nine months ended February 29, 2016 and February 28, 2015 was $16.7 million and $16.3 million, respectively.</w:t>
      </w:r>
    </w:p>
    <w:p>
      <w:pPr>
        <w:spacing w:after="0" w:line="14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6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2014</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73,767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43,552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130,516</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41,986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43,466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(10,730)</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117,279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35,938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166,414</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Goodwill acquired (disposed) during the year</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2,284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February 29, 2016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119,174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34,348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166,719</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reviews goodwill for impairment on a reporting unit basis on March 1 of each year and whenever events or changes in circumstances indicate the carrying value of goodwill may not be recoverable. As of February 29, 2016, the Company did not identify any changes in circumstances that would indicate the carrying value of goodwill may not be recoverable.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cumulative goodwill impairment as of February 29, 2016, May 31, 2015 and May 31, 2014 was $9.9 million, which is within its International segment.</w:t>
      </w:r>
    </w:p>
    <w:p>
      <w:pPr>
        <w:spacing w:after="0" w:line="166"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February 29,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May 31,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3"/>
                <w:szCs w:val="13"/>
                <w:color w:val="auto"/>
              </w:rPr>
            </w:pPr>
          </w:p>
        </w:tc>
        <w:tc>
          <w:tcPr>
            <w:tcW w:w="9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3"/>
                <w:szCs w:val="13"/>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79,577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40,092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17,055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15,738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6,820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115,070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44,331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115,427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51,276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Amortization expense for the three months ended February 29, 2016 and February 28, 2015 was $2.4 million and $2.7 million, respectively. Amortization expense for the nine months ended February 29, 2016 and February 28, 2015 was $7.2 million and $8.5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58"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February 29, 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26,053</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18,847</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 accrued expenses and other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53,184</w:t>
            </w:r>
          </w:p>
        </w:tc>
        <w:tc>
          <w:tcPr>
            <w:tcW w:w="10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55,914</w:t>
            </w:r>
          </w:p>
        </w:tc>
        <w:tc>
          <w:tcPr>
            <w:tcW w:w="0" w:type="dxa"/>
            <w:vAlign w:val="bottom"/>
          </w:tcPr>
          <w:p>
            <w:pPr>
              <w:spacing w:after="0"/>
              <w:rPr>
                <w:sz w:val="1"/>
                <w:szCs w:val="1"/>
                <w:color w:val="auto"/>
              </w:rPr>
            </w:pPr>
          </w:p>
        </w:tc>
      </w:tr>
      <w:tr>
        <w:trPr>
          <w:trHeight w:val="27"/>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rPr>
              <w:t>10.</w:t>
            </w:r>
          </w:p>
        </w:tc>
        <w:tc>
          <w:tcPr>
            <w:tcW w:w="73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73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7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90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February 29, 2016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71,528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83,062</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24,933</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87,366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113,459</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(17,902)</w:t>
            </w:r>
          </w:p>
        </w:tc>
        <w:tc>
          <w:tcPr>
            <w:tcW w:w="0" w:type="dxa"/>
            <w:vAlign w:val="bottom"/>
          </w:tcPr>
          <w:p>
            <w:pPr>
              <w:spacing w:after="0"/>
              <w:rPr>
                <w:sz w:val="1"/>
                <w:szCs w:val="1"/>
                <w:color w:val="auto"/>
              </w:rPr>
            </w:pPr>
          </w:p>
        </w:tc>
      </w:tr>
      <w:tr>
        <w:trPr>
          <w:trHeight w:val="25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74,878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95,557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October 31, 2014, the Company entered into a Third Amendment and Modification Agreement, to its revolving line of credit, the Third Amended and Restated Credit Agreement (“Credit Agreement”) with Bank of America, N.A., as agent for the lenders and a lender, and JPMorgan Chase Bank, N.A., Keybank, National Association and TD Bank, N.A., as lenders. The Credit Agreement provides the Company with a $175.0 million revolving line of credit, which, under certain circumstances, the line of credit can be increased to $225.0 million. The Company may borrow up to $30.0 million in non-U.S. Dollar currencies and use up to $10.0 million of the credit limit for the issuance of letters of credit. The Credit Agreement has a maturity date of October 30, 2019. As of February 29, 2016, the Company had borrowings of $71.5 million and a total of $4.5 million of letters of credit outstanding under the Credit Agreement.</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1.75%, or a base rate less a margin of 1.25% to 0.375%, at the option of the Company, based upon the Company’s Funded Debt Leverage Ratio. Funded Debt Leverage Ratio is generally the ratio of</w:t>
      </w:r>
    </w:p>
    <w:p>
      <w:pPr>
        <w:ind w:right="120" w:firstLine="8"/>
        <w:spacing w:after="0" w:line="281"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rFonts w:ascii="Arial" w:cs="Arial" w:eastAsia="Arial" w:hAnsi="Arial"/>
          <w:sz w:val="16"/>
          <w:szCs w:val="16"/>
          <w:color w:val="auto"/>
        </w:rPr>
      </w:pPr>
    </w:p>
    <w:p>
      <w:pPr>
        <w:ind w:right="60"/>
        <w:spacing w:after="0" w:line="270" w:lineRule="auto"/>
        <w:rPr>
          <w:rFonts w:ascii="Arial" w:cs="Arial" w:eastAsia="Arial" w:hAnsi="Arial"/>
          <w:sz w:val="16"/>
          <w:szCs w:val="16"/>
          <w:color w:val="auto"/>
        </w:rPr>
      </w:pPr>
      <w:r>
        <w:rPr>
          <w:rFonts w:ascii="Arial" w:cs="Arial" w:eastAsia="Arial" w:hAnsi="Arial"/>
          <w:sz w:val="17"/>
          <w:szCs w:val="17"/>
          <w:color w:val="auto"/>
        </w:rPr>
        <w:t>(e)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2.0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Credit Agreement contains financial covenants requiring that the Company maintain a Funded Debt Leverage Ratio of no greater than 3.25 to 1 and an Interest Coverage Ratio of at least 3.0 to 1. Interest Coverage Ratio means the ratio, as of any date</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February 29, 2016, the Company was in compliance with the terms of the Credit Agreement,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certain of its acquisitions through fiscal 2015, the Company issued subordinated notes payable to the sellers. The maturity of the notes that remain outstanding range from two to five years from the date of acquisition with stated interest rates ranging from 0% to 4%. The Company has discounted these obligations to reflect a 2% to 4% market interest. Unamortized discount on the notes was de minimis as of February 29, 2016 and May 31, 2015. Amortization is recorded as interest expense in the condensed consolidated statements of income.</w:t>
      </w:r>
    </w:p>
    <w:p>
      <w:pPr>
        <w:spacing w:after="0" w:line="187"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143"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4"/>
              </w:rPr>
              <w:t>February 29, 2016</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3,808</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3,808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5"/>
              </w:rPr>
              <w:t>May 31, 2015</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22"/>
                <w:szCs w:val="22"/>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6,411</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Government Investigations</w:t>
      </w:r>
    </w:p>
    <w:p>
      <w:pPr>
        <w:spacing w:after="0" w:line="2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except for the proceedings described below for which the Company is currently unable to determine the likely outcome or reasonably estimate the amount or range of potential liability estimate. The costs of defense and amounts that may be recovered against the Company in such matters may be covered by insurance, except that the primary claims set forth in the purported class action case in California is excluded from insurance coverage.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April 2015, two separate lawsuits were filed in California as purported class action lawsuits on behalf of current and former Mistras employees. The cases are </w:t>
      </w:r>
      <w:r>
        <w:rPr>
          <w:rFonts w:ascii="Arial" w:cs="Arial" w:eastAsia="Arial" w:hAnsi="Arial"/>
          <w:sz w:val="17"/>
          <w:szCs w:val="17"/>
          <w:i w:val="1"/>
          <w:iCs w:val="1"/>
          <w:color w:val="auto"/>
        </w:rPr>
        <w:t>David Kruger v Mistras Group, Inc.</w:t>
      </w:r>
      <w:r>
        <w:rPr>
          <w:rFonts w:ascii="Arial" w:cs="Arial" w:eastAsia="Arial" w:hAnsi="Arial"/>
          <w:sz w:val="17"/>
          <w:szCs w:val="17"/>
          <w:color w:val="auto"/>
        </w:rPr>
        <w:t xml:space="preserve">, filed in the U.S. District Court for the Eastern District of California and </w:t>
      </w:r>
      <w:r>
        <w:rPr>
          <w:rFonts w:ascii="Arial" w:cs="Arial" w:eastAsia="Arial" w:hAnsi="Arial"/>
          <w:sz w:val="17"/>
          <w:szCs w:val="17"/>
          <w:i w:val="1"/>
          <w:iCs w:val="1"/>
          <w:color w:val="auto"/>
        </w:rPr>
        <w:t>Edgar Viceral v Mistras Group, et al</w:t>
      </w:r>
      <w:r>
        <w:rPr>
          <w:rFonts w:ascii="Arial" w:cs="Arial" w:eastAsia="Arial" w:hAnsi="Arial"/>
          <w:sz w:val="17"/>
          <w:szCs w:val="17"/>
          <w:color w:val="auto"/>
        </w:rPr>
        <w:t xml:space="preserve">, pending in the U.S. District Court for the Northern District of California. Both cases were originally filed in California state court and were removed to the respective U.S. District Courts for the districts in which the state court cases were filed. These two cases have been consolidated, with Kruger dismissing his case and joining the </w:t>
      </w:r>
      <w:r>
        <w:rPr>
          <w:rFonts w:ascii="Arial" w:cs="Arial" w:eastAsia="Arial" w:hAnsi="Arial"/>
          <w:sz w:val="17"/>
          <w:szCs w:val="17"/>
          <w:i w:val="1"/>
          <w:iCs w:val="1"/>
          <w:color w:val="auto"/>
        </w:rPr>
        <w:t>Viceral</w:t>
      </w:r>
      <w:r>
        <w:rPr>
          <w:rFonts w:ascii="Arial" w:cs="Arial" w:eastAsia="Arial" w:hAnsi="Arial"/>
          <w:sz w:val="17"/>
          <w:szCs w:val="17"/>
          <w:color w:val="auto"/>
        </w:rPr>
        <w:t xml:space="preserve"> case. As part of this consolidation, the claims in the </w:t>
      </w:r>
      <w:r>
        <w:rPr>
          <w:rFonts w:ascii="Arial" w:cs="Arial" w:eastAsia="Arial" w:hAnsi="Arial"/>
          <w:sz w:val="17"/>
          <w:szCs w:val="17"/>
          <w:i w:val="1"/>
          <w:iCs w:val="1"/>
          <w:color w:val="auto"/>
        </w:rPr>
        <w:t>Kruger</w:t>
      </w:r>
      <w:r>
        <w:rPr>
          <w:rFonts w:ascii="Arial" w:cs="Arial" w:eastAsia="Arial" w:hAnsi="Arial"/>
          <w:sz w:val="17"/>
          <w:szCs w:val="17"/>
          <w:color w:val="auto"/>
        </w:rPr>
        <w:t xml:space="preserve"> case that were not part of the </w:t>
      </w:r>
      <w:r>
        <w:rPr>
          <w:rFonts w:ascii="Arial" w:cs="Arial" w:eastAsia="Arial" w:hAnsi="Arial"/>
          <w:sz w:val="17"/>
          <w:szCs w:val="17"/>
          <w:i w:val="1"/>
          <w:iCs w:val="1"/>
          <w:color w:val="auto"/>
        </w:rPr>
        <w:t>Viceral</w:t>
      </w:r>
      <w:r>
        <w:rPr>
          <w:rFonts w:ascii="Arial" w:cs="Arial" w:eastAsia="Arial" w:hAnsi="Arial"/>
          <w:sz w:val="17"/>
          <w:szCs w:val="17"/>
          <w:color w:val="auto"/>
        </w:rPr>
        <w:t xml:space="preserve"> case were added to the </w:t>
      </w:r>
      <w:r>
        <w:rPr>
          <w:rFonts w:ascii="Arial" w:cs="Arial" w:eastAsia="Arial" w:hAnsi="Arial"/>
          <w:sz w:val="17"/>
          <w:szCs w:val="17"/>
          <w:i w:val="1"/>
          <w:iCs w:val="1"/>
          <w:color w:val="auto"/>
        </w:rPr>
        <w:t>Viceral</w:t>
      </w:r>
      <w:r>
        <w:rPr>
          <w:rFonts w:ascii="Arial" w:cs="Arial" w:eastAsia="Arial" w:hAnsi="Arial"/>
          <w:sz w:val="17"/>
          <w:szCs w:val="17"/>
          <w:color w:val="auto"/>
        </w:rPr>
        <w:t xml:space="preserve"> case by the filing of an amended complaint. The consolidated case alleges violations of California statutes primarily, the California Labor Code, and seeks to proceed as a collective action under the U.S. Fair Labor Standards Act. The case is predicated on claims for allegedly missed rest and meal periods, inaccurate wage statements, and failure to pay all wages due, as well as related unfair business practices, and is requesting payment of all damages, including unpaid wages, and various fines and penalties available under California law. The parties met with a mediator on April 5, 2016 but no resolution of the case was reached, though the Company anticipates discussions regarding resolution may continue. The Company is currently unable to determine the likely outcome or reasonably estimate the amount or range of potential liability, if any, related to these matters, and accordingly, has not established any reserves for these matters.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fiscal 2012 and 2013, the Company performed radiography work on the construction of pipeline projects in the U.S. The Company has received notice that the owner of the pipeline projects contends that certain of the x-ray images the Company’s technicians prepared regarding the projects did not meet the code quality interpretation standards required by API (American Petroleum Institute) 1103. The projects' owner is claiming damages as a result of the alleged quality defects of the Company’s x-ray images. No lawsuit has been filed at this time. The Company is currently unable to determine the likely outcome or reasonably estimate the amount or range of potential liability related to this matter, and accordingly, has not established any reserves for this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reserves for this matter.</w:t>
      </w:r>
    </w:p>
    <w:p>
      <w:pPr>
        <w:spacing w:after="0" w:line="1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January 2012, the Company received notice of a governmental investigation concerning an environmental incident which occurred in February 2011 outside on the premises of the Cudahy facility.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 To the Company’s knowledge, this matter has been dormant since fiscal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February 29, 2016, total potential acquisition-related contingent consideration ranged from zero to approximately $17.8 million and would be payable upon the achievement of specific performance metrics by certain of the acquired companies over the next 3.3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condensed consolidated financial statements for further discussion of the Company’s acquisitions.</w:t>
      </w:r>
    </w:p>
    <w:p>
      <w:pPr>
        <w:spacing w:after="0" w:line="183"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right="100" w:hanging="484"/>
        <w:spacing w:after="0" w:line="264" w:lineRule="auto"/>
        <w:tabs>
          <w:tab w:leader="none" w:pos="897"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1140" w:right="100" w:hanging="484"/>
        <w:spacing w:after="0" w:line="264" w:lineRule="auto"/>
        <w:tabs>
          <w:tab w:leader="none" w:pos="89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1140" w:right="380" w:hanging="484"/>
        <w:spacing w:after="0" w:line="277" w:lineRule="auto"/>
        <w:tabs>
          <w:tab w:leader="none" w:pos="89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center"/>
              <w:ind w:left="534"/>
              <w:spacing w:after="0"/>
              <w:rPr>
                <w:sz w:val="20"/>
                <w:szCs w:val="20"/>
                <w:color w:val="auto"/>
              </w:rPr>
            </w:pPr>
            <w:r>
              <w:rPr>
                <w:rFonts w:ascii="Arial" w:cs="Arial" w:eastAsia="Arial" w:hAnsi="Arial"/>
                <w:sz w:val="14"/>
                <w:szCs w:val="14"/>
                <w:b w:val="1"/>
                <w:bCs w:val="1"/>
                <w:color w:val="auto"/>
                <w:w w:val="91"/>
              </w:rPr>
              <w:t>Three months ended</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February 29, 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February 28, 2015</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Pr>
          <w:p>
            <w:pPr>
              <w:spacing w:after="0"/>
              <w:rPr>
                <w:sz w:val="22"/>
                <w:szCs w:val="22"/>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February 28, 2015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123,616</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411,484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404,651</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31,801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107,085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114,610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22,588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(5,283)</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160,355</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534,994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536,566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161"/>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29, 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February 28, 2015</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Pr>
          <w:p>
            <w:pPr>
              <w:spacing w:after="0"/>
              <w:rPr>
                <w:sz w:val="22"/>
                <w:szCs w:val="22"/>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February 28, 2015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101,452</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9,227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32,113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27,795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10,203</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317</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139,767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41"/>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February 29, 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3"/>
          </w:tcPr>
          <w:p>
            <w:pPr>
              <w:ind w:left="180"/>
              <w:spacing w:after="0"/>
              <w:rPr>
                <w:sz w:val="20"/>
                <w:szCs w:val="20"/>
                <w:color w:val="auto"/>
              </w:rPr>
            </w:pPr>
            <w:r>
              <w:rPr>
                <w:rFonts w:ascii="Arial" w:cs="Arial" w:eastAsia="Arial" w:hAnsi="Arial"/>
                <w:sz w:val="14"/>
                <w:szCs w:val="14"/>
                <w:b w:val="1"/>
                <w:bCs w:val="1"/>
                <w:color w:val="auto"/>
              </w:rPr>
              <w:t>February 28, 2015</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Pr>
          <w:p>
            <w:pPr>
              <w:spacing w:after="0"/>
              <w:rPr>
                <w:sz w:val="22"/>
                <w:szCs w:val="22"/>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February 28, 2015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36,208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1,163</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1,330</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(5,887)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(12,975)</w:t>
            </w:r>
          </w:p>
        </w:tc>
      </w:tr>
      <w:tr>
        <w:trPr>
          <w:trHeight w:val="27"/>
        </w:trPr>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25,726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by operating segment includes intercompany transactions, which are eliminated in Corporate and eliminations.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29, 2016</w:t>
            </w:r>
          </w:p>
        </w:tc>
        <w:tc>
          <w:tcPr>
            <w:tcW w:w="16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28, 2015</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Pr>
          <w:p>
            <w:pPr>
              <w:spacing w:after="0"/>
              <w:rPr>
                <w:sz w:val="22"/>
                <w:szCs w:val="22"/>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February 28, 2015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16,622</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6,130</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1,809</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218</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24,779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260" w:type="dxa"/>
            <w:vAlign w:val="bottom"/>
          </w:tcPr>
          <w:p>
            <w:pPr>
              <w:spacing w:after="0"/>
              <w:rPr>
                <w:sz w:val="16"/>
                <w:szCs w:val="16"/>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May 31, 2015</w:t>
            </w:r>
          </w:p>
        </w:tc>
      </w:tr>
      <w:tr>
        <w:trPr>
          <w:trHeight w:val="230"/>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Goodwill</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117,279</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34,348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35,938</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13,197</w:t>
            </w:r>
          </w:p>
        </w:tc>
      </w:tr>
      <w:tr>
        <w:trPr>
          <w:trHeight w:val="237"/>
        </w:trPr>
        <w:tc>
          <w:tcPr>
            <w:tcW w:w="8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166,719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166,414</w:t>
            </w: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11"/>
        </w:trPr>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260" w:type="dxa"/>
            <w:vAlign w:val="bottom"/>
          </w:tcPr>
          <w:p>
            <w:pPr>
              <w:spacing w:after="0"/>
              <w:rPr>
                <w:sz w:val="24"/>
                <w:szCs w:val="24"/>
                <w:color w:val="auto"/>
              </w:rPr>
            </w:pPr>
          </w:p>
        </w:tc>
        <w:tc>
          <w:tcPr>
            <w:tcW w:w="1340" w:type="dxa"/>
            <w:vAlign w:val="bottom"/>
          </w:tcPr>
          <w:p>
            <w:pPr>
              <w:jc w:val="right"/>
              <w:ind w:right="313"/>
              <w:spacing w:after="0"/>
              <w:rPr>
                <w:sz w:val="20"/>
                <w:szCs w:val="20"/>
                <w:color w:val="auto"/>
              </w:rPr>
            </w:pPr>
            <w:r>
              <w:rPr>
                <w:rFonts w:ascii="Arial" w:cs="Arial" w:eastAsia="Arial" w:hAnsi="Arial"/>
                <w:sz w:val="14"/>
                <w:szCs w:val="14"/>
                <w:b w:val="1"/>
                <w:bCs w:val="1"/>
                <w:color w:val="auto"/>
              </w:rPr>
              <w:t>May 31, 2015</w:t>
            </w:r>
          </w:p>
        </w:tc>
      </w:tr>
      <w:tr>
        <w:trPr>
          <w:trHeight w:val="230"/>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301,031</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122,669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126,643</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35,464</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8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8,589</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463,957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471,727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nine months ended February 29, 2016 and 2015, respectively,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29, 2016</w:t>
            </w:r>
          </w:p>
        </w:tc>
        <w:tc>
          <w:tcPr>
            <w:tcW w:w="16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28, 2015</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Pr>
          <w:p>
            <w:pPr>
              <w:spacing w:after="0"/>
              <w:rPr>
                <w:sz w:val="22"/>
                <w:szCs w:val="22"/>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February 28, 2015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371,929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365,912</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17,162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14,353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52,248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53,917</w:t>
            </w:r>
          </w:p>
        </w:tc>
      </w:tr>
      <w:tr>
        <w:trPr>
          <w:trHeight w:val="27"/>
        </w:trPr>
        <w:tc>
          <w:tcPr>
            <w:tcW w:w="4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106,370</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10,367</w:t>
            </w:r>
          </w:p>
        </w:tc>
      </w:tr>
      <w:tr>
        <w:trPr>
          <w:trHeight w:val="27"/>
        </w:trPr>
        <w:tc>
          <w:tcPr>
            <w:tcW w:w="4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160,355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534,994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536,566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55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 following Management’s Discussion and Analysis (“MD&amp;A”) includes a narrative explanation and analysis of our results of operations and financial condition for the three and nine months ended February 29, 2016 and February 28, 2015. The MD&amp;A should be read together with our condensed consolidated financial statements and related notes included in Item 1 in this Quarterly Report on Form 10-Q and our audited consolidated financial statements and related notes included in our Annual Report on Form 10-K for fiscal 2015 filed August 12, 2015 (“2015 Annual Report”). In this quarterly report, our fiscal years, which end on May 31, are identified according to the calendar year in which they end (e.g., the fiscal year ending May 31, 2016 is referred to as “fiscal 2016”), and unless otherwise specified or the context otherwise requires, “Mistras,” “the Company,” “we,” “us” and “our” refer to Mistras Group, Inc. and its consolidated subsidiaries. The MD&amp;A includes disclosure in the following areas:</w:t>
      </w:r>
    </w:p>
    <w:p>
      <w:pPr>
        <w:spacing w:after="0" w:line="205"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2015 Annual Report as well as those discussed in our other filings with the Securities and Exchange Commission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66" w:lineRule="exact"/>
        <w:rPr>
          <w:sz w:val="20"/>
          <w:szCs w:val="20"/>
          <w:color w:val="auto"/>
        </w:rPr>
      </w:pPr>
    </w:p>
    <w:p>
      <w:pPr>
        <w:ind w:left="740" w:right="160" w:hanging="246"/>
        <w:spacing w:after="0" w:line="264" w:lineRule="auto"/>
        <w:tabs>
          <w:tab w:leader="none" w:pos="7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along with a</w:t>
      </w:r>
      <w:r>
        <w:rPr>
          <w:rFonts w:ascii="Arial" w:cs="Arial" w:eastAsia="Arial" w:hAnsi="Arial"/>
          <w:sz w:val="18"/>
          <w:szCs w:val="18"/>
          <w:i w:val="1"/>
          <w:iCs w:val="1"/>
          <w:color w:val="auto"/>
        </w:rPr>
        <w:t xml:space="preserve"> </w:t>
      </w:r>
      <w:r>
        <w:rPr>
          <w:rFonts w:ascii="Arial" w:cs="Arial" w:eastAsia="Arial" w:hAnsi="Arial"/>
          <w:sz w:val="18"/>
          <w:szCs w:val="18"/>
          <w:color w:val="auto"/>
        </w:rPr>
        <w:t>growing Canadian business, consisting primarily of NDT, inspection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740" w:right="60" w:hanging="246"/>
        <w:spacing w:after="0" w:line="264" w:lineRule="auto"/>
        <w:tabs>
          <w:tab w:leader="none" w:pos="7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offers services, products and systems similar to those of the other segments to global markets, principally in Europe, the Middle East,</w:t>
      </w:r>
      <w:r>
        <w:rPr>
          <w:rFonts w:ascii="Arial" w:cs="Arial" w:eastAsia="Arial" w:hAnsi="Arial"/>
          <w:sz w:val="18"/>
          <w:szCs w:val="18"/>
          <w:i w:val="1"/>
          <w:iCs w:val="1"/>
          <w:color w:val="auto"/>
        </w:rPr>
        <w:t xml:space="preserve"> </w:t>
      </w:r>
      <w:r>
        <w:rPr>
          <w:rFonts w:ascii="Arial" w:cs="Arial" w:eastAsia="Arial" w:hAnsi="Arial"/>
          <w:sz w:val="18"/>
          <w:szCs w:val="18"/>
          <w:color w:val="auto"/>
        </w:rPr>
        <w:t>Africa, Asia and South America, but not to customers in China and South Korea, which are served by the Products and Systems segment. South America consists of our Brazil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740" w:right="60" w:hanging="246"/>
        <w:spacing w:after="0" w:line="277" w:lineRule="auto"/>
        <w:tabs>
          <w:tab w:leader="none" w:pos="7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Given the role our solutions play in ensuring the safe and efficient operation of infrastructure, we provide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 We have established long-term relationships as a critical solutions provider to many of the leading companies in our target markets.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are working on building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Global financial markets continue to experience uncertainty, including tight liquidity and credit availability, relatively low consumer confidence, slow economic growth, fluctuating oil prices, which are currently very low, and volatile currency exchange rates. However, we believe these conditions have allowed us to selectively hire new talented individuals that otherwise might not have been available to us, and to make acquisitions of complementary businesses at reasonable valuations.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nine months ended February 29, 2016 and February 28, 2015 were as follows:</w:t>
      </w:r>
    </w:p>
    <w:p>
      <w:pPr>
        <w:spacing w:after="0" w:line="230" w:lineRule="exact"/>
        <w:rPr>
          <w:sz w:val="20"/>
          <w:szCs w:val="20"/>
          <w:color w:val="auto"/>
        </w:rPr>
      </w:pPr>
    </w:p>
    <w:p>
      <w:pPr>
        <w:ind w:left="5660"/>
        <w:spacing w:after="0"/>
        <w:tabs>
          <w:tab w:leader="none" w:pos="91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23495</wp:posOffset>
            </wp:positionV>
            <wp:extent cx="43821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4840"/>
        <w:spacing w:after="0"/>
        <w:tabs>
          <w:tab w:leader="none" w:pos="662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23495</wp:posOffset>
            </wp:positionV>
            <wp:extent cx="2229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9"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23495</wp:posOffset>
            </wp:positionV>
            <wp:extent cx="2084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p>
      <w:pPr>
        <w:sectPr>
          <w:pgSz w:w="11900" w:h="16838" w:orient="portrait"/>
          <w:cols w:equalWidth="0" w:num="2">
            <w:col w:w="7760" w:space="580"/>
            <w:col w:w="30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160,355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163,100</w:t>
            </w:r>
          </w:p>
        </w:tc>
        <w:tc>
          <w:tcPr>
            <w:tcW w:w="100" w:type="dxa"/>
            <w:vAlign w:val="bottom"/>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534,994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536,566</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5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42,809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38,734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151,008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139,767</w:t>
            </w:r>
          </w:p>
        </w:tc>
      </w:tr>
      <w:tr>
        <w:trPr>
          <w:trHeight w:val="27"/>
        </w:trPr>
        <w:tc>
          <w:tcPr>
            <w:tcW w:w="4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37,051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34,864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112,749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114,041</w:t>
            </w:r>
          </w:p>
        </w:tc>
      </w:tr>
      <w:tr>
        <w:trPr>
          <w:trHeight w:val="27"/>
        </w:trPr>
        <w:tc>
          <w:tcPr>
            <w:tcW w:w="4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5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5,758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38,259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25,726</w:t>
            </w:r>
          </w:p>
        </w:tc>
      </w:tr>
      <w:tr>
        <w:trPr>
          <w:trHeight w:val="27"/>
        </w:trPr>
        <w:tc>
          <w:tcPr>
            <w:tcW w:w="4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3,418</w:t>
            </w:r>
          </w:p>
        </w:tc>
      </w:tr>
      <w:tr>
        <w:trPr>
          <w:trHeight w:val="27"/>
        </w:trPr>
        <w:tc>
          <w:tcPr>
            <w:tcW w:w="45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33,879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22,308</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12,001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8,457</w:t>
            </w:r>
          </w:p>
        </w:tc>
      </w:tr>
      <w:tr>
        <w:trPr>
          <w:trHeight w:val="27"/>
        </w:trPr>
        <w:tc>
          <w:tcPr>
            <w:tcW w:w="45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13,851</w:t>
            </w:r>
          </w:p>
        </w:tc>
      </w:tr>
      <w:tr>
        <w:trPr>
          <w:trHeight w:val="229"/>
        </w:trPr>
        <w:tc>
          <w:tcPr>
            <w:tcW w:w="4520" w:type="dxa"/>
            <w:vAlign w:val="bottom"/>
          </w:tcPr>
          <w:p>
            <w:pPr>
              <w:ind w:left="180"/>
              <w:spacing w:after="0"/>
              <w:rPr>
                <w:sz w:val="20"/>
                <w:szCs w:val="20"/>
                <w:color w:val="auto"/>
              </w:rPr>
            </w:pPr>
            <w:r>
              <w:rPr>
                <w:rFonts w:ascii="Arial" w:cs="Arial" w:eastAsia="Arial" w:hAnsi="Arial"/>
                <w:sz w:val="18"/>
                <w:szCs w:val="18"/>
                <w:color w:val="auto"/>
              </w:rPr>
              <w:t>Less: net (income) loss attributable to noncontrolling</w:t>
            </w: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interests, net of taxes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59</w:t>
            </w:r>
          </w:p>
        </w:tc>
      </w:tr>
      <w:tr>
        <w:trPr>
          <w:trHeight w:val="27"/>
        </w:trPr>
        <w:tc>
          <w:tcPr>
            <w:tcW w:w="4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21,890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13,910</w:t>
            </w:r>
          </w:p>
        </w:tc>
      </w:tr>
      <w:tr>
        <w:trPr>
          <w:trHeight w:val="20"/>
        </w:trPr>
        <w:tc>
          <w:tcPr>
            <w:tcW w:w="4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62"/>
        </w:trPr>
        <w:tc>
          <w:tcPr>
            <w:tcW w:w="4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EBITDA and Adjusted EBITDA, non-GAAP measures explained below, for the three and nine months ended February 29, 2016 and February 28, 2015 were as follows:</w:t>
      </w:r>
    </w:p>
    <w:p>
      <w:pPr>
        <w:spacing w:after="0" w:line="392" w:lineRule="exact"/>
        <w:rPr>
          <w:sz w:val="20"/>
          <w:szCs w:val="20"/>
          <w:color w:val="auto"/>
        </w:rPr>
      </w:pPr>
    </w:p>
    <w:p>
      <w:pPr>
        <w:ind w:left="5980"/>
        <w:spacing w:after="0"/>
        <w:tabs>
          <w:tab w:leader="none" w:pos="93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23495</wp:posOffset>
            </wp:positionV>
            <wp:extent cx="4124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5180"/>
        <w:spacing w:after="0"/>
        <w:tabs>
          <w:tab w:leader="none" w:pos="688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23495</wp:posOffset>
            </wp:positionV>
            <wp:extent cx="21183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89"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23495</wp:posOffset>
            </wp:positionV>
            <wp:extent cx="1938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8020" w:space="520"/>
            <w:col w:w="28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EBITDA and Adjusted EBITDA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Net income attributable to Mistras Group, Inc.</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21,890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13,910</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8,457</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5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24,779</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EBITDA</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13,681</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12,033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62,125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50,564</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Acquisition-related (benefit), net</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(3,037)</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Foreign exchange (gain) loss</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27"/>
        </w:trPr>
        <w:tc>
          <w:tcPr>
            <w:tcW w:w="4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15,292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11,397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66,686</w:t>
            </w:r>
          </w:p>
        </w:tc>
        <w:tc>
          <w:tcPr>
            <w:tcW w:w="1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53,997</w:t>
            </w:r>
          </w:p>
        </w:tc>
      </w:tr>
      <w:tr>
        <w:trPr>
          <w:trHeight w:val="20"/>
        </w:trPr>
        <w:tc>
          <w:tcPr>
            <w:tcW w:w="4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Adjusted EBITDA is a performance measure used by management that is not calculated in accordance with U.S. generally accepted accounting principles (GAAP). EBITDA is defined in this Report as net income attributable to Mistras Group, Inc. plus: interest expense, provision for income taxes and depreciation and amortization. Adjusted EBITDA is defined in this Report as net income attributable to Mistras Group, Inc. plus: interest expense, provision for income taxes, depreciation and amortization, share-based compensation expense, and certain acquisition-related costs (including transaction due diligence costs and adjustments to the fair value of contingent consideration), foreign exchange loss and, if applicable, certain non-recurring items which we note.</w:t>
      </w:r>
    </w:p>
    <w:p>
      <w:pPr>
        <w:spacing w:after="0" w:line="15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the basis for a performance evaluation metric for executive and employee incentive compensation programs.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MD&amp;A under the heading "Income from Operations", the non-GAAP financial performance measures "Income from operations before acquisition-related expense (benefit), net” is used for each of our three segments and the "Total Company", with tables reconciling the measure to a financial measure under GAAP. This non-GAAP measures excludes from the GAAP measure "Income from Operations" (a) transaction expenses related to acquisitions, such as professional fees and due diligence costs and (b) the net changes in the fair value of acquisition-related contingent consideration liabilities. These items have been excluded from the GAAP measure because these expenses and credits are not related to the Company’s or Segment’s core business operations and are related solely to the Company’s or Segment’s acquisition activities. Changes in the fair value of acquisition-related contingent consideration liabilities can be a net expense or credit in any given period, and fluctuate based upon the then current value of cash consideration the Company expects to pay in the future for prior acquisitions, without impacting cash generated from the Company’s business operations.</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MD&amp;A section "Liquidity and Capital Resources", we use the term free cash flow, a non-GAAP measurement. We define free cash flow as cash provided by operating activities less capital expenditures (which is classified as an investing activity). Free cash flow for the first nine months of fiscal 2016 was $43.5 million consisting of $55.8 million of operating cash flow less $12.3 million of capital expenditures. For the comparable period in fiscal 2015, free cash flow was $22.2 million consisting of $34.5 million of operating cash flow less $12.3 million of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Revenues for the three months ended February 29, 2016 were $160.4 million, a decrease of $2.7 million, or 1.7%, compared to the prior year. Revenues for the nine months ended February 29, 2016 were $535.0 million, a decrease of $1.6 million, or 0.3%, compared to the nine months ended February 28,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and nine months ended February 29, 2016 and February 28, 2015 were as follows:</w:t>
      </w:r>
    </w:p>
    <w:p>
      <w:pPr>
        <w:spacing w:after="0" w:line="200" w:lineRule="exact"/>
        <w:rPr>
          <w:sz w:val="20"/>
          <w:szCs w:val="20"/>
          <w:color w:val="auto"/>
        </w:rPr>
      </w:pPr>
    </w:p>
    <w:p>
      <w:pPr>
        <w:spacing w:after="0" w:line="246" w:lineRule="exact"/>
        <w:rPr>
          <w:sz w:val="20"/>
          <w:szCs w:val="20"/>
          <w:color w:val="auto"/>
        </w:rPr>
      </w:pPr>
    </w:p>
    <w:p>
      <w:pPr>
        <w:jc w:val="right"/>
        <w:ind w:right="980"/>
        <w:spacing w:after="0"/>
        <w:tabs>
          <w:tab w:leader="none" w:pos="11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23495</wp:posOffset>
            </wp:positionV>
            <wp:extent cx="42024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5060"/>
        <w:spacing w:after="0"/>
        <w:tabs>
          <w:tab w:leader="none" w:pos="676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23495</wp:posOffset>
            </wp:positionV>
            <wp:extent cx="21183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89"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23495</wp:posOffset>
            </wp:positionV>
            <wp:extent cx="20154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89"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7900" w:space="520"/>
            <w:col w:w="30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123,616</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121,845</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411,484</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404,651</w:t>
            </w:r>
          </w:p>
        </w:tc>
      </w:tr>
      <w:tr>
        <w:trPr>
          <w:trHeight w:val="27"/>
        </w:trPr>
        <w:tc>
          <w:tcPr>
            <w:tcW w:w="4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114,610</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23,343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22,588</w:t>
            </w:r>
          </w:p>
        </w:tc>
      </w:tr>
      <w:tr>
        <w:trPr>
          <w:trHeight w:val="27"/>
        </w:trPr>
        <w:tc>
          <w:tcPr>
            <w:tcW w:w="4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5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r>
      <w:tr>
        <w:trPr>
          <w:trHeight w:val="237"/>
        </w:trPr>
        <w:tc>
          <w:tcPr>
            <w:tcW w:w="48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160,355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163,100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534,994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536,566</w:t>
            </w:r>
          </w:p>
        </w:tc>
      </w:tr>
      <w:tr>
        <w:trPr>
          <w:trHeight w:val="27"/>
        </w:trPr>
        <w:tc>
          <w:tcPr>
            <w:tcW w:w="4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the third quarter of fiscal 2016, Services segment revenues increased 1% due to a combination of low single digit organic growth coupled with a small amount of acquisition growth, which more than offset the adverse impact of a weaker Canadian dollar. Products and Systems segment revenues decreased by 20% driven by timing of sales. International segment revenues decreased by 5%, driven by an unfavorable impact of foreign exchanges rates and dispositions which caused revenues to decline by low double digits, which more than offset mid single-digit organic growth.</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Oil and gas revenues increased by approximately 6% and remained the Company’s most significant vertical market, comprising approximately 59% and 53% of total Company revenues in the third quarters of fiscal 2016 and 2015, respectively. The Company’s top ten customers comprised approximately 40% of total revenues in the third quarter of fiscal 2016 compared with approximately 36% in the third quarter of the prior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first nine months of fiscal 2016, our revenue decrease of less than 1% was adversely impacted by a combination of foreign exchange and dispositions which reduced revenues by approximately $24 million, or 4%. Services segment revenues increased 2% due to acquisition growth of low single digits, offset by adverse foreign exchange rates, while organic growth was flat. International segment revenues decreased 7% compared with the prior year driven by a mid-teens decline from foreign exchange rates and dispositions. Products and Systems segment revenues increased 3%, primarily due to greater volume.</w:t>
      </w:r>
    </w:p>
    <w:p>
      <w:pPr>
        <w:spacing w:after="0" w:line="154"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Company experienced mid-single digit year-on-year growth in its oil and gas vertical market. Oil and gas revenues comprised approximately 56% and 52% of total Company revenues in the first nine months of fiscal 2016 and 2015, respectively. The Company’s top ten customers comprised approximately 36% of total revenues in the first nine months of fiscal 2016 compared with approximately 33% in the first nine months of the prior fiscal year.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Gross profit increased by $4.1 million, or 10.5%, in the third quarter of fiscal 2016, on a sales decline of 1.7%. Gross profit increased by $11.2 million, or 8.0% during the first nine months of fiscal 2016, on a sales decline of less than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nine months ended February 29, 2016 and February 28, 2015 was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right"/>
        <w:ind w:right="980"/>
        <w:spacing w:after="0"/>
        <w:tabs>
          <w:tab w:leader="none" w:pos="11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23495</wp:posOffset>
            </wp:positionV>
            <wp:extent cx="42024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5060"/>
        <w:spacing w:after="0"/>
        <w:tabs>
          <w:tab w:leader="none" w:pos="676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23495</wp:posOffset>
            </wp:positionV>
            <wp:extent cx="21183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89"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23495</wp:posOffset>
            </wp:positionV>
            <wp:extent cx="2015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7900" w:space="580"/>
            <w:col w:w="294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30,256</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27,429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107,943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101,452</w:t>
            </w:r>
          </w:p>
        </w:tc>
      </w:tr>
      <w:tr>
        <w:trPr>
          <w:trHeight w:val="27"/>
        </w:trPr>
        <w:tc>
          <w:tcPr>
            <w:tcW w:w="4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27,795</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10,203</w:t>
            </w:r>
          </w:p>
        </w:tc>
      </w:tr>
      <w:tr>
        <w:trPr>
          <w:trHeight w:val="27"/>
        </w:trPr>
        <w:tc>
          <w:tcPr>
            <w:tcW w:w="4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5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37"/>
        </w:trPr>
        <w:tc>
          <w:tcPr>
            <w:tcW w:w="48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42,809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38,734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151,008</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139,767</w:t>
            </w:r>
          </w:p>
        </w:tc>
      </w:tr>
      <w:tr>
        <w:trPr>
          <w:trHeight w:val="27"/>
        </w:trPr>
        <w:tc>
          <w:tcPr>
            <w:tcW w:w="48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percentage of revenues, gross profit was 26.7% and 23.7% for the third quarters of fiscal 2016 and 2015, respectively. Service segment gross profit margins increased to 24.5% in the third quarter of fiscal 2016 compared to 22.5% in the third quarter of fiscal 2015. The 200 basis point increase was driven by improved technical labor utilization, sales mix, improvements in contract management and lower overhead costs. International segment gross margins increased to 29.0% in the third quarter of fiscal 2016 compared with 20.9% in the prior year. The 810 basis point increase was due to improvement in each of our four largest country locations, driven by prior year management changes and staffing actions that improved technical labor utilization, as well as improvements in sales mix and overhead costs. Products and Systems segment gross margin declined by 280 basis points to 46.6% compared with 49.4% in the prior year, driven by lower sales volume.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percentage of revenues, gross profit was 28.2% and 26.0% for the first nine months of fiscal 2016 and 2015, respectively. The increase in gross profit percentage was primarily attributable to the Services and International segments. Service segment gross profit margin increased to 26.2% compared to 25.1% in the first nine months of fiscal 2015, due to improved technical labor utilization, sales mix, contract management and lower overhead costs. International segment gross margins increased to 30.0% in the first nine months of fiscal 2016 compared with 24.3% in the prior year, due to improvement in each of our four largest country locations, driven by prior year management changes and staffing actions that improved technical labor utilization, as well as improvements in sales mix and overhead costs. Products and Systems segment gross margin improved to 46.9% compared to 45.2% in the prior year driven by a more favorable sales mix.</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a reconciliation of the income from operations before acquisition-related expense (benefit), net, to income from operations for each of the Company's three segments and for the Company in total:</w:t>
      </w:r>
    </w:p>
    <w:p>
      <w:pPr>
        <w:spacing w:after="0" w:line="392" w:lineRule="exact"/>
        <w:rPr>
          <w:sz w:val="20"/>
          <w:szCs w:val="20"/>
          <w:color w:val="auto"/>
        </w:rPr>
      </w:pPr>
    </w:p>
    <w:p>
      <w:pPr>
        <w:ind w:left="5620"/>
        <w:spacing w:after="0"/>
        <w:tabs>
          <w:tab w:leader="none" w:pos="91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23495</wp:posOffset>
            </wp:positionV>
            <wp:extent cx="44164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4780"/>
        <w:spacing w:after="0"/>
        <w:tabs>
          <w:tab w:leader="none" w:pos="658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23495</wp:posOffset>
            </wp:positionV>
            <wp:extent cx="22555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89"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February 29, 2016</w:t>
      </w:r>
      <w:r>
        <w:rPr>
          <w:sz w:val="20"/>
          <w:szCs w:val="20"/>
          <w:color w:val="auto"/>
        </w:rPr>
        <w:tab/>
      </w:r>
      <w:r>
        <w:rPr>
          <w:rFonts w:ascii="Arial" w:cs="Arial" w:eastAsia="Arial" w:hAnsi="Arial"/>
          <w:sz w:val="13"/>
          <w:szCs w:val="13"/>
          <w:b w:val="1"/>
          <w:bCs w:val="1"/>
          <w:color w:val="auto"/>
        </w:rPr>
        <w:t>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23495</wp:posOffset>
            </wp:positionV>
            <wp:extent cx="2092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9"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7720" w:space="640"/>
            <w:col w:w="306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Services: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w w:val="90"/>
              </w:rPr>
              <w:t>Income from operations before acquisition-related expense</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(benefit), net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9,857</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7,082</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43,478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36,819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6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6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10,071</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44,285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36,208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90"/>
              </w:rPr>
              <w:t>Income from operations before acquisition-related expense</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(benefit), net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6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6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90"/>
              </w:rPr>
              <w:t>Income from operations before acquisition-related expense</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(benefit), net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6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6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95"/>
              </w:rPr>
              <w:t>Loss from operations before acquisition-related expense</w:t>
            </w: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(benefit), net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(14,564)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6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6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90"/>
              </w:rPr>
              <w:t>Income from operations before acquisition-related expense</w:t>
            </w:r>
          </w:p>
        </w:tc>
        <w:tc>
          <w:tcPr>
            <w:tcW w:w="620" w:type="dxa"/>
            <w:vAlign w:val="bottom"/>
            <w:vMerge w:val="restart"/>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5,643</w:t>
            </w:r>
          </w:p>
        </w:tc>
        <w:tc>
          <w:tcPr>
            <w:tcW w:w="120" w:type="dxa"/>
            <w:vAlign w:val="bottom"/>
          </w:tcPr>
          <w:p>
            <w:pPr>
              <w:spacing w:after="0"/>
              <w:rPr>
                <w:sz w:val="19"/>
                <w:szCs w:val="19"/>
                <w:color w:val="auto"/>
              </w:rPr>
            </w:pPr>
          </w:p>
        </w:tc>
        <w:tc>
          <w:tcPr>
            <w:tcW w:w="620" w:type="dxa"/>
            <w:vAlign w:val="bottom"/>
            <w:vMerge w:val="restart"/>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9"/>
                <w:szCs w:val="19"/>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19"/>
                <w:szCs w:val="19"/>
                <w:color w:val="auto"/>
              </w:rPr>
            </w:pPr>
          </w:p>
        </w:tc>
        <w:tc>
          <w:tcPr>
            <w:tcW w:w="54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22,689</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(benefit), net</w:t>
            </w:r>
          </w:p>
        </w:tc>
        <w:tc>
          <w:tcPr>
            <w:tcW w:w="6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5,758</w:t>
            </w:r>
          </w:p>
        </w:tc>
        <w:tc>
          <w:tcPr>
            <w:tcW w:w="120" w:type="dxa"/>
            <w:vAlign w:val="bottom"/>
          </w:tcPr>
          <w:p>
            <w:pPr>
              <w:spacing w:after="0"/>
              <w:rPr>
                <w:sz w:val="21"/>
                <w:szCs w:val="21"/>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38,259</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For the three months ended February 29, 2016, income from operations increased $1.9 million, or 49%, compared with the prior year’s third quarter. As a percentage of revenues, income from operations was 4% and 2% for the third quarters of fiscal 2016 and 2015, respectively.</w:t>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increased $2.2 million, or 6%, compared with the prior year’s third quarter. The Services, International, and Products and Systems segments year-on-year operating expenses were flat. Corporate operating expenses were $2.5 million higher than in the prior year's third quarter, as a normal level of share-based compensation was incurred in the current year period compared with an abnormally low prior year amount, as well as an elevated level of legal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9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the nine months ended February 29, 2016, income from operations increased $12.5 million or 49%, compared with the prior year’s first nine months. As a percentage of revenues, income from operations was 7% and 5% for the first nine months of fiscal 2016 and 2015, respectively.</w:t>
      </w:r>
    </w:p>
    <w:p>
      <w:pPr>
        <w:spacing w:after="0" w:line="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expenses decreased by $1.3 million, or 1% compared with the prior year’s first nine months. The Services segment experienced an year-on-year operating expense decrease of $1.6 million, driven by decreased salary and benefits related costs. The International segment year-on-year operating expenses declined by $1.4 million, driven by the impact of foreign exchange</w:t>
      </w:r>
    </w:p>
    <w:p>
      <w:pPr>
        <w:sectPr>
          <w:pgSz w:w="11900" w:h="16838" w:orient="portrait"/>
          <w:cols w:equalWidth="0" w:num="1">
            <w:col w:w="11420"/>
          </w:cols>
          <w:pgMar w:left="240" w:top="121" w:right="239" w:bottom="1440" w:gutter="0" w:footer="0" w:header="0"/>
          <w:type w:val="continuous"/>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rates and continued cost reduction initiatives. Products and Systems operating expenses declined by $0.6 million, due primarily to the impact of cost reductions. Corporate operating expenses were $2.3 million higher than in the prior year's first nine months, as a normal level of share-based compensation was incurred in the current year period compared with an abnormally low prior year amount, as well as an elevated level of legal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Interest expense was approximately $1.1 million and $1.2 million for the third quarters of fiscal 2016 and 2015, respectively. Interest expense was approximately $4.4 million and $3.4 million for the first nine months of fiscal 2016 and 2015, respectively. The increase was primarily related to interest expense on seller notes from our recent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Company’s effective income tax rate was approximately 22% and 35% for the third quarter of fiscal 2016 and 2015, respectively. Fiscal 2016 and 2015 rates included favorable discrete tax items aggregating $0.5 million in the current year and $0.2 million in the prior year, which decreased the effective tax rate by 11% and 8%, respectively. The decrease in the current year related primarily to reserves that were released due to the lapse of the related statute of limitations. The Company's effective income tax rate was approximately 35% and 38% for the first nine months of fiscal 2016 and 2015, respectively. These same items reduced the year to date effective tax rates by 2% in the current year and 1% in the prior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February 29,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8"/>
              </w:rPr>
              <w:t>February 28, 2015</w:t>
            </w:r>
          </w:p>
        </w:tc>
      </w:tr>
      <w:tr>
        <w:trPr>
          <w:trHeight w:val="196"/>
        </w:trPr>
        <w:tc>
          <w:tcPr>
            <w:tcW w:w="8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55,802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34,516</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17,067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7,540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3,365</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nine months ended February 29, 2016, cash provided by operating activities was $55.8 million, an increase of $21.3 million, or 62%. The improvement was primarily attributable to the Company’s $12.7 million improvement in Adjusted EBITDA, as well as a 3 day reduction in DSO that reduced working capital outlays.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nine months ended February 29, 2016, cash used in investing activities was $13.0 million, compared with cash outflow of $46.1 million in the comparable period of the prior year. The prior year's first nine months included $34.7 million outflow related to acquisitions, compared with $1.7 million cash utilized for this purpose in the first nine months of fiscal 2016. Cash used for capital expenditures was $12.3 million in the first nine months of fiscal 2016 and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by financing activities was $34.3 million for the nine months ended February 29, 2016. The Company utilized most of the $43.5 million of free cash flow generated in the first nine months of fiscal 2016 to reduce its debt and capital lease obligations by $31.3 million, and to fund other tax-related outflows totaling $1.0 million. The Company generated cash from financing activities in the prior year’s comparable period by taking on a net of $37.1 million of additional debt to fund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acquisitions made in the prior year, offset by repayments of debt, capital lease obligations and contingent consideration obligations of approximately $20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 of exchange rate changes on our cash and cash equivalents was a net reduction of $1.0 million in the nine months of fiscal 2016, compared to $2.1 million for the nine months of fiscal 2015, driven by a stronger U.S. dollar and dispositions of three small foreign subsidiaries made at the end of the prior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2015 Annual Report under the Section “Liquidity and Capital Resources”, under the heading “Cash Balance and Credit Facility Borrowings,” and Note 9 -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condensed consolidated financial statements in this report, under the heading “Senior Credit Facility.”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February 29, 2016, we had cash and cash equivalents totaling $18.1 million and available borrowing capacity of $99.0 million under our Credit Agreement with borrowings of $71.5 million and $4.5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February 29, 2016,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Other than the amendment to the Credit Agreement, discussed above under “Liquidity and Capital Resources- Cash Balance and Credit Facility Borrowings”, there have been no significant changes in our contractual obligations and outstanding indebtedness as disclosed in the 2015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nine months ended February 29, 2016,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2015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2015 Annual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February 29, 2016,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February 29, 2016 that has materially affected, or is reasonably likely to materially affect, such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240" w:top="121" w:right="5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developments with regard to any matters disclosed under Part I, Item 3 “Legal Proceedings” in our 2015 Annual Report.</w:t>
      </w:r>
    </w:p>
    <w:p>
      <w:pPr>
        <w:spacing w:after="0" w:line="2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See Note 11 -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this report for a description of our legal proceedings.</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under the “Risk Factors” section included in our 2015 Annual Report. There have been no material changes to the risk factors previously disclosed in the 2015 Annual Report.</w:t>
      </w:r>
    </w:p>
    <w:p>
      <w:pPr>
        <w:spacing w:after="0" w:line="14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the shares of our common stock we acquired during the quarter pursuant to the surrender of shares by employees to satisfy the minimum tax withholding obligations in connection with the vesting of restricted stock units.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Month Ending</w:t>
            </w:r>
          </w:p>
        </w:tc>
        <w:tc>
          <w:tcPr>
            <w:tcW w:w="5020" w:type="dxa"/>
            <w:vAlign w:val="bottom"/>
            <w:gridSpan w:val="2"/>
          </w:tcPr>
          <w:p>
            <w:pPr>
              <w:jc w:val="center"/>
              <w:ind w:left="2442"/>
              <w:spacing w:after="0"/>
              <w:rPr>
                <w:sz w:val="20"/>
                <w:szCs w:val="20"/>
                <w:color w:val="auto"/>
              </w:rPr>
            </w:pPr>
            <w:r>
              <w:rPr>
                <w:rFonts w:ascii="Arial" w:cs="Arial" w:eastAsia="Arial" w:hAnsi="Arial"/>
                <w:sz w:val="14"/>
                <w:szCs w:val="14"/>
                <w:b w:val="1"/>
                <w:bCs w:val="1"/>
                <w:color w:val="auto"/>
                <w:w w:val="94"/>
              </w:rPr>
              <w:t>Total Number of Shares (or</w:t>
            </w:r>
          </w:p>
        </w:tc>
        <w:tc>
          <w:tcPr>
            <w:tcW w:w="240" w:type="dxa"/>
            <w:vAlign w:val="bottom"/>
          </w:tcPr>
          <w:p>
            <w:pPr>
              <w:spacing w:after="0"/>
              <w:rPr>
                <w:sz w:val="14"/>
                <w:szCs w:val="14"/>
                <w:color w:val="auto"/>
              </w:rPr>
            </w:pPr>
          </w:p>
        </w:tc>
        <w:tc>
          <w:tcPr>
            <w:tcW w:w="192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Average Price Paid per</w:t>
            </w: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5020" w:type="dxa"/>
            <w:vAlign w:val="bottom"/>
            <w:gridSpan w:val="2"/>
          </w:tcPr>
          <w:p>
            <w:pPr>
              <w:jc w:val="center"/>
              <w:ind w:left="2442"/>
              <w:spacing w:after="0"/>
              <w:rPr>
                <w:sz w:val="20"/>
                <w:szCs w:val="20"/>
                <w:color w:val="auto"/>
              </w:rPr>
            </w:pPr>
            <w:r>
              <w:rPr>
                <w:rFonts w:ascii="Arial" w:cs="Arial" w:eastAsia="Arial" w:hAnsi="Arial"/>
                <w:sz w:val="14"/>
                <w:szCs w:val="14"/>
                <w:b w:val="1"/>
                <w:bCs w:val="1"/>
                <w:color w:val="auto"/>
                <w:w w:val="92"/>
              </w:rPr>
              <w:t>Units) Purchased</w:t>
            </w:r>
          </w:p>
        </w:tc>
        <w:tc>
          <w:tcPr>
            <w:tcW w:w="240" w:type="dxa"/>
            <w:vAlign w:val="bottom"/>
          </w:tcPr>
          <w:p>
            <w:pPr>
              <w:spacing w:after="0"/>
              <w:rPr>
                <w:sz w:val="16"/>
                <w:szCs w:val="16"/>
                <w:color w:val="auto"/>
              </w:rPr>
            </w:pPr>
          </w:p>
        </w:tc>
        <w:tc>
          <w:tcPr>
            <w:tcW w:w="192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Share (or Unit)</w:t>
            </w:r>
          </w:p>
        </w:tc>
        <w:tc>
          <w:tcPr>
            <w:tcW w:w="0" w:type="dxa"/>
            <w:vAlign w:val="bottom"/>
          </w:tcPr>
          <w:p>
            <w:pPr>
              <w:spacing w:after="0"/>
              <w:rPr>
                <w:sz w:val="1"/>
                <w:szCs w:val="1"/>
                <w:color w:val="auto"/>
              </w:rPr>
            </w:pPr>
          </w:p>
        </w:tc>
      </w:tr>
      <w:tr>
        <w:trPr>
          <w:trHeight w:val="243"/>
        </w:trPr>
        <w:tc>
          <w:tcPr>
            <w:tcW w:w="4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January 31, 2016</w:t>
            </w:r>
          </w:p>
        </w:tc>
        <w:tc>
          <w:tcPr>
            <w:tcW w:w="49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1,706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16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026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102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567"/>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54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594"/>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Schema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2016</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240" w:top="121" w:right="7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Sotirios J. Vahaviolos,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2016</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Sotirios J. Vahaviolos</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President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Jonathan H. Wolk,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2016</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February 29, 2016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2016</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Sotirios J. Vahaviolos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2019-12-29T11:49:56Z</dcterms:created>
  <dcterms:modified xsi:type="dcterms:W3CDTF">2019-12-29T11:49:56Z</dcterms:modified>
</cp:coreProperties>
</file>