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00" w:right="100" w:hanging="402"/>
        <w:spacing w:after="0" w:line="256" w:lineRule="auto"/>
        <w:tabs>
          <w:tab w:leader="none" w:pos="7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February 29, 2012</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80" w:right="100" w:hanging="388"/>
        <w:spacing w:after="0" w:line="256" w:lineRule="auto"/>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transition period 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2"/>
              </w:rPr>
              <w:t>195 Clarksville Road</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88"/>
              </w:rPr>
              <w:t>Princeton Junction, New Jersey</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08550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(609) 716-4000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00"/>
          </w:cols>
          <w:pgMar w:left="240" w:top="233" w:right="359" w:bottom="0" w:gutter="0" w:footer="0" w:header="0"/>
        </w:sectPr>
      </w:pPr>
    </w:p>
    <w:p>
      <w:pPr>
        <w:spacing w:after="0" w:line="124"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40"/>
          </w:cols>
          <w:pgMar w:left="240" w:top="233" w:right="35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20"/>
          </w:cols>
          <w:pgMar w:left="240" w:top="233" w:right="35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x No</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 2012, the registrant had 27,938,173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300"/>
          </w:cols>
          <w:pgMar w:left="240" w:top="23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2980" w:type="dxa"/>
            <w:vAlign w:val="bottom"/>
            <w:gridSpan w:val="11"/>
            <w:vMerge w:val="restart"/>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I—FINANCIAL INFORMATION</w:t>
              </w:r>
            </w:hyperlink>
          </w:p>
        </w:tc>
        <w:tc>
          <w:tcPr>
            <w:tcW w:w="7480" w:type="dxa"/>
            <w:vAlign w:val="bottom"/>
            <w:gridSpan w:val="13"/>
            <w:vMerge w:val="restart"/>
          </w:tcPr>
          <w:p>
            <w:pPr>
              <w:spacing w:after="0"/>
              <w:rPr>
                <w:sz w:val="14"/>
                <w:szCs w:val="14"/>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980" w:type="dxa"/>
            <w:vAlign w:val="bottom"/>
            <w:tcBorders>
              <w:bottom w:val="single" w:sz="8" w:color="0000EE"/>
            </w:tcBorders>
            <w:gridSpan w:val="11"/>
            <w:vMerge w:val="continue"/>
          </w:tcPr>
          <w:p>
            <w:pPr>
              <w:spacing w:after="0"/>
              <w:rPr>
                <w:sz w:val="13"/>
                <w:szCs w:val="13"/>
                <w:color w:val="auto"/>
              </w:rPr>
            </w:pPr>
          </w:p>
        </w:tc>
        <w:tc>
          <w:tcPr>
            <w:tcW w:w="7480" w:type="dxa"/>
            <w:vAlign w:val="bottom"/>
            <w:gridSpan w:val="13"/>
            <w:vMerge w:val="continue"/>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Unaudited Consolidated Balance Sheets as of February 29, 2012 and May 31, 2011</w:t>
              </w:r>
            </w:hyperlink>
          </w:p>
        </w:tc>
        <w:tc>
          <w:tcPr>
            <w:tcW w:w="2600" w:type="dxa"/>
            <w:vAlign w:val="bottom"/>
            <w:gridSpan w:val="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Statements of Operations for the three and nine months ended February 29, 2012 and</w:t>
              </w:r>
            </w:hyperlink>
          </w:p>
        </w:tc>
        <w:tc>
          <w:tcPr>
            <w:tcW w:w="68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February 28, 2011</w:t>
              </w:r>
            </w:hyperlink>
          </w:p>
        </w:tc>
        <w:tc>
          <w:tcPr>
            <w:tcW w:w="7280" w:type="dxa"/>
            <w:vAlign w:val="bottom"/>
            <w:gridSpan w:val="1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Unaudited Consolidated Statements of Stockholders’ Equity for the nine months ended February 29, 2012 and</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February 28, 2011</w:t>
              </w:r>
            </w:hyperlink>
          </w:p>
        </w:tc>
        <w:tc>
          <w:tcPr>
            <w:tcW w:w="6620" w:type="dxa"/>
            <w:vAlign w:val="bottom"/>
            <w:tcBorders>
              <w:top w:val="single" w:sz="8" w:color="0000EE"/>
            </w:tcBorders>
            <w:gridSpan w:val="10"/>
          </w:tcPr>
          <w:p>
            <w:pPr>
              <w:spacing w:after="0"/>
              <w:rPr>
                <w:sz w:val="17"/>
                <w:szCs w:val="17"/>
                <w:color w:val="auto"/>
              </w:rPr>
            </w:pPr>
          </w:p>
        </w:tc>
        <w:tc>
          <w:tcPr>
            <w:tcW w:w="66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Unaudited Consolidated Statements of Cash Flows for the nine months ended February 29, 2012 and February 28,</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2011</w:t>
              </w:r>
            </w:hyperlink>
          </w:p>
        </w:tc>
        <w:tc>
          <w:tcPr>
            <w:tcW w:w="2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Unaudited Consolidated Financial Statements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ITEM 2.</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3.</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4.</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60" w:type="dxa"/>
            <w:vAlign w:val="bottom"/>
            <w:gridSpan w:val="2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II—OTHER INFORMATION</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1.</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ITEM 1.A.</w:t>
              </w:r>
            </w:hyperlink>
          </w:p>
        </w:tc>
        <w:tc>
          <w:tcPr>
            <w:tcW w:w="40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w:t>
              </w:r>
            </w:hyperlink>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3.</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5.</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6.</w:t>
              </w:r>
            </w:hyperlink>
          </w:p>
        </w:tc>
        <w:tc>
          <w:tcPr>
            <w:tcW w:w="580" w:type="dxa"/>
            <w:vAlign w:val="bottom"/>
            <w:gridSpan w:val="2"/>
          </w:tcPr>
          <w:p>
            <w:pPr>
              <w:spacing w:after="0"/>
              <w:rPr>
                <w:sz w:val="24"/>
                <w:szCs w:val="24"/>
                <w:color w:val="auto"/>
              </w:rPr>
            </w:pPr>
          </w:p>
        </w:tc>
        <w:tc>
          <w:tcPr>
            <w:tcW w:w="86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60" w:type="dxa"/>
            <w:vAlign w:val="bottom"/>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29, 2012</w:t>
            </w:r>
          </w:p>
        </w:tc>
        <w:tc>
          <w:tcPr>
            <w:tcW w:w="1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31,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95,257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78,031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13,173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1,324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127,039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58,570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33,559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80,053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Other assets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1,511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Current Liabilities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6,644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7,142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40,332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60,547</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34,645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12,847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5,197</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115,661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27,938,173 and 27,667,122 shares issued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and outstanding as of February 29, 2012 and May 31, 2011,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279</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185,984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184,792</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185,071</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preferred stock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300,732</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140" w:type="dxa"/>
            <w:vAlign w:val="bottom"/>
            <w:gridSpan w:val="6"/>
          </w:tcPr>
          <w:p>
            <w:pPr>
              <w:ind w:left="8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February 28, 2011</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February 29, 2012</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February 28, 2011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94,253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72,411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281,097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216,616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19,844</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79,213</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309,785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236,460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66,336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50,696</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194,270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3,760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3,307</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10,639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74,534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56,616</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217,566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165,277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20,806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16,005</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59,565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47,099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1,805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1,385</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4,787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Legal reserve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Other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1,690</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8,672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line="201" w:lineRule="exact"/>
              <w:rPr>
                <w:sz w:val="20"/>
                <w:szCs w:val="20"/>
                <w:color w:val="auto"/>
              </w:rPr>
            </w:pPr>
            <w:r>
              <w:rPr>
                <w:rFonts w:ascii="Arial" w:cs="Arial" w:eastAsia="Arial" w:hAnsi="Arial"/>
                <w:sz w:val="18"/>
                <w:szCs w:val="18"/>
                <w:color w:val="auto"/>
                <w:w w:val="96"/>
              </w:rPr>
              <w:t>Net (income) loss attributable to noncontrolling interests,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Earnings per common share (see Note 4):</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0.09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27,921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26,667</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27,794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26,665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26,919</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Stockholders’ Equity</w:t>
      </w:r>
    </w:p>
    <w:p>
      <w:pPr>
        <w:sectPr>
          <w:pgSz w:w="11900" w:h="16838"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Mistras Group,</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74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Inc.</w:t>
            </w: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1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deficit)</w:t>
            </w:r>
          </w:p>
        </w:tc>
        <w:tc>
          <w:tcPr>
            <w:tcW w:w="11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9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8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Nine months ended February 28,</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2011:</w:t>
            </w: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Balance at May 31, 2010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26,664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162,054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(30,448)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(1,587)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130,286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130,554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9,713</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9,713</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income, net of tax:</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160"/>
              <w:spacing w:after="0" w:line="201" w:lineRule="exact"/>
              <w:rPr>
                <w:sz w:val="20"/>
                <w:szCs w:val="20"/>
                <w:color w:val="auto"/>
              </w:rPr>
            </w:pPr>
            <w:r>
              <w:rPr>
                <w:rFonts w:ascii="Arial" w:cs="Arial" w:eastAsia="Arial" w:hAnsi="Arial"/>
                <w:sz w:val="18"/>
                <w:szCs w:val="18"/>
                <w:color w:val="auto"/>
              </w:rPr>
              <w:t>Foreign currency translation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adjustment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880</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 compensation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Noncontrolling interest in subsidiary</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February 28,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143,589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143,953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Nine months ended February 29,</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2012:</w:t>
            </w: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Balance at May 31, 2011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27,667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180,594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(14,017)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167,157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329</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167,486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14,221</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14,221</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14,183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w w:val="97"/>
              </w:rPr>
              <w:t>Other comprehensive income, net of tax:</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160"/>
              <w:spacing w:after="0" w:line="201" w:lineRule="exact"/>
              <w:rPr>
                <w:sz w:val="20"/>
                <w:szCs w:val="20"/>
                <w:color w:val="auto"/>
              </w:rPr>
            </w:pPr>
            <w:r>
              <w:rPr>
                <w:rFonts w:ascii="Arial" w:cs="Arial" w:eastAsia="Arial" w:hAnsi="Arial"/>
                <w:sz w:val="18"/>
                <w:szCs w:val="18"/>
                <w:color w:val="auto"/>
              </w:rPr>
              <w:t>Foreign currency translation</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340"/>
              <w:spacing w:after="0"/>
              <w:rPr>
                <w:sz w:val="20"/>
                <w:szCs w:val="20"/>
                <w:color w:val="auto"/>
              </w:rPr>
            </w:pPr>
            <w:r>
              <w:rPr>
                <w:rFonts w:ascii="Arial" w:cs="Arial" w:eastAsia="Arial" w:hAnsi="Arial"/>
                <w:sz w:val="18"/>
                <w:szCs w:val="18"/>
                <w:color w:val="auto"/>
              </w:rPr>
              <w:t>adjustment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(1,978)</w:t>
            </w: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(1,978)</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Stock compensation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on vesting of restricted</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Excess tax benefit from stock</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Balance at February 29, 2012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184,792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185,071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7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February 28, 2011</w:t>
            </w:r>
          </w:p>
        </w:tc>
        <w:tc>
          <w:tcPr>
            <w:tcW w:w="100" w:type="dxa"/>
            <w:vAlign w:val="bottom"/>
          </w:tcPr>
          <w:p>
            <w:pPr>
              <w:spacing w:after="0"/>
              <w:rPr>
                <w:sz w:val="12"/>
                <w:szCs w:val="12"/>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14,221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9,713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15,989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13,608</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Provision for doubtful accounts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long-term debt</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(Gain) loss on sale of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2,680</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loss (gain)</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(10,160)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(6,620)</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(1,377)</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(1,743)</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716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r>
      <w:tr>
        <w:trPr>
          <w:trHeight w:val="216"/>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r>
      <w:tr>
        <w:trPr>
          <w:trHeight w:val="210"/>
        </w:trPr>
        <w:tc>
          <w:tcPr>
            <w:tcW w:w="7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20,972</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18,643</w:t>
            </w:r>
          </w:p>
        </w:tc>
        <w:tc>
          <w:tcPr>
            <w:tcW w:w="100" w:type="dxa"/>
            <w:vAlign w:val="bottom"/>
            <w:tcBorders>
              <w:bottom w:val="single" w:sz="8" w:color="CCEEFF"/>
            </w:tcBorders>
          </w:tcPr>
          <w:p>
            <w:pPr>
              <w:spacing w:after="0"/>
              <w:rPr>
                <w:sz w:val="18"/>
                <w:szCs w:val="18"/>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(6,407)</w:t>
            </w: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(6,051)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r>
    </w:tbl>
    <w:p>
      <w:pPr>
        <w:sectPr>
          <w:pgSz w:w="11900" w:h="16838"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(26,273)</w:t>
            </w:r>
          </w:p>
        </w:tc>
        <w:tc>
          <w:tcPr>
            <w:tcW w:w="5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(18,301)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(32,816)</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(24,580)</w:t>
            </w:r>
          </w:p>
        </w:tc>
        <w:tc>
          <w:tcPr>
            <w:tcW w:w="100" w:type="dxa"/>
            <w:vAlign w:val="bottom"/>
            <w:tcBorders>
              <w:bottom w:val="single" w:sz="8" w:color="CCEEFF"/>
            </w:tcBorders>
          </w:tcPr>
          <w:p>
            <w:pPr>
              <w:spacing w:after="0"/>
              <w:rPr>
                <w:sz w:val="18"/>
                <w:szCs w:val="18"/>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(5,136)</w:t>
            </w: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(4,631)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(6,808)</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borrowings from revolver</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19,050</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(repayments) proceeds from other short-term borrowings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2,722</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borrowings of long-term debt</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837</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financing costs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(623)</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Taxes paid related to net share settlement of equity awards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from stock compensation</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405</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Proceeds from the exercise of stock options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1,477</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0"/>
        </w:trPr>
        <w:tc>
          <w:tcPr>
            <w:tcW w:w="7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18"/>
                <w:szCs w:val="18"/>
                <w:color w:val="auto"/>
              </w:rPr>
            </w:pPr>
          </w:p>
        </w:tc>
      </w:tr>
      <w:tr>
        <w:trPr>
          <w:trHeight w:val="21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cash and cash equivalents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10,879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16,037</w:t>
            </w: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9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w:t>
            </w:r>
          </w:p>
        </w:tc>
        <w:tc>
          <w:tcPr>
            <w:tcW w:w="3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tcPr>
          <w:p>
            <w:pPr>
              <w:spacing w:after="0"/>
              <w:rPr>
                <w:sz w:val="18"/>
                <w:szCs w:val="18"/>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w:t>
            </w:r>
          </w:p>
        </w:tc>
        <w:tc>
          <w:tcPr>
            <w:tcW w:w="1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1,720</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2,058</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8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w:t>
            </w: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148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8,613</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3,678</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4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2,444</w:t>
            </w: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the services of the Company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(GAAP) for interim financial information. Accordingly, they do not include all of the information and footnotes required by GAAP for complete financial statements. In the opinion of management, all adjustments (consisting of normal recurring accruals) considered necessary for a fair statement have been included. Operating results for the three and nine months ended February 29, 2012 are not necessarily indicative of the results that may be expected for the year ending May 31, 2012. The balance sheet at May 31, 2011 has been derived from the audited financial statements at that date but does not include all of the information and footnotes required by GAAP for complete financial statements. You should read these unaudited consolidated financial statements together with the historical consolidated financial statements of the Company as filed with the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Where the Company’s ownership interest is less than 100%, the noncontrolling interests are reported in stockholders’ equity in the accompanying consolidated balance sheets. The noncontrolling interest in net income, net of tax, is classified separately in the accompanying consolidated statements of operations.</w:t>
      </w:r>
    </w:p>
    <w:p>
      <w:pPr>
        <w:spacing w:after="0" w:line="1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Mistras Group, Inc.’s and its subsidiaries’ fiscal years end on May 31 except for the companies in the International segment, which end on April 30. The effect of this difference in timing of reporting foreign operations on the consolidated results of operations and consolidated financial position is not significant.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ectPr>
          <w:pgSz w:w="11900" w:h="16839" w:orient="portrait"/>
          <w:cols w:equalWidth="0" w:num="1">
            <w:col w:w="11420"/>
          </w:cols>
          <w:pgMar w:left="240" w:top="125" w:right="2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Revision of Prior Period Financial Statements</w:t>
      </w:r>
    </w:p>
    <w:p>
      <w:pPr>
        <w:sectPr>
          <w:pgSz w:w="11900" w:h="16839" w:orient="portrait"/>
          <w:cols w:equalWidth="0" w:num="1">
            <w:col w:w="11420"/>
          </w:cols>
          <w:pgMar w:left="240" w:top="125" w:right="239" w:bottom="0" w:gutter="0" w:footer="0" w:header="0"/>
          <w:type w:val="continuous"/>
        </w:sectPr>
      </w:pPr>
    </w:p>
    <w:bookmarkStart w:id="5" w:name="page6"/>
    <w:bookmarkEnd w:id="5"/>
    <w:p>
      <w:pPr>
        <w:jc w:val="both"/>
        <w:ind w:right="120"/>
        <w:spacing w:after="0" w:line="286" w:lineRule="auto"/>
        <w:rPr>
          <w:sz w:val="20"/>
          <w:szCs w:val="20"/>
          <w:color w:val="auto"/>
        </w:rPr>
      </w:pPr>
      <w:r>
        <w:rPr>
          <w:rFonts w:ascii="Arial" w:cs="Arial" w:eastAsia="Arial" w:hAnsi="Arial"/>
          <w:sz w:val="17"/>
          <w:szCs w:val="17"/>
          <w:color w:val="auto"/>
        </w:rPr>
        <w:t>The Company has revised the consolidated statement of cash flows for the nine months ended February 28, 2011 to reflect the cash flows associated with the financing of an insurance premium as cash flows from financing activities. Such cash flows were previously reported in operating activities. A summary of the revisions to the consolidated statements of cash flows for the nine months ended February 28, 2011 is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February 28, 2011</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As previously</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Revision</w:t>
            </w:r>
          </w:p>
        </w:tc>
        <w:tc>
          <w:tcPr>
            <w:tcW w:w="200" w:type="dxa"/>
            <w:vAlign w:val="bottom"/>
          </w:tcPr>
          <w:p>
            <w:pPr>
              <w:spacing w:after="0"/>
              <w:rPr>
                <w:sz w:val="10"/>
                <w:szCs w:val="10"/>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reported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21,365</w:t>
            </w:r>
          </w:p>
        </w:tc>
        <w:tc>
          <w:tcPr>
            <w:tcW w:w="4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(24,580)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provided by financing activities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during the period</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revisions had no impact on the annual statement of cash flows as presented in the 2011 Form 10-K.</w:t>
      </w:r>
    </w:p>
    <w:p>
      <w:pPr>
        <w:spacing w:after="0" w:line="22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project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ectPr>
          <w:pgSz w:w="11900" w:h="16838" w:orient="portrait"/>
          <w:cols w:equalWidth="0" w:num="1">
            <w:col w:w="11420"/>
          </w:cols>
          <w:pgMar w:left="240" w:top="341" w:right="239" w:bottom="45" w:gutter="0" w:footer="0" w:header="0"/>
        </w:sectPr>
      </w:pPr>
    </w:p>
    <w:bookmarkStart w:id="6" w:name="page7"/>
    <w:bookmarkEnd w:id="6"/>
    <w:p>
      <w:pPr>
        <w:ind w:right="400"/>
        <w:spacing w:after="0" w:line="277" w:lineRule="auto"/>
        <w:rPr>
          <w:sz w:val="20"/>
          <w:szCs w:val="20"/>
          <w:color w:val="auto"/>
        </w:rPr>
      </w:pPr>
      <w:r>
        <w:rPr>
          <w:rFonts w:ascii="Arial" w:cs="Arial" w:eastAsia="Arial" w:hAnsi="Arial"/>
          <w:sz w:val="18"/>
          <w:szCs w:val="18"/>
          <w:color w:val="auto"/>
        </w:rPr>
        <w:t>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occasionally enters into transactions that represent multiple-element arrangements, which may include any combination of services, software, and hardware. When a sales arrangement contains multiple elements, such as hardware and services and/or software products, the Company allocates revenue to each element based on a selling price hierarchy. The selling price for a deliverable is based on its vendor specific objective evidence (VSOE) if available, third party evidence (TPE) if VSOE is not available, or estimated selling price (ESP) if neither VSOE nor TPE is available. The Company has historically utilized the VSOE due to the nature of its products. In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These unaudited consolidated financial statements have been prepared in conformity with GAAP, which requires management to make estimates and assumptions about future events that affect the reported amounts of assets and liabilities, disclosure of contingent assets and liabilities at the date of the financial statements, and the reported amounts of revenues and expenses during the reporting period. Actual results could differ from these estimates. The more significant estimates include valuation of goodwill and intangible assets, useful lives of long-lived assets, acquisition-related contingent consideration, allowance for doubtful accounts, inventory valuation, reserves for self-insured workers compensation and health benefits and 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Goodwill represents the excess of the purchase price over the fair market value of net assets of the acquired business at the date of acquisition. The Company tests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 most recent annual test for impairment performed for fiscal 2011 did not identify any instances of impairment and there were no events through February 29, 2012 that warranted a reconsideration of the impairment test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one customer, BP plc. (BP), which accounted for 16% and 21% of revenues for the three months ended February 29, 2012 and February 28, 2011, respectively, and 16% and 17% of revenues for the nine months ended February 29, 2012 and February 28, 2011, respectively. Accounts receivable from this customer were approximately 14% and 15% of total accounts receivable, net as of February 29, 2012 and May 31, 2011, respectively. The relationship with BP is comprised of separate contracts for non-destructive testing and inspection services with multiple affiliated entities within the broad BP organization. The Company conducts business with various divisions or affiliates of the BP organization through numerous contracts covering many segments of BP’s business including downstream (refinery), midstream (pipelines) and upstream (exploration). These contracts are typically negotiated locally with the specific BP division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affiliate, are of varying lengths, have different start and end dates and differ in terms of the scope of work and nature of services provided. Most contracts are based on time and materials.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equity award on a straight-line basis over the vesting period of the related awards.</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 option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w:t>
      </w:r>
    </w:p>
    <w:p>
      <w:pPr>
        <w:sectPr>
          <w:pgSz w:w="11900" w:h="16838" w:orient="portrait"/>
          <w:cols w:equalWidth="0" w:num="1">
            <w:col w:w="11420"/>
          </w:cols>
          <w:pgMar w:left="240" w:top="125" w:right="239" w:bottom="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Since the Company’s IPO, the exercise price of stock option grants is determined using the closing market price of the Company’s common stock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In October 2009, the FASB issued Accounting Standards Update (ASU) 2009-13, Revenue Recognition (Topic 605): Multiple-Deliverable Revenue Arrangements (a consensus of the FASB Emerging Issues Task Force), which requires companies to allocate the overall consideration in multiple-element arrangements to each deliverable by using a best estimate of the selling price of individual deliverables in the arrangement in the absence of vendor-specific objective evidence or other third-party evidence of the selling price. Effective June 1, 2011, the Company adopted, on a prospective basis, the provisions of this updated accounting standard related to revenue recognition associated with contractual arrangements involving multiple elements. The adoption of this pronouncement did not have a material impact on the Company’s consolidated financial statements.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2010, the FASB issued ASU 2010-17, Revenue Recognition—Milestone Method (Topic 605): Milestone Method of Revenue Recognition (a consensus of the FASB Emerging Issues Task Force).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measures during the period in which the milestones are achieved, provided certain criteria are met. Effective June 1, 2011, the Company adopted, on a prospective basis, the provisions of this updated accounting standard related to milestones. The adoption of this pronouncement did not have a material impact on the Company’s consolidated financial statements.</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ASU 2011-05 allows an entity to present the total of comprehensive income, the components of net income, and the components of other comprehensive income either in a single continuous statement of comprehensive income or in two separate but consecutive statements. This authoritative guidance eliminates the option to present the components of other comprehensive income as part of the statement of equity. ASU 2011-05 does not change the items that must be reported in other comprehensive income, when an item of other comprehensive income must be reclassified to net income, or the Company’s option to present components of other comprehensive income either net of related tax effects or before related tax effects, nor does it affect how earnings per share is calculated or presented. ASU 2011-05 requires retrospective application, and it is effective for fiscal years and interim periods within those years, beginning after December 15,</w:t>
      </w:r>
    </w:p>
    <w:p>
      <w:pPr>
        <w:spacing w:after="0" w:line="3"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2011. Early adoption is permitted. The Company does not expect that the adoption of this pronouncement will have a material impact on the Company’s consolidated financial statements.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September 2011, the FASB issued ASU 2011-08, Intangibles-Goodwill and Other (Topic 350): Testing Goodwill for Impairment. ASU 2011-08 permits an entity to first perform a qualitative assessment to determine whether it is more likely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than not that the fair value of a reporting unit is less than its carrying value. If it is concluded that this is the case, it is then necessary to perform the currently prescribed two-step goodwill impairment test. Otherwise, the two-step goodwill impairment test is not required. ASU 2011-08 is effective for the Company in fiscal 2013 and earlier adoption is permitted. The Company does not expect that the adoption of this pronouncement will have a material impact on the Company’s consolidated financial statements.</w:t>
      </w:r>
    </w:p>
    <w:p>
      <w:pPr>
        <w:spacing w:after="0" w:line="18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2011, the Company completed a secondary offering of 3,754,061 shares of common stock at a price of $16.00 per share. The Company sold 989,660 shares and 2,764,401 shares were sold by a selling stockholder. The Company received net proceeds of approximately $14.7 million from the offering. The Company used the net proceeds for general corporate purposes including the reduction of outstanding indebtedness, acquisitions, capital expenditures and working capital.</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1,705,000 shares were available for future grants as of February 29, 2012. Prior to the Company’s IPO in October 2009, the Company had two stock option plans: (i) the 1995 Incentive Stock Option and Restricted Stock Purchase Plan (the 1995 Plan), and (ii) the 2007 Stock Option Plan (the 2007 Plan). No additional awards may be granted from these two plans. As of February 29, 2012, there was an aggregate of approximately 2,630,000 stock options outstanding and approximately 443,000 unvested restricted stock units outstanding under the 2009 Plan, the 2007 Plan, and the 1995 Plan.</w:t>
      </w:r>
    </w:p>
    <w:p>
      <w:pPr>
        <w:spacing w:after="0" w:line="18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fair value of the Company’s stock option awards for the nine months ended February 28, 2011 was estimated at the date of grant using the Black-Scholes option-pricing model with the range of assumptions below. No stock options were granted during the nine months ended February 29, 2012.</w:t>
      </w:r>
    </w:p>
    <w:p>
      <w:pPr>
        <w:spacing w:after="0" w:line="13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-3175</wp:posOffset>
            </wp:positionV>
            <wp:extent cx="1012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8" w:name="page9"/>
    <w:bookmarkEnd w:id="8"/>
    <w:p>
      <w:pPr>
        <w:spacing w:after="0" w:line="62"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Expected volatility</w:t>
            </w:r>
          </w:p>
        </w:tc>
        <w:tc>
          <w:tcPr>
            <w:tcW w:w="3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Expected term (years)</w:t>
            </w:r>
          </w:p>
        </w:tc>
        <w:tc>
          <w:tcPr>
            <w:tcW w:w="3200" w:type="dxa"/>
            <w:vAlign w:val="bottom"/>
          </w:tcPr>
          <w:p>
            <w:pPr>
              <w:jc w:val="right"/>
              <w:ind w:right="70"/>
              <w:spacing w:after="0"/>
              <w:rPr>
                <w:sz w:val="20"/>
                <w:szCs w:val="20"/>
                <w:color w:val="auto"/>
              </w:rPr>
            </w:pPr>
            <w:r>
              <w:rPr>
                <w:rFonts w:ascii="Arial" w:cs="Arial" w:eastAsia="Arial" w:hAnsi="Arial"/>
                <w:sz w:val="18"/>
                <w:szCs w:val="18"/>
                <w:color w:val="auto"/>
              </w:rPr>
              <w:t>6.3</w:t>
            </w:r>
          </w:p>
        </w:tc>
      </w:tr>
    </w:tbl>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recognized stock-based compensation expense related to stock option awards of approximately $0.8 million for the each of the three month periods ended February 29, 2012 and February 28, 2011. For each of the nine month periods ended February 29, 2012 and February 28, 2011, the Company recognized stock-based compensation expense related to stock option awards of $2.4 million. As of February 29, 2012, there was approximately $4.6 million of unrecognized compensation costs, net of estimated forfeitures, related to stock option awards, which are expected to be recognized over a remaining weighted average period of 1.5 years. Cash proceeds from and the aggregate intrinsic value of stock options exercised during the three and nine months ended February 29, 2012 and February 28, 2011 were as follows: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3"/>
          </w:tcPr>
          <w:p>
            <w:pPr>
              <w:jc w:val="right"/>
              <w:ind w:right="74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5"/>
          </w:tcPr>
          <w:p>
            <w:pPr>
              <w:ind w:lef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February 29, 2012</w:t>
            </w:r>
          </w:p>
        </w:tc>
        <w:tc>
          <w:tcPr>
            <w:tcW w:w="1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February 28, 2011</w:t>
            </w: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February 28,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w:t>
            </w:r>
          </w:p>
        </w:tc>
        <w:tc>
          <w:tcPr>
            <w:tcW w:w="1300" w:type="dxa"/>
            <w:vAlign w:val="bottom"/>
            <w:shd w:val="clear" w:color="auto" w:fill="CCEEFF"/>
          </w:tcPr>
          <w:p>
            <w:pPr>
              <w:jc w:val="right"/>
              <w:ind w:right="1146"/>
              <w:spacing w:after="0"/>
              <w:rPr>
                <w:sz w:val="20"/>
                <w:szCs w:val="20"/>
                <w:color w:val="auto"/>
              </w:rPr>
            </w:pPr>
            <w:r>
              <w:rPr>
                <w:rFonts w:ascii="Arial" w:cs="Arial" w:eastAsia="Arial" w:hAnsi="Arial"/>
                <w:sz w:val="15"/>
                <w:szCs w:val="15"/>
                <w:color w:val="auto"/>
                <w:w w:val="71"/>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337</w:t>
            </w:r>
          </w:p>
        </w:tc>
        <w:tc>
          <w:tcPr>
            <w:tcW w:w="1300" w:type="dxa"/>
            <w:vAlign w:val="bottom"/>
          </w:tcPr>
          <w:p>
            <w:pPr>
              <w:jc w:val="right"/>
              <w:ind w:right="1146"/>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43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3,399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also recognized approximately $0.5 million and $0.1 million in stock-based compensation expense related to restricted stock unit awards during the three months ended February 29, 2012 and February 28, 2011, respectively. For the nine months ended February 29, 2012 and February 28, 2011, the Company recognized stock-based compensation expense related to restricted stock unit awards of $1.1 million and $0.3 million, respectively. As of February 29, 2012, there was approximately $6.1 million of unrecognized compensation costs, net of estimated forfeitures, related to restricted stock unit awards, which are expected to be recognized over a remaining weighted average period of 3.3 years.</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October 2011, the Company granted approximately 9,000 shares of fully-vested common stock to its five non-employee directors, in connection with its non-employee director compensation plan. These shares had a grant date fair value of approximately $0.2 million, which was recorded as stock-based compensation expense during the nine months ended February 29, 2012.</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nine months ended February 29, 2012, approximately 52,000 restricted stock units vested, the fair value of which was $0.5 million. Upon vesting, restricted stock units are generally net share-settled to cover the required withholding tax and the remaining amount is converted into an equivalent number of shares of common stock. The restricted stock units that vested in the first nine months of fiscal 2012 were net-share settled such that the Company withheld shares with value equivalent to the employees’ minimum statutory obligation for the applicable income and other employment taxes, and remitted the cash to the appropriate taxing authorities. The Company withheld approximately 16,000 shares based on the value of the restricted stock units on their vesting date as determined by the Company’s closing stock price. Total payments for the employees’ tax obligations to the taxing authorities were $0.3 million and are reflected as a financing activity within the consolidated statements of cash flows. These net-share settlements had the effect of share repurchases by the Company as they reduced and retired the number of shares that otherwise would have been issued as a result of the vesting and did not represent an expense to the Company.</w:t>
      </w:r>
    </w:p>
    <w:p>
      <w:pPr>
        <w:spacing w:after="0" w:line="178"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60" w:firstLine="8"/>
        <w:spacing w:after="0" w:line="277"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gridSpan w:val="5"/>
          </w:tcPr>
          <w:p>
            <w:pPr>
              <w:ind w:left="9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February 29, 2012</w:t>
            </w: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February 28, 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8"/>
              </w:rPr>
              <w:t>February 29, 2012</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February 28,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Numerator: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Denominator: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27,921</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27,794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26,665</w:t>
            </w:r>
          </w:p>
        </w:tc>
        <w:tc>
          <w:tcPr>
            <w:tcW w:w="0" w:type="dxa"/>
            <w:vAlign w:val="bottom"/>
          </w:tcPr>
          <w:p>
            <w:pPr>
              <w:spacing w:after="0"/>
              <w:rPr>
                <w:sz w:val="1"/>
                <w:szCs w:val="1"/>
                <w:color w:val="auto"/>
              </w:rPr>
            </w:pPr>
          </w:p>
        </w:tc>
      </w:tr>
      <w:tr>
        <w:trPr>
          <w:trHeight w:val="250"/>
        </w:trPr>
        <w:tc>
          <w:tcPr>
            <w:tcW w:w="404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5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3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90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3,037</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2,443</w:t>
            </w:r>
          </w:p>
        </w:tc>
        <w:tc>
          <w:tcPr>
            <w:tcW w:w="70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14,221</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9,713</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27,921</w:t>
            </w:r>
          </w:p>
        </w:tc>
        <w:tc>
          <w:tcPr>
            <w:tcW w:w="5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26,667</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27,794</w:t>
            </w: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26,665</w:t>
            </w:r>
          </w:p>
        </w:tc>
        <w:tc>
          <w:tcPr>
            <w:tcW w:w="8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795</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0"/>
        </w:trPr>
        <w:tc>
          <w:tcPr>
            <w:tcW w:w="4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28,563</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300" w:type="dxa"/>
            <w:vAlign w:val="bottom"/>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completed the acquisition of eight companies during the nine months ended February 29, 2012. These acquisitions were asset protection companies specializing in advanced ultrasonic inspection, NDT services and inspection, ultrasonic testing (UT) and acoustic emission (AE) products and systems, and in-house component inspection. These companies were acquired to complement the service and product offerings within the Services, Products and Systems, and International segments. Three of the acquired companies were asset purchases that met the definition of “acquisitions of businesses” under the provision of FASB Accounting Standards Codification (ASC) 805-10-20. In the remaining acquisitions, the Company acquired 100% of the common stock of the acquirees. Five of the acquired companies have been integrated into the International segment; two of the acquired companies have been integrated into the Services segment; and one of the acquired companies has been integrated into the Products segment. In addition to the cash and debt consideration related to the acquisitions completed in fiscal 2012, the Company accrued a liability of approximately $3.3 million, which represents the estimated fair value of contingent consideration expected to be payable in the event that certain of the acquired companies achieve specific performance metrics over the next four years of operations. The total potential contingent consideration ranges from zero to $4.5 million for acquisitions completed in fiscal 2012.</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Assets and liabilities of the acquired businesses were included in the consolidated balance sheets as of February 29, 2012 based on their estimated fair value on the date of acquisition as determined in a purchase price allocation, using available information and making assumptions management believes are reasonable. The Company is still in the process of completing its valuations of the intangible assets for these acquisitions. These valuations and purchase price allocations are expected to be finalized prior to the end of the Company’s fiscal year ending May 31, 2012. The results of operations of each of the acquisitions completed in fiscal 2012 are reported in each respective operating segment’s statement of operations from the date of acquisition. The Company’s preliminary allocation of purchase price for these acquisitions is included in the table below. The following table summarizes the estimated fair value of the assets acquired and liabilities assumed at the date of acquisition: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February 29, 2012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6"/>
              </w:rPr>
              <w:t>February 28, 2011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27,514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Subordinated notes issued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and other liabilities assumed</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Purchase price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36,498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21,735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Current net assets acquired</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Deferred tax asset</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16,507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noncontrolling interest</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19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36,498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amortization period of intangible assets acquired ranges from one to fifteen years. The Company recorded approximately $16.5 million of goodwill in connection with its fiscal 2012 acquisitions, reflecting the strategic fit and revenue and earnings growth potential of these businesses. Substantially all of the goodwill recognized is expected to be deductible for tax purposes.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included in the consolidated statement of operations for the three and nine months ended February 29, 2012 from these acquisitions for the period subsequent to the closing of each transaction was approximately $10.6 million and $12.9 million, respectively. Loss from operations included in the consolidated statement of operations for each of the three and nine month periods ended February 29, 2012 from these acquisitions for the period subsequent to the closing of each transaction was approximately ($0.5) million.</w:t>
      </w:r>
    </w:p>
    <w:p>
      <w:pPr>
        <w:spacing w:after="0" w:line="18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fiscal 2012 acquisitions as if they had occurred at the beginning of each period presented. The pro forma information is presented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p>
      <w:pPr>
        <w:ind w:left="5540"/>
        <w:spacing w:after="0"/>
        <w:tabs>
          <w:tab w:leader="none" w:pos="91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6350</wp:posOffset>
            </wp:positionV>
            <wp:extent cx="43053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29, 2012</w:t>
            </w:r>
          </w:p>
        </w:tc>
        <w:tc>
          <w:tcPr>
            <w:tcW w:w="140" w:type="dxa"/>
            <w:vAlign w:val="bottom"/>
          </w:tcPr>
          <w:p>
            <w:pPr>
              <w:spacing w:after="0"/>
              <w:rPr>
                <w:sz w:val="14"/>
                <w:szCs w:val="14"/>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February 28, 2011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February 29, 2012</w:t>
            </w: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28,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117,241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90,287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347,412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During the three and nine month periods ended February 29, 2012, the Company incurred acquisition-related costs of $1.0 million and $1.4 million, respectively, in connection with due diligence, professional fees, and other expenses for its fiscal 2012 acquisition activity. Additionally, the Company adjusted the fair value of certain acquisition-related contingent consideration liabilities. For the three month and nine month periods ended February 29, 2012 the adjustments resulted in a net decrease of approximately $0.1 million and $0.9 million, respectively, to the Company’s acquisition-related contingent consideration liabilities, which were approximately $7.5 million as of February 29, 2012 and recorded on the balance sheet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accrued expenses and other liabilities. These adjustments also resulted in a corresponding net increase to income from operations of approximately $0.1 million and $0.9 million for the three and nine month periods ended February 29, 2012, respectively. Both the fair value adjustments to acquisition-related contingent consideration liabilities and the acquisition-related expenses have been classified as acquisition-related costs in the statement of operations for the three and nine months ended February 29, 2012. Acquisition-related costs for the Company’s fiscal 2011 acquisition activity were insignificant for the three and nine months ended February 28, 2011.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4940" w:type="dxa"/>
            <w:vAlign w:val="bottom"/>
            <w:gridSpan w:val="2"/>
          </w:tcPr>
          <w:p>
            <w:pPr>
              <w:ind w:left="260"/>
              <w:spacing w:after="0"/>
              <w:rPr>
                <w:sz w:val="20"/>
                <w:szCs w:val="20"/>
                <w:color w:val="auto"/>
              </w:rPr>
            </w:pPr>
            <w:r>
              <w:rPr>
                <w:rFonts w:ascii="Arial" w:cs="Arial" w:eastAsia="Arial" w:hAnsi="Arial"/>
                <w:sz w:val="18"/>
                <w:szCs w:val="18"/>
                <w:b w:val="1"/>
                <w:bCs w:val="1"/>
                <w:color w:val="auto"/>
              </w:rPr>
              <w:t>Accounts Receivable, net</w:t>
            </w: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rPr>
              <w:t>Accounts receivable consist of the following:</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February 29, 2012</w:t>
            </w:r>
          </w:p>
        </w:tc>
        <w:tc>
          <w:tcPr>
            <w:tcW w:w="18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97,363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79,800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(2,106)</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Inventories, net</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40" w:type="dxa"/>
            <w:vAlign w:val="bottom"/>
            <w:gridSpan w:val="3"/>
          </w:tcPr>
          <w:p>
            <w:pPr>
              <w:spacing w:after="0"/>
              <w:rPr>
                <w:sz w:val="20"/>
                <w:szCs w:val="20"/>
                <w:color w:val="auto"/>
              </w:rPr>
            </w:pPr>
            <w:r>
              <w:rPr>
                <w:rFonts w:ascii="Arial" w:cs="Arial" w:eastAsia="Arial" w:hAnsi="Arial"/>
                <w:sz w:val="18"/>
                <w:szCs w:val="18"/>
                <w:color w:val="auto"/>
              </w:rPr>
              <w:t>Inventories consist of the following:</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February 29, 2012</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May 31,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1,991</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86"/>
              </w:rPr>
              <w:t>Supplies</w:t>
            </w:r>
          </w:p>
        </w:tc>
        <w:tc>
          <w:tcPr>
            <w:tcW w:w="47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700" w:type="dxa"/>
            <w:vAlign w:val="bottom"/>
            <w:tcBorders>
              <w:top w:val="single" w:sz="8" w:color="CCEEFF"/>
              <w:bottom w:val="single" w:sz="8" w:color="CCEEFF"/>
            </w:tcBorders>
            <w:shd w:val="clear" w:color="auto" w:fill="CCEEFF"/>
          </w:tcPr>
          <w:p>
            <w:pPr>
              <w:spacing w:after="0"/>
              <w:rPr>
                <w:sz w:val="18"/>
                <w:szCs w:val="18"/>
                <w:color w:val="auto"/>
              </w:rPr>
            </w:pPr>
          </w:p>
        </w:tc>
        <w:tc>
          <w:tcPr>
            <w:tcW w:w="27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$1.2 million and $1.0 million as of February 29, 2012 and May 31, 2011,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8.</w:t>
            </w:r>
          </w:p>
        </w:tc>
        <w:tc>
          <w:tcPr>
            <w:tcW w:w="6480" w:type="dxa"/>
            <w:vAlign w:val="bottom"/>
          </w:tcPr>
          <w:p>
            <w:pPr>
              <w:ind w:left="500"/>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4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24"/>
                <w:szCs w:val="24"/>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February 29, 2012</w:t>
            </w: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 2011</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17,632</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14,779</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93,214</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80,587</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(60,861)</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(53,414)</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three months ended February 29, 2012 and February 28, 2011 was approximately $4.2 million and $3.5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the nine months ended February 29, 2012 and February 28, 2011 was approximately $11.8 million and $9.5 million, respectively.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6420" w:type="dxa"/>
            <w:vAlign w:val="bottom"/>
          </w:tcPr>
          <w:p>
            <w:pPr>
              <w:ind w:left="50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3"/>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February 29, 2012</w:t>
            </w: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May 31,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15,185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13,033</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4,770</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10.</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Long-Term Debt</w:t>
            </w: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2"/>
        </w:trPr>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24"/>
                <w:szCs w:val="2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 of</w:t>
            </w:r>
          </w:p>
        </w:tc>
      </w:tr>
      <w:tr>
        <w:trPr>
          <w:trHeight w:val="171"/>
        </w:trPr>
        <w:tc>
          <w:tcPr>
            <w:tcW w:w="5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February 29, 2012</w:t>
            </w:r>
          </w:p>
        </w:tc>
        <w:tc>
          <w:tcPr>
            <w:tcW w:w="20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May 31, 2011</w:t>
            </w:r>
          </w:p>
        </w:tc>
      </w:tr>
      <w:tr>
        <w:trPr>
          <w:trHeight w:val="196"/>
        </w:trPr>
        <w:tc>
          <w:tcPr>
            <w:tcW w:w="5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Senior credit facility:</w:t>
            </w:r>
          </w:p>
        </w:tc>
        <w:tc>
          <w:tcPr>
            <w:tcW w:w="2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Revolver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22,900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3,850</w:t>
            </w: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13,588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15,808</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Other</w:t>
            </w:r>
          </w:p>
        </w:tc>
        <w:tc>
          <w:tcPr>
            <w:tcW w:w="5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4,120</w:t>
            </w: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r>
      <w:tr>
        <w:trPr>
          <w:trHeight w:val="210"/>
        </w:trPr>
        <w:tc>
          <w:tcPr>
            <w:tcW w:w="540" w:type="dxa"/>
            <w:vAlign w:val="bottom"/>
            <w:tcBorders>
              <w:top w:val="single" w:sz="8" w:color="CCEEFF"/>
            </w:tcBorders>
            <w:shd w:val="clear" w:color="auto" w:fill="CCEEFF"/>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(5,963)</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(7,226)</w:t>
            </w:r>
          </w:p>
        </w:tc>
      </w:tr>
      <w:tr>
        <w:trPr>
          <w:trHeight w:val="210"/>
        </w:trPr>
        <w:tc>
          <w:tcPr>
            <w:tcW w:w="56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net of current maturities</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In December 2011, outstanding borrowings under the former credit agreement were repaid in full using proceeds from the Credit Agreement. As of February 29, 2012, there were outstanding borrowings of $22.9 million and a total of $3.8 million of outstanding letters of credit under the current revolving credit facility.</w:t>
      </w:r>
    </w:p>
    <w:p>
      <w:pPr>
        <w:spacing w:after="0" w:line="18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Loans under the Credit Agreement bear interest at LIBOR or base rate, at the option of the Company, plus an applicable LIBOR margin ranging from 1% to 2%, or base rate margin ranging from -1.25% to -.25%, based upon its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nine months ended February 29, 2012, the Company capitalized approximately $0.6 million of costs related to the new credit agreement and expensed approximately $0.1 million of deferred financing costs related to its former credit facility. The accelerated amounts expensed are classified as loss on extinguishment of long-term debt in the consolidated statement of operations.</w:t>
      </w:r>
    </w:p>
    <w:p>
      <w:pPr>
        <w:sectPr>
          <w:pgSz w:w="11900" w:h="16838" w:orient="portrait"/>
          <w:cols w:equalWidth="0" w:num="1">
            <w:col w:w="11420"/>
          </w:cols>
          <w:pgMar w:left="240" w:top="121"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certain of the acquisitions the Company has completed, it has, at various times, issued subordinated notes payable to the sellers. The maturity of these notes range from three to five years from the date of acquisition with interest rates ranging from 0% to 7%. The Company has discounted these obligations to reflect a 3.5% to 10% imputed interest rate. Unamortized discount on these notes totaled approximately $0.1 million as of February 29, 2012 and May 31, 2011. Amortization is recorded as interest expense in the consolidated statement of operations. The Company also has payment obligations to the sellers or the shareholders of the sellers pursuant to non-compete agreements which require the sellers and shareholders of the sellers not to compete with the Company. The payment obligations under these agreements range from 3 to 5 years.</w:t>
      </w:r>
    </w:p>
    <w:p>
      <w:pPr>
        <w:spacing w:after="0" w:line="174" w:lineRule="exact"/>
        <w:rPr>
          <w:sz w:val="20"/>
          <w:szCs w:val="20"/>
          <w:color w:val="auto"/>
        </w:rPr>
      </w:pPr>
    </w:p>
    <w:p>
      <w:pPr>
        <w:ind w:left="640" w:hanging="632"/>
        <w:spacing w:after="0"/>
        <w:tabs>
          <w:tab w:leader="none" w:pos="6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 was a defendant in two related purported class action lawsuits in California, based upon alleged violations of California labor and employment law: </w:t>
      </w:r>
      <w:r>
        <w:rPr>
          <w:rFonts w:ascii="Arial" w:cs="Arial" w:eastAsia="Arial" w:hAnsi="Arial"/>
          <w:sz w:val="18"/>
          <w:szCs w:val="18"/>
          <w:i w:val="1"/>
          <w:iCs w:val="1"/>
          <w:color w:val="auto"/>
        </w:rPr>
        <w:t>Quiroz v. Mistras Group, Inc., et al</w:t>
      </w:r>
      <w:r>
        <w:rPr>
          <w:rFonts w:ascii="Arial" w:cs="Arial" w:eastAsia="Arial" w:hAnsi="Arial"/>
          <w:sz w:val="18"/>
          <w:szCs w:val="18"/>
          <w:color w:val="auto"/>
        </w:rPr>
        <w:t xml:space="preserve">, U.S. District Court, Central District of California (Case No. CV09-7146 PSG), filed in September 2009, and </w:t>
      </w:r>
      <w:r>
        <w:rPr>
          <w:rFonts w:ascii="Arial" w:cs="Arial" w:eastAsia="Arial" w:hAnsi="Arial"/>
          <w:sz w:val="18"/>
          <w:szCs w:val="18"/>
          <w:i w:val="1"/>
          <w:iCs w:val="1"/>
          <w:color w:val="auto"/>
        </w:rPr>
        <w:t>Ballard</w:t>
      </w:r>
      <w:r>
        <w:rPr>
          <w:rFonts w:ascii="Arial" w:cs="Arial" w:eastAsia="Arial" w:hAnsi="Arial"/>
          <w:sz w:val="18"/>
          <w:szCs w:val="18"/>
          <w:color w:val="auto"/>
        </w:rPr>
        <w:t xml:space="preserve"> </w:t>
      </w:r>
      <w:r>
        <w:rPr>
          <w:rFonts w:ascii="Arial" w:cs="Arial" w:eastAsia="Arial" w:hAnsi="Arial"/>
          <w:sz w:val="18"/>
          <w:szCs w:val="18"/>
          <w:i w:val="1"/>
          <w:iCs w:val="1"/>
          <w:color w:val="auto"/>
        </w:rPr>
        <w:t>v. Mistras Group, Inc., et al</w:t>
      </w:r>
      <w:r>
        <w:rPr>
          <w:rFonts w:ascii="Arial" w:cs="Arial" w:eastAsia="Arial" w:hAnsi="Arial"/>
          <w:sz w:val="18"/>
          <w:szCs w:val="18"/>
          <w:color w:val="auto"/>
        </w:rPr>
        <w:t>, U.S. District Court, Central District of California (Case No. 2:10-cv-03186 (PSG)), filed in March 2010. The settlement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received final court approval in August 2011. The Company took a $0.4 million charge during the nine months ending February 28, 2011 for these cases.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February 29, 2012, total potential acquisition-related contingent consideration ranged from zero to $13.7 million and would be payable upon the achievement of specific performance metrics by certain of the acquired companies over the next four years of operations. See Note 5 to these consolidated financial statements for further discussion of the Company’s acquisitions.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March 2012, the Company completed the acquisition of two companies to continue its strategic efforts in market expansion. The Company’s cash outlay with regards to these acquisitions was approximately $1.8 million. The Company is in the process of completing the preliminary purchase price allocation. These acquisitions were not individually significant and no pro forma information has been included.</w:t>
      </w:r>
    </w:p>
    <w:p>
      <w:pPr>
        <w:spacing w:after="0" w:line="17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International</w:t>
      </w:r>
      <w:r>
        <w:rPr>
          <w:rFonts w:ascii="Arial" w:cs="Arial" w:eastAsia="Arial" w:hAnsi="Arial"/>
          <w:sz w:val="16"/>
          <w:szCs w:val="16"/>
          <w:color w:val="auto"/>
        </w:rPr>
        <w:t>. This segment offers services, products and systems similar to those of the other segments to global markets, principally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Middle East, Africa, Asia and South America, but not to customers in China and South Korea, which are served by the Products and Systems segment.</w:t>
      </w:r>
    </w:p>
    <w:p>
      <w:pPr>
        <w:spacing w:after="0" w:line="12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ectPr>
          <w:pgSz w:w="11900" w:h="16838" w:orient="portrait"/>
          <w:cols w:equalWidth="0" w:num="1">
            <w:col w:w="11380"/>
          </w:cols>
          <w:pgMar w:left="240" w:top="125" w:right="27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80,895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66,708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253,493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198,098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26,429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17,164</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38,794</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27,062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(8,931)</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309,785</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Revenues by operating segment include intercompany transactions, which are eliminated in Corporate and eliminations. The Services segment had sales to other operating segments of $0.5 million and $0.4 million for the three months ended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February 29, 2012 and February 28, 2011, respectively. For the nine months ended February 29, 2012 and February 28, 2011, Services segment sales to other operating segments totaled $2.3 million and $0.8 million, respectively.</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Products and Systems segment had sales to other operating segments of $3.1 million and $1.0 million for the three months ended February 29, 2012 and February 28, 2011, respectively. For the nine months ended February 29, 2012 and February 28, 2011, Products and Systems segment sales to other operating segments totaled $6.4 million and $3.1 million, respectively.</w:t>
      </w:r>
    </w:p>
    <w:p>
      <w:pPr>
        <w:spacing w:after="0" w:line="181"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color w:val="auto"/>
        </w:rPr>
        <w:t>The International segment had sales to other operating segments of $0.3 million and $0.1 million for the three months ended February 29, 2012 and February 28, 2011, respectively. For the nine months ended February 29, 2012 and February 28, 2011, International segment sales to other operating segments totaled $0.5 million and $0.2 million,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20,640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16,650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68,001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53,404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12,952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12,263</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29,584</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92,219</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7,207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5,494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27,983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(10,863)</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25,588</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February 29, 2012</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4,587</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4,247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12,988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15,989</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74"/>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ectPr>
          <w:pgSz w:w="11900" w:h="16838" w:orient="portrait"/>
          <w:cols w:equalWidth="0" w:num="1">
            <w:col w:w="11460"/>
          </w:cols>
          <w:pgMar w:left="240" w:top="125" w:right="199" w:bottom="0" w:gutter="0" w:footer="0" w:header="0"/>
        </w:sectPr>
      </w:pPr>
    </w:p>
    <w:p>
      <w:pPr>
        <w:spacing w:after="0" w:line="202" w:lineRule="exact"/>
        <w:rPr>
          <w:sz w:val="20"/>
          <w:szCs w:val="20"/>
          <w:color w:val="auto"/>
        </w:rPr>
      </w:pPr>
    </w:p>
    <w:p>
      <w:pPr>
        <w:ind w:left="6160"/>
        <w:spacing w:after="0"/>
        <w:tabs>
          <w:tab w:leader="none" w:pos="7780" w:val="left"/>
        </w:tabs>
        <w:rPr>
          <w:sz w:val="20"/>
          <w:szCs w:val="20"/>
          <w:color w:val="auto"/>
        </w:rPr>
      </w:pPr>
      <w:r>
        <w:rPr>
          <w:rFonts w:ascii="Arial" w:cs="Arial" w:eastAsia="Arial" w:hAnsi="Arial"/>
          <w:sz w:val="14"/>
          <w:szCs w:val="14"/>
          <w:b w:val="1"/>
          <w:bCs w:val="1"/>
          <w:color w:val="auto"/>
        </w:rPr>
        <w:t>As of</w:t>
      </w:r>
      <w:r>
        <w:rPr>
          <w:sz w:val="20"/>
          <w:szCs w:val="20"/>
          <w:color w:val="auto"/>
        </w:rPr>
        <w:tab/>
      </w:r>
      <w:r>
        <w:rPr>
          <w:rFonts w:ascii="Arial" w:cs="Arial" w:eastAsia="Arial" w:hAnsi="Arial"/>
          <w:sz w:val="12"/>
          <w:szCs w:val="12"/>
          <w:b w:val="1"/>
          <w:bCs w:val="1"/>
          <w:color w:val="auto"/>
        </w:rPr>
        <w:t>As of</w:t>
      </w:r>
    </w:p>
    <w:p>
      <w:pPr>
        <w:sectPr>
          <w:pgSz w:w="11900" w:h="16838" w:orient="portrait"/>
          <w:cols w:equalWidth="0" w:num="1">
            <w:col w:w="11460"/>
          </w:cols>
          <w:pgMar w:left="240" w:top="125" w:right="199" w:bottom="0" w:gutter="0" w:footer="0" w:header="0"/>
          <w:type w:val="continuous"/>
        </w:sectPr>
      </w:pPr>
    </w:p>
    <w:bookmarkStart w:id="14" w:name="page15"/>
    <w:bookmarkEnd w:id="14"/>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29, 2012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May 31,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16,868</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5,480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90" w:orient="portrait"/>
          <w:cols w:equalWidth="0" w:num="1">
            <w:col w:w="11460"/>
          </w:cols>
          <w:pgMar w:left="240" w:top="118" w:right="199" w:bottom="0" w:gutter="0" w:footer="0" w:header="0"/>
        </w:sectPr>
      </w:pPr>
    </w:p>
    <w:p>
      <w:pPr>
        <w:jc w:val="center"/>
        <w:ind w:left="57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3810</wp:posOffset>
            </wp:positionV>
            <wp:extent cx="875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3100"/>
        <w:spacing w:after="0"/>
        <w:rPr>
          <w:sz w:val="20"/>
          <w:szCs w:val="20"/>
          <w:color w:val="auto"/>
        </w:rPr>
      </w:pPr>
      <w:r>
        <w:rPr>
          <w:rFonts w:ascii="Arial" w:cs="Arial" w:eastAsia="Arial" w:hAnsi="Arial"/>
          <w:sz w:val="13"/>
          <w:szCs w:val="13"/>
          <w:b w:val="1"/>
          <w:bCs w:val="1"/>
          <w:color w:val="auto"/>
        </w:rPr>
        <w:t>May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3810</wp:posOffset>
            </wp:positionV>
            <wp:extent cx="857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90" w:orient="portrait"/>
          <w:cols w:equalWidth="0" w:num="2">
            <w:col w:w="6880" w:space="680"/>
            <w:col w:w="3900"/>
          </w:cols>
          <w:pgMar w:left="240" w:top="118"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2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57,252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51,745</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13,594</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10,557</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9,207</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80,053</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90" w:orient="portrait"/>
          <w:cols w:equalWidth="0" w:num="1">
            <w:col w:w="11460"/>
          </w:cols>
          <w:pgMar w:left="240" w:top="118" w:right="199" w:bottom="0" w:gutter="0" w:footer="0" w:header="0"/>
          <w:type w:val="continuous"/>
        </w:sectPr>
      </w:pPr>
    </w:p>
    <w:p>
      <w:pPr>
        <w:jc w:val="center"/>
        <w:ind w:left="57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3810</wp:posOffset>
            </wp:positionV>
            <wp:extent cx="857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3100"/>
        <w:spacing w:after="0"/>
        <w:rPr>
          <w:sz w:val="20"/>
          <w:szCs w:val="20"/>
          <w:color w:val="auto"/>
        </w:rPr>
      </w:pPr>
      <w:r>
        <w:rPr>
          <w:rFonts w:ascii="Arial" w:cs="Arial" w:eastAsia="Arial" w:hAnsi="Arial"/>
          <w:sz w:val="13"/>
          <w:szCs w:val="13"/>
          <w:b w:val="1"/>
          <w:bCs w:val="1"/>
          <w:color w:val="auto"/>
        </w:rPr>
        <w:t>May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3810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90" w:orient="portrait"/>
          <w:cols w:equalWidth="0" w:num="2">
            <w:col w:w="6880" w:space="680"/>
            <w:col w:w="3900"/>
          </w:cols>
          <w:pgMar w:left="240" w:top="118"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120,604</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109,978</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23,235</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25,041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6,504</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8"/>
                <w:szCs w:val="18"/>
                <w:color w:val="auto"/>
              </w:rPr>
            </w:pPr>
          </w:p>
        </w:tc>
      </w:tr>
      <w:tr>
        <w:trPr>
          <w:trHeight w:val="210"/>
        </w:trPr>
        <w:tc>
          <w:tcPr>
            <w:tcW w:w="56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172,182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90" w:orient="portrait"/>
          <w:cols w:equalWidth="0" w:num="1">
            <w:col w:w="11460"/>
          </w:cols>
          <w:pgMar w:left="240" w:top="118" w:right="199" w:bottom="0" w:gutter="0" w:footer="0" w:header="0"/>
          <w:type w:val="continuous"/>
        </w:sectPr>
      </w:pPr>
    </w:p>
    <w:p>
      <w:pPr>
        <w:jc w:val="center"/>
        <w:ind w:left="57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760"/>
        <w:spacing w:after="0"/>
        <w:rPr>
          <w:sz w:val="20"/>
          <w:szCs w:val="20"/>
          <w:color w:val="auto"/>
        </w:rPr>
      </w:pPr>
      <w:r>
        <w:rPr>
          <w:rFonts w:ascii="Arial" w:cs="Arial" w:eastAsia="Arial" w:hAnsi="Arial"/>
          <w:sz w:val="13"/>
          <w:szCs w:val="13"/>
          <w:b w:val="1"/>
          <w:bCs w:val="1"/>
          <w:color w:val="auto"/>
        </w:rPr>
        <w:t>February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3810</wp:posOffset>
            </wp:positionV>
            <wp:extent cx="8578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3100"/>
        <w:spacing w:after="0"/>
        <w:rPr>
          <w:sz w:val="20"/>
          <w:szCs w:val="20"/>
          <w:color w:val="auto"/>
        </w:rPr>
      </w:pPr>
      <w:r>
        <w:rPr>
          <w:rFonts w:ascii="Arial" w:cs="Arial" w:eastAsia="Arial" w:hAnsi="Arial"/>
          <w:sz w:val="13"/>
          <w:szCs w:val="13"/>
          <w:b w:val="1"/>
          <w:bCs w:val="1"/>
          <w:color w:val="auto"/>
        </w:rPr>
        <w:t>May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3810</wp:posOffset>
            </wp:positionV>
            <wp:extent cx="866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90" w:orient="portrait"/>
          <w:cols w:equalWidth="0" w:num="2">
            <w:col w:w="6880" w:space="680"/>
            <w:col w:w="3900"/>
          </w:cols>
          <w:pgMar w:left="240" w:top="118" w:right="19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205,934</w:t>
            </w: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188,693</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39,976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36,450</w:t>
            </w:r>
          </w:p>
        </w:tc>
        <w:tc>
          <w:tcPr>
            <w:tcW w:w="8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52,740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26,431</w:t>
            </w:r>
          </w:p>
        </w:tc>
        <w:tc>
          <w:tcPr>
            <w:tcW w:w="8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(2,937)</w:t>
            </w:r>
          </w:p>
        </w:tc>
      </w:tr>
      <w:tr>
        <w:trPr>
          <w:trHeight w:val="210"/>
        </w:trPr>
        <w:tc>
          <w:tcPr>
            <w:tcW w:w="56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300,732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nine months ended February 29, 2012 and February 28, 2011, respectively, were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February 29, 2012</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February 29, 2012</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74,416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64,189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237,215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191,309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Americas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32,357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Europe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780"/>
              <w:spacing w:after="0"/>
              <w:rPr>
                <w:sz w:val="20"/>
                <w:szCs w:val="20"/>
                <w:color w:val="auto"/>
              </w:rPr>
            </w:pPr>
            <w:r>
              <w:rPr>
                <w:rFonts w:ascii="Arial" w:cs="Arial" w:eastAsia="Arial" w:hAnsi="Arial"/>
                <w:sz w:val="18"/>
                <w:szCs w:val="18"/>
                <w:color w:val="auto"/>
              </w:rPr>
              <w:t>13,721</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27,797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309,785</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74"/>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(Securities Act), and Section 21E of the Securities Exchange Act of 1934 (Exchange Act). Forward-looking statements reflect our current estimates, expectations and projections about our future results, performance, prospects and opportunities. Forward-looking statements include, among other things, the information concerning our possible future results of operations, business and growth strategies, financing plans, our competitive position and the effects of competition, the projected growth of the industries in which we operate, the benefits and synergies to be obtained from our completed and any future acquisitions, and statements of management’s goals and objectives, and other similar expressions concerning matters that are not historical facts. Words such as “may,” “should,” “could,” “would,” “predicts,” “potential,” “continue,” “expects,” “anticipates,” “future,” “intends,” “plans,” “believes,” “estimates,” “appears,” “projects” and similar expressions, as well as statements in the future tense, identify forward-looking statements. Forward-looking statements should not be read as a guarantee of future performance or results, and will not necessarily be accurate indications of the times at, or by which, such performance or results will be achieved. Forward-looking information is based on information available at the time and management’s good faith belief with respect to future events,</w:t>
      </w:r>
    </w:p>
    <w:p>
      <w:pPr>
        <w:sectPr>
          <w:pgSz w:w="11900" w:h="16890" w:orient="portrait"/>
          <w:cols w:equalWidth="0" w:num="1">
            <w:col w:w="11460"/>
          </w:cols>
          <w:pgMar w:left="240" w:top="118" w:right="199" w:bottom="0" w:gutter="0" w:footer="0" w:header="0"/>
          <w:type w:val="continuous"/>
        </w:sectPr>
      </w:pPr>
    </w:p>
    <w:bookmarkStart w:id="15" w:name="page16"/>
    <w:bookmarkEnd w:id="15"/>
    <w:p>
      <w:pPr>
        <w:ind w:right="220"/>
        <w:spacing w:after="0" w:line="308" w:lineRule="auto"/>
        <w:rPr>
          <w:sz w:val="20"/>
          <w:szCs w:val="20"/>
          <w:color w:val="auto"/>
        </w:rPr>
      </w:pPr>
      <w:r>
        <w:rPr>
          <w:rFonts w:ascii="Arial" w:cs="Arial" w:eastAsia="Arial" w:hAnsi="Arial"/>
          <w:sz w:val="17"/>
          <w:szCs w:val="17"/>
          <w:color w:val="auto"/>
        </w:rPr>
        <w:t>and is subject to risks and uncertainties that could cause actual performance or results to differ materially from those expressed in the statements. Important factors that could cause such differences include, but are not limited to the factors discussed under the “Risk Factors” section below.</w:t>
      </w:r>
    </w:p>
    <w:p>
      <w:pPr>
        <w:spacing w:after="0" w:line="1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is a discussion and analysis of our financial condition and results of operations and should be read together with our condensed consolidated financial statements and related notes to the condensed consolidated financial statements included elsewhere in this Quarterly Report on Form 10-Q and our audited consolidated financial statements and related notes to the audited consolidated financial statements included in our Annual Report on Form 10-K. In this quarterly report, our fiscal years, which end on May 31, are identified according to the calendar year in which they end (e.g., the fiscal year ended May 31, 2011 is referred to as “fiscal 2011”), and unless otherwise specified or the context otherwise requires, “Mistras,” “the Company,” “we,” “us” and “our” refer to Mistras Group, Inc. and its consolidated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a leading “one source”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During fiscal 2011, we provided our asset protection solutions to approximately 5,600 customers. As of February 29, 2012, we had approximately 3,100 employees, including approximately 30 Ph.D.’s and 100 other degreed engineers and certified technicians, in approximately 80 offices across 15 countries. We have established long-term relationships as a critical solutions provider to many leading companies in our target markets. Our current principal market is the oil and gas industry, which accounted for approximately 56% and 61% of our revenues for the first nine months of fiscal 2012 and 2011, respectively.</w:t>
      </w:r>
    </w:p>
    <w:p>
      <w:pPr>
        <w:spacing w:after="0" w:line="188"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have experienced compounded annual growth rate (CAGR) for revenue of 31% over the last three fiscal years, including the impact of acquisitions and currency fluctuations. We believe further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tight liquidity and credit availability, relatively low consumer confidence, slow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February 29, 2012 compared to the three months ended February 28,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months ended February 29, 2012 and February 28, 2011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6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February 29, 2012</w:t>
            </w: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4"/>
          </w:tcPr>
          <w:p>
            <w:pPr>
              <w:jc w:val="right"/>
              <w:ind w:right="931"/>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104,118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79,213</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70,574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53,156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Depreciation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3,960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20,806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16,005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16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Borders>
              <w:bottom w:val="single" w:sz="8" w:color="CCEEFF"/>
            </w:tcBorders>
          </w:tcPr>
          <w:p>
            <w:pPr>
              <w:spacing w:after="0"/>
              <w:rPr>
                <w:sz w:val="18"/>
                <w:szCs w:val="18"/>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1,690</w:t>
            </w:r>
          </w:p>
        </w:tc>
      </w:tr>
      <w:tr>
        <w:trPr>
          <w:trHeight w:val="210"/>
        </w:trPr>
        <w:tc>
          <w:tcPr>
            <w:tcW w:w="6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10"/>
        </w:trPr>
        <w:tc>
          <w:tcPr>
            <w:tcW w:w="6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Our EBITDA and Adjusted EBITDA, non-GAAP measures explained below, for the three months ended February 29, 2012 and February 28, 2011 were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7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February 29, 2012</w:t>
            </w: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February 28, 2011</w:t>
            </w:r>
          </w:p>
        </w:tc>
        <w:tc>
          <w:tcPr>
            <w:tcW w:w="80" w:type="dxa"/>
            <w:vAlign w:val="bottom"/>
            <w:gridSpan w:val="2"/>
          </w:tcPr>
          <w:p>
            <w:pPr>
              <w:spacing w:after="0"/>
              <w:rPr>
                <w:sz w:val="12"/>
                <w:szCs w:val="12"/>
                <w:color w:val="auto"/>
              </w:rPr>
            </w:pPr>
          </w:p>
        </w:tc>
      </w:tr>
      <w:tr>
        <w:trPr>
          <w:trHeight w:val="142"/>
        </w:trPr>
        <w:tc>
          <w:tcPr>
            <w:tcW w:w="7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4"/>
          </w:tcPr>
          <w:p>
            <w:pPr>
              <w:jc w:val="right"/>
              <w:ind w:right="932"/>
              <w:spacing w:after="0" w:line="142" w:lineRule="exact"/>
              <w:rPr>
                <w:sz w:val="20"/>
                <w:szCs w:val="20"/>
                <w:color w:val="auto"/>
              </w:rPr>
            </w:pPr>
            <w:r>
              <w:rPr>
                <w:rFonts w:ascii="Arial" w:cs="Arial" w:eastAsia="Arial" w:hAnsi="Arial"/>
                <w:sz w:val="14"/>
                <w:szCs w:val="14"/>
                <w:b w:val="1"/>
                <w:bCs w:val="1"/>
                <w:color w:val="auto"/>
              </w:rPr>
              <w:t>($ in thousands)</w:t>
            </w:r>
          </w:p>
        </w:tc>
        <w:tc>
          <w:tcPr>
            <w:tcW w:w="80" w:type="dxa"/>
            <w:vAlign w:val="bottom"/>
            <w:gridSpan w:val="2"/>
          </w:tcPr>
          <w:p>
            <w:pPr>
              <w:spacing w:after="0"/>
              <w:rPr>
                <w:sz w:val="12"/>
                <w:szCs w:val="1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3,037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2,443</w:t>
            </w: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1,690</w:t>
            </w: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4,845</w:t>
            </w:r>
          </w:p>
        </w:tc>
        <w:tc>
          <w:tcPr>
            <w:tcW w:w="60" w:type="dxa"/>
            <w:vAlign w:val="bottom"/>
            <w:shd w:val="clear" w:color="auto" w:fill="CCEEFF"/>
          </w:tcPr>
          <w:p>
            <w:pPr>
              <w:spacing w:after="0"/>
              <w:rPr>
                <w:sz w:val="18"/>
                <w:szCs w:val="18"/>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11,164</w:t>
            </w: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6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1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13,370</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stock-based compensation expense, and, if applicable, certain acquisition related costs (including adjustments to the fair value of contingent consideration) and certain non-recurring items (which items are described below or in the reconciliation table above).</w:t>
      </w:r>
    </w:p>
    <w:p>
      <w:pPr>
        <w:spacing w:after="0" w:line="193"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$104.1 million for the three months ended February 29, 2012 compared to $79.2 million for the three months ended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2011. Revenues by segment for the third quarter of fiscal 2012 and 2011 were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7"/>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February 29, 2012</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February 28,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20" w:type="dxa"/>
            <w:vAlign w:val="bottom"/>
            <w:gridSpan w:val="6"/>
          </w:tcPr>
          <w:p>
            <w:pPr>
              <w:jc w:val="right"/>
              <w:ind w:right="1360"/>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80,895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66,708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17,164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79,213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w w:val="93"/>
              </w:rPr>
              <w:t>We estimate our growth rates for the third quarter of fiscal 2012 and 2011 were as follows:</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gridSpan w:val="7"/>
          </w:tcPr>
          <w:p>
            <w:pPr>
              <w:jc w:val="right"/>
              <w:ind w:right="1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9"/>
              </w:rPr>
              <w:t>February 29, 2012</w:t>
            </w:r>
          </w:p>
        </w:tc>
        <w:tc>
          <w:tcPr>
            <w:tcW w:w="1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98"/>
              </w:rPr>
              <w:t>February 28, 2011</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80" w:type="dxa"/>
            <w:vAlign w:val="bottom"/>
            <w:gridSpan w:val="5"/>
          </w:tcPr>
          <w:p>
            <w:pPr>
              <w:jc w:val="right"/>
              <w:ind w:right="1274"/>
              <w:spacing w:after="0" w:line="142" w:lineRule="exact"/>
              <w:rPr>
                <w:sz w:val="20"/>
                <w:szCs w:val="20"/>
                <w:color w:val="auto"/>
              </w:rPr>
            </w:pPr>
            <w:r>
              <w:rPr>
                <w:rFonts w:ascii="Arial" w:cs="Arial" w:eastAsia="Arial" w:hAnsi="Arial"/>
                <w:sz w:val="14"/>
                <w:szCs w:val="14"/>
                <w:b w:val="1"/>
                <w:bCs w:val="1"/>
                <w:color w:val="auto"/>
              </w:rPr>
              <w:t>($ in thousands)</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2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277610" cy="121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77610" cy="12192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7" w:name="page18"/>
    <w:bookmarkEnd w:id="17"/>
    <w:tbl>
      <w:tblPr>
        <w:tblLayout w:type="fixed"/>
        <w:tblInd w:w="660" w:type="dxa"/>
        <w:tblCellMar>
          <w:top w:w="0" w:type="dxa"/>
          <w:left w:w="0" w:type="dxa"/>
          <w:bottom w:w="0" w:type="dxa"/>
          <w:right w:w="0" w:type="dxa"/>
        </w:tblCellMar>
      </w:tblP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60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40" w:type="dxa"/>
            <w:vAlign w:val="bottom"/>
          </w:tcPr>
          <w:p>
            <w:pPr>
              <w:spacing w:after="0"/>
              <w:rPr>
                <w:sz w:val="18"/>
                <w:szCs w:val="18"/>
                <w:color w:val="auto"/>
              </w:rPr>
            </w:pP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60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increased $24.9 million, or approximately 31%, for the three months ended February 29, 2012 compared to the three months ended February 28, 2011 as a result of growth in all our segments, but principally attributable to growth in our Services segment. For the third quarter of fiscal 2012 and 2011, we estimate that our organic growth rate, as compared to growth driven by acquisitions, was approximately 17%. In the third quarter of fiscal 2012, we estimate that our acquisition growth was approximately 15% compared to approximately 6% in the third quarter of fiscal 2011. We completed the acquisition of eight companies during the nine months ended February 29, 2012 and four companies during the nine months ended February 28, 2011, which accounts for the increase in acquisition growth.</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continued to experience growth in many of our target markets during the third quarter of fiscal 2012. Oil and gas is our largest target market and represented approximately 55% of total revenues in the third quarter of fiscal 2012, compared to approximately 64% in the third quarter of fiscal 2011. Oil and gas revenue in the third quarter of fiscal 2012 increased approximately 14% over the prior year with the largest increases coming from the downstream and midstream sections of the oil and gas industry. We also experienced growth in several of our other target markets outside of oil and gas, including industrial markets, aerospace and defense and engineering. Taken as a group, revenues for all target markets other than oil and gas grew approximately 63% in the third quarter of fiscal 2012 over the prior year period. Our largest customer in both periods was BP plc. (BP), accounting for approximately 16% of our revenues in the third quarter of fiscal 2012 and approximately 21% in the third quarter of fiscal 2011. Our top ten customers represented approximately 38% of our revenues in the third quarter of fiscal 2012 compared to 50% in the same quarter last year.</w:t>
      </w:r>
    </w:p>
    <w:p>
      <w:pPr>
        <w:spacing w:after="0" w:line="17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Our gross profit was $29.6 million and increased $7.0 million, or 31% in the third quarter of fiscal 2012 compared to $22.6 million in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2011. Gross profit by segment for the three months ended February 29, 2012 and February 28, 2011 was as follows: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6"/>
          </w:tcPr>
          <w:p>
            <w:pPr>
              <w:jc w:val="right"/>
              <w:ind w:right="13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February 29, 2012</w:t>
            </w:r>
          </w:p>
        </w:tc>
        <w:tc>
          <w:tcPr>
            <w:tcW w:w="2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9"/>
              </w:rPr>
              <w:t>February 28, 2011</w:t>
            </w:r>
          </w:p>
        </w:tc>
        <w:tc>
          <w:tcPr>
            <w:tcW w:w="120" w:type="dxa"/>
            <w:vAlign w:val="bottom"/>
            <w:gridSpan w:val="2"/>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gridSpan w:val="4"/>
          </w:tcPr>
          <w:p>
            <w:pPr>
              <w:jc w:val="right"/>
              <w:ind w:right="1273"/>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gridSpan w:val="2"/>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1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20,640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16,650</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4,938</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3,049</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4,586</w:t>
            </w:r>
          </w:p>
        </w:tc>
        <w:tc>
          <w:tcPr>
            <w:tcW w:w="20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2,935</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10"/>
        </w:trPr>
        <w:tc>
          <w:tcPr>
            <w:tcW w:w="4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29,584</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revenues, our gross profit and its components for the three months ended February 29, 2012 and February 28, 2011 were as follows:</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8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February 29, 2012</w:t>
            </w:r>
          </w:p>
        </w:tc>
        <w:tc>
          <w:tcPr>
            <w:tcW w:w="1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February 28, 2011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gridSpan w:val="4"/>
          </w:tcPr>
          <w:p>
            <w:pPr>
              <w:jc w:val="right"/>
              <w:ind w:right="1273"/>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29,584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comprised of:</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Gross profit % increase (decrease) from prior year</w:t>
            </w: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percentage of revenues, our gross profit remained fairly consistent at approximately 28% for each of the third quarters of fiscal 2012 and fiscal 2011. Cost of revenues, excluding depreciation, as a percentage of revenues was approximately 68% and 67% in the third quarter of fiscal 2012 and fiscal 2011, respectively. Depreciation expense included in the determination of gross profit for the third quarter of fiscal 2012 and fiscal 2011 was $4.0 million and $3.5 million, respectively.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gross profit as a percentage of revenues was somewhat impacted by a change in the mix of revenues generated during the quarter coupled with a decrease in gross profit in our International segment, which relates to the integration of three acquisitions during the quarter. This was offset by improvements in our Services segment gross profit, which was achieved through reductions in our unbilled direct labor as a percentage of revenues. Revenue from the oil and gas industry increased approximately 14% during the third quarter of fiscal 2012 and represented approximately 55% of total revenues. Revenue from this industry tends to have lower gross margins than other industries due to the existence of longer term contracts which typically have a high concentration of lower margin, traditional NDT services. Offsetting the impact of higher oil and gas revenues in the third quarter of fiscal 2012 was revenue growth of approximately 63% in all other industries, where gross margins tend to be higher.</w:t>
      </w:r>
    </w:p>
    <w:p>
      <w:pPr>
        <w:spacing w:after="0" w:line="178" w:lineRule="exact"/>
        <w:rPr>
          <w:sz w:val="20"/>
          <w:szCs w:val="20"/>
          <w:color w:val="auto"/>
        </w:rPr>
      </w:pPr>
    </w:p>
    <w:p>
      <w:pPr>
        <w:jc w:val="center"/>
        <w:ind w:right="380"/>
        <w:spacing w:after="0"/>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income from operations by segment for the three months ended February 29, 2012 and February 28, 2011 were as follows: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6350</wp:posOffset>
            </wp:positionV>
            <wp:extent cx="2349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7020"/>
        <w:spacing w:after="0"/>
        <w:tabs>
          <w:tab w:leader="none" w:pos="9020" w:val="left"/>
        </w:tabs>
        <w:rPr>
          <w:sz w:val="20"/>
          <w:szCs w:val="20"/>
          <w:color w:val="auto"/>
        </w:rPr>
      </w:pPr>
      <w:r>
        <w:rPr>
          <w:rFonts w:ascii="Arial" w:cs="Arial" w:eastAsia="Arial" w:hAnsi="Arial"/>
          <w:sz w:val="14"/>
          <w:szCs w:val="14"/>
          <w:b w:val="1"/>
          <w:bCs w:val="1"/>
          <w:color w:val="auto"/>
        </w:rPr>
        <w:t>February 29, 2012</w:t>
      </w:r>
      <w:r>
        <w:rPr>
          <w:sz w:val="20"/>
          <w:szCs w:val="20"/>
          <w:color w:val="auto"/>
        </w:rPr>
        <w:tab/>
      </w:r>
      <w:r>
        <w:rPr>
          <w:rFonts w:ascii="Arial" w:cs="Arial" w:eastAsia="Arial" w:hAnsi="Arial"/>
          <w:sz w:val="13"/>
          <w:szCs w:val="13"/>
          <w:b w:val="1"/>
          <w:bCs w:val="1"/>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wp:posOffset>
            </wp:positionV>
            <wp:extent cx="2349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8100"/>
        <w:spacing w:after="0" w:line="235" w:lineRule="auto"/>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627761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sectPr>
      </w:pPr>
    </w:p>
    <w:p>
      <w:pPr>
        <w:ind w:left="660"/>
        <w:spacing w:after="0"/>
        <w:rPr>
          <w:sz w:val="20"/>
          <w:szCs w:val="20"/>
          <w:color w:val="auto"/>
        </w:rPr>
      </w:pPr>
      <w:r>
        <w:rPr>
          <w:rFonts w:ascii="Arial" w:cs="Arial" w:eastAsia="Arial" w:hAnsi="Arial"/>
          <w:sz w:val="16"/>
          <w:szCs w:val="16"/>
          <w:b w:val="1"/>
          <w:bCs w:val="1"/>
          <w:color w:val="auto"/>
        </w:rPr>
        <w:t>Income from operations</w:t>
      </w:r>
    </w:p>
    <w:p>
      <w:pPr>
        <w:sectPr>
          <w:pgSz w:w="11900" w:h="16838" w:orient="portrait"/>
          <w:cols w:equalWidth="0" w:num="1">
            <w:col w:w="11400"/>
          </w:cols>
          <w:pgMar w:left="240" w:top="140" w:right="259" w:bottom="0" w:gutter="0" w:footer="0" w:header="0"/>
          <w:type w:val="continuous"/>
        </w:sectPr>
      </w:pPr>
    </w:p>
    <w:bookmarkStart w:id="18" w:name="page19"/>
    <w:bookmarkEnd w:id="18"/>
    <w:p>
      <w:pPr>
        <w:spacing w:after="0" w:line="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640" w:type="dxa"/>
            <w:vAlign w:val="bottom"/>
            <w:gridSpan w:val="2"/>
          </w:tcPr>
          <w:p>
            <w:pPr>
              <w:jc w:val="right"/>
              <w:ind w:right="50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7,207</w:t>
            </w:r>
          </w:p>
        </w:tc>
        <w:tc>
          <w:tcPr>
            <w:tcW w:w="300" w:type="dxa"/>
            <w:vAlign w:val="bottom"/>
          </w:tcPr>
          <w:p>
            <w:pPr>
              <w:spacing w:after="0"/>
              <w:rPr>
                <w:sz w:val="20"/>
                <w:szCs w:val="20"/>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5,494</w:t>
            </w:r>
          </w:p>
        </w:tc>
        <w:tc>
          <w:tcPr>
            <w:tcW w:w="80" w:type="dxa"/>
            <w:vAlign w:val="bottom"/>
          </w:tcPr>
          <w:p>
            <w:pPr>
              <w:spacing w:after="0"/>
              <w:rPr>
                <w:sz w:val="20"/>
                <w:szCs w:val="20"/>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1,213</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340</w:t>
            </w:r>
          </w:p>
        </w:tc>
        <w:tc>
          <w:tcPr>
            <w:tcW w:w="6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(4,477)</w:t>
            </w:r>
          </w:p>
        </w:tc>
        <w:tc>
          <w:tcPr>
            <w:tcW w:w="6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(2,418)</w:t>
            </w:r>
          </w:p>
        </w:tc>
      </w:tr>
      <w:tr>
        <w:trPr>
          <w:trHeight w:val="210"/>
        </w:trPr>
        <w:tc>
          <w:tcPr>
            <w:tcW w:w="4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3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income from operations of $5.5 million for the third quarter of fiscal 2012 increased $0.9 million, or 18%, compared to the third quarter of fiscal 2011. As a percentage of revenues, our income from operations was approximately 5% and 6% in the third quarter of fiscal 2012 and fiscal 2011, respectively. The decrease in income from operations as a percentage of revenues partially relates to lower margins and increased selling, general and administrative (SG&amp;A) expenses related to the integration of our recent acquisitions in our International segment.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SG&amp;A expenses for the third quarter of fiscal 2012 increased approximately $4.8 million over the third quarter of fiscal 2011. Of this amount, SG&amp;A for companies acquired within the last twelve months accounted for approximately $2.3 million of the total increase. SG&amp;A expenses, as a percentage of revenues, was approximately 20% for each of the third quarters of fiscal 2012 and 2011. The increase in expense was primarily due to the cost of additional salary and other infrastructure costs to support our growth in revenues, including the addition of new locations and personnel in connection with our recent acquisitions. Excluding acquisitions, our SG&amp;A expenses included higher compensation and benefit expenses of $1.7 million over the same period in the prior year attributed to normal salary increases, as well as our investment in additional management and corporate staff to support our growth. Other increases in SG&amp;A expenses, excluding acquisitions, included increased stock compensation costs of $0.4 million and insurance expense of $0.4 million, partially offset by foreign currency gains of $0.1 million over the third quarter of fiscal 2011. Depreciation and amortization included in the determination of income from operations for the third quarter of fiscal 2012 and fiscal 2011 was $1.8 million and $1.4 million, respectively, each representing approximately 2% of revenues.</w:t>
      </w:r>
    </w:p>
    <w:p>
      <w:pPr>
        <w:spacing w:after="0" w:line="19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acquisition-related costs for the third quarter of fiscal 2012 were approximately $1.0 million and related to professional fees and other expenses in connection with our fiscal 2012 acquisition activity. These amounts were offset by approximately $0.1 million in adjustments to the estimated fair value of certain acquisition-related contingent consideration liabilities. Acquisition-related costs for the three months ended February 28, 2011 were insignificant.</w:t>
      </w:r>
    </w:p>
    <w:p>
      <w:pPr>
        <w:spacing w:after="0" w:line="14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$0.8 million and $0.6 million for the third quarter of fiscal 2012 and 2011, respectively. The increase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2012 related to an increase in average borrowings in the current year quarter compared to the prior year and interest accretion from the estimated fair value of our contingent consideration related to our acquisitions.</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 xml:space="preserve">Net Income Attributable to Noncontrolling Interests, net of taxes. </w:t>
      </w:r>
      <w:r>
        <w:rPr>
          <w:rFonts w:ascii="Arial" w:cs="Arial" w:eastAsia="Arial" w:hAnsi="Arial"/>
          <w:sz w:val="18"/>
          <w:szCs w:val="18"/>
          <w:color w:val="auto"/>
        </w:rPr>
        <w:t>The net income attributable to noncontrolling interests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29, 2012 is primarily related to the net income incurred by Diapac, our subsidiary in Russia.</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34% for the third quarter of fiscal 2012 compared to approximately 41% for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2011. The decrease was primarily due to the impact of permanent tax differences, tax credits, and changes in the geographic mix of earnings in the various state and foreign jurisdictions.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Net Income Attributable to Mistras Group, Inc. </w:t>
      </w:r>
      <w:r>
        <w:rPr>
          <w:rFonts w:ascii="Arial" w:cs="Arial" w:eastAsia="Arial" w:hAnsi="Arial"/>
          <w:sz w:val="17"/>
          <w:szCs w:val="17"/>
          <w:color w:val="auto"/>
        </w:rPr>
        <w:t>Net income attributable to Mistras Group, Inc. for the third quarter of fiscal 2012 was $3.0 million, or 3% of</w:t>
      </w:r>
      <w:r>
        <w:rPr>
          <w:rFonts w:ascii="Arial" w:cs="Arial" w:eastAsia="Arial" w:hAnsi="Arial"/>
          <w:sz w:val="17"/>
          <w:szCs w:val="17"/>
          <w:i w:val="1"/>
          <w:iCs w:val="1"/>
          <w:color w:val="auto"/>
        </w:rPr>
        <w:t xml:space="preserve"> </w:t>
      </w:r>
      <w:r>
        <w:rPr>
          <w:rFonts w:ascii="Arial" w:cs="Arial" w:eastAsia="Arial" w:hAnsi="Arial"/>
          <w:sz w:val="17"/>
          <w:szCs w:val="17"/>
          <w:color w:val="auto"/>
        </w:rPr>
        <w:t>our revenues, an increase of $0.6 million over the third quarter of fiscal 2011, which was $2.4 million, or 3% of revenues. The increase in net income was primarily the result of our revenue growth, partially offset by increases in our SG&amp;A expenses and acquisition-related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February 29, 2012 compared to the nine months ended February 28,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nine months ended February 29, 2012 and February 28, 2011 were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7"/>
          </w:tcPr>
          <w:p>
            <w:pPr>
              <w:ind w:left="106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February 29, 2012</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February 28, 2011</w:t>
            </w:r>
          </w:p>
        </w:tc>
        <w:tc>
          <w:tcPr>
            <w:tcW w:w="120" w:type="dxa"/>
            <w:vAlign w:val="bottom"/>
            <w:gridSpan w:val="2"/>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gridSpan w:val="5"/>
          </w:tcPr>
          <w:p>
            <w:pPr>
              <w:jc w:val="right"/>
              <w:ind w:right="1271"/>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gridSpan w:val="2"/>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309,785</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236,460</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206,364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155,558</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11,202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9,719</w:t>
            </w:r>
          </w:p>
        </w:tc>
        <w:tc>
          <w:tcPr>
            <w:tcW w:w="100" w:type="dxa"/>
            <w:vAlign w:val="bottom"/>
          </w:tcPr>
          <w:p>
            <w:pPr>
              <w:spacing w:after="0"/>
              <w:rPr>
                <w:sz w:val="18"/>
                <w:szCs w:val="18"/>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71,183</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59,565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47,099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4,787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Legal reserve</w:t>
            </w: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r>
      <w:tr>
        <w:trPr>
          <w:trHeight w:val="210"/>
        </w:trPr>
        <w:tc>
          <w:tcPr>
            <w:tcW w:w="6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16,249</w:t>
            </w:r>
          </w:p>
        </w:tc>
        <w:tc>
          <w:tcPr>
            <w:tcW w:w="120" w:type="dxa"/>
            <w:vAlign w:val="bottom"/>
            <w:gridSpan w:val="2"/>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6,562</w:t>
            </w:r>
          </w:p>
        </w:tc>
        <w:tc>
          <w:tcPr>
            <w:tcW w:w="100" w:type="dxa"/>
            <w:vAlign w:val="bottom"/>
            <w:shd w:val="clear" w:color="auto" w:fill="CCEEFF"/>
          </w:tcPr>
          <w:p>
            <w:pPr>
              <w:spacing w:after="0"/>
              <w:rPr>
                <w:sz w:val="18"/>
                <w:szCs w:val="18"/>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10"/>
        </w:trPr>
        <w:tc>
          <w:tcPr>
            <w:tcW w:w="684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48" w:orient="portrait"/>
          <w:cols w:equalWidth="0" w:num="1">
            <w:col w:w="11400"/>
          </w:cols>
          <w:pgMar w:left="240" w:top="125" w:right="259" w:bottom="0" w:gutter="0" w:footer="0" w:header="0"/>
        </w:sectPr>
      </w:pP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EBITDA and Adjusted EBITDA, non-GAAP measures explained below, for the nine months ended February 29, 2012 and February 28, 2011 were as follows:</w:t>
      </w:r>
    </w:p>
    <w:p>
      <w:pPr>
        <w:sectPr>
          <w:pgSz w:w="11900" w:h="16848" w:orient="portrait"/>
          <w:cols w:equalWidth="0" w:num="1">
            <w:col w:w="11400"/>
          </w:cols>
          <w:pgMar w:left="240" w:top="125" w:right="259" w:bottom="0" w:gutter="0" w:footer="0" w:header="0"/>
          <w:type w:val="continuous"/>
        </w:sectPr>
      </w:pPr>
    </w:p>
    <w:bookmarkStart w:id="19" w:name="page20"/>
    <w:bookmarkEnd w:id="19"/>
    <w:tbl>
      <w:tblPr>
        <w:tblLayout w:type="fixed"/>
        <w:tblInd w:w="34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6"/>
          </w:tcPr>
          <w:p>
            <w:pPr>
              <w:ind w:left="106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6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February 29, 2012</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February 28, 2011</w:t>
            </w:r>
          </w:p>
        </w:tc>
        <w:tc>
          <w:tcPr>
            <w:tcW w:w="12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gridSpan w:val="5"/>
          </w:tcPr>
          <w:p>
            <w:pPr>
              <w:jc w:val="right"/>
              <w:ind w:right="1272"/>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14,221</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9,713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1,957</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8,672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6,562</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13,608</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31,840</w:t>
            </w:r>
          </w:p>
        </w:tc>
        <w:tc>
          <w:tcPr>
            <w:tcW w:w="12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2,680</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Acquisition-related costs</w:t>
            </w: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explanation and definition of EBITDA and Adjusted EBITDA above on page 22.</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were $309.8 million for nine months ended February 29, 2012 compared to $236.5 million for the nine months ended February 28,</w:t>
      </w:r>
      <w:r>
        <w:rPr>
          <w:rFonts w:ascii="Arial" w:cs="Arial" w:eastAsia="Arial" w:hAnsi="Arial"/>
          <w:sz w:val="18"/>
          <w:szCs w:val="18"/>
          <w:i w:val="1"/>
          <w:iCs w:val="1"/>
          <w:color w:val="auto"/>
        </w:rPr>
        <w:t xml:space="preserve"> </w:t>
      </w:r>
      <w:r>
        <w:rPr>
          <w:rFonts w:ascii="Arial" w:cs="Arial" w:eastAsia="Arial" w:hAnsi="Arial"/>
          <w:sz w:val="18"/>
          <w:szCs w:val="18"/>
          <w:color w:val="auto"/>
        </w:rPr>
        <w:t>2011. Revenues by segment for the first nine months of fiscal 2012 and 2011 were as follows: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gridSpan w:val="9"/>
          </w:tcPr>
          <w:p>
            <w:pPr>
              <w:jc w:val="right"/>
              <w:ind w:right="1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February 29, 2012</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February 28, 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8"/>
          </w:tcPr>
          <w:p>
            <w:pPr>
              <w:jc w:val="right"/>
              <w:ind w:right="1360"/>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253,493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198,098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26,429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38,794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27,062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309,785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236,460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4"/>
          </w:tcPr>
          <w:p>
            <w:pPr>
              <w:jc w:val="right"/>
              <w:spacing w:after="0"/>
              <w:rPr>
                <w:sz w:val="20"/>
                <w:szCs w:val="20"/>
                <w:color w:val="auto"/>
              </w:rPr>
            </w:pPr>
            <w:r>
              <w:rPr>
                <w:rFonts w:ascii="Arial" w:cs="Arial" w:eastAsia="Arial" w:hAnsi="Arial"/>
                <w:sz w:val="18"/>
                <w:szCs w:val="18"/>
                <w:color w:val="auto"/>
                <w:w w:val="90"/>
              </w:rPr>
              <w:t>We estimate our growth rates for the first nine months of fiscal 2012 and 2011 were as follows: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gridSpan w:val="9"/>
          </w:tcPr>
          <w:p>
            <w:pPr>
              <w:jc w:val="right"/>
              <w:ind w:right="1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92"/>
              </w:rPr>
              <w:t>February 29, 2012</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4"/>
              </w:rPr>
              <w:t>February 28, 2011</w:t>
            </w:r>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gridSpan w:val="7"/>
          </w:tcPr>
          <w:p>
            <w:pPr>
              <w:jc w:val="right"/>
              <w:ind w:right="1273"/>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73,325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Comprised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Revenues increased $73.3 million, or approximately 31%, for the nine months ended February 29, 2012 compared to the nine months ended February 28, 2011 as a result of growth in all our segments, but principally attributable to growth in our Services segment. For the nine months ended February 29, 2012 and February 28, 2011, we estimate that our organic growth rate, as compared to growth driven by acquisitions, was approximately 19% and 16%, respectively. For the nine months ended February 29, 2012, we estimate that our acquisition growth was approximately 12% compared to approximately 7%, in the nine months ended February 28 2011. We completed the acquisition of eight companies during the nine months ended February 29, 2012 and four companies during the nine months ended February 28, 2011, which accounts for the increase in acquisition growth.</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continued to experience growth in many of our target markets during the first nine months of fiscal 2012. Oil and gas is our largest target market and in the first nine months of fiscal 2012 represented approximately 56% of total revenues, compared to approximately 61% in the comparable period of fiscal 2011. Oil and gas revenue in the first nine months of fiscal 2012 increased approximately 20% over the prior year period with the largest increases coming from the downstream and midstream sections of the oil and gas industry. We experienced growth in several of our other target markets outside of oil and gas, including industrial markets, chemical, and aerospace and defense. Taken as a group, revenues for all target markets other than oil and gas grew approximately 49% in the nine months ended February 29, 2012 over the comparable prior year period. Our largest customer in both periods was BP plc., (BP), accounting for approximately 16% of our revenues in the nine months ended February 29, 2012 and approximately 17% of our revenues in the nine months ended February 28, 2011. Our top ten customers represented approximately 40% of our revenues in the nine months ended February 29, 2012 and approximately 44% of our revenues in the nine months ended February 28, 2011.</w:t>
      </w:r>
    </w:p>
    <w:p>
      <w:pPr>
        <w:spacing w:after="0" w:line="18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Our gross profit was $92.2 million and increased $21.0 million, or 30%, during the nine months ended February 29, 2012 compared to $71.2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nine months ended February 28, 2011. Gross profit by segment for the first nine months of fiscal 2012 and 2011 was as follows: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6350</wp:posOffset>
            </wp:positionV>
            <wp:extent cx="2349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7020"/>
        <w:spacing w:after="0"/>
        <w:tabs>
          <w:tab w:leader="none" w:pos="9020" w:val="left"/>
        </w:tabs>
        <w:rPr>
          <w:sz w:val="20"/>
          <w:szCs w:val="20"/>
          <w:color w:val="auto"/>
        </w:rPr>
      </w:pPr>
      <w:r>
        <w:rPr>
          <w:rFonts w:ascii="Arial" w:cs="Arial" w:eastAsia="Arial" w:hAnsi="Arial"/>
          <w:sz w:val="14"/>
          <w:szCs w:val="14"/>
          <w:b w:val="1"/>
          <w:bCs w:val="1"/>
          <w:color w:val="auto"/>
        </w:rPr>
        <w:t>February 29, 2012</w:t>
      </w:r>
      <w:r>
        <w:rPr>
          <w:sz w:val="20"/>
          <w:szCs w:val="20"/>
          <w:color w:val="auto"/>
        </w:rPr>
        <w:tab/>
      </w:r>
      <w:r>
        <w:rPr>
          <w:rFonts w:ascii="Arial" w:cs="Arial" w:eastAsia="Arial" w:hAnsi="Arial"/>
          <w:sz w:val="13"/>
          <w:szCs w:val="13"/>
          <w:b w:val="1"/>
          <w:bCs w:val="1"/>
          <w:color w:val="auto"/>
        </w:rPr>
        <w:t>February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wp:posOffset>
            </wp:positionV>
            <wp:extent cx="2349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810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wp:posOffset>
            </wp:positionV>
            <wp:extent cx="6277610" cy="61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77610" cy="61595"/>
                    </a:xfrm>
                    <a:prstGeom prst="rect">
                      <a:avLst/>
                    </a:prstGeom>
                    <a:noFill/>
                  </pic:spPr>
                </pic:pic>
              </a:graphicData>
            </a:graphic>
          </wp:anchor>
        </w:drawing>
      </w:r>
    </w:p>
    <w:p>
      <w:pPr>
        <w:sectPr>
          <w:pgSz w:w="11900" w:h="16838" w:orient="portrait"/>
          <w:cols w:equalWidth="0" w:num="1">
            <w:col w:w="11360"/>
          </w:cols>
          <w:pgMar w:left="240" w:top="333" w:right="299" w:bottom="0" w:gutter="0" w:footer="0" w:header="0"/>
        </w:sectPr>
      </w:pPr>
    </w:p>
    <w:bookmarkStart w:id="20" w:name="page21"/>
    <w:bookmarkEnd w:id="20"/>
    <w:tbl>
      <w:tblPr>
        <w:tblLayout w:type="fixed"/>
        <w:tblInd w:w="66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62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68,001</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53,404</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12,952</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8,440</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12,263</w:t>
            </w:r>
          </w:p>
        </w:tc>
        <w:tc>
          <w:tcPr>
            <w:tcW w:w="6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9,466</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w:t>
            </w:r>
          </w:p>
        </w:tc>
        <w:tc>
          <w:tcPr>
            <w:tcW w:w="6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r>
      <w:tr>
        <w:trPr>
          <w:trHeight w:val="210"/>
        </w:trPr>
        <w:tc>
          <w:tcPr>
            <w:tcW w:w="4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92,219</w:t>
            </w:r>
          </w:p>
        </w:tc>
        <w:tc>
          <w:tcPr>
            <w:tcW w:w="3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revenues, our gross profit and its components for the first nine months of fiscal 2012 and 2011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80" w:type="dxa"/>
            <w:vAlign w:val="bottom"/>
            <w:gridSpan w:val="5"/>
          </w:tcPr>
          <w:p>
            <w:pPr>
              <w:jc w:val="right"/>
              <w:ind w:right="1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February 29, 2012</w:t>
            </w:r>
          </w:p>
        </w:tc>
        <w:tc>
          <w:tcPr>
            <w:tcW w:w="1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February 28, 2011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gridSpan w:val="4"/>
          </w:tcPr>
          <w:p>
            <w:pPr>
              <w:jc w:val="right"/>
              <w:ind w:right="1273"/>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 % comprised of:</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Gross profit % increase (decrease) from prior year</w:t>
            </w: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percentage of revenues, our gross profit decreased 30 basis points in the first nine months of fiscal 2012 compared to the comparable prior year period. Cost of revenues, excluding depreciation, as a percentage of revenues was approximately 67% and 66% in the nine months ended February 29, 2012 and February 28, 2011, respectively. Depreciation expense included in the determination of gross profit for the first nine months of fiscal 2012 and 2011 was $11.2 million and $9.7 million, respectively.</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30 basis point decrease in our gross profit as a percentage of revenues was primarily attributable to a change in the mix of revenues generated during the period and slightly higher unbilled direct labor. Revenue from the oil and gas industry increased approximately 20% during the first nine months of fiscal 2012 and represented approximately 56% of total revenues. Revenue from this industry tends to have lower gross margins than other industries due to the existence of longer term contracts which typically have a high concentration of lower margin, traditional NDT services. Offsetting the impact of higher oil and gas revenues in the first nine months of fiscal 2012 was revenue growth of approximately 49% in all other industries, where gross margins tend to be higher. In addition, revenues from Advanced NDT services, which have higher margins than traditional NDT services, increased approximately 39% during the first nine months of fiscal 2012 and now represent approximately 16% of our Services segment revenues compared to approximately 14% in the comparable period of fiscal 2011.</w:t>
      </w:r>
    </w:p>
    <w:p>
      <w:pPr>
        <w:spacing w:after="0" w:line="17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Unbilled direct labor increased $1.5 million in the first nine months of fiscal 2012 compared to the first nine months of fiscal 2011. Unbilled direct labor includes professional training time for our technicians which increased as a result of the increase in technicians in the first nine months of fiscal 2012 compared to the prior year period.</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6"/>
          <w:szCs w:val="16"/>
          <w:i w:val="1"/>
          <w:iCs w:val="1"/>
          <w:color w:val="auto"/>
        </w:rPr>
        <w:t>Income from Operations</w:t>
      </w:r>
      <w:r>
        <w:rPr>
          <w:rFonts w:ascii="Arial" w:cs="Arial" w:eastAsia="Arial" w:hAnsi="Arial"/>
          <w:sz w:val="16"/>
          <w:szCs w:val="16"/>
          <w:color w:val="auto"/>
        </w:rPr>
        <w:t>. Our income from operations by segment for the nine months ended February 29, 2012 and February 28, 2011 were as follows: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February 29, 2012</w:t>
            </w:r>
          </w:p>
        </w:tc>
        <w:tc>
          <w:tcPr>
            <w:tcW w:w="2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February 28, 2011</w:t>
            </w:r>
          </w:p>
        </w:tc>
        <w:tc>
          <w:tcPr>
            <w:tcW w:w="100" w:type="dxa"/>
            <w:vAlign w:val="bottom"/>
            <w:gridSpan w:val="2"/>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gridSpan w:val="4"/>
          </w:tcPr>
          <w:p>
            <w:pPr>
              <w:jc w:val="right"/>
              <w:ind w:right="127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1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27,983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19,591</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6,038</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2,980</w:t>
            </w:r>
          </w:p>
        </w:tc>
        <w:tc>
          <w:tcPr>
            <w:tcW w:w="8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2,430</w:t>
            </w: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2,514</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(10,863)</w:t>
            </w:r>
          </w:p>
        </w:tc>
        <w:tc>
          <w:tcPr>
            <w:tcW w:w="2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(6,879)</w:t>
            </w:r>
          </w:p>
        </w:tc>
      </w:tr>
      <w:tr>
        <w:trPr>
          <w:trHeight w:val="210"/>
        </w:trPr>
        <w:tc>
          <w:tcPr>
            <w:tcW w:w="4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25,588</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income from operations of $25.6 million for the nine months February 29, 2012 increased $7.4 million, or 41%, compared to $18.2 million for the nine months ended February 28, 2011. As a percentage of revenues, our income from operations was approximately 8% for each of the first nine months of fiscal 2012 and 2011.</w:t>
      </w:r>
    </w:p>
    <w:p>
      <w:pPr>
        <w:spacing w:after="0" w:line="18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Our selling, general and administrative (SG&amp;A) expenses for the nine months ended February 29, 2012 increased approximately $12.5 million over the comparable prior year period. Of this amount, SG&amp;A for companies acquired within the last twelve months accounted for approximately $4.8 million of the total increase. As a percentage of revenues, SG&amp;A expenses for the first nine months of fiscal 2012 decreased to approximately 19% from approximately 20% for the first nine months of fiscal 2011. The increase in expense was primarily due to the cost of additional salary and other infrastructure costs to support our growth in revenues, including the addition of new locations and personnel in connection with our recent acquisitions. Excluding acquisitions, our SG&amp;A expenses included higher compensation and benefit expenses of $5.4 million over the same period in the prior year attributed to normal salary increases, as well as our investment in additional management and corporate staff to support our growth. Other increases in SG&amp;A expenses, excluding acquisitions, included increased stock compensation costs of $1.1 million, insurance expense of $1.1 million and foreign currency losses of $0.7 million over the comparable prior year period. Depreciation and amortization included in the determination of income from operations for the nine months ended February 29, 2012 and February 28, 2011 was $4.8 million and $3.9 million, respectively, each representing approximately 2% of revenues.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acquisition-related costs for the nine months ended February 29, 2012 were approximately $1.4 million and related to professional fees and other expenses in connection with our fiscal 2012 acquisition activity. These amounts were offset by approximately $0.9 million in adjustments to the estimated fair value of certain acquisition-related contingent consideration liabilities. Acquisition-related costs for the nine months ended February 28, 2011 were insignificant.</w:t>
      </w:r>
    </w:p>
    <w:p>
      <w:pPr>
        <w:sectPr>
          <w:pgSz w:w="11900" w:h="16838" w:orient="portrait"/>
          <w:cols w:equalWidth="0" w:num="1">
            <w:col w:w="11400"/>
          </w:cols>
          <w:pgMar w:left="240" w:top="140" w:right="259" w:bottom="21"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nine months ended February 29, 2012 was $2.6 million, an increase of $0.7 million when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This increase primarily related to an increase in average borrowings in the current year as well as interest accretion from the estimated fair value of contingent consideration related to our acquisitions.</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Net Loss Attributable to Noncontrolling Interests, net of taxes. </w:t>
      </w:r>
      <w:r>
        <w:rPr>
          <w:rFonts w:ascii="Arial" w:cs="Arial" w:eastAsia="Arial" w:hAnsi="Arial"/>
          <w:sz w:val="18"/>
          <w:szCs w:val="18"/>
          <w:color w:val="auto"/>
        </w:rPr>
        <w:t>The net loss attributable to noncontrolling interests for the nine months ended February 29,</w:t>
      </w:r>
      <w:r>
        <w:rPr>
          <w:rFonts w:ascii="Arial" w:cs="Arial" w:eastAsia="Arial" w:hAnsi="Arial"/>
          <w:sz w:val="18"/>
          <w:szCs w:val="18"/>
          <w:i w:val="1"/>
          <w:iCs w:val="1"/>
          <w:color w:val="auto"/>
        </w:rPr>
        <w:t xml:space="preserve"> </w:t>
      </w:r>
      <w:r>
        <w:rPr>
          <w:rFonts w:ascii="Arial" w:cs="Arial" w:eastAsia="Arial" w:hAnsi="Arial"/>
          <w:sz w:val="18"/>
          <w:szCs w:val="18"/>
          <w:color w:val="auto"/>
        </w:rPr>
        <w:t>2012 is primarily related to the net loss incurred by Diapac, our subsidiary in Russia.</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38% for the nine months ended February 29, 2012 compared to approximately 40%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February 28, 2011. The decrease was primarily due to the impact of permanent tax differences, tax credits, and changes in the geographic mix of earnings in the various state and foreign jurisdictions.</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Net Income Attributable to Mistras Group, Inc. </w:t>
      </w:r>
      <w:r>
        <w:rPr>
          <w:rFonts w:ascii="Arial" w:cs="Arial" w:eastAsia="Arial" w:hAnsi="Arial"/>
          <w:sz w:val="18"/>
          <w:szCs w:val="18"/>
          <w:color w:val="auto"/>
        </w:rPr>
        <w:t>Net income attributable to Mistras Group, Inc. for the nine months ended February 29, 2012 was $14.2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5% of revenues, an increase of $4.5 million over net income attributable to Mistras Group, Inc. for the nine months ended February 28, 2011, which was $9.7 million, or 4% of revenues. The increase in net income was primarily the result of our revenue growth, partially offset by increases in our SG&amp;A expenses and our provision for income taxes.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February 29, 2012</w:t>
            </w:r>
          </w:p>
        </w:tc>
        <w:tc>
          <w:tcPr>
            <w:tcW w:w="20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99"/>
              </w:rPr>
              <w:t>February 28, 2011</w:t>
            </w:r>
          </w:p>
        </w:tc>
        <w:tc>
          <w:tcPr>
            <w:tcW w:w="100" w:type="dxa"/>
            <w:vAlign w:val="bottom"/>
            <w:gridSpan w:val="2"/>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gridSpan w:val="4"/>
          </w:tcPr>
          <w:p>
            <w:pPr>
              <w:jc w:val="right"/>
              <w:ind w:right="127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gridSpan w:val="2"/>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7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20,972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18,643</w:t>
            </w:r>
          </w:p>
        </w:tc>
        <w:tc>
          <w:tcPr>
            <w:tcW w:w="8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(32,816)</w:t>
            </w:r>
          </w:p>
        </w:tc>
        <w:tc>
          <w:tcPr>
            <w:tcW w:w="2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(24,580)</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(3,645)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6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February 29, 2012, cash provided by our operating activities was $21.0 million, an increase of $2.3 million from the comparable period of fiscal 2011. Positive operating cash flow was primarily attributable to higher net income, excluding depreciation, amortization and other non-cash expenses of $34.1 million offset by $13.1 million of cash utilized to fund an increase in our working capital, which primarily related to an increase in our trade accounts receivable.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nine months ended February 28, 2011, cash provided by our operating activities was $18.6 million, an increase of $6.9 million from the comparable period of fiscal 2010. Positive operating cash flow was primarily attributable to higher net income, excluding depreciation, amortization and other non-cash expenses, of $25.8 million offset by $7.2 million of cash utilized to fund an increase in our working capital, which primarily related to an increase in our trade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nine months ended February 29, 2012, cash used in investing activities was $32.8 million, an increase of $8.2 million from the comparable period of fiscal 2011. Cash used in investing activities included our acquisition of eight companies for an aggregate of $26.3 million, net of cash acquired. Cash purchases of property, plant and equipment were $6.4 million and were primarily related to equipment used by our technicians.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During the nine months ended February 28, 2011, cash used in investing activities was $24.6 million compared to $15.9 million from the comparable period of fiscal 2010. Cash used in investing activities also included our acquisition of four asset protection businesses for cash payments aggregating $18.3 million. Cash purchases of property, plant and equipment were $6.1 million and were primarily related to equipment used by our technicians, as well as a land purchase and construction costs for our new operations and training facility in Houston, Texas.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Net cash provided by financing activities was $9.4 million for the nine months ended February 29, 2012, an increase of $13.1 million from the comparable period of fiscal 2011. Net cash provided by financing activities related primarily to net borrowings under our revolving credit facility of $19.1 million and proceeds of $1.5 million received from the exercise of stock options, offset by repayments of our capital lease obligations, long-term debt, and other short-term borrowings of $5.1 million, $4.4 million, $1.9 million, respectively.</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financing activities was $3.6 million for the nine months ended February 28, 2011. Net cash used in financing activities related primarily to repayments of our long-term debt and capital lease obligations of $6.8 million and $4.6 million, respectively, offset by net borrowings under our revolving credit facility and other short-term borrowings of $5.0 million and $2.7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Exchange Rate Changes on Cash and 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($0.6) million and $0.1 million for the nine months ended February 29, 2012 and February 28, 2011, respectively.</w:t>
      </w:r>
    </w:p>
    <w:p>
      <w:pPr>
        <w:sectPr>
          <w:pgSz w:w="11900" w:h="16838" w:orient="portrait"/>
          <w:cols w:equalWidth="0" w:num="1">
            <w:col w:w="11400"/>
          </w:cols>
          <w:pgMar w:left="240" w:top="125" w:right="259" w:bottom="0" w:gutter="0" w:footer="0" w:header="0"/>
        </w:sectPr>
      </w:pPr>
    </w:p>
    <w:bookmarkStart w:id="22" w:name="page23"/>
    <w:bookmarkEnd w:id="22"/>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As of February 29, 2012, we had cash and cash equivalents totaling $7.9 million and available borrowing capacity of $98.3 million under our current revolving credit facility. As of February 29, 2012, there were outstanding borrowings of $22.9 million and a total of $3.8 million of outstanding letters of credit under the existing revolving credit facility. We finance our operations primarily through our existing cash balances, cash collected from operations, bank borrowings and capital lease financing. We believe these sources are sufficient to fund our operations for the foreseeable future.</w:t>
      </w:r>
    </w:p>
    <w:p>
      <w:pPr>
        <w:spacing w:after="0" w:line="15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$125.0 million revolving line of credit, which, under certain circumstances, can be increased to $150.0 million. The Credit Agreement has a maturity date of December 20, 2016 and permits us to borrow up to $30.0 million in non-US dollar currencies and to use up to $10.0 million of the credit limit for the issuance of letters of credit. Loans under the Credit Agreement bear interest at LIBOR or base rate, at our option, plus an applicable LIBOR margin ranging from 1% to 2%, or base rate margin ranging from -1.25% to -.25%,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w:t>
      </w:r>
    </w:p>
    <w:p>
      <w:pPr>
        <w:spacing w:after="0" w:line="7" w:lineRule="exact"/>
        <w:rPr>
          <w:sz w:val="20"/>
          <w:szCs w:val="20"/>
          <w:color w:val="auto"/>
        </w:rPr>
      </w:pPr>
    </w:p>
    <w:p>
      <w:pPr>
        <w:ind w:right="220" w:firstLine="8"/>
        <w:spacing w:after="0" w:line="292"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6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February 29, 2012, we were in compliance with the terms of the credit agreement, and we will continuously monitor our compliance with the covenants contained in our new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our future sources of cash to include cash flow from operations, cash borrowed under our revolving credit facility and cash borrowed from leasing companies to purchase equipment and fleet service vehicles. Our revolving credit facility is available for cash advances required for working capital and for letters of credit to support our operations. To meet our short-and long-term liquidity requirements, we expect primarily to rely on cash generated from our operating activities and borrowings under our revolving credit facility.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obtain capital through the issuance of debt or equity securities, or a combination of both. As of March 31, 2012, there were outstanding borrowings of approximately $28.6 million under our revolving credit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excluding acquisitions, and expect to fund these expenditures through a combination of cash and lease financing.</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anticipated acquisitions may also require capital. We have completed the acquisition of ten companies in fiscal 2012, including two acquisitions completed in March 2012, with an initial cash outlay of $29.3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w:t>
      </w:r>
    </w:p>
    <w:p>
      <w:pPr>
        <w:sectPr>
          <w:pgSz w:w="11900" w:h="16975" w:orient="portrait"/>
          <w:cols w:equalWidth="0" w:num="1">
            <w:col w:w="11420"/>
          </w:cols>
          <w:pgMar w:left="240" w:top="125" w:right="239" w:bottom="0" w:gutter="0" w:footer="0" w:header="0"/>
        </w:sectPr>
      </w:pPr>
    </w:p>
    <w:bookmarkStart w:id="23" w:name="page24"/>
    <w:bookmarkEnd w:id="23"/>
    <w:p>
      <w:pPr>
        <w:ind w:right="80"/>
        <w:spacing w:after="0" w:line="297" w:lineRule="auto"/>
        <w:rPr>
          <w:sz w:val="20"/>
          <w:szCs w:val="20"/>
          <w:color w:val="auto"/>
        </w:rPr>
      </w:pPr>
      <w:r>
        <w:rPr>
          <w:rFonts w:ascii="Arial" w:cs="Arial" w:eastAsia="Arial" w:hAnsi="Arial"/>
          <w:sz w:val="16"/>
          <w:szCs w:val="16"/>
          <w:color w:val="auto"/>
        </w:rPr>
        <w:t>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nine months ended February 29, 2012,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foreign currency exposure related to our operations in foreign locations where the functional currency is not the U.S. dollar. This foreign currency exposure, particularly the Euro, British Pound Sterling (GBP), Brazilian Real, Russian Ruble, Japanese Yen and the Indian Rupee, arises primarily from the translation of our foreign subsidiaries’ financial statements into U.S. dollars. For example, a portion of our annual sales and operating costs are denominated in GBP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For our foreign subsidiaries, assets and liabilities are translated at period ending rates of exchange. Translation adjustments for the assets and liability accounts are included in accumulated other comprehensive income in stockholders’ equity (deficit). We had approximately $2.0 million of foreign currency translation losses in other comprehensive income for the first nine months of fiscal 2012. We do not currently enter into forward exchange contracts to hedge exposures to foreign currencies. We may consider entering into hedging or forward exchange contracts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interest rate on our revolving credit facility currently ranges from 1.26% to 2.00% and is variable and adjusts periodically. As of February 29, 2012, there were outstanding borrowings of $22.9 million under our revolving credit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facility. A hypothetical 100 basis point adverse shift in interest rates would not have had a material effect on our results of operations for the three or nine months ended February 29, 2012.</w:t>
      </w:r>
    </w:p>
    <w:p>
      <w:pPr>
        <w:spacing w:after="0" w:line="17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From time to time, we enter into interest rate swap contracts whereby we would receive or pay an amount equal to the difference between a fixed rate and LIBOR on a quarterly basis in order to reduce our potential exposure to interest rate fluctuations. All gains and losses are recognized as an adjustment to interest expense and the combined fair values are recorded in other liabilities on the consolidated balance sheet. As of February 29, 2012, we had no such contracts in effect.</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had cash and cash equivalents of $7.9 million as of February 29, 2012.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 Declines in interest rates, however, will reduce future investment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 of February 29, 2012,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February 29, 2012 that has materially affected, or is reasonably likely to materially affect, such internal control over financial reporting.</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received notice of a governmental investigation concerning an environmental incident which occurred in February 2011, outside on the premises of our Cudahy, California facility. We acquired this facility as part of the acquisition in October 2010 of the assets and ongoing business operations of General Testing and Inspection, Inc. (“GTI”), a business which provides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The incident was investigated by the L.A. Country Fire Department (the “Fire Department”) and the U.S. Environmental Protection Agency (“EPA”). At the conclusion of the Fire Department’s investigation, the Fire Department imposed on the Company a fine in the amount of $4,000 for alleged violations of the California Health and Safety Code in April 2011, which was paid shortly thereafter.</w:t>
      </w:r>
    </w:p>
    <w:p>
      <w:pPr>
        <w:spacing w:after="0" w:line="1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received no further governmental communications or notices concerning fines or sanctions related to the incident until January 13, 2012, when we received grand jury subpoenas from the U.S. Attorney’s Office for the Central District of California addressed to the Company, GTI and an employee of the Company. These subpoenas were issued in connection with an EPA criminal investigation. The subpoena received by the Company requested documents and information relating to, among other things, our handling, identification, storage and disposal of hazardous waste, training records, corporate environmental policies, acquisition of GTI and any ongoing organization relationship with GTI, and analytical results of the tests concerning the hazardous materials involved in the incident. In April 2012, we were informed by the U.S. Attorney’s Office for the Central District of California that we are a target of a criminal investigation into potential violations of the Resource Conservation and Recovery Act. The violations are alleged to be related to purportedly improper storage and labeling of hazardous waste at the Cudahy facility. This U.S. Attorney’s Office also raised a concern about a possible obstruction of justice issue involving the conduct of one or more of our employees at this facility. Upon receiving the subpoenas, we engaged our outside legal counsel to assist us in conducting an investigation concerning the incident, including interviews with our current employees. To date, we have produced documents in response to the subpoena, and are aware of at least one of our employees having testified before the grand jury.</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While management cannot predict the ultimate outcome of this matter, based on our internal investigation to date, management does not believe the outcome will have a material effect on the Company’s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included in this report for a description of our other legal proceedings.</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under the “Risk Factors” section included in our Annual Report on Form 10-K, filed with the SEC on August 12, 2011. There have been no material changes to the risk factors previously disclosed in the Annual Report.</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20" w:type="dxa"/>
            <w:vAlign w:val="bottom"/>
            <w:gridSpan w:val="3"/>
          </w:tcPr>
          <w:p>
            <w:pPr>
              <w:ind w:left="120"/>
              <w:spacing w:after="0"/>
              <w:rPr>
                <w:sz w:val="20"/>
                <w:szCs w:val="20"/>
                <w:color w:val="auto"/>
              </w:rPr>
            </w:pPr>
            <w:r>
              <w:rPr>
                <w:rFonts w:ascii="Arial" w:cs="Arial" w:eastAsia="Arial" w:hAnsi="Arial"/>
                <w:sz w:val="18"/>
                <w:szCs w:val="18"/>
                <w:b w:val="1"/>
                <w:bCs w:val="1"/>
                <w:color w:val="auto"/>
              </w:rPr>
              <w:t>Defaults Upon Senior Securities</w:t>
            </w:r>
          </w:p>
        </w:tc>
      </w:tr>
      <w:tr>
        <w:trPr>
          <w:trHeight w:val="432"/>
        </w:trPr>
        <w:tc>
          <w:tcPr>
            <w:tcW w:w="1200" w:type="dxa"/>
            <w:vAlign w:val="bottom"/>
          </w:tcPr>
          <w:p>
            <w:pPr>
              <w:ind w:left="660"/>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20" w:type="dxa"/>
            <w:vAlign w:val="bottom"/>
            <w:gridSpan w:val="3"/>
          </w:tcPr>
          <w:p>
            <w:pPr>
              <w:ind w:left="12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200" w:type="dxa"/>
            <w:vAlign w:val="bottom"/>
          </w:tcPr>
          <w:p>
            <w:pPr>
              <w:ind w:left="660"/>
              <w:spacing w:after="0"/>
              <w:rPr>
                <w:sz w:val="20"/>
                <w:szCs w:val="20"/>
                <w:color w:val="auto"/>
              </w:rPr>
            </w:pPr>
            <w:r>
              <w:rPr>
                <w:rFonts w:ascii="Arial" w:cs="Arial" w:eastAsia="Arial" w:hAnsi="Arial"/>
                <w:sz w:val="18"/>
                <w:szCs w:val="18"/>
                <w:color w:val="auto"/>
              </w:rPr>
              <w:t>None.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760" w:type="dxa"/>
            <w:vAlign w:val="bottom"/>
            <w:tcBorders>
              <w:bottom w:val="single" w:sz="8" w:color="auto"/>
            </w:tcBorders>
          </w:tcPr>
          <w:p>
            <w:pPr>
              <w:ind w:left="452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Third Amended and Restated Credit Agreement dated December 21, 2011.</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bl>
    <w:p>
      <w:pPr>
        <w:sectPr>
          <w:pgSz w:w="11900" w:h="16838" w:orient="portrait"/>
          <w:cols w:equalWidth="0" w:num="1">
            <w:col w:w="11420"/>
          </w:cols>
          <w:pgMar w:left="240" w:top="368"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5760" w:type="dxa"/>
            <w:vAlign w:val="bottom"/>
          </w:tcPr>
          <w:p>
            <w:pPr>
              <w:ind w:left="480"/>
              <w:spacing w:after="0"/>
              <w:rPr>
                <w:sz w:val="20"/>
                <w:szCs w:val="20"/>
                <w:color w:val="auto"/>
              </w:rPr>
            </w:pPr>
            <w:r>
              <w:rPr>
                <w:rFonts w:ascii="Arial" w:cs="Arial" w:eastAsia="Arial" w:hAnsi="Arial"/>
                <w:sz w:val="18"/>
                <w:szCs w:val="18"/>
                <w:color w:val="auto"/>
                <w:w w:val="91"/>
              </w:rPr>
              <w:t>Certification pursuant to Section 906 of the Sarbanes-Oxley Act of 2002.</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5760" w:type="dxa"/>
            <w:vAlign w:val="bottom"/>
          </w:tcPr>
          <w:p>
            <w:pPr>
              <w:ind w:left="480"/>
              <w:spacing w:after="0"/>
              <w:rPr>
                <w:sz w:val="20"/>
                <w:szCs w:val="20"/>
                <w:color w:val="auto"/>
              </w:rPr>
            </w:pPr>
            <w:r>
              <w:rPr>
                <w:rFonts w:ascii="Arial" w:cs="Arial" w:eastAsia="Arial" w:hAnsi="Arial"/>
                <w:sz w:val="18"/>
                <w:szCs w:val="18"/>
                <w:color w:val="auto"/>
              </w:rPr>
              <w:t>XBRL Instance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5760" w:type="dxa"/>
            <w:vAlign w:val="bottom"/>
          </w:tcPr>
          <w:p>
            <w:pPr>
              <w:ind w:left="480"/>
              <w:spacing w:after="0"/>
              <w:rPr>
                <w:sz w:val="20"/>
                <w:szCs w:val="20"/>
                <w:color w:val="auto"/>
              </w:rPr>
            </w:pPr>
            <w:r>
              <w:rPr>
                <w:rFonts w:ascii="Arial" w:cs="Arial" w:eastAsia="Arial" w:hAnsi="Arial"/>
                <w:sz w:val="18"/>
                <w:szCs w:val="18"/>
                <w:color w:val="auto"/>
              </w:rPr>
              <w:t>XBRL Schema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5760" w:type="dxa"/>
            <w:vAlign w:val="bottom"/>
          </w:tcPr>
          <w:p>
            <w:pPr>
              <w:ind w:left="48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5760" w:type="dxa"/>
            <w:vAlign w:val="bottom"/>
          </w:tcPr>
          <w:p>
            <w:pPr>
              <w:ind w:left="48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101.PRE</w:t>
            </w:r>
          </w:p>
        </w:tc>
        <w:tc>
          <w:tcPr>
            <w:tcW w:w="5760" w:type="dxa"/>
            <w:vAlign w:val="bottom"/>
          </w:tcPr>
          <w:p>
            <w:pPr>
              <w:ind w:left="48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5760" w:type="dxa"/>
            <w:vAlign w:val="bottom"/>
          </w:tcPr>
          <w:p>
            <w:pPr>
              <w:ind w:left="480"/>
              <w:spacing w:after="0"/>
              <w:rPr>
                <w:sz w:val="20"/>
                <w:szCs w:val="20"/>
                <w:color w:val="auto"/>
              </w:rPr>
            </w:pPr>
            <w:r>
              <w:rPr>
                <w:rFonts w:ascii="Arial" w:cs="Arial" w:eastAsia="Arial" w:hAnsi="Arial"/>
                <w:sz w:val="18"/>
                <w:szCs w:val="18"/>
                <w:color w:val="auto"/>
              </w:rPr>
              <w:t>XBRL Definition Linkbase Document</w:t>
            </w:r>
          </w:p>
        </w:tc>
      </w:tr>
    </w:tbl>
    <w:p>
      <w:pPr>
        <w:spacing w:after="0" w:line="20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FRANCIS T. JOYCE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Executive Vice President, Chief Financial Officer and Treasurer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2012</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60649XAA6</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THIRD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December 21, 2011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a Lender and L/C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Lead Arrangers and Joint Book Managers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9480" w:type="dxa"/>
            <w:vAlign w:val="bottom"/>
            <w:gridSpan w:val="3"/>
          </w:tcPr>
          <w:p>
            <w:pPr>
              <w:ind w:left="384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8"/>
                <w:szCs w:val="18"/>
                <w:color w:val="auto"/>
              </w:rPr>
            </w:pPr>
          </w:p>
        </w:tc>
      </w:tr>
      <w:tr>
        <w:trPr>
          <w:trHeight w:val="385"/>
        </w:trPr>
        <w:tc>
          <w:tcPr>
            <w:tcW w:w="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98"/>
        </w:trPr>
        <w:tc>
          <w:tcPr>
            <w:tcW w:w="10400" w:type="dxa"/>
            <w:vAlign w:val="bottom"/>
            <w:gridSpan w:val="4"/>
          </w:tcPr>
          <w:p>
            <w:pPr>
              <w:spacing w:after="0"/>
              <w:rPr>
                <w:sz w:val="20"/>
                <w:szCs w:val="20"/>
                <w:color w:val="auto"/>
              </w:rPr>
            </w:pPr>
            <w:r>
              <w:rPr>
                <w:rFonts w:ascii="Arial" w:cs="Arial" w:eastAsia="Arial" w:hAnsi="Arial"/>
                <w:sz w:val="18"/>
                <w:szCs w:val="18"/>
                <w:color w:val="auto"/>
              </w:rPr>
              <w:t>ARTICLE I. DEFINITIONS AND ACCOUNTING TERMS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1.01</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Defined Terms</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Other Interpretive Provisions</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1.03</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Accounting Terms</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Rounding</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1.05</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Exchange Rates; Currency Equivalents</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Additional Alternative Currencies</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Change of Currency</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Times of Day</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Letter of Credit Amounts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10400" w:type="dxa"/>
            <w:vAlign w:val="bottom"/>
            <w:gridSpan w:val="4"/>
          </w:tcPr>
          <w:p>
            <w:pPr>
              <w:spacing w:after="0"/>
              <w:rPr>
                <w:sz w:val="20"/>
                <w:szCs w:val="20"/>
                <w:color w:val="auto"/>
              </w:rPr>
            </w:pPr>
            <w:r>
              <w:rPr>
                <w:rFonts w:ascii="Arial" w:cs="Arial" w:eastAsia="Arial" w:hAnsi="Arial"/>
                <w:sz w:val="18"/>
                <w:szCs w:val="18"/>
                <w:color w:val="auto"/>
              </w:rPr>
              <w:t>ARTICLE II. THE COMMITMENTS AND CREDIT EXTENSIONS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2.01</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Loans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2.02</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Borrowings, Conversions and Continuations of Committed Loans</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2.03</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Letters of Credit</w:t>
            </w: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2.04</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Repayment of Loans</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2.05</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Prepayments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Termination or Reduction of Commitments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2.07</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Interest</w:t>
            </w: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2.08</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Fees</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2.09</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2.10</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Evidence of Debt</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Payments Generally; Administrative Agent’s Clawback</w:t>
            </w: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2.12</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Sharing of Payments</w:t>
            </w: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2.13</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Increase in Commitments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2.14</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Cash Collateral</w:t>
            </w: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2.15</w:t>
            </w:r>
          </w:p>
        </w:tc>
        <w:tc>
          <w:tcPr>
            <w:tcW w:w="9480" w:type="dxa"/>
            <w:vAlign w:val="bottom"/>
            <w:gridSpan w:val="3"/>
          </w:tcPr>
          <w:p>
            <w:pPr>
              <w:ind w:left="240"/>
              <w:spacing w:after="0"/>
              <w:rPr>
                <w:sz w:val="20"/>
                <w:szCs w:val="20"/>
                <w:color w:val="auto"/>
              </w:rPr>
            </w:pPr>
            <w:r>
              <w:rPr>
                <w:rFonts w:ascii="Arial" w:cs="Arial" w:eastAsia="Arial" w:hAnsi="Arial"/>
                <w:sz w:val="18"/>
                <w:szCs w:val="18"/>
                <w:color w:val="auto"/>
              </w:rPr>
              <w:t>Defaulting Lenders</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0400" w:type="dxa"/>
            <w:vAlign w:val="bottom"/>
            <w:gridSpan w:val="4"/>
          </w:tcPr>
          <w:p>
            <w:pPr>
              <w:spacing w:after="0"/>
              <w:rPr>
                <w:sz w:val="20"/>
                <w:szCs w:val="20"/>
                <w:color w:val="auto"/>
              </w:rPr>
            </w:pPr>
            <w:r>
              <w:rPr>
                <w:rFonts w:ascii="Arial" w:cs="Arial" w:eastAsia="Arial" w:hAnsi="Arial"/>
                <w:sz w:val="18"/>
                <w:szCs w:val="18"/>
                <w:color w:val="auto"/>
              </w:rPr>
              <w:t>ARTICLE III. TAXES, YIELD PROTECTION AND ILLEGALITY</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121"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3.01</w:t>
            </w:r>
          </w:p>
        </w:tc>
        <w:tc>
          <w:tcPr>
            <w:tcW w:w="8340" w:type="dxa"/>
            <w:vAlign w:val="bottom"/>
          </w:tcPr>
          <w:p>
            <w:pPr>
              <w:ind w:left="240"/>
              <w:spacing w:after="0"/>
              <w:rPr>
                <w:sz w:val="20"/>
                <w:szCs w:val="20"/>
                <w:color w:val="auto"/>
              </w:rPr>
            </w:pPr>
            <w:r>
              <w:rPr>
                <w:rFonts w:ascii="Arial" w:cs="Arial" w:eastAsia="Arial" w:hAnsi="Arial"/>
                <w:sz w:val="18"/>
                <w:szCs w:val="18"/>
                <w:color w:val="auto"/>
              </w:rPr>
              <w:t>Taxes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3.02</w:t>
            </w:r>
          </w:p>
        </w:tc>
        <w:tc>
          <w:tcPr>
            <w:tcW w:w="8340" w:type="dxa"/>
            <w:vAlign w:val="bottom"/>
          </w:tcPr>
          <w:p>
            <w:pPr>
              <w:ind w:left="240"/>
              <w:spacing w:after="0"/>
              <w:rPr>
                <w:sz w:val="20"/>
                <w:szCs w:val="20"/>
                <w:color w:val="auto"/>
              </w:rPr>
            </w:pPr>
            <w:r>
              <w:rPr>
                <w:rFonts w:ascii="Arial" w:cs="Arial" w:eastAsia="Arial" w:hAnsi="Arial"/>
                <w:sz w:val="18"/>
                <w:szCs w:val="18"/>
                <w:color w:val="auto"/>
              </w:rPr>
              <w:t>Illegality</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3.03</w:t>
            </w:r>
          </w:p>
        </w:tc>
        <w:tc>
          <w:tcPr>
            <w:tcW w:w="8340" w:type="dxa"/>
            <w:vAlign w:val="bottom"/>
          </w:tcPr>
          <w:p>
            <w:pPr>
              <w:ind w:left="240"/>
              <w:spacing w:after="0"/>
              <w:rPr>
                <w:sz w:val="20"/>
                <w:szCs w:val="20"/>
                <w:color w:val="auto"/>
              </w:rPr>
            </w:pPr>
            <w:r>
              <w:rPr>
                <w:rFonts w:ascii="Arial" w:cs="Arial" w:eastAsia="Arial" w:hAnsi="Arial"/>
                <w:sz w:val="18"/>
                <w:szCs w:val="18"/>
                <w:color w:val="auto"/>
              </w:rPr>
              <w:t>Inability to Determine Rates</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3.04</w:t>
            </w:r>
          </w:p>
        </w:tc>
        <w:tc>
          <w:tcPr>
            <w:tcW w:w="8340" w:type="dxa"/>
            <w:vAlign w:val="bottom"/>
          </w:tcPr>
          <w:p>
            <w:pPr>
              <w:ind w:left="240"/>
              <w:spacing w:after="0"/>
              <w:rPr>
                <w:sz w:val="20"/>
                <w:szCs w:val="20"/>
                <w:color w:val="auto"/>
              </w:rPr>
            </w:pPr>
            <w:r>
              <w:rPr>
                <w:rFonts w:ascii="Arial" w:cs="Arial" w:eastAsia="Arial" w:hAnsi="Arial"/>
                <w:sz w:val="18"/>
                <w:szCs w:val="18"/>
                <w:color w:val="auto"/>
              </w:rPr>
              <w:t>Increased Costs; Reserves on Eurocurrency Rate Loans</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3.05</w:t>
            </w:r>
          </w:p>
        </w:tc>
        <w:tc>
          <w:tcPr>
            <w:tcW w:w="8340" w:type="dxa"/>
            <w:vAlign w:val="bottom"/>
          </w:tcPr>
          <w:p>
            <w:pPr>
              <w:ind w:left="240"/>
              <w:spacing w:after="0"/>
              <w:rPr>
                <w:sz w:val="20"/>
                <w:szCs w:val="20"/>
                <w:color w:val="auto"/>
              </w:rPr>
            </w:pPr>
            <w:r>
              <w:rPr>
                <w:rFonts w:ascii="Arial" w:cs="Arial" w:eastAsia="Arial" w:hAnsi="Arial"/>
                <w:sz w:val="18"/>
                <w:szCs w:val="18"/>
                <w:color w:val="auto"/>
              </w:rPr>
              <w:t>Compensation for Losses</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3.06</w:t>
            </w:r>
          </w:p>
        </w:tc>
        <w:tc>
          <w:tcPr>
            <w:tcW w:w="8340" w:type="dxa"/>
            <w:vAlign w:val="bottom"/>
          </w:tcPr>
          <w:p>
            <w:pPr>
              <w:ind w:left="240"/>
              <w:spacing w:after="0"/>
              <w:rPr>
                <w:sz w:val="20"/>
                <w:szCs w:val="20"/>
                <w:color w:val="auto"/>
              </w:rPr>
            </w:pPr>
            <w:r>
              <w:rPr>
                <w:rFonts w:ascii="Arial" w:cs="Arial" w:eastAsia="Arial" w:hAnsi="Arial"/>
                <w:sz w:val="18"/>
                <w:szCs w:val="18"/>
                <w:color w:val="auto"/>
              </w:rPr>
              <w:t>Mitigation Obligations; Replacement of Lenders</w:t>
            </w:r>
          </w:p>
        </w:tc>
        <w:tc>
          <w:tcPr>
            <w:tcW w:w="2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3.07</w:t>
            </w:r>
          </w:p>
        </w:tc>
        <w:tc>
          <w:tcPr>
            <w:tcW w:w="8340" w:type="dxa"/>
            <w:vAlign w:val="bottom"/>
          </w:tcPr>
          <w:p>
            <w:pPr>
              <w:ind w:left="240"/>
              <w:spacing w:after="0"/>
              <w:rPr>
                <w:sz w:val="20"/>
                <w:szCs w:val="20"/>
                <w:color w:val="auto"/>
              </w:rPr>
            </w:pPr>
            <w:r>
              <w:rPr>
                <w:rFonts w:ascii="Arial" w:cs="Arial" w:eastAsia="Arial" w:hAnsi="Arial"/>
                <w:sz w:val="18"/>
                <w:szCs w:val="18"/>
                <w:color w:val="auto"/>
              </w:rPr>
              <w:t>Survival</w:t>
            </w:r>
          </w:p>
        </w:tc>
        <w:tc>
          <w:tcPr>
            <w:tcW w:w="2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9260" w:type="dxa"/>
            <w:vAlign w:val="bottom"/>
            <w:gridSpan w:val="2"/>
          </w:tcPr>
          <w:p>
            <w:pPr>
              <w:spacing w:after="0"/>
              <w:rPr>
                <w:sz w:val="20"/>
                <w:szCs w:val="20"/>
                <w:color w:val="auto"/>
              </w:rPr>
            </w:pPr>
            <w:r>
              <w:rPr>
                <w:rFonts w:ascii="Arial" w:cs="Arial" w:eastAsia="Arial" w:hAnsi="Arial"/>
                <w:sz w:val="18"/>
                <w:szCs w:val="18"/>
                <w:color w:val="auto"/>
              </w:rPr>
              <w:t>ARTICLE IV. CONDITIONS PRECEDENT TO CREDIT EXTENSIONS</w:t>
            </w:r>
          </w:p>
        </w:tc>
        <w:tc>
          <w:tcPr>
            <w:tcW w:w="2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4.01</w:t>
            </w:r>
          </w:p>
        </w:tc>
        <w:tc>
          <w:tcPr>
            <w:tcW w:w="8340" w:type="dxa"/>
            <w:vAlign w:val="bottom"/>
          </w:tcPr>
          <w:p>
            <w:pPr>
              <w:ind w:left="240"/>
              <w:spacing w:after="0"/>
              <w:rPr>
                <w:sz w:val="20"/>
                <w:szCs w:val="20"/>
                <w:color w:val="auto"/>
              </w:rPr>
            </w:pPr>
            <w:r>
              <w:rPr>
                <w:rFonts w:ascii="Arial" w:cs="Arial" w:eastAsia="Arial" w:hAnsi="Arial"/>
                <w:sz w:val="18"/>
                <w:szCs w:val="18"/>
                <w:color w:val="auto"/>
              </w:rPr>
              <w:t>Conditions of Initial Credit Extension</w:t>
            </w:r>
          </w:p>
        </w:tc>
        <w:tc>
          <w:tcPr>
            <w:tcW w:w="2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4.02</w:t>
            </w:r>
          </w:p>
        </w:tc>
        <w:tc>
          <w:tcPr>
            <w:tcW w:w="8340" w:type="dxa"/>
            <w:vAlign w:val="bottom"/>
          </w:tcPr>
          <w:p>
            <w:pPr>
              <w:ind w:left="240"/>
              <w:spacing w:after="0"/>
              <w:rPr>
                <w:sz w:val="20"/>
                <w:szCs w:val="20"/>
                <w:color w:val="auto"/>
              </w:rPr>
            </w:pPr>
            <w:r>
              <w:rPr>
                <w:rFonts w:ascii="Arial" w:cs="Arial" w:eastAsia="Arial" w:hAnsi="Arial"/>
                <w:sz w:val="18"/>
                <w:szCs w:val="18"/>
                <w:color w:val="auto"/>
              </w:rPr>
              <w:t>Conditions to all Credit Extensions</w:t>
            </w:r>
          </w:p>
        </w:tc>
        <w:tc>
          <w:tcPr>
            <w:tcW w:w="2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18"/>
        </w:trPr>
        <w:tc>
          <w:tcPr>
            <w:tcW w:w="926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5.01</w:t>
            </w:r>
          </w:p>
        </w:tc>
        <w:tc>
          <w:tcPr>
            <w:tcW w:w="8340" w:type="dxa"/>
            <w:vAlign w:val="bottom"/>
          </w:tcPr>
          <w:p>
            <w:pPr>
              <w:ind w:left="240"/>
              <w:spacing w:after="0"/>
              <w:rPr>
                <w:sz w:val="20"/>
                <w:szCs w:val="20"/>
                <w:color w:val="auto"/>
              </w:rPr>
            </w:pPr>
            <w:r>
              <w:rPr>
                <w:rFonts w:ascii="Arial" w:cs="Arial" w:eastAsia="Arial" w:hAnsi="Arial"/>
                <w:sz w:val="18"/>
                <w:szCs w:val="18"/>
                <w:color w:val="auto"/>
              </w:rPr>
              <w:t>Existence, Qualification and Power</w:t>
            </w:r>
          </w:p>
        </w:tc>
        <w:tc>
          <w:tcPr>
            <w:tcW w:w="2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5.02</w:t>
            </w:r>
          </w:p>
        </w:tc>
        <w:tc>
          <w:tcPr>
            <w:tcW w:w="8340" w:type="dxa"/>
            <w:vAlign w:val="bottom"/>
          </w:tcPr>
          <w:p>
            <w:pPr>
              <w:ind w:left="240"/>
              <w:spacing w:after="0"/>
              <w:rPr>
                <w:sz w:val="20"/>
                <w:szCs w:val="20"/>
                <w:color w:val="auto"/>
              </w:rPr>
            </w:pPr>
            <w:r>
              <w:rPr>
                <w:rFonts w:ascii="Arial" w:cs="Arial" w:eastAsia="Arial" w:hAnsi="Arial"/>
                <w:sz w:val="18"/>
                <w:szCs w:val="18"/>
                <w:color w:val="auto"/>
              </w:rPr>
              <w:t>Authorization; No Contravention</w:t>
            </w:r>
          </w:p>
        </w:tc>
        <w:tc>
          <w:tcPr>
            <w:tcW w:w="2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5.03</w:t>
            </w:r>
          </w:p>
        </w:tc>
        <w:tc>
          <w:tcPr>
            <w:tcW w:w="8340" w:type="dxa"/>
            <w:vAlign w:val="bottom"/>
          </w:tcPr>
          <w:p>
            <w:pPr>
              <w:ind w:left="240"/>
              <w:spacing w:after="0"/>
              <w:rPr>
                <w:sz w:val="20"/>
                <w:szCs w:val="20"/>
                <w:color w:val="auto"/>
              </w:rPr>
            </w:pPr>
            <w:r>
              <w:rPr>
                <w:rFonts w:ascii="Arial" w:cs="Arial" w:eastAsia="Arial" w:hAnsi="Arial"/>
                <w:sz w:val="18"/>
                <w:szCs w:val="18"/>
                <w:color w:val="auto"/>
              </w:rPr>
              <w:t>Governmental Authorization; Other Consents</w:t>
            </w:r>
          </w:p>
        </w:tc>
        <w:tc>
          <w:tcPr>
            <w:tcW w:w="2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5.04</w:t>
            </w:r>
          </w:p>
        </w:tc>
        <w:tc>
          <w:tcPr>
            <w:tcW w:w="8340" w:type="dxa"/>
            <w:vAlign w:val="bottom"/>
          </w:tcPr>
          <w:p>
            <w:pPr>
              <w:ind w:left="240"/>
              <w:spacing w:after="0"/>
              <w:rPr>
                <w:sz w:val="20"/>
                <w:szCs w:val="20"/>
                <w:color w:val="auto"/>
              </w:rPr>
            </w:pPr>
            <w:r>
              <w:rPr>
                <w:rFonts w:ascii="Arial" w:cs="Arial" w:eastAsia="Arial" w:hAnsi="Arial"/>
                <w:sz w:val="18"/>
                <w:szCs w:val="18"/>
                <w:color w:val="auto"/>
              </w:rPr>
              <w:t>Binding Effect</w:t>
            </w:r>
          </w:p>
        </w:tc>
        <w:tc>
          <w:tcPr>
            <w:tcW w:w="2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20" w:type="dxa"/>
            <w:vAlign w:val="bottom"/>
          </w:tcPr>
          <w:p>
            <w:pPr>
              <w:spacing w:after="0"/>
              <w:rPr>
                <w:sz w:val="24"/>
                <w:szCs w:val="24"/>
                <w:color w:val="auto"/>
              </w:rPr>
            </w:pPr>
          </w:p>
        </w:tc>
        <w:tc>
          <w:tcPr>
            <w:tcW w:w="8340" w:type="dxa"/>
            <w:vAlign w:val="bottom"/>
          </w:tcPr>
          <w:p>
            <w:pPr>
              <w:ind w:left="4760"/>
              <w:spacing w:after="0"/>
              <w:rPr>
                <w:sz w:val="20"/>
                <w:szCs w:val="20"/>
                <w:color w:val="auto"/>
              </w:rPr>
            </w:pPr>
            <w:r>
              <w:rPr>
                <w:rFonts w:ascii="Arial" w:cs="Arial" w:eastAsia="Arial" w:hAnsi="Arial"/>
                <w:sz w:val="18"/>
                <w:szCs w:val="18"/>
                <w:color w:val="auto"/>
              </w:rPr>
              <w:t>i</w:t>
            </w:r>
          </w:p>
        </w:tc>
        <w:tc>
          <w:tcPr>
            <w:tcW w:w="220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834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r>
      <w:tr>
        <w:trPr>
          <w:trHeight w:val="76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5.05</w:t>
            </w:r>
          </w:p>
        </w:tc>
        <w:tc>
          <w:tcPr>
            <w:tcW w:w="8340" w:type="dxa"/>
            <w:vAlign w:val="bottom"/>
          </w:tcPr>
          <w:p>
            <w:pPr>
              <w:ind w:left="240"/>
              <w:spacing w:after="0"/>
              <w:rPr>
                <w:sz w:val="20"/>
                <w:szCs w:val="20"/>
                <w:color w:val="auto"/>
              </w:rPr>
            </w:pPr>
            <w:r>
              <w:rPr>
                <w:rFonts w:ascii="Arial" w:cs="Arial" w:eastAsia="Arial" w:hAnsi="Arial"/>
                <w:sz w:val="18"/>
                <w:szCs w:val="18"/>
                <w:color w:val="auto"/>
              </w:rPr>
              <w:t>Financial Statements; No Material Adverse Effect; No Internal Control Event</w:t>
            </w:r>
          </w:p>
        </w:tc>
        <w:tc>
          <w:tcPr>
            <w:tcW w:w="2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5.06</w:t>
            </w:r>
          </w:p>
        </w:tc>
        <w:tc>
          <w:tcPr>
            <w:tcW w:w="8340" w:type="dxa"/>
            <w:vAlign w:val="bottom"/>
          </w:tcPr>
          <w:p>
            <w:pPr>
              <w:ind w:left="240"/>
              <w:spacing w:after="0"/>
              <w:rPr>
                <w:sz w:val="20"/>
                <w:szCs w:val="20"/>
                <w:color w:val="auto"/>
              </w:rPr>
            </w:pPr>
            <w:r>
              <w:rPr>
                <w:rFonts w:ascii="Arial" w:cs="Arial" w:eastAsia="Arial" w:hAnsi="Arial"/>
                <w:sz w:val="18"/>
                <w:szCs w:val="18"/>
                <w:color w:val="auto"/>
              </w:rPr>
              <w:t>Litigation</w:t>
            </w:r>
          </w:p>
        </w:tc>
        <w:tc>
          <w:tcPr>
            <w:tcW w:w="2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5.07</w:t>
            </w:r>
          </w:p>
        </w:tc>
        <w:tc>
          <w:tcPr>
            <w:tcW w:w="8340" w:type="dxa"/>
            <w:vAlign w:val="bottom"/>
          </w:tcPr>
          <w:p>
            <w:pPr>
              <w:ind w:left="240"/>
              <w:spacing w:after="0"/>
              <w:rPr>
                <w:sz w:val="20"/>
                <w:szCs w:val="20"/>
                <w:color w:val="auto"/>
              </w:rPr>
            </w:pPr>
            <w:r>
              <w:rPr>
                <w:rFonts w:ascii="Arial" w:cs="Arial" w:eastAsia="Arial" w:hAnsi="Arial"/>
                <w:sz w:val="18"/>
                <w:szCs w:val="18"/>
                <w:color w:val="auto"/>
              </w:rPr>
              <w:t>No Default</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5.08</w:t>
            </w:r>
          </w:p>
        </w:tc>
        <w:tc>
          <w:tcPr>
            <w:tcW w:w="8340" w:type="dxa"/>
            <w:vAlign w:val="bottom"/>
          </w:tcPr>
          <w:p>
            <w:pPr>
              <w:ind w:left="240"/>
              <w:spacing w:after="0"/>
              <w:rPr>
                <w:sz w:val="20"/>
                <w:szCs w:val="20"/>
                <w:color w:val="auto"/>
              </w:rPr>
            </w:pPr>
            <w:r>
              <w:rPr>
                <w:rFonts w:ascii="Arial" w:cs="Arial" w:eastAsia="Arial" w:hAnsi="Arial"/>
                <w:sz w:val="18"/>
                <w:szCs w:val="18"/>
                <w:color w:val="auto"/>
              </w:rPr>
              <w:t>Ownership of Property; Liens</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5.09</w:t>
            </w:r>
          </w:p>
        </w:tc>
        <w:tc>
          <w:tcPr>
            <w:tcW w:w="8340" w:type="dxa"/>
            <w:vAlign w:val="bottom"/>
          </w:tcPr>
          <w:p>
            <w:pPr>
              <w:ind w:left="240"/>
              <w:spacing w:after="0"/>
              <w:rPr>
                <w:sz w:val="20"/>
                <w:szCs w:val="20"/>
                <w:color w:val="auto"/>
              </w:rPr>
            </w:pPr>
            <w:r>
              <w:rPr>
                <w:rFonts w:ascii="Arial" w:cs="Arial" w:eastAsia="Arial" w:hAnsi="Arial"/>
                <w:sz w:val="18"/>
                <w:szCs w:val="18"/>
                <w:color w:val="auto"/>
              </w:rPr>
              <w:t>Environmental Compliance</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5.10</w:t>
            </w:r>
          </w:p>
        </w:tc>
        <w:tc>
          <w:tcPr>
            <w:tcW w:w="83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5.11</w:t>
            </w:r>
          </w:p>
        </w:tc>
        <w:tc>
          <w:tcPr>
            <w:tcW w:w="8340" w:type="dxa"/>
            <w:vAlign w:val="bottom"/>
          </w:tcPr>
          <w:p>
            <w:pPr>
              <w:ind w:left="240"/>
              <w:spacing w:after="0"/>
              <w:rPr>
                <w:sz w:val="20"/>
                <w:szCs w:val="20"/>
                <w:color w:val="auto"/>
              </w:rPr>
            </w:pPr>
            <w:r>
              <w:rPr>
                <w:rFonts w:ascii="Arial" w:cs="Arial" w:eastAsia="Arial" w:hAnsi="Arial"/>
                <w:sz w:val="18"/>
                <w:szCs w:val="18"/>
                <w:color w:val="auto"/>
              </w:rPr>
              <w:t>Taxes</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5.12</w:t>
            </w:r>
          </w:p>
        </w:tc>
        <w:tc>
          <w:tcPr>
            <w:tcW w:w="8340" w:type="dxa"/>
            <w:vAlign w:val="bottom"/>
          </w:tcPr>
          <w:p>
            <w:pPr>
              <w:ind w:left="240"/>
              <w:spacing w:after="0"/>
              <w:rPr>
                <w:sz w:val="20"/>
                <w:szCs w:val="20"/>
                <w:color w:val="auto"/>
              </w:rPr>
            </w:pPr>
            <w:r>
              <w:rPr>
                <w:rFonts w:ascii="Arial" w:cs="Arial" w:eastAsia="Arial" w:hAnsi="Arial"/>
                <w:sz w:val="18"/>
                <w:szCs w:val="18"/>
                <w:color w:val="auto"/>
              </w:rPr>
              <w:t>ERISA Compliance</w:t>
            </w:r>
          </w:p>
        </w:tc>
        <w:tc>
          <w:tcPr>
            <w:tcW w:w="2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5.13</w:t>
            </w:r>
          </w:p>
        </w:tc>
        <w:tc>
          <w:tcPr>
            <w:tcW w:w="8340" w:type="dxa"/>
            <w:vAlign w:val="bottom"/>
          </w:tcPr>
          <w:p>
            <w:pPr>
              <w:ind w:left="240"/>
              <w:spacing w:after="0"/>
              <w:rPr>
                <w:sz w:val="20"/>
                <w:szCs w:val="20"/>
                <w:color w:val="auto"/>
              </w:rPr>
            </w:pPr>
            <w:r>
              <w:rPr>
                <w:rFonts w:ascii="Arial" w:cs="Arial" w:eastAsia="Arial" w:hAnsi="Arial"/>
                <w:sz w:val="18"/>
                <w:szCs w:val="18"/>
                <w:color w:val="auto"/>
              </w:rPr>
              <w:t>Subsidiaries; Equity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5.14</w:t>
            </w:r>
          </w:p>
        </w:tc>
        <w:tc>
          <w:tcPr>
            <w:tcW w:w="8340" w:type="dxa"/>
            <w:vAlign w:val="bottom"/>
          </w:tcPr>
          <w:p>
            <w:pPr>
              <w:ind w:left="240"/>
              <w:spacing w:after="0"/>
              <w:rPr>
                <w:sz w:val="20"/>
                <w:szCs w:val="20"/>
                <w:color w:val="auto"/>
              </w:rPr>
            </w:pPr>
            <w:r>
              <w:rPr>
                <w:rFonts w:ascii="Arial" w:cs="Arial" w:eastAsia="Arial" w:hAnsi="Arial"/>
                <w:sz w:val="18"/>
                <w:szCs w:val="18"/>
                <w:color w:val="auto"/>
              </w:rPr>
              <w:t>Margin Regulations; Investment Company Act; Public Utility Holding Company Act</w:t>
            </w:r>
          </w:p>
        </w:tc>
        <w:tc>
          <w:tcPr>
            <w:tcW w:w="2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5.15</w:t>
            </w:r>
          </w:p>
        </w:tc>
        <w:tc>
          <w:tcPr>
            <w:tcW w:w="8340" w:type="dxa"/>
            <w:vAlign w:val="bottom"/>
          </w:tcPr>
          <w:p>
            <w:pPr>
              <w:ind w:left="240"/>
              <w:spacing w:after="0"/>
              <w:rPr>
                <w:sz w:val="20"/>
                <w:szCs w:val="20"/>
                <w:color w:val="auto"/>
              </w:rPr>
            </w:pPr>
            <w:r>
              <w:rPr>
                <w:rFonts w:ascii="Arial" w:cs="Arial" w:eastAsia="Arial" w:hAnsi="Arial"/>
                <w:sz w:val="18"/>
                <w:szCs w:val="18"/>
                <w:color w:val="auto"/>
              </w:rPr>
              <w:t>Disclosure</w:t>
            </w: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5.16</w:t>
            </w:r>
          </w:p>
        </w:tc>
        <w:tc>
          <w:tcPr>
            <w:tcW w:w="834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5.17</w:t>
            </w:r>
          </w:p>
        </w:tc>
        <w:tc>
          <w:tcPr>
            <w:tcW w:w="8340" w:type="dxa"/>
            <w:vAlign w:val="bottom"/>
          </w:tcPr>
          <w:p>
            <w:pPr>
              <w:ind w:left="240"/>
              <w:spacing w:after="0"/>
              <w:rPr>
                <w:sz w:val="20"/>
                <w:szCs w:val="20"/>
                <w:color w:val="auto"/>
              </w:rPr>
            </w:pPr>
            <w:r>
              <w:rPr>
                <w:rFonts w:ascii="Arial" w:cs="Arial" w:eastAsia="Arial" w:hAnsi="Arial"/>
                <w:sz w:val="18"/>
                <w:szCs w:val="18"/>
                <w:color w:val="auto"/>
              </w:rPr>
              <w:t>Taxpayer Identification Number</w:t>
            </w: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5.18</w:t>
            </w:r>
          </w:p>
        </w:tc>
        <w:tc>
          <w:tcPr>
            <w:tcW w:w="8340" w:type="dxa"/>
            <w:vAlign w:val="bottom"/>
          </w:tcPr>
          <w:p>
            <w:pPr>
              <w:ind w:left="240"/>
              <w:spacing w:after="0"/>
              <w:rPr>
                <w:sz w:val="20"/>
                <w:szCs w:val="20"/>
                <w:color w:val="auto"/>
              </w:rPr>
            </w:pPr>
            <w:r>
              <w:rPr>
                <w:rFonts w:ascii="Arial" w:cs="Arial" w:eastAsia="Arial" w:hAnsi="Arial"/>
                <w:sz w:val="18"/>
                <w:szCs w:val="18"/>
                <w:color w:val="auto"/>
              </w:rPr>
              <w:t>Intellectual Property; Licenses, Etc.</w:t>
            </w: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5.19</w:t>
            </w:r>
          </w:p>
        </w:tc>
        <w:tc>
          <w:tcPr>
            <w:tcW w:w="8340" w:type="dxa"/>
            <w:vAlign w:val="bottom"/>
          </w:tcPr>
          <w:p>
            <w:pPr>
              <w:ind w:left="240"/>
              <w:spacing w:after="0"/>
              <w:rPr>
                <w:sz w:val="20"/>
                <w:szCs w:val="20"/>
                <w:color w:val="auto"/>
              </w:rPr>
            </w:pPr>
            <w:r>
              <w:rPr>
                <w:rFonts w:ascii="Arial" w:cs="Arial" w:eastAsia="Arial" w:hAnsi="Arial"/>
                <w:sz w:val="18"/>
                <w:szCs w:val="18"/>
                <w:color w:val="auto"/>
              </w:rPr>
              <w:t>Rights in Collateral; Priority of Liens</w:t>
            </w: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2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6.01</w:t>
            </w:r>
          </w:p>
        </w:tc>
        <w:tc>
          <w:tcPr>
            <w:tcW w:w="8340" w:type="dxa"/>
            <w:vAlign w:val="bottom"/>
          </w:tcPr>
          <w:p>
            <w:pPr>
              <w:ind w:left="240"/>
              <w:spacing w:after="0"/>
              <w:rPr>
                <w:sz w:val="20"/>
                <w:szCs w:val="20"/>
                <w:color w:val="auto"/>
              </w:rPr>
            </w:pPr>
            <w:r>
              <w:rPr>
                <w:rFonts w:ascii="Arial" w:cs="Arial" w:eastAsia="Arial" w:hAnsi="Arial"/>
                <w:sz w:val="18"/>
                <w:szCs w:val="18"/>
                <w:color w:val="auto"/>
              </w:rPr>
              <w:t>Financial Statements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6.02</w:t>
            </w:r>
          </w:p>
        </w:tc>
        <w:tc>
          <w:tcPr>
            <w:tcW w:w="8340" w:type="dxa"/>
            <w:vAlign w:val="bottom"/>
          </w:tcPr>
          <w:p>
            <w:pPr>
              <w:ind w:left="240"/>
              <w:spacing w:after="0"/>
              <w:rPr>
                <w:sz w:val="20"/>
                <w:szCs w:val="20"/>
                <w:color w:val="auto"/>
              </w:rPr>
            </w:pPr>
            <w:r>
              <w:rPr>
                <w:rFonts w:ascii="Arial" w:cs="Arial" w:eastAsia="Arial" w:hAnsi="Arial"/>
                <w:sz w:val="18"/>
                <w:szCs w:val="18"/>
                <w:color w:val="auto"/>
              </w:rPr>
              <w:t>Certificates; Other Information</w:t>
            </w:r>
          </w:p>
        </w:tc>
        <w:tc>
          <w:tcPr>
            <w:tcW w:w="2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6.03</w:t>
            </w:r>
          </w:p>
        </w:tc>
        <w:tc>
          <w:tcPr>
            <w:tcW w:w="8340" w:type="dxa"/>
            <w:vAlign w:val="bottom"/>
          </w:tcPr>
          <w:p>
            <w:pPr>
              <w:ind w:left="240"/>
              <w:spacing w:after="0"/>
              <w:rPr>
                <w:sz w:val="20"/>
                <w:szCs w:val="20"/>
                <w:color w:val="auto"/>
              </w:rPr>
            </w:pPr>
            <w:r>
              <w:rPr>
                <w:rFonts w:ascii="Arial" w:cs="Arial" w:eastAsia="Arial" w:hAnsi="Arial"/>
                <w:sz w:val="18"/>
                <w:szCs w:val="18"/>
                <w:color w:val="auto"/>
              </w:rPr>
              <w:t>Notices</w:t>
            </w:r>
          </w:p>
        </w:tc>
        <w:tc>
          <w:tcPr>
            <w:tcW w:w="2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6.04</w:t>
            </w:r>
          </w:p>
        </w:tc>
        <w:tc>
          <w:tcPr>
            <w:tcW w:w="8340" w:type="dxa"/>
            <w:vAlign w:val="bottom"/>
          </w:tcPr>
          <w:p>
            <w:pPr>
              <w:ind w:left="240"/>
              <w:spacing w:after="0"/>
              <w:rPr>
                <w:sz w:val="20"/>
                <w:szCs w:val="20"/>
                <w:color w:val="auto"/>
              </w:rPr>
            </w:pPr>
            <w:r>
              <w:rPr>
                <w:rFonts w:ascii="Arial" w:cs="Arial" w:eastAsia="Arial" w:hAnsi="Arial"/>
                <w:sz w:val="18"/>
                <w:szCs w:val="18"/>
                <w:color w:val="auto"/>
              </w:rPr>
              <w:t>Payment of Obligations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6.05</w:t>
            </w:r>
          </w:p>
        </w:tc>
        <w:tc>
          <w:tcPr>
            <w:tcW w:w="8340" w:type="dxa"/>
            <w:vAlign w:val="bottom"/>
          </w:tcPr>
          <w:p>
            <w:pPr>
              <w:ind w:left="240"/>
              <w:spacing w:after="0"/>
              <w:rPr>
                <w:sz w:val="20"/>
                <w:szCs w:val="20"/>
                <w:color w:val="auto"/>
              </w:rPr>
            </w:pPr>
            <w:r>
              <w:rPr>
                <w:rFonts w:ascii="Arial" w:cs="Arial" w:eastAsia="Arial" w:hAnsi="Arial"/>
                <w:sz w:val="18"/>
                <w:szCs w:val="18"/>
                <w:color w:val="auto"/>
              </w:rPr>
              <w:t>Preservation of Existence, Etc.</w:t>
            </w:r>
          </w:p>
        </w:tc>
        <w:tc>
          <w:tcPr>
            <w:tcW w:w="2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6.06</w:t>
            </w:r>
          </w:p>
        </w:tc>
        <w:tc>
          <w:tcPr>
            <w:tcW w:w="8340" w:type="dxa"/>
            <w:vAlign w:val="bottom"/>
          </w:tcPr>
          <w:p>
            <w:pPr>
              <w:ind w:left="240"/>
              <w:spacing w:after="0"/>
              <w:rPr>
                <w:sz w:val="20"/>
                <w:szCs w:val="20"/>
                <w:color w:val="auto"/>
              </w:rPr>
            </w:pPr>
            <w:r>
              <w:rPr>
                <w:rFonts w:ascii="Arial" w:cs="Arial" w:eastAsia="Arial" w:hAnsi="Arial"/>
                <w:sz w:val="18"/>
                <w:szCs w:val="18"/>
                <w:color w:val="auto"/>
              </w:rPr>
              <w:t>Maintenance of Properties</w:t>
            </w:r>
          </w:p>
        </w:tc>
        <w:tc>
          <w:tcPr>
            <w:tcW w:w="2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6.07</w:t>
            </w:r>
          </w:p>
        </w:tc>
        <w:tc>
          <w:tcPr>
            <w:tcW w:w="8340" w:type="dxa"/>
            <w:vAlign w:val="bottom"/>
          </w:tcPr>
          <w:p>
            <w:pPr>
              <w:ind w:left="240"/>
              <w:spacing w:after="0"/>
              <w:rPr>
                <w:sz w:val="20"/>
                <w:szCs w:val="20"/>
                <w:color w:val="auto"/>
              </w:rPr>
            </w:pPr>
            <w:r>
              <w:rPr>
                <w:rFonts w:ascii="Arial" w:cs="Arial" w:eastAsia="Arial" w:hAnsi="Arial"/>
                <w:sz w:val="18"/>
                <w:szCs w:val="18"/>
                <w:color w:val="auto"/>
              </w:rPr>
              <w:t>Maintenance of Insurance</w:t>
            </w:r>
          </w:p>
        </w:tc>
        <w:tc>
          <w:tcPr>
            <w:tcW w:w="2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6.08</w:t>
            </w:r>
          </w:p>
        </w:tc>
        <w:tc>
          <w:tcPr>
            <w:tcW w:w="8340" w:type="dxa"/>
            <w:vAlign w:val="bottom"/>
          </w:tcPr>
          <w:p>
            <w:pPr>
              <w:ind w:left="240"/>
              <w:spacing w:after="0"/>
              <w:rPr>
                <w:sz w:val="20"/>
                <w:szCs w:val="20"/>
                <w:color w:val="auto"/>
              </w:rPr>
            </w:pPr>
            <w:r>
              <w:rPr>
                <w:rFonts w:ascii="Arial" w:cs="Arial" w:eastAsia="Arial" w:hAnsi="Arial"/>
                <w:sz w:val="18"/>
                <w:szCs w:val="18"/>
                <w:color w:val="auto"/>
              </w:rPr>
              <w:t>Compliance with Laws</w:t>
            </w:r>
          </w:p>
        </w:tc>
        <w:tc>
          <w:tcPr>
            <w:tcW w:w="2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6.09</w:t>
            </w:r>
          </w:p>
        </w:tc>
        <w:tc>
          <w:tcPr>
            <w:tcW w:w="8340" w:type="dxa"/>
            <w:vAlign w:val="bottom"/>
          </w:tcPr>
          <w:p>
            <w:pPr>
              <w:ind w:left="240"/>
              <w:spacing w:after="0"/>
              <w:rPr>
                <w:sz w:val="20"/>
                <w:szCs w:val="20"/>
                <w:color w:val="auto"/>
              </w:rPr>
            </w:pPr>
            <w:r>
              <w:rPr>
                <w:rFonts w:ascii="Arial" w:cs="Arial" w:eastAsia="Arial" w:hAnsi="Arial"/>
                <w:sz w:val="18"/>
                <w:szCs w:val="18"/>
                <w:color w:val="auto"/>
              </w:rPr>
              <w:t>Books and Records</w:t>
            </w:r>
          </w:p>
        </w:tc>
        <w:tc>
          <w:tcPr>
            <w:tcW w:w="2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6.10</w:t>
            </w:r>
          </w:p>
        </w:tc>
        <w:tc>
          <w:tcPr>
            <w:tcW w:w="8340" w:type="dxa"/>
            <w:vAlign w:val="bottom"/>
          </w:tcPr>
          <w:p>
            <w:pPr>
              <w:ind w:left="240"/>
              <w:spacing w:after="0"/>
              <w:rPr>
                <w:sz w:val="20"/>
                <w:szCs w:val="20"/>
                <w:color w:val="auto"/>
              </w:rPr>
            </w:pPr>
            <w:r>
              <w:rPr>
                <w:rFonts w:ascii="Arial" w:cs="Arial" w:eastAsia="Arial" w:hAnsi="Arial"/>
                <w:sz w:val="18"/>
                <w:szCs w:val="18"/>
                <w:color w:val="auto"/>
              </w:rPr>
              <w:t>Inspection Rights</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6.11</w:t>
            </w:r>
          </w:p>
        </w:tc>
        <w:tc>
          <w:tcPr>
            <w:tcW w:w="834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6.12</w:t>
            </w:r>
          </w:p>
        </w:tc>
        <w:tc>
          <w:tcPr>
            <w:tcW w:w="8340" w:type="dxa"/>
            <w:vAlign w:val="bottom"/>
          </w:tcPr>
          <w:p>
            <w:pPr>
              <w:ind w:left="240"/>
              <w:spacing w:after="0"/>
              <w:rPr>
                <w:sz w:val="20"/>
                <w:szCs w:val="20"/>
                <w:color w:val="auto"/>
              </w:rPr>
            </w:pPr>
            <w:r>
              <w:rPr>
                <w:rFonts w:ascii="Arial" w:cs="Arial" w:eastAsia="Arial" w:hAnsi="Arial"/>
                <w:sz w:val="18"/>
                <w:szCs w:val="18"/>
                <w:color w:val="auto"/>
              </w:rPr>
              <w:t>Financial Covenants</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6.13</w:t>
            </w:r>
          </w:p>
        </w:tc>
        <w:tc>
          <w:tcPr>
            <w:tcW w:w="8340" w:type="dxa"/>
            <w:vAlign w:val="bottom"/>
          </w:tcPr>
          <w:p>
            <w:pPr>
              <w:ind w:left="240"/>
              <w:spacing w:after="0"/>
              <w:rPr>
                <w:sz w:val="20"/>
                <w:szCs w:val="20"/>
                <w:color w:val="auto"/>
              </w:rPr>
            </w:pPr>
            <w:r>
              <w:rPr>
                <w:rFonts w:ascii="Arial" w:cs="Arial" w:eastAsia="Arial" w:hAnsi="Arial"/>
                <w:sz w:val="18"/>
                <w:szCs w:val="18"/>
                <w:color w:val="auto"/>
              </w:rPr>
              <w:t>Additional Guarantors; Pledges of Stock</w:t>
            </w:r>
          </w:p>
        </w:tc>
        <w:tc>
          <w:tcPr>
            <w:tcW w:w="2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6.14</w:t>
            </w:r>
          </w:p>
        </w:tc>
        <w:tc>
          <w:tcPr>
            <w:tcW w:w="8340" w:type="dxa"/>
            <w:vAlign w:val="bottom"/>
          </w:tcPr>
          <w:p>
            <w:pPr>
              <w:ind w:left="240"/>
              <w:spacing w:after="0"/>
              <w:rPr>
                <w:sz w:val="20"/>
                <w:szCs w:val="20"/>
                <w:color w:val="auto"/>
              </w:rPr>
            </w:pPr>
            <w:r>
              <w:rPr>
                <w:rFonts w:ascii="Arial" w:cs="Arial" w:eastAsia="Arial" w:hAnsi="Arial"/>
                <w:sz w:val="18"/>
                <w:szCs w:val="18"/>
                <w:color w:val="auto"/>
              </w:rPr>
              <w:t>Collateral Records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6.15</w:t>
            </w:r>
          </w:p>
        </w:tc>
        <w:tc>
          <w:tcPr>
            <w:tcW w:w="8340" w:type="dxa"/>
            <w:vAlign w:val="bottom"/>
          </w:tcPr>
          <w:p>
            <w:pPr>
              <w:ind w:left="240"/>
              <w:spacing w:after="0"/>
              <w:rPr>
                <w:sz w:val="20"/>
                <w:szCs w:val="20"/>
                <w:color w:val="auto"/>
              </w:rPr>
            </w:pPr>
            <w:r>
              <w:rPr>
                <w:rFonts w:ascii="Arial" w:cs="Arial" w:eastAsia="Arial" w:hAnsi="Arial"/>
                <w:sz w:val="18"/>
                <w:szCs w:val="18"/>
                <w:color w:val="auto"/>
              </w:rPr>
              <w:t>Security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6.16</w:t>
            </w:r>
          </w:p>
        </w:tc>
        <w:tc>
          <w:tcPr>
            <w:tcW w:w="8340" w:type="dxa"/>
            <w:vAlign w:val="bottom"/>
          </w:tcPr>
          <w:p>
            <w:pPr>
              <w:ind w:left="240"/>
              <w:spacing w:after="0"/>
              <w:rPr>
                <w:sz w:val="20"/>
                <w:szCs w:val="20"/>
                <w:color w:val="auto"/>
              </w:rPr>
            </w:pPr>
            <w:r>
              <w:rPr>
                <w:rFonts w:ascii="Arial" w:cs="Arial" w:eastAsia="Arial" w:hAnsi="Arial"/>
                <w:sz w:val="18"/>
                <w:szCs w:val="18"/>
                <w:color w:val="auto"/>
              </w:rPr>
              <w:t>Deposits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8"/>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7.01</w:t>
            </w:r>
          </w:p>
        </w:tc>
        <w:tc>
          <w:tcPr>
            <w:tcW w:w="8340" w:type="dxa"/>
            <w:vAlign w:val="bottom"/>
          </w:tcPr>
          <w:p>
            <w:pPr>
              <w:ind w:left="240"/>
              <w:spacing w:after="0"/>
              <w:rPr>
                <w:sz w:val="20"/>
                <w:szCs w:val="20"/>
                <w:color w:val="auto"/>
              </w:rPr>
            </w:pPr>
            <w:r>
              <w:rPr>
                <w:rFonts w:ascii="Arial" w:cs="Arial" w:eastAsia="Arial" w:hAnsi="Arial"/>
                <w:sz w:val="18"/>
                <w:szCs w:val="18"/>
                <w:color w:val="auto"/>
              </w:rPr>
              <w:t>Liens</w:t>
            </w:r>
          </w:p>
        </w:tc>
        <w:tc>
          <w:tcPr>
            <w:tcW w:w="22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7.02</w:t>
            </w:r>
          </w:p>
        </w:tc>
        <w:tc>
          <w:tcPr>
            <w:tcW w:w="8340" w:type="dxa"/>
            <w:vAlign w:val="bottom"/>
          </w:tcPr>
          <w:p>
            <w:pPr>
              <w:ind w:left="240"/>
              <w:spacing w:after="0"/>
              <w:rPr>
                <w:sz w:val="20"/>
                <w:szCs w:val="20"/>
                <w:color w:val="auto"/>
              </w:rPr>
            </w:pPr>
            <w:r>
              <w:rPr>
                <w:rFonts w:ascii="Arial" w:cs="Arial" w:eastAsia="Arial" w:hAnsi="Arial"/>
                <w:sz w:val="18"/>
                <w:szCs w:val="18"/>
                <w:color w:val="auto"/>
              </w:rPr>
              <w:t>Investments</w:t>
            </w:r>
          </w:p>
        </w:tc>
        <w:tc>
          <w:tcPr>
            <w:tcW w:w="2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7.03</w:t>
            </w:r>
          </w:p>
        </w:tc>
        <w:tc>
          <w:tcPr>
            <w:tcW w:w="8340" w:type="dxa"/>
            <w:vAlign w:val="bottom"/>
          </w:tcPr>
          <w:p>
            <w:pPr>
              <w:ind w:left="240"/>
              <w:spacing w:after="0"/>
              <w:rPr>
                <w:sz w:val="20"/>
                <w:szCs w:val="20"/>
                <w:color w:val="auto"/>
              </w:rPr>
            </w:pPr>
            <w:r>
              <w:rPr>
                <w:rFonts w:ascii="Arial" w:cs="Arial" w:eastAsia="Arial" w:hAnsi="Arial"/>
                <w:sz w:val="18"/>
                <w:szCs w:val="18"/>
                <w:color w:val="auto"/>
              </w:rPr>
              <w:t>Indebtedness</w:t>
            </w:r>
          </w:p>
        </w:tc>
        <w:tc>
          <w:tcPr>
            <w:tcW w:w="22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7.04</w:t>
            </w:r>
          </w:p>
        </w:tc>
        <w:tc>
          <w:tcPr>
            <w:tcW w:w="8340" w:type="dxa"/>
            <w:vAlign w:val="bottom"/>
          </w:tcPr>
          <w:p>
            <w:pPr>
              <w:ind w:left="240"/>
              <w:spacing w:after="0"/>
              <w:rPr>
                <w:sz w:val="20"/>
                <w:szCs w:val="20"/>
                <w:color w:val="auto"/>
              </w:rPr>
            </w:pPr>
            <w:r>
              <w:rPr>
                <w:rFonts w:ascii="Arial" w:cs="Arial" w:eastAsia="Arial" w:hAnsi="Arial"/>
                <w:sz w:val="18"/>
                <w:szCs w:val="18"/>
                <w:color w:val="auto"/>
              </w:rPr>
              <w:t>Fundamental Changes</w:t>
            </w:r>
          </w:p>
        </w:tc>
        <w:tc>
          <w:tcPr>
            <w:tcW w:w="22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7.05</w:t>
            </w:r>
          </w:p>
        </w:tc>
        <w:tc>
          <w:tcPr>
            <w:tcW w:w="8340" w:type="dxa"/>
            <w:vAlign w:val="bottom"/>
          </w:tcPr>
          <w:p>
            <w:pPr>
              <w:ind w:left="240"/>
              <w:spacing w:after="0"/>
              <w:rPr>
                <w:sz w:val="20"/>
                <w:szCs w:val="20"/>
                <w:color w:val="auto"/>
              </w:rPr>
            </w:pPr>
            <w:r>
              <w:rPr>
                <w:rFonts w:ascii="Arial" w:cs="Arial" w:eastAsia="Arial" w:hAnsi="Arial"/>
                <w:sz w:val="18"/>
                <w:szCs w:val="18"/>
                <w:color w:val="auto"/>
              </w:rPr>
              <w:t>Dispositions</w:t>
            </w:r>
          </w:p>
        </w:tc>
        <w:tc>
          <w:tcPr>
            <w:tcW w:w="2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7.06</w:t>
            </w:r>
          </w:p>
        </w:tc>
        <w:tc>
          <w:tcPr>
            <w:tcW w:w="8340" w:type="dxa"/>
            <w:vAlign w:val="bottom"/>
          </w:tcPr>
          <w:p>
            <w:pPr>
              <w:ind w:left="240"/>
              <w:spacing w:after="0"/>
              <w:rPr>
                <w:sz w:val="20"/>
                <w:szCs w:val="20"/>
                <w:color w:val="auto"/>
              </w:rPr>
            </w:pPr>
            <w:r>
              <w:rPr>
                <w:rFonts w:ascii="Arial" w:cs="Arial" w:eastAsia="Arial" w:hAnsi="Arial"/>
                <w:sz w:val="18"/>
                <w:szCs w:val="18"/>
                <w:color w:val="auto"/>
              </w:rPr>
              <w:t>Restricted Payments</w:t>
            </w:r>
          </w:p>
        </w:tc>
        <w:tc>
          <w:tcPr>
            <w:tcW w:w="2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7.07</w:t>
            </w:r>
          </w:p>
        </w:tc>
        <w:tc>
          <w:tcPr>
            <w:tcW w:w="8340" w:type="dxa"/>
            <w:vAlign w:val="bottom"/>
          </w:tcPr>
          <w:p>
            <w:pPr>
              <w:ind w:left="240"/>
              <w:spacing w:after="0"/>
              <w:rPr>
                <w:sz w:val="20"/>
                <w:szCs w:val="20"/>
                <w:color w:val="auto"/>
              </w:rPr>
            </w:pPr>
            <w:r>
              <w:rPr>
                <w:rFonts w:ascii="Arial" w:cs="Arial" w:eastAsia="Arial" w:hAnsi="Arial"/>
                <w:sz w:val="18"/>
                <w:szCs w:val="18"/>
                <w:color w:val="auto"/>
              </w:rPr>
              <w:t>Change in Nature of Business</w:t>
            </w:r>
          </w:p>
        </w:tc>
        <w:tc>
          <w:tcPr>
            <w:tcW w:w="2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7.08</w:t>
            </w:r>
          </w:p>
        </w:tc>
        <w:tc>
          <w:tcPr>
            <w:tcW w:w="8340" w:type="dxa"/>
            <w:vAlign w:val="bottom"/>
          </w:tcPr>
          <w:p>
            <w:pPr>
              <w:ind w:left="240"/>
              <w:spacing w:after="0"/>
              <w:rPr>
                <w:sz w:val="20"/>
                <w:szCs w:val="20"/>
                <w:color w:val="auto"/>
              </w:rPr>
            </w:pPr>
            <w:r>
              <w:rPr>
                <w:rFonts w:ascii="Arial" w:cs="Arial" w:eastAsia="Arial" w:hAnsi="Arial"/>
                <w:sz w:val="18"/>
                <w:szCs w:val="18"/>
                <w:color w:val="auto"/>
              </w:rPr>
              <w:t>Transactions with Affiliates</w:t>
            </w:r>
          </w:p>
        </w:tc>
        <w:tc>
          <w:tcPr>
            <w:tcW w:w="22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7.09</w:t>
            </w:r>
          </w:p>
        </w:tc>
        <w:tc>
          <w:tcPr>
            <w:tcW w:w="8340" w:type="dxa"/>
            <w:vAlign w:val="bottom"/>
          </w:tcPr>
          <w:p>
            <w:pPr>
              <w:ind w:left="240"/>
              <w:spacing w:after="0"/>
              <w:rPr>
                <w:sz w:val="20"/>
                <w:szCs w:val="20"/>
                <w:color w:val="auto"/>
              </w:rPr>
            </w:pPr>
            <w:r>
              <w:rPr>
                <w:rFonts w:ascii="Arial" w:cs="Arial" w:eastAsia="Arial" w:hAnsi="Arial"/>
                <w:sz w:val="18"/>
                <w:szCs w:val="18"/>
                <w:color w:val="auto"/>
              </w:rPr>
              <w:t>Burdensome Agreements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7.10</w:t>
            </w:r>
          </w:p>
        </w:tc>
        <w:tc>
          <w:tcPr>
            <w:tcW w:w="834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2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7.11</w:t>
            </w:r>
          </w:p>
        </w:tc>
        <w:tc>
          <w:tcPr>
            <w:tcW w:w="8340" w:type="dxa"/>
            <w:vAlign w:val="bottom"/>
          </w:tcPr>
          <w:p>
            <w:pPr>
              <w:ind w:left="240"/>
              <w:spacing w:after="0"/>
              <w:rPr>
                <w:sz w:val="20"/>
                <w:szCs w:val="20"/>
                <w:color w:val="auto"/>
              </w:rPr>
            </w:pPr>
            <w:r>
              <w:rPr>
                <w:rFonts w:ascii="Arial" w:cs="Arial" w:eastAsia="Arial" w:hAnsi="Arial"/>
                <w:sz w:val="18"/>
                <w:szCs w:val="18"/>
                <w:color w:val="auto"/>
              </w:rPr>
              <w:t>Prepayment of Subordinated Notes</w:t>
            </w:r>
          </w:p>
        </w:tc>
        <w:tc>
          <w:tcPr>
            <w:tcW w:w="2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7.12</w:t>
            </w:r>
          </w:p>
        </w:tc>
        <w:tc>
          <w:tcPr>
            <w:tcW w:w="8340" w:type="dxa"/>
            <w:vAlign w:val="bottom"/>
          </w:tcPr>
          <w:p>
            <w:pPr>
              <w:ind w:left="240"/>
              <w:spacing w:after="0"/>
              <w:rPr>
                <w:sz w:val="20"/>
                <w:szCs w:val="20"/>
                <w:color w:val="auto"/>
              </w:rPr>
            </w:pPr>
            <w:r>
              <w:rPr>
                <w:rFonts w:ascii="Arial" w:cs="Arial" w:eastAsia="Arial" w:hAnsi="Arial"/>
                <w:sz w:val="18"/>
                <w:szCs w:val="18"/>
                <w:color w:val="auto"/>
              </w:rPr>
              <w:t>Sanctions</w:t>
            </w:r>
          </w:p>
        </w:tc>
        <w:tc>
          <w:tcPr>
            <w:tcW w:w="22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926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22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32"/>
        </w:trPr>
        <w:tc>
          <w:tcPr>
            <w:tcW w:w="920" w:type="dxa"/>
            <w:vAlign w:val="bottom"/>
          </w:tcPr>
          <w:p>
            <w:pPr>
              <w:spacing w:after="0"/>
              <w:rPr>
                <w:sz w:val="24"/>
                <w:szCs w:val="24"/>
                <w:color w:val="auto"/>
              </w:rPr>
            </w:pPr>
          </w:p>
        </w:tc>
        <w:tc>
          <w:tcPr>
            <w:tcW w:w="8340" w:type="dxa"/>
            <w:vAlign w:val="bottom"/>
          </w:tcPr>
          <w:p>
            <w:pPr>
              <w:ind w:left="4740"/>
              <w:spacing w:after="0"/>
              <w:rPr>
                <w:sz w:val="20"/>
                <w:szCs w:val="20"/>
                <w:color w:val="auto"/>
              </w:rPr>
            </w:pPr>
            <w:r>
              <w:rPr>
                <w:rFonts w:ascii="Arial" w:cs="Arial" w:eastAsia="Arial" w:hAnsi="Arial"/>
                <w:sz w:val="18"/>
                <w:szCs w:val="18"/>
                <w:color w:val="auto"/>
              </w:rPr>
              <w:t>ii</w:t>
            </w:r>
          </w:p>
        </w:tc>
        <w:tc>
          <w:tcPr>
            <w:tcW w:w="220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8340" w:type="dxa"/>
            <w:vAlign w:val="bottom"/>
            <w:tcBorders>
              <w:bottom w:val="single" w:sz="8" w:color="010101"/>
            </w:tcBorders>
          </w:tcPr>
          <w:p>
            <w:pPr>
              <w:spacing w:after="0"/>
              <w:rPr>
                <w:sz w:val="11"/>
                <w:szCs w:val="11"/>
                <w:color w:val="auto"/>
              </w:rPr>
            </w:pPr>
          </w:p>
        </w:tc>
        <w:tc>
          <w:tcPr>
            <w:tcW w:w="22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-7481570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-7481570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8.01</w:t>
            </w:r>
          </w:p>
        </w:tc>
        <w:tc>
          <w:tcPr>
            <w:tcW w:w="7900" w:type="dxa"/>
            <w:vAlign w:val="bottom"/>
          </w:tcPr>
          <w:p>
            <w:pPr>
              <w:ind w:left="200"/>
              <w:spacing w:after="0"/>
              <w:rPr>
                <w:sz w:val="20"/>
                <w:szCs w:val="20"/>
                <w:color w:val="auto"/>
              </w:rPr>
            </w:pPr>
            <w:r>
              <w:rPr>
                <w:rFonts w:ascii="Arial" w:cs="Arial" w:eastAsia="Arial" w:hAnsi="Arial"/>
                <w:sz w:val="18"/>
                <w:szCs w:val="18"/>
                <w:color w:val="auto"/>
              </w:rPr>
              <w:t>Events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8.02</w:t>
            </w:r>
          </w:p>
        </w:tc>
        <w:tc>
          <w:tcPr>
            <w:tcW w:w="7900" w:type="dxa"/>
            <w:vAlign w:val="bottom"/>
          </w:tcPr>
          <w:p>
            <w:pPr>
              <w:ind w:left="200"/>
              <w:spacing w:after="0"/>
              <w:rPr>
                <w:sz w:val="20"/>
                <w:szCs w:val="20"/>
                <w:color w:val="auto"/>
              </w:rPr>
            </w:pPr>
            <w:r>
              <w:rPr>
                <w:rFonts w:ascii="Arial" w:cs="Arial" w:eastAsia="Arial" w:hAnsi="Arial"/>
                <w:sz w:val="18"/>
                <w:szCs w:val="18"/>
                <w:color w:val="auto"/>
              </w:rPr>
              <w:t>Remedies Upon Event of Default</w:t>
            </w:r>
          </w:p>
        </w:tc>
        <w:tc>
          <w:tcPr>
            <w:tcW w:w="2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8.03</w:t>
            </w:r>
          </w:p>
        </w:tc>
        <w:tc>
          <w:tcPr>
            <w:tcW w:w="7900" w:type="dxa"/>
            <w:vAlign w:val="bottom"/>
          </w:tcPr>
          <w:p>
            <w:pPr>
              <w:ind w:left="200"/>
              <w:spacing w:after="0"/>
              <w:rPr>
                <w:sz w:val="20"/>
                <w:szCs w:val="20"/>
                <w:color w:val="auto"/>
              </w:rPr>
            </w:pPr>
            <w:r>
              <w:rPr>
                <w:rFonts w:ascii="Arial" w:cs="Arial" w:eastAsia="Arial" w:hAnsi="Arial"/>
                <w:sz w:val="18"/>
                <w:szCs w:val="18"/>
                <w:color w:val="auto"/>
              </w:rPr>
              <w:t>Application of Funds</w:t>
            </w:r>
          </w:p>
        </w:tc>
        <w:tc>
          <w:tcPr>
            <w:tcW w:w="2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18"/>
        </w:trPr>
        <w:tc>
          <w:tcPr>
            <w:tcW w:w="8860" w:type="dxa"/>
            <w:vAlign w:val="bottom"/>
            <w:gridSpan w:val="2"/>
          </w:tcPr>
          <w:p>
            <w:pPr>
              <w:spacing w:after="0"/>
              <w:rPr>
                <w:sz w:val="20"/>
                <w:szCs w:val="20"/>
                <w:color w:val="auto"/>
              </w:rPr>
            </w:pPr>
            <w:r>
              <w:rPr>
                <w:rFonts w:ascii="Arial" w:cs="Arial" w:eastAsia="Arial" w:hAnsi="Arial"/>
                <w:sz w:val="18"/>
                <w:szCs w:val="18"/>
                <w:color w:val="auto"/>
              </w:rPr>
              <w:t>ARTICLE IX.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9.01</w:t>
            </w:r>
          </w:p>
        </w:tc>
        <w:tc>
          <w:tcPr>
            <w:tcW w:w="7900" w:type="dxa"/>
            <w:vAlign w:val="bottom"/>
          </w:tcPr>
          <w:p>
            <w:pPr>
              <w:ind w:left="200"/>
              <w:spacing w:after="0"/>
              <w:rPr>
                <w:sz w:val="20"/>
                <w:szCs w:val="20"/>
                <w:color w:val="auto"/>
              </w:rPr>
            </w:pPr>
            <w:r>
              <w:rPr>
                <w:rFonts w:ascii="Arial" w:cs="Arial" w:eastAsia="Arial" w:hAnsi="Arial"/>
                <w:sz w:val="18"/>
                <w:szCs w:val="18"/>
                <w:color w:val="auto"/>
              </w:rPr>
              <w:t>Appointment and Authority of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9.02</w:t>
            </w:r>
          </w:p>
        </w:tc>
        <w:tc>
          <w:tcPr>
            <w:tcW w:w="7900" w:type="dxa"/>
            <w:vAlign w:val="bottom"/>
          </w:tcPr>
          <w:p>
            <w:pPr>
              <w:ind w:left="200"/>
              <w:spacing w:after="0"/>
              <w:rPr>
                <w:sz w:val="20"/>
                <w:szCs w:val="20"/>
                <w:color w:val="auto"/>
              </w:rPr>
            </w:pPr>
            <w:r>
              <w:rPr>
                <w:rFonts w:ascii="Arial" w:cs="Arial" w:eastAsia="Arial" w:hAnsi="Arial"/>
                <w:sz w:val="18"/>
                <w:szCs w:val="18"/>
                <w:color w:val="auto"/>
              </w:rPr>
              <w:t>Rights as a Lender</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9.03</w:t>
            </w:r>
          </w:p>
        </w:tc>
        <w:tc>
          <w:tcPr>
            <w:tcW w:w="7900" w:type="dxa"/>
            <w:vAlign w:val="bottom"/>
          </w:tcPr>
          <w:p>
            <w:pPr>
              <w:ind w:left="200"/>
              <w:spacing w:after="0"/>
              <w:rPr>
                <w:sz w:val="20"/>
                <w:szCs w:val="20"/>
                <w:color w:val="auto"/>
              </w:rPr>
            </w:pPr>
            <w:r>
              <w:rPr>
                <w:rFonts w:ascii="Arial" w:cs="Arial" w:eastAsia="Arial" w:hAnsi="Arial"/>
                <w:sz w:val="18"/>
                <w:szCs w:val="18"/>
                <w:color w:val="auto"/>
              </w:rPr>
              <w:t>Exculpatory Provisions</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9.04</w:t>
            </w:r>
          </w:p>
        </w:tc>
        <w:tc>
          <w:tcPr>
            <w:tcW w:w="7900" w:type="dxa"/>
            <w:vAlign w:val="bottom"/>
          </w:tcPr>
          <w:p>
            <w:pPr>
              <w:ind w:left="200"/>
              <w:spacing w:after="0"/>
              <w:rPr>
                <w:sz w:val="20"/>
                <w:szCs w:val="20"/>
                <w:color w:val="auto"/>
              </w:rPr>
            </w:pPr>
            <w:r>
              <w:rPr>
                <w:rFonts w:ascii="Arial" w:cs="Arial" w:eastAsia="Arial" w:hAnsi="Arial"/>
                <w:sz w:val="18"/>
                <w:szCs w:val="18"/>
                <w:color w:val="auto"/>
              </w:rPr>
              <w:t>Reliance by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9.05</w:t>
            </w:r>
          </w:p>
        </w:tc>
        <w:tc>
          <w:tcPr>
            <w:tcW w:w="7900" w:type="dxa"/>
            <w:vAlign w:val="bottom"/>
          </w:tcPr>
          <w:p>
            <w:pPr>
              <w:ind w:left="200"/>
              <w:spacing w:after="0"/>
              <w:rPr>
                <w:sz w:val="20"/>
                <w:szCs w:val="20"/>
                <w:color w:val="auto"/>
              </w:rPr>
            </w:pPr>
            <w:r>
              <w:rPr>
                <w:rFonts w:ascii="Arial" w:cs="Arial" w:eastAsia="Arial" w:hAnsi="Arial"/>
                <w:sz w:val="18"/>
                <w:szCs w:val="18"/>
                <w:color w:val="auto"/>
              </w:rPr>
              <w:t>Delegation of Duties</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9.06</w:t>
            </w:r>
          </w:p>
        </w:tc>
        <w:tc>
          <w:tcPr>
            <w:tcW w:w="7900" w:type="dxa"/>
            <w:vAlign w:val="bottom"/>
          </w:tcPr>
          <w:p>
            <w:pPr>
              <w:ind w:left="200"/>
              <w:spacing w:after="0"/>
              <w:rPr>
                <w:sz w:val="20"/>
                <w:szCs w:val="20"/>
                <w:color w:val="auto"/>
              </w:rPr>
            </w:pPr>
            <w:r>
              <w:rPr>
                <w:rFonts w:ascii="Arial" w:cs="Arial" w:eastAsia="Arial" w:hAnsi="Arial"/>
                <w:sz w:val="18"/>
                <w:szCs w:val="18"/>
                <w:color w:val="auto"/>
              </w:rPr>
              <w:t>Resignation of Administrative Agent</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9.07</w:t>
            </w:r>
          </w:p>
        </w:tc>
        <w:tc>
          <w:tcPr>
            <w:tcW w:w="7900" w:type="dxa"/>
            <w:vAlign w:val="bottom"/>
          </w:tcPr>
          <w:p>
            <w:pPr>
              <w:ind w:left="200"/>
              <w:spacing w:after="0"/>
              <w:rPr>
                <w:sz w:val="20"/>
                <w:szCs w:val="20"/>
                <w:color w:val="auto"/>
              </w:rPr>
            </w:pPr>
            <w:r>
              <w:rPr>
                <w:rFonts w:ascii="Arial" w:cs="Arial" w:eastAsia="Arial" w:hAnsi="Arial"/>
                <w:sz w:val="18"/>
                <w:szCs w:val="18"/>
                <w:color w:val="auto"/>
              </w:rPr>
              <w:t>Non-Reliance on Administrative Agent and Other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9.08</w:t>
            </w:r>
          </w:p>
        </w:tc>
        <w:tc>
          <w:tcPr>
            <w:tcW w:w="7900" w:type="dxa"/>
            <w:vAlign w:val="bottom"/>
          </w:tcPr>
          <w:p>
            <w:pPr>
              <w:ind w:left="200"/>
              <w:spacing w:after="0"/>
              <w:rPr>
                <w:sz w:val="20"/>
                <w:szCs w:val="20"/>
                <w:color w:val="auto"/>
              </w:rPr>
            </w:pPr>
            <w:r>
              <w:rPr>
                <w:rFonts w:ascii="Arial" w:cs="Arial" w:eastAsia="Arial" w:hAnsi="Arial"/>
                <w:sz w:val="18"/>
                <w:szCs w:val="18"/>
                <w:color w:val="auto"/>
              </w:rPr>
              <w:t>No Other Duties, Etc.</w:t>
            </w:r>
          </w:p>
        </w:tc>
        <w:tc>
          <w:tcPr>
            <w:tcW w:w="2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9.09</w:t>
            </w:r>
          </w:p>
        </w:tc>
        <w:tc>
          <w:tcPr>
            <w:tcW w:w="7900" w:type="dxa"/>
            <w:vAlign w:val="bottom"/>
          </w:tcPr>
          <w:p>
            <w:pPr>
              <w:ind w:left="200"/>
              <w:spacing w:after="0"/>
              <w:rPr>
                <w:sz w:val="20"/>
                <w:szCs w:val="20"/>
                <w:color w:val="auto"/>
              </w:rPr>
            </w:pPr>
            <w:r>
              <w:rPr>
                <w:rFonts w:ascii="Arial" w:cs="Arial" w:eastAsia="Arial" w:hAnsi="Arial"/>
                <w:sz w:val="18"/>
                <w:szCs w:val="18"/>
                <w:color w:val="auto"/>
              </w:rPr>
              <w:t>Administrative Agent May File Proofs of Claim</w:t>
            </w:r>
          </w:p>
        </w:tc>
        <w:tc>
          <w:tcPr>
            <w:tcW w:w="2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9.10</w:t>
            </w:r>
          </w:p>
        </w:tc>
        <w:tc>
          <w:tcPr>
            <w:tcW w:w="7900" w:type="dxa"/>
            <w:vAlign w:val="bottom"/>
          </w:tcPr>
          <w:p>
            <w:pPr>
              <w:ind w:left="200"/>
              <w:spacing w:after="0"/>
              <w:rPr>
                <w:sz w:val="20"/>
                <w:szCs w:val="20"/>
                <w:color w:val="auto"/>
              </w:rPr>
            </w:pPr>
            <w:r>
              <w:rPr>
                <w:rFonts w:ascii="Arial" w:cs="Arial" w:eastAsia="Arial" w:hAnsi="Arial"/>
                <w:sz w:val="18"/>
                <w:szCs w:val="18"/>
                <w:color w:val="auto"/>
              </w:rPr>
              <w:t>Guaranty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9.11</w:t>
            </w:r>
          </w:p>
        </w:tc>
        <w:tc>
          <w:tcPr>
            <w:tcW w:w="7900" w:type="dxa"/>
            <w:vAlign w:val="bottom"/>
          </w:tcPr>
          <w:p>
            <w:pPr>
              <w:ind w:left="200"/>
              <w:spacing w:after="0"/>
              <w:rPr>
                <w:sz w:val="20"/>
                <w:szCs w:val="20"/>
                <w:color w:val="auto"/>
              </w:rPr>
            </w:pPr>
            <w:r>
              <w:rPr>
                <w:rFonts w:ascii="Arial" w:cs="Arial" w:eastAsia="Arial" w:hAnsi="Arial"/>
                <w:sz w:val="18"/>
                <w:szCs w:val="18"/>
                <w:color w:val="auto"/>
              </w:rPr>
              <w:t>Collateral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9.12</w:t>
            </w:r>
          </w:p>
        </w:tc>
        <w:tc>
          <w:tcPr>
            <w:tcW w:w="7900" w:type="dxa"/>
            <w:vAlign w:val="bottom"/>
          </w:tcPr>
          <w:p>
            <w:pPr>
              <w:ind w:left="200"/>
              <w:spacing w:after="0"/>
              <w:rPr>
                <w:sz w:val="20"/>
                <w:szCs w:val="20"/>
                <w:color w:val="auto"/>
              </w:rPr>
            </w:pPr>
            <w:r>
              <w:rPr>
                <w:rFonts w:ascii="Arial" w:cs="Arial" w:eastAsia="Arial" w:hAnsi="Arial"/>
                <w:sz w:val="18"/>
                <w:szCs w:val="18"/>
                <w:color w:val="auto"/>
              </w:rPr>
              <w:t>Secured Cash Managamenet Agreements and Secured Hedge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886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10.01</w:t>
            </w:r>
          </w:p>
        </w:tc>
        <w:tc>
          <w:tcPr>
            <w:tcW w:w="7900" w:type="dxa"/>
            <w:vAlign w:val="bottom"/>
          </w:tcPr>
          <w:p>
            <w:pPr>
              <w:ind w:left="200"/>
              <w:spacing w:after="0"/>
              <w:rPr>
                <w:sz w:val="20"/>
                <w:szCs w:val="20"/>
                <w:color w:val="auto"/>
              </w:rPr>
            </w:pPr>
            <w:r>
              <w:rPr>
                <w:rFonts w:ascii="Arial" w:cs="Arial" w:eastAsia="Arial" w:hAnsi="Arial"/>
                <w:sz w:val="18"/>
                <w:szCs w:val="18"/>
                <w:color w:val="auto"/>
              </w:rPr>
              <w:t>Amendments, Etc.</w:t>
            </w:r>
          </w:p>
        </w:tc>
        <w:tc>
          <w:tcPr>
            <w:tcW w:w="25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10.02</w:t>
            </w:r>
          </w:p>
        </w:tc>
        <w:tc>
          <w:tcPr>
            <w:tcW w:w="7900" w:type="dxa"/>
            <w:vAlign w:val="bottom"/>
          </w:tcPr>
          <w:p>
            <w:pPr>
              <w:ind w:left="200"/>
              <w:spacing w:after="0"/>
              <w:rPr>
                <w:sz w:val="20"/>
                <w:szCs w:val="20"/>
                <w:color w:val="auto"/>
              </w:rPr>
            </w:pPr>
            <w:r>
              <w:rPr>
                <w:rFonts w:ascii="Arial" w:cs="Arial" w:eastAsia="Arial" w:hAnsi="Arial"/>
                <w:sz w:val="18"/>
                <w:szCs w:val="18"/>
                <w:color w:val="auto"/>
              </w:rPr>
              <w:t>Notices; Effectiveness; Electronic Communication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10.03</w:t>
            </w:r>
          </w:p>
        </w:tc>
        <w:tc>
          <w:tcPr>
            <w:tcW w:w="7900" w:type="dxa"/>
            <w:vAlign w:val="bottom"/>
          </w:tcPr>
          <w:p>
            <w:pPr>
              <w:ind w:left="200"/>
              <w:spacing w:after="0"/>
              <w:rPr>
                <w:sz w:val="20"/>
                <w:szCs w:val="20"/>
                <w:color w:val="auto"/>
              </w:rPr>
            </w:pPr>
            <w:r>
              <w:rPr>
                <w:rFonts w:ascii="Arial" w:cs="Arial" w:eastAsia="Arial" w:hAnsi="Arial"/>
                <w:sz w:val="18"/>
                <w:szCs w:val="18"/>
                <w:color w:val="auto"/>
              </w:rPr>
              <w:t>No Waiver; Cumulative Remedies; Enforcement</w:t>
            </w:r>
          </w:p>
        </w:tc>
        <w:tc>
          <w:tcPr>
            <w:tcW w:w="25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10.04</w:t>
            </w:r>
          </w:p>
        </w:tc>
        <w:tc>
          <w:tcPr>
            <w:tcW w:w="7900" w:type="dxa"/>
            <w:vAlign w:val="bottom"/>
          </w:tcPr>
          <w:p>
            <w:pPr>
              <w:ind w:left="200"/>
              <w:spacing w:after="0"/>
              <w:rPr>
                <w:sz w:val="20"/>
                <w:szCs w:val="20"/>
                <w:color w:val="auto"/>
              </w:rPr>
            </w:pPr>
            <w:r>
              <w:rPr>
                <w:rFonts w:ascii="Arial" w:cs="Arial" w:eastAsia="Arial" w:hAnsi="Arial"/>
                <w:sz w:val="18"/>
                <w:szCs w:val="18"/>
                <w:color w:val="auto"/>
              </w:rPr>
              <w:t>Expenses; Indemnity; Damage Waiver</w:t>
            </w:r>
          </w:p>
        </w:tc>
        <w:tc>
          <w:tcPr>
            <w:tcW w:w="2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10.05</w:t>
            </w:r>
          </w:p>
        </w:tc>
        <w:tc>
          <w:tcPr>
            <w:tcW w:w="7900" w:type="dxa"/>
            <w:vAlign w:val="bottom"/>
          </w:tcPr>
          <w:p>
            <w:pPr>
              <w:ind w:left="200"/>
              <w:spacing w:after="0"/>
              <w:rPr>
                <w:sz w:val="20"/>
                <w:szCs w:val="20"/>
                <w:color w:val="auto"/>
              </w:rPr>
            </w:pPr>
            <w:r>
              <w:rPr>
                <w:rFonts w:ascii="Arial" w:cs="Arial" w:eastAsia="Arial" w:hAnsi="Arial"/>
                <w:sz w:val="18"/>
                <w:szCs w:val="18"/>
                <w:color w:val="auto"/>
              </w:rPr>
              <w:t>Payments Set Aside</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10.06</w:t>
            </w:r>
          </w:p>
        </w:tc>
        <w:tc>
          <w:tcPr>
            <w:tcW w:w="790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5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10.07</w:t>
            </w:r>
          </w:p>
        </w:tc>
        <w:tc>
          <w:tcPr>
            <w:tcW w:w="7900" w:type="dxa"/>
            <w:vAlign w:val="bottom"/>
          </w:tcPr>
          <w:p>
            <w:pPr>
              <w:ind w:left="200"/>
              <w:spacing w:after="0"/>
              <w:rPr>
                <w:sz w:val="20"/>
                <w:szCs w:val="20"/>
                <w:color w:val="auto"/>
              </w:rPr>
            </w:pPr>
            <w:r>
              <w:rPr>
                <w:rFonts w:ascii="Arial" w:cs="Arial" w:eastAsia="Arial" w:hAnsi="Arial"/>
                <w:sz w:val="18"/>
                <w:szCs w:val="18"/>
                <w:color w:val="auto"/>
              </w:rPr>
              <w:t>Treatment of Certain Information; Confidentiality</w:t>
            </w:r>
          </w:p>
        </w:tc>
        <w:tc>
          <w:tcPr>
            <w:tcW w:w="25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10.08</w:t>
            </w:r>
          </w:p>
        </w:tc>
        <w:tc>
          <w:tcPr>
            <w:tcW w:w="7900" w:type="dxa"/>
            <w:vAlign w:val="bottom"/>
          </w:tcPr>
          <w:p>
            <w:pPr>
              <w:ind w:left="200"/>
              <w:spacing w:after="0"/>
              <w:rPr>
                <w:sz w:val="20"/>
                <w:szCs w:val="20"/>
                <w:color w:val="auto"/>
              </w:rPr>
            </w:pPr>
            <w:r>
              <w:rPr>
                <w:rFonts w:ascii="Arial" w:cs="Arial" w:eastAsia="Arial" w:hAnsi="Arial"/>
                <w:sz w:val="18"/>
                <w:szCs w:val="18"/>
                <w:color w:val="auto"/>
              </w:rPr>
              <w:t>Right of Setoff</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10.09</w:t>
            </w:r>
          </w:p>
        </w:tc>
        <w:tc>
          <w:tcPr>
            <w:tcW w:w="7900" w:type="dxa"/>
            <w:vAlign w:val="bottom"/>
          </w:tcPr>
          <w:p>
            <w:pPr>
              <w:ind w:left="200"/>
              <w:spacing w:after="0"/>
              <w:rPr>
                <w:sz w:val="20"/>
                <w:szCs w:val="20"/>
                <w:color w:val="auto"/>
              </w:rPr>
            </w:pPr>
            <w:r>
              <w:rPr>
                <w:rFonts w:ascii="Arial" w:cs="Arial" w:eastAsia="Arial" w:hAnsi="Arial"/>
                <w:sz w:val="18"/>
                <w:szCs w:val="18"/>
                <w:color w:val="auto"/>
              </w:rPr>
              <w:t>Interest Rate Limitation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10.10</w:t>
            </w:r>
          </w:p>
        </w:tc>
        <w:tc>
          <w:tcPr>
            <w:tcW w:w="7900" w:type="dxa"/>
            <w:vAlign w:val="bottom"/>
          </w:tcPr>
          <w:p>
            <w:pPr>
              <w:ind w:left="200"/>
              <w:spacing w:after="0"/>
              <w:rPr>
                <w:sz w:val="20"/>
                <w:szCs w:val="20"/>
                <w:color w:val="auto"/>
              </w:rPr>
            </w:pPr>
            <w:r>
              <w:rPr>
                <w:rFonts w:ascii="Arial" w:cs="Arial" w:eastAsia="Arial" w:hAnsi="Arial"/>
                <w:sz w:val="18"/>
                <w:szCs w:val="18"/>
                <w:color w:val="auto"/>
              </w:rPr>
              <w:t>Counterparts; Integration; Effectiveness</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10.11</w:t>
            </w:r>
          </w:p>
        </w:tc>
        <w:tc>
          <w:tcPr>
            <w:tcW w:w="7900" w:type="dxa"/>
            <w:vAlign w:val="bottom"/>
          </w:tcPr>
          <w:p>
            <w:pPr>
              <w:ind w:left="200"/>
              <w:spacing w:after="0"/>
              <w:rPr>
                <w:sz w:val="20"/>
                <w:szCs w:val="20"/>
                <w:color w:val="auto"/>
              </w:rPr>
            </w:pPr>
            <w:r>
              <w:rPr>
                <w:rFonts w:ascii="Arial" w:cs="Arial" w:eastAsia="Arial" w:hAnsi="Arial"/>
                <w:sz w:val="18"/>
                <w:szCs w:val="18"/>
                <w:color w:val="auto"/>
              </w:rPr>
              <w:t>Survival of Representations and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10.12</w:t>
            </w:r>
          </w:p>
        </w:tc>
        <w:tc>
          <w:tcPr>
            <w:tcW w:w="790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10.13</w:t>
            </w:r>
          </w:p>
        </w:tc>
        <w:tc>
          <w:tcPr>
            <w:tcW w:w="7900" w:type="dxa"/>
            <w:vAlign w:val="bottom"/>
          </w:tcPr>
          <w:p>
            <w:pPr>
              <w:ind w:left="200"/>
              <w:spacing w:after="0"/>
              <w:rPr>
                <w:sz w:val="20"/>
                <w:szCs w:val="20"/>
                <w:color w:val="auto"/>
              </w:rPr>
            </w:pPr>
            <w:r>
              <w:rPr>
                <w:rFonts w:ascii="Arial" w:cs="Arial" w:eastAsia="Arial" w:hAnsi="Arial"/>
                <w:sz w:val="18"/>
                <w:szCs w:val="18"/>
                <w:color w:val="auto"/>
              </w:rPr>
              <w:t>Replacement of Lenders</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10.14</w:t>
            </w:r>
          </w:p>
        </w:tc>
        <w:tc>
          <w:tcPr>
            <w:tcW w:w="7900" w:type="dxa"/>
            <w:vAlign w:val="bottom"/>
          </w:tcPr>
          <w:p>
            <w:pPr>
              <w:ind w:left="200"/>
              <w:spacing w:after="0"/>
              <w:rPr>
                <w:sz w:val="20"/>
                <w:szCs w:val="20"/>
                <w:color w:val="auto"/>
              </w:rPr>
            </w:pPr>
            <w:r>
              <w:rPr>
                <w:rFonts w:ascii="Arial" w:cs="Arial" w:eastAsia="Arial" w:hAnsi="Arial"/>
                <w:sz w:val="18"/>
                <w:szCs w:val="18"/>
                <w:color w:val="auto"/>
              </w:rPr>
              <w:t>Governing Law; Jurisdiction; Etc.</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10.15</w:t>
            </w:r>
          </w:p>
        </w:tc>
        <w:tc>
          <w:tcPr>
            <w:tcW w:w="7900" w:type="dxa"/>
            <w:vAlign w:val="bottom"/>
          </w:tcPr>
          <w:p>
            <w:pPr>
              <w:ind w:left="200"/>
              <w:spacing w:after="0"/>
              <w:rPr>
                <w:sz w:val="20"/>
                <w:szCs w:val="20"/>
                <w:color w:val="auto"/>
              </w:rPr>
            </w:pPr>
            <w:r>
              <w:rPr>
                <w:rFonts w:ascii="Arial" w:cs="Arial" w:eastAsia="Arial" w:hAnsi="Arial"/>
                <w:sz w:val="18"/>
                <w:szCs w:val="18"/>
                <w:color w:val="auto"/>
              </w:rPr>
              <w:t>Waiver of Jury Trial</w:t>
            </w:r>
          </w:p>
        </w:tc>
        <w:tc>
          <w:tcPr>
            <w:tcW w:w="2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10.16</w:t>
            </w:r>
          </w:p>
        </w:tc>
        <w:tc>
          <w:tcPr>
            <w:tcW w:w="7900" w:type="dxa"/>
            <w:vAlign w:val="bottom"/>
          </w:tcPr>
          <w:p>
            <w:pPr>
              <w:ind w:left="200"/>
              <w:spacing w:after="0"/>
              <w:rPr>
                <w:sz w:val="20"/>
                <w:szCs w:val="20"/>
                <w:color w:val="auto"/>
              </w:rPr>
            </w:pPr>
            <w:r>
              <w:rPr>
                <w:rFonts w:ascii="Arial" w:cs="Arial" w:eastAsia="Arial" w:hAnsi="Arial"/>
                <w:sz w:val="18"/>
                <w:szCs w:val="18"/>
                <w:color w:val="auto"/>
              </w:rPr>
              <w:t>No Advisory or Fiduciary Responsibility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10.17</w:t>
            </w:r>
          </w:p>
        </w:tc>
        <w:tc>
          <w:tcPr>
            <w:tcW w:w="7900" w:type="dxa"/>
            <w:vAlign w:val="bottom"/>
          </w:tcPr>
          <w:p>
            <w:pPr>
              <w:ind w:left="2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10.18</w:t>
            </w:r>
          </w:p>
        </w:tc>
        <w:tc>
          <w:tcPr>
            <w:tcW w:w="7900" w:type="dxa"/>
            <w:vAlign w:val="bottom"/>
          </w:tcPr>
          <w:p>
            <w:pPr>
              <w:ind w:left="200"/>
              <w:spacing w:after="0"/>
              <w:rPr>
                <w:sz w:val="20"/>
                <w:szCs w:val="20"/>
                <w:color w:val="auto"/>
              </w:rPr>
            </w:pPr>
            <w:r>
              <w:rPr>
                <w:rFonts w:ascii="Arial" w:cs="Arial" w:eastAsia="Arial" w:hAnsi="Arial"/>
                <w:sz w:val="18"/>
                <w:szCs w:val="18"/>
                <w:color w:val="auto"/>
              </w:rPr>
              <w:t>USA PATRIOT Act Notice</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960" w:type="dxa"/>
            <w:vAlign w:val="bottom"/>
          </w:tcPr>
          <w:p>
            <w:pPr>
              <w:ind w:left="360"/>
              <w:spacing w:after="0"/>
              <w:rPr>
                <w:sz w:val="20"/>
                <w:szCs w:val="20"/>
                <w:color w:val="auto"/>
              </w:rPr>
            </w:pPr>
            <w:r>
              <w:rPr>
                <w:rFonts w:ascii="Arial" w:cs="Arial" w:eastAsia="Arial" w:hAnsi="Arial"/>
                <w:sz w:val="18"/>
                <w:szCs w:val="18"/>
                <w:color w:val="auto"/>
              </w:rPr>
              <w:t>10.19</w:t>
            </w:r>
          </w:p>
        </w:tc>
        <w:tc>
          <w:tcPr>
            <w:tcW w:w="7900" w:type="dxa"/>
            <w:vAlign w:val="bottom"/>
          </w:tcPr>
          <w:p>
            <w:pPr>
              <w:ind w:left="200"/>
              <w:spacing w:after="0"/>
              <w:rPr>
                <w:sz w:val="20"/>
                <w:szCs w:val="20"/>
                <w:color w:val="auto"/>
              </w:rPr>
            </w:pPr>
            <w:r>
              <w:rPr>
                <w:rFonts w:ascii="Arial" w:cs="Arial" w:eastAsia="Arial" w:hAnsi="Arial"/>
                <w:sz w:val="18"/>
                <w:szCs w:val="18"/>
                <w:color w:val="auto"/>
              </w:rPr>
              <w:t>Time of the Essence</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10.20</w:t>
            </w:r>
          </w:p>
        </w:tc>
        <w:tc>
          <w:tcPr>
            <w:tcW w:w="7900" w:type="dxa"/>
            <w:vAlign w:val="bottom"/>
          </w:tcPr>
          <w:p>
            <w:pPr>
              <w:ind w:left="200"/>
              <w:spacing w:after="0"/>
              <w:rPr>
                <w:sz w:val="20"/>
                <w:szCs w:val="20"/>
                <w:color w:val="auto"/>
              </w:rPr>
            </w:pPr>
            <w:r>
              <w:rPr>
                <w:rFonts w:ascii="Arial" w:cs="Arial" w:eastAsia="Arial" w:hAnsi="Arial"/>
                <w:sz w:val="18"/>
                <w:szCs w:val="18"/>
                <w:color w:val="auto"/>
              </w:rPr>
              <w:t>Judgment Currency</w:t>
            </w:r>
          </w:p>
        </w:tc>
        <w:tc>
          <w:tcPr>
            <w:tcW w:w="256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SCHEDULES</w:t>
            </w:r>
          </w:p>
        </w:tc>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438"/>
        </w:trPr>
        <w:tc>
          <w:tcPr>
            <w:tcW w:w="1120" w:type="dxa"/>
            <w:vAlign w:val="bottom"/>
            <w:gridSpan w:val="2"/>
          </w:tcPr>
          <w:p>
            <w:pPr>
              <w:spacing w:after="0"/>
              <w:rPr>
                <w:sz w:val="20"/>
                <w:szCs w:val="20"/>
                <w:color w:val="auto"/>
              </w:rPr>
            </w:pPr>
            <w:r>
              <w:rPr>
                <w:rFonts w:ascii="Arial" w:cs="Arial" w:eastAsia="Arial" w:hAnsi="Arial"/>
                <w:sz w:val="18"/>
                <w:szCs w:val="18"/>
                <w:color w:val="auto"/>
              </w:rPr>
              <w:t>1.01(E)</w:t>
            </w:r>
          </w:p>
        </w:tc>
        <w:tc>
          <w:tcPr>
            <w:tcW w:w="4440" w:type="dxa"/>
            <w:vAlign w:val="bottom"/>
          </w:tcPr>
          <w:p>
            <w:pPr>
              <w:spacing w:after="0"/>
              <w:rPr>
                <w:sz w:val="20"/>
                <w:szCs w:val="20"/>
                <w:color w:val="auto"/>
              </w:rPr>
            </w:pPr>
            <w:r>
              <w:rPr>
                <w:rFonts w:ascii="Arial" w:cs="Arial" w:eastAsia="Arial" w:hAnsi="Arial"/>
                <w:sz w:val="18"/>
                <w:szCs w:val="18"/>
                <w:color w:val="auto"/>
              </w:rPr>
              <w:t>Existing Letters of Credit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1.01(M)</w:t>
            </w:r>
          </w:p>
        </w:tc>
        <w:tc>
          <w:tcPr>
            <w:tcW w:w="4440" w:type="dxa"/>
            <w:vAlign w:val="bottom"/>
          </w:tcPr>
          <w:p>
            <w:pPr>
              <w:spacing w:after="0"/>
              <w:rPr>
                <w:sz w:val="20"/>
                <w:szCs w:val="20"/>
                <w:color w:val="auto"/>
              </w:rPr>
            </w:pPr>
            <w:r>
              <w:rPr>
                <w:rFonts w:ascii="Arial" w:cs="Arial" w:eastAsia="Arial" w:hAnsi="Arial"/>
                <w:sz w:val="18"/>
                <w:szCs w:val="18"/>
                <w:color w:val="auto"/>
              </w:rPr>
              <w:t>Mandatory Cost Formulae</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Commitments and Applicable Percentages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Litigation</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Environmental Matters</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5.12(d)</w:t>
            </w:r>
          </w:p>
        </w:tc>
        <w:tc>
          <w:tcPr>
            <w:tcW w:w="4440" w:type="dxa"/>
            <w:vAlign w:val="bottom"/>
          </w:tcPr>
          <w:p>
            <w:pPr>
              <w:spacing w:after="0"/>
              <w:rPr>
                <w:sz w:val="20"/>
                <w:szCs w:val="20"/>
                <w:color w:val="auto"/>
              </w:rPr>
            </w:pPr>
            <w:r>
              <w:rPr>
                <w:rFonts w:ascii="Arial" w:cs="Arial" w:eastAsia="Arial" w:hAnsi="Arial"/>
                <w:sz w:val="18"/>
                <w:szCs w:val="18"/>
                <w:color w:val="auto"/>
              </w:rPr>
              <w:t>Pension Plans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Subsidiaries and Other Equity Investments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Existing Liens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Existing Indebtedness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Administrative Agent’s Office, Certain Addresses for Notices</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Processing and Recordation Fees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w:t>
      </w:r>
      <w:r>
        <w:rPr>
          <w:rFonts w:ascii="Arial" w:cs="Arial" w:eastAsia="Arial" w:hAnsi="Arial"/>
          <w:sz w:val="18"/>
          <w:szCs w:val="18"/>
          <w:color w:val="auto"/>
        </w:rPr>
        <w:t>:</w:t>
      </w:r>
    </w:p>
    <w:p>
      <w:pPr>
        <w:spacing w:after="0" w:line="225" w:lineRule="exact"/>
        <w:rPr>
          <w:sz w:val="20"/>
          <w:szCs w:val="20"/>
          <w:color w:val="auto"/>
        </w:rPr>
      </w:pPr>
    </w:p>
    <w:p>
      <w:pPr>
        <w:ind w:left="1080" w:hanging="107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sz w:val="20"/>
          <w:szCs w:val="20"/>
          <w:color w:val="auto"/>
        </w:rPr>
      </w:pPr>
    </w:p>
    <w:p>
      <w:pPr>
        <w:ind w:left="1080" w:hanging="107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Second Amended and Restated Revolving Credit Loan Note</w:t>
      </w:r>
    </w:p>
    <w:p>
      <w:pPr>
        <w:spacing w:after="0" w:line="9" w:lineRule="exact"/>
        <w:rPr>
          <w:sz w:val="20"/>
          <w:szCs w:val="20"/>
          <w:color w:val="auto"/>
        </w:rPr>
      </w:pPr>
    </w:p>
    <w:p>
      <w:pPr>
        <w:ind w:left="1080" w:hanging="107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080" w:hanging="107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1080" w:hanging="107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Certificate</w:t>
      </w:r>
    </w:p>
    <w:p>
      <w:pPr>
        <w:spacing w:after="0" w:line="9" w:lineRule="exact"/>
        <w:rPr>
          <w:sz w:val="20"/>
          <w:szCs w:val="20"/>
          <w:color w:val="auto"/>
        </w:rPr>
      </w:pPr>
    </w:p>
    <w:p>
      <w:pPr>
        <w:ind w:left="1080" w:hanging="107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of U.S. Tax Compliance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AMENDED AND RESTATED CREDIT AGREEMENT</w:t>
      </w:r>
    </w:p>
    <w:p>
      <w:pPr>
        <w:sectPr>
          <w:pgSz w:w="11900" w:h="16838" w:orient="portrait"/>
          <w:cols w:equalWidth="0" w:num="1">
            <w:col w:w="11420"/>
          </w:cols>
          <w:pgMar w:left="240" w:top="125" w:right="239" w:bottom="0" w:gutter="0" w:footer="0" w:header="0"/>
        </w:sectPr>
      </w:pPr>
    </w:p>
    <w:bookmarkStart w:id="29" w:name="page30"/>
    <w:bookmarkEnd w:id="29"/>
    <w:p>
      <w:pPr>
        <w:ind w:right="700" w:firstLine="648"/>
        <w:spacing w:after="0" w:line="363" w:lineRule="auto"/>
        <w:rPr>
          <w:sz w:val="20"/>
          <w:szCs w:val="20"/>
          <w:color w:val="auto"/>
        </w:rPr>
      </w:pPr>
      <w:r>
        <w:rPr>
          <w:rFonts w:ascii="Arial" w:cs="Arial" w:eastAsia="Arial" w:hAnsi="Arial"/>
          <w:sz w:val="16"/>
          <w:szCs w:val="16"/>
          <w:b w:val="1"/>
          <w:bCs w:val="1"/>
          <w:color w:val="auto"/>
        </w:rPr>
        <w:t xml:space="preserve">THIS THIRD AMENDED AND RESTATED CREDIT AGREEMENT </w:t>
      </w:r>
      <w:r>
        <w:rPr>
          <w:rFonts w:ascii="Arial" w:cs="Arial" w:eastAsia="Arial" w:hAnsi="Arial"/>
          <w:sz w:val="16"/>
          <w:szCs w:val="16"/>
          <w:color w:val="auto"/>
        </w:rPr>
        <w:t>(hereinafter, as it may be from time to time amended, modified,</w:t>
      </w:r>
      <w:r>
        <w:rPr>
          <w:rFonts w:ascii="Arial" w:cs="Arial" w:eastAsia="Arial" w:hAnsi="Arial"/>
          <w:sz w:val="16"/>
          <w:szCs w:val="16"/>
          <w:b w:val="1"/>
          <w:bCs w:val="1"/>
          <w:color w:val="auto"/>
        </w:rPr>
        <w:t xml:space="preserve"> </w:t>
      </w:r>
      <w:r>
        <w:rPr>
          <w:rFonts w:ascii="Arial" w:cs="Arial" w:eastAsia="Arial" w:hAnsi="Arial"/>
          <w:sz w:val="16"/>
          <w:szCs w:val="16"/>
          <w:color w:val="auto"/>
        </w:rPr>
        <w:t>extended, renewed, substituted, and/or supplemented, referred to as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this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of December, 2011 by and among</w:t>
      </w:r>
    </w:p>
    <w:p>
      <w:pPr>
        <w:spacing w:after="0" w:line="22" w:lineRule="exact"/>
        <w:rPr>
          <w:sz w:val="20"/>
          <w:szCs w:val="20"/>
          <w:color w:val="auto"/>
        </w:rPr>
      </w:pPr>
    </w:p>
    <w:p>
      <w:pPr>
        <w:ind w:right="200" w:firstLine="648"/>
        <w:spacing w:after="0" w:line="313" w:lineRule="auto"/>
        <w:rPr>
          <w:sz w:val="20"/>
          <w:szCs w:val="20"/>
          <w:color w:val="auto"/>
        </w:rPr>
      </w:pPr>
      <w:r>
        <w:rPr>
          <w:rFonts w:ascii="Arial" w:cs="Arial" w:eastAsia="Arial" w:hAnsi="Arial"/>
          <w:sz w:val="17"/>
          <w:szCs w:val="17"/>
          <w:b w:val="1"/>
          <w:bCs w:val="1"/>
          <w:color w:val="auto"/>
        </w:rPr>
        <w:t>MISTRAS GROUP, INC.</w:t>
      </w:r>
      <w:r>
        <w:rPr>
          <w:rFonts w:ascii="Arial" w:cs="Arial" w:eastAsia="Arial" w:hAnsi="Arial"/>
          <w:sz w:val="17"/>
          <w:szCs w:val="17"/>
          <w:color w:val="auto"/>
        </w:rPr>
        <w:t>, a corporation duly organized, validly existing and in good standing under the laws of the State of Delaware, having its</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office located at 195 Clarksville Road, Princeton Junction, New Jersey 08550 (hereinafter referred to as the “</w:t>
      </w: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duly organized and validly existing under the laws of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an office located at 750 Walnut Avenue, Cranford, New Jersey 07016, in its capacity as a lender and as the issuer of letters of credit hereunder (hereinafter referred to as “</w:t>
      </w:r>
      <w:r>
        <w:rPr>
          <w:rFonts w:ascii="Arial" w:cs="Arial" w:eastAsia="Arial" w:hAnsi="Arial"/>
          <w:sz w:val="18"/>
          <w:szCs w:val="18"/>
          <w:u w:val="single" w:color="auto"/>
          <w:color w:val="auto"/>
        </w:rPr>
        <w:t>Bank of America</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 national banking association duly organized and validly existing under the laws of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having an office located at 695 Route 46 West, Suite 101, Fairfield, New Jersey 07004, in its capacity as a lender hereunder (hereinafter referred to as “</w:t>
      </w:r>
      <w:r>
        <w:rPr>
          <w:rFonts w:ascii="Arial" w:cs="Arial" w:eastAsia="Arial" w:hAnsi="Arial"/>
          <w:sz w:val="18"/>
          <w:szCs w:val="18"/>
          <w:u w:val="single" w:color="auto"/>
          <w:color w:val="auto"/>
        </w:rPr>
        <w:t>JPMorgan</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OTHER FINANCIAL INSTITUTIONS</w:t>
      </w:r>
      <w:r>
        <w:rPr>
          <w:rFonts w:ascii="Arial" w:cs="Arial" w:eastAsia="Arial" w:hAnsi="Arial"/>
          <w:sz w:val="18"/>
          <w:szCs w:val="18"/>
          <w:color w:val="auto"/>
        </w:rPr>
        <w:t>, that are either signatories to this Loan Agreement or who from time to time may hereafter become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under this Agreement (hereinafter together with Bank of America and JPMorgan, collectively referred to as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referred to as a “</w:t>
      </w:r>
      <w:r>
        <w:rPr>
          <w:rFonts w:ascii="Arial" w:cs="Arial" w:eastAsia="Arial" w:hAnsi="Arial"/>
          <w:sz w:val="18"/>
          <w:szCs w:val="18"/>
          <w:u w:val="single" w:color="auto"/>
          <w:color w:val="auto"/>
        </w:rPr>
        <w:t>Lender</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duly organized and validly existing under the laws of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having an office located at 750 Walnut Avenue, Cranford, New Jersey 07016, in its capacity as the administrative agent for the Lenders hereunder (hereinafter referred to as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as said definition is more fully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a certain Second Amended and Restated Credit Agreement dated July 22, 2009 (hereinafter, as amended and/or modified,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referred to as the “</w:t>
      </w:r>
      <w:r>
        <w:rPr>
          <w:rFonts w:ascii="Arial" w:cs="Arial" w:eastAsia="Arial" w:hAnsi="Arial"/>
          <w:sz w:val="16"/>
          <w:szCs w:val="16"/>
          <w:u w:val="single" w:color="auto"/>
          <w:color w:val="auto"/>
        </w:rPr>
        <w:t>Original Credit Agreement</w:t>
      </w:r>
      <w:r>
        <w:rPr>
          <w:rFonts w:ascii="Arial" w:cs="Arial" w:eastAsia="Arial" w:hAnsi="Arial"/>
          <w:sz w:val="16"/>
          <w:szCs w:val="16"/>
          <w:color w:val="auto"/>
        </w:rPr>
        <w:t>”), executed by and among the Borrower, Bank of America, JPMorgan, certain other Lenders signatory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Administrative Agent, the “Lenders” (as such term is defined in the Original Credit Agreement) agreed to make available to the Borrower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following credit facilities (hereinafter, as amended and/or modified, collectively referred to as the “</w:t>
      </w:r>
      <w:r>
        <w:rPr>
          <w:rFonts w:ascii="Arial" w:cs="Arial" w:eastAsia="Arial" w:hAnsi="Arial"/>
          <w:sz w:val="17"/>
          <w:szCs w:val="17"/>
          <w:u w:val="single" w:color="auto"/>
          <w:color w:val="auto"/>
        </w:rPr>
        <w:t>Original Credit Facilities</w:t>
      </w:r>
      <w:r>
        <w:rPr>
          <w:rFonts w:ascii="Arial" w:cs="Arial" w:eastAsia="Arial" w:hAnsi="Arial"/>
          <w:sz w:val="17"/>
          <w:szCs w:val="17"/>
          <w:color w:val="auto"/>
        </w:rPr>
        <w:t>”): (i) a three (3) year senior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secured amended and restated revolving credit facility in the aggregate maximum principal amount of up to US$53,000,000.00, which facility included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US$3,000,000.00 letter of credit sub-facility for the issuance of standby letters of credit and/or commercial letters of credit, denominated in U.S. dollars </w:t>
      </w:r>
      <w:r>
        <w:rPr>
          <w:rFonts w:ascii="Arial" w:cs="Arial" w:eastAsia="Arial" w:hAnsi="Arial"/>
          <w:sz w:val="16"/>
          <w:szCs w:val="16"/>
          <w:u w:val="single" w:color="auto"/>
          <w:color w:val="auto"/>
        </w:rPr>
        <w:t>only</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working capital and other lawful corporate purposes; (ii) a three (3) year senior secured amended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restated term loan facility in the original principal amount of US$25,000,000.00 for the purposes of: (a) refinancing the Borrower’s existing senior credit facility with Bank of America and JPMorgan; (b) financing the settlement of certain litigation filed in California against Conam Inspection &amp; Engineering Services, Inc.; and (c) financing a portion of the costs associated with the Borrower’s acquisitions of (1) Impro Technologies, LP, (2) Arminus, Inc., d/b/a Pacific Technical Services, and (3) Space Science Services, Inc.; and (iii) a three (3) year senior secured revolving credit facility in the aggregate maximum principal amount of up to US$2,000,000.00, to be made available for working capital and other lawful corporate purposes which require funding in Canadian dollars; and</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Original Credit Facilities are evidenced by the following promissory notes (hereinafter, as amended and/or modified,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as the “</w:t>
      </w:r>
      <w:r>
        <w:rPr>
          <w:rFonts w:ascii="Arial" w:cs="Arial" w:eastAsia="Arial" w:hAnsi="Arial"/>
          <w:sz w:val="16"/>
          <w:szCs w:val="16"/>
          <w:u w:val="single" w:color="auto"/>
          <w:color w:val="auto"/>
        </w:rPr>
        <w:t>Original Notes</w:t>
      </w:r>
      <w:r>
        <w:rPr>
          <w:rFonts w:ascii="Arial" w:cs="Arial" w:eastAsia="Arial" w:hAnsi="Arial"/>
          <w:sz w:val="16"/>
          <w:szCs w:val="16"/>
          <w:color w:val="auto"/>
        </w:rPr>
        <w:t>”): (i) that certain First Amended and Restated Revolving Credit Loan Note #1, dated July 22, 2009, executed by the Borrower, as the maker, in favor of Bank of America, as the payee, in the maximum principal amount of up to US$15,628,205.13; (ii) that certain First Amended and Restated Term Loan Note #1, dated July 22, 2009, executed by the Borrower, as the maker, in favor of Bank of America, as the payee, in the original principal amount of US$7,371,794.87; (iii) that certain First Amended and Restated Revolving Credit Loan Note #2, dated July 22, 2009, executed by the Borrower, as the maker, in favor of JPMorgan, as the payee, n the maximum principal amount of up to US$16,987,179.49; (iv) that certain First Amended and Restated Term Loan Note #2, dated July 22, 2009, executed by the Borrower, as the maker, in favor of JPMorgan, as the payee, in the original principal amount of US$8,012,820.51; (v) that certain First Amended and Restated Revolving Credit Loan Note #3, dated July 22, 2009, executed by the Borrower, as the maker, in favor of TD Bank, N.A., as the payee, in the maximum principal amount of up to US$10,192,307.69; (vi) that certain First Amended and Restated Term Loan Note #3, dated July 22, 2009, executed by the Borrower, as the maker, in favor of TD Bank, N.A., as the payee, in the original principal amount of US$4,807,692.31; (vii) that certain First Amended and Restated Revolving Credit Loan Note #4, dated July 22, 2009, executed by the Borrower, as the maker, in favor of Capital One, N.A., as the payee, in the maximum principal amount of up to US$10,192,307.69; (viii) that certain First Amended and Restated Term Loan Note #4, dated July 22, 2009, executed by the Borrower, as the maker, in favor of Capital One, N.A., as the payee, in the original principal amount of US$4,807,692.31; and (ix) that certain Canadian Dollar Revolving Credit Loan Note, dated July 22, 2009, executed by the Borrower, as the maker, in favor of Bank of America., as the payee, in the maximum principal amount of up to US$2,000,000.00; and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has requested that the Lenders amend and restate the terms, conditions, and provisions of the Original Credit Agreement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all of the loan documentation associated therewith for the purpose of amending, modifying, extending and restating the Original Credit Facilities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terms, conditions and provisions thereof in order to provide for, </w:t>
      </w:r>
      <w:r>
        <w:rPr>
          <w:rFonts w:ascii="Arial" w:cs="Arial" w:eastAsia="Arial" w:hAnsi="Arial"/>
          <w:sz w:val="16"/>
          <w:szCs w:val="16"/>
          <w:i w:val="1"/>
          <w:iCs w:val="1"/>
          <w:color w:val="auto"/>
        </w:rPr>
        <w:t>inter alia</w:t>
      </w:r>
      <w:r>
        <w:rPr>
          <w:rFonts w:ascii="Arial" w:cs="Arial" w:eastAsia="Arial" w:hAnsi="Arial"/>
          <w:sz w:val="16"/>
          <w:szCs w:val="16"/>
          <w:color w:val="auto"/>
        </w:rPr>
        <w:t>, a five (5) year senior secured amended and restated revolving credit facility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maximum principal amount of up to US$125,000,000.00, such aggregate maximum principal amount increasing up to US$150,000,000.00 upon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Borrower’s satisfaction of certain conditions precedent described more fully in this Agreement (hereinafter, as it may be from time to time amended,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modified, extended, renewed, substituted, and/or supplemented, referred to as the “</w:t>
      </w:r>
      <w:r>
        <w:rPr>
          <w:rFonts w:ascii="Arial" w:cs="Arial" w:eastAsia="Arial" w:hAnsi="Arial"/>
          <w:sz w:val="18"/>
          <w:szCs w:val="18"/>
          <w:u w:val="single" w:color="auto"/>
          <w:color w:val="auto"/>
        </w:rPr>
        <w:t>Credit Facility</w:t>
      </w:r>
      <w:r>
        <w:rPr>
          <w:rFonts w:ascii="Arial" w:cs="Arial" w:eastAsia="Arial" w:hAnsi="Arial"/>
          <w:sz w:val="18"/>
          <w:szCs w:val="18"/>
          <w:color w:val="auto"/>
        </w:rPr>
        <w:t>”), which Credit Facility (a) includes (i)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US$10,000,000.00 sublimit for the issuance of standby and commercial letters of credit and (ii) a US$30,000,000.00 sublimit for multicurrency borrowings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readily available and freely transferable and convertible currencies, including, but not limited to, Euros, Pounds Sterling, Canadian Dollars, and Japanese Yen,</w:t>
      </w:r>
    </w:p>
    <w:p>
      <w:pPr>
        <w:sectPr>
          <w:pgSz w:w="11900" w:h="16838" w:orient="portrait"/>
          <w:cols w:equalWidth="0" w:num="1">
            <w:col w:w="11420"/>
          </w:cols>
          <w:pgMar w:left="240" w:top="121" w:right="239" w:bottom="0" w:gutter="0" w:footer="0" w:header="0"/>
        </w:sectPr>
      </w:pPr>
    </w:p>
    <w:bookmarkStart w:id="30" w:name="page31"/>
    <w:bookmarkEnd w:id="30"/>
    <w:p>
      <w:pPr>
        <w:ind w:right="120" w:firstLine="8"/>
        <w:spacing w:after="0" w:line="277"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made available to the Borrower for working capital and other lawful corporate purposes set forth and described herein, and (c) is made available in full substitution and replacement for the Original Credit Facility; and</w:t>
      </w:r>
    </w:p>
    <w:p>
      <w:pPr>
        <w:spacing w:after="0" w:line="166"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have agreed to make the Credit Facility available to the Borrower, subject to the terms, conditions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set forth;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Borrower, the Administrative Agent and the Lenders anticipate and contemplate that the Lenders may sell, assign and transfer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times after the date hereof, a portion of their respective interests in the Credit Facility to other financial institutions described in the definition of “Eligible Assignee”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of this Agreement, and said additional lenders shall hereinafter be a part of and constitute a member of the Lenders; and</w:t>
      </w:r>
    </w:p>
    <w:p>
      <w:pPr>
        <w:spacing w:after="0" w:line="14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and the Borrower have requested that the Administrative Agent act as administrative and collateral agent for the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Credit Facility, and the Administrative Agent has agreed to accept such responsibilities and duties, subject to the terms, conditions and provisions hereinafter set forth.</w:t>
      </w:r>
    </w:p>
    <w:p>
      <w:pPr>
        <w:spacing w:after="0" w:line="176"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these premises and the mutual representations, covenants and agreements of the Borrower,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the Administrative Agent, each party binding itself and its respective successors and assigns, hereby promises, covenants and agrees to amend, modify and restate the Original Credit Agreement with all of the terms, conditions and provisions set forth hereinbelow and </w:t>
      </w:r>
      <w:r>
        <w:rPr>
          <w:rFonts w:ascii="Arial" w:cs="Arial" w:eastAsia="Arial" w:hAnsi="Arial"/>
          <w:sz w:val="17"/>
          <w:szCs w:val="17"/>
          <w:u w:val="single" w:color="auto"/>
          <w:color w:val="auto"/>
        </w:rPr>
        <w:t>all of the terms, conditions and provisions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the Original Credit Agreement are hereby deemed superseded, substituted and replaced by the following</w:t>
      </w:r>
      <w:r>
        <w:rPr>
          <w:rFonts w:ascii="Arial" w:cs="Arial" w:eastAsia="Arial" w:hAnsi="Arial"/>
          <w:sz w:val="17"/>
          <w:szCs w:val="17"/>
          <w:color w:val="auto"/>
        </w:rPr>
        <w: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0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 Back Amounts</w:t>
      </w:r>
      <w:r>
        <w:rPr>
          <w:rFonts w:ascii="Arial" w:cs="Arial" w:eastAsia="Arial" w:hAnsi="Arial"/>
          <w:sz w:val="17"/>
          <w:szCs w:val="17"/>
          <w:color w:val="auto"/>
        </w:rPr>
        <w:t>” means, for the purposes of calculating EBITDA, to the extent that the Borrower or one of its Subsidiaries acquires a Person in accordance with the terms, conditions, and provisions of this Agreement, an amount to be included by the Administrative Agent in such calculation of EBITDA, determined as follows: (a) for the first quarterly test date following such acquisition, 100% of the TTM EBITDA with respect to such acquired Person; (b) for the second quarterly test date following such acquisition, 75% of the TTM EBITDA with respect to such acquired Person; (c) for the third quarterly test date following such acquisition, 50% of the TTM EBITDA with respect to such acquired Person; and (d) for the fourth quarterly test date following such acquisition, -0-% of the TTM EBITDA with respect to such acquired Person.</w:t>
      </w:r>
    </w:p>
    <w:p>
      <w:pPr>
        <w:spacing w:after="0" w:line="17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or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N.A., in its capacity as Administrative Agent under any of the Loan Documents, or any successor Administrative Agent.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 Fee Letter</w:t>
      </w:r>
      <w:r>
        <w:rPr>
          <w:rFonts w:ascii="Arial" w:cs="Arial" w:eastAsia="Arial" w:hAnsi="Arial"/>
          <w:sz w:val="18"/>
          <w:szCs w:val="18"/>
          <w:color w:val="auto"/>
        </w:rPr>
        <w:t>” means a reference to that certain letter agreement dated December 2, 2011, by and among the Borrower and the Lead Arranger.</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attached hereto and made a part hereof with respect to such currency, or such other address or account with respect to such currency as Administrative Agent may from time to time notify Borrower and Lenders.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Administrative Agent.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Person specified.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and ascribed to such term as set forth in the preamble to this Agreement.</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xml:space="preserve">” means each of Euro, Sterling, Yen, Canadian Dollars and each other currency (other than Dollars) that is approved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7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6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an amount equal to the lesser of the Aggregate Commitments and US$30,000,000.00. The Alternative Currency Sublimit is part of, and not in addition to, the Aggregate Commitments.</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If the commitment of each Lender to make Committed Loans and the obligation of the L/C Issuer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Aggregate Commitments have expired, then the Applicable Percentage of each Lender with respect to the Committed Loans shall be determined based on the Applicable Percentage of such Lender most recently in effect, giving effect to any subsequent assignments. The initial Applicable Percentage of each Lender</w:t>
      </w:r>
    </w:p>
    <w:p>
      <w:pPr>
        <w:sectPr>
          <w:pgSz w:w="11900" w:h="16838" w:orient="portrait"/>
          <w:cols w:equalWidth="0" w:num="1">
            <w:col w:w="11420"/>
          </w:cols>
          <w:pgMar w:left="240" w:top="125" w:right="239" w:bottom="0" w:gutter="0" w:footer="0" w:header="0"/>
        </w:sectPr>
      </w:pPr>
    </w:p>
    <w:bookmarkStart w:id="31" w:name="page32"/>
    <w:bookmarkEnd w:id="31"/>
    <w:p>
      <w:pPr>
        <w:ind w:right="100"/>
        <w:spacing w:after="0" w:line="277" w:lineRule="auto"/>
        <w:rPr>
          <w:sz w:val="20"/>
          <w:szCs w:val="20"/>
          <w:color w:val="auto"/>
        </w:rPr>
      </w:pPr>
      <w:r>
        <w:rPr>
          <w:rFonts w:ascii="Arial" w:cs="Arial" w:eastAsia="Arial" w:hAnsi="Arial"/>
          <w:sz w:val="18"/>
          <w:szCs w:val="18"/>
          <w:color w:val="auto"/>
        </w:rPr>
        <w:t xml:space="preserve">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from time to time, the following percentages per annum, based upon the Funded Debt Leverage Ratio, as set forth in the most recent Compliance Certificate received by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Pricing</w:t>
            </w:r>
          </w:p>
        </w:tc>
        <w:tc>
          <w:tcPr>
            <w:tcW w:w="270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3"/>
              </w:rPr>
              <w:t>Funded Debt</w:t>
            </w:r>
          </w:p>
        </w:tc>
        <w:tc>
          <w:tcPr>
            <w:tcW w:w="1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LIBOR</w:t>
            </w:r>
          </w:p>
        </w:tc>
        <w:tc>
          <w:tcPr>
            <w:tcW w:w="1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Base Rate</w:t>
            </w: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Commitment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SBLC Fee/</w:t>
            </w:r>
          </w:p>
        </w:tc>
        <w:tc>
          <w:tcPr>
            <w:tcW w:w="0" w:type="dxa"/>
            <w:vAlign w:val="bottom"/>
          </w:tcPr>
          <w:p>
            <w:pPr>
              <w:spacing w:after="0"/>
              <w:rPr>
                <w:sz w:val="1"/>
                <w:szCs w:val="1"/>
                <w:color w:val="auto"/>
              </w:rPr>
            </w:pPr>
          </w:p>
        </w:tc>
      </w:tr>
      <w:tr>
        <w:trPr>
          <w:trHeight w:val="149"/>
        </w:trPr>
        <w:tc>
          <w:tcPr>
            <w:tcW w:w="1380" w:type="dxa"/>
            <w:vAlign w:val="bottom"/>
            <w:gridSpan w:val="3"/>
            <w:vMerge w:val="continue"/>
          </w:tcPr>
          <w:p>
            <w:pPr>
              <w:spacing w:after="0"/>
              <w:rPr>
                <w:sz w:val="12"/>
                <w:szCs w:val="12"/>
                <w:color w:val="auto"/>
              </w:rPr>
            </w:pPr>
          </w:p>
        </w:tc>
        <w:tc>
          <w:tcPr>
            <w:tcW w:w="2700" w:type="dxa"/>
            <w:vAlign w:val="bottom"/>
            <w:gridSpan w:val="6"/>
            <w:vMerge w:val="continue"/>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Comm’l L/C</w:t>
            </w:r>
          </w:p>
        </w:tc>
        <w:tc>
          <w:tcPr>
            <w:tcW w:w="0" w:type="dxa"/>
            <w:vAlign w:val="bottom"/>
          </w:tcPr>
          <w:p>
            <w:pPr>
              <w:spacing w:after="0"/>
              <w:rPr>
                <w:sz w:val="1"/>
                <w:szCs w:val="1"/>
                <w:color w:val="auto"/>
              </w:rPr>
            </w:pPr>
          </w:p>
        </w:tc>
      </w:tr>
      <w:tr>
        <w:trPr>
          <w:trHeight w:val="17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27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Leverage Ratio</w:t>
            </w:r>
          </w:p>
        </w:tc>
        <w:tc>
          <w:tcPr>
            <w:tcW w:w="1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Margin</w:t>
            </w:r>
          </w:p>
        </w:tc>
        <w:tc>
          <w:tcPr>
            <w:tcW w:w="1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Margin</w:t>
            </w:r>
          </w:p>
        </w:tc>
        <w:tc>
          <w:tcPr>
            <w:tcW w:w="1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Fee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0"/>
              </w:rPr>
              <w:t>Fee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shd w:val="clear" w:color="auto" w:fill="CCEEFF"/>
          </w:tcPr>
          <w:p>
            <w:pPr>
              <w:jc w:val="right"/>
              <w:ind w:right="430"/>
              <w:spacing w:after="0" w:line="170"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gridSpan w:val="4"/>
            <w:shd w:val="clear" w:color="auto" w:fill="CCEEFF"/>
          </w:tcPr>
          <w:p>
            <w:pPr>
              <w:jc w:val="center"/>
              <w:ind w:right="940"/>
              <w:spacing w:after="0" w:line="170" w:lineRule="exact"/>
              <w:rPr>
                <w:sz w:val="20"/>
                <w:szCs w:val="20"/>
                <w:color w:val="auto"/>
              </w:rPr>
            </w:pPr>
            <w:r>
              <w:rPr>
                <w:rFonts w:ascii="Arial" w:cs="Arial" w:eastAsia="Arial" w:hAnsi="Arial"/>
                <w:sz w:val="18"/>
                <w:szCs w:val="18"/>
                <w:color w:val="auto"/>
                <w:w w:val="91"/>
              </w:rPr>
              <w:t>&lt; 0.50:1</w:t>
            </w:r>
          </w:p>
        </w:tc>
        <w:tc>
          <w:tcPr>
            <w:tcW w:w="2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8"/>
              </w:rPr>
              <w:t>100.0 bps</w:t>
            </w:r>
          </w:p>
        </w:tc>
        <w:tc>
          <w:tcPr>
            <w:tcW w:w="22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-125.0 bps</w:t>
            </w:r>
          </w:p>
        </w:tc>
        <w:tc>
          <w:tcPr>
            <w:tcW w:w="2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9"/>
              </w:rPr>
              <w:t>20.0 bps</w:t>
            </w:r>
          </w:p>
        </w:tc>
        <w:tc>
          <w:tcPr>
            <w:tcW w:w="2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8"/>
              </w:rPr>
              <w:t>100.0 bps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5"/>
                <w:szCs w:val="15"/>
                <w:color w:val="auto"/>
              </w:rPr>
            </w:pPr>
          </w:p>
        </w:tc>
        <w:tc>
          <w:tcPr>
            <w:tcW w:w="2700" w:type="dxa"/>
            <w:vAlign w:val="bottom"/>
            <w:gridSpan w:val="6"/>
          </w:tcPr>
          <w:p>
            <w:pPr>
              <w:jc w:val="center"/>
              <w:ind w:right="220"/>
              <w:spacing w:after="0" w:line="176" w:lineRule="exact"/>
              <w:rPr>
                <w:sz w:val="20"/>
                <w:szCs w:val="20"/>
                <w:color w:val="auto"/>
              </w:rPr>
            </w:pPr>
            <w:r>
              <w:rPr>
                <w:rFonts w:ascii="Arial" w:cs="Arial" w:eastAsia="Arial" w:hAnsi="Arial"/>
                <w:sz w:val="18"/>
                <w:szCs w:val="18"/>
                <w:color w:val="auto"/>
                <w:w w:val="92"/>
              </w:rPr>
              <w:t>&gt; 0.50 but &lt; 1.00:1</w:t>
            </w:r>
          </w:p>
        </w:tc>
        <w:tc>
          <w:tcPr>
            <w:tcW w:w="17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8"/>
              </w:rPr>
              <w:t>125.0 bps</w:t>
            </w:r>
          </w:p>
        </w:tc>
        <w:tc>
          <w:tcPr>
            <w:tcW w:w="19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-100.0 bps</w:t>
            </w:r>
          </w:p>
        </w:tc>
        <w:tc>
          <w:tcPr>
            <w:tcW w:w="19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20.0 bps</w:t>
            </w:r>
          </w:p>
        </w:tc>
        <w:tc>
          <w:tcPr>
            <w:tcW w:w="1760" w:type="dxa"/>
            <w:vAlign w:val="bottom"/>
          </w:tcPr>
          <w:p>
            <w:pPr>
              <w:jc w:val="center"/>
              <w:spacing w:after="0" w:line="176" w:lineRule="exact"/>
              <w:rPr>
                <w:sz w:val="20"/>
                <w:szCs w:val="20"/>
                <w:color w:val="auto"/>
              </w:rPr>
            </w:pPr>
            <w:r>
              <w:rPr>
                <w:rFonts w:ascii="Arial" w:cs="Arial" w:eastAsia="Arial" w:hAnsi="Arial"/>
                <w:sz w:val="18"/>
                <w:szCs w:val="18"/>
                <w:color w:val="auto"/>
                <w:w w:val="88"/>
              </w:rPr>
              <w:t>125.0 bps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5"/>
                <w:szCs w:val="15"/>
                <w:color w:val="auto"/>
              </w:rPr>
            </w:pPr>
          </w:p>
        </w:tc>
        <w:tc>
          <w:tcPr>
            <w:tcW w:w="2700" w:type="dxa"/>
            <w:vAlign w:val="bottom"/>
            <w:gridSpan w:val="6"/>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92"/>
              </w:rPr>
              <w:t>&gt; 1.00 but &lt; 1.50:1</w:t>
            </w:r>
          </w:p>
        </w:tc>
        <w:tc>
          <w:tcPr>
            <w:tcW w:w="176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88"/>
              </w:rPr>
              <w:t>137.5 bps</w:t>
            </w:r>
          </w:p>
        </w:tc>
        <w:tc>
          <w:tcPr>
            <w:tcW w:w="190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87"/>
              </w:rPr>
              <w:t>-87.5 bps</w:t>
            </w:r>
          </w:p>
        </w:tc>
        <w:tc>
          <w:tcPr>
            <w:tcW w:w="192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89"/>
              </w:rPr>
              <w:t>25.0 bps</w:t>
            </w:r>
          </w:p>
        </w:tc>
        <w:tc>
          <w:tcPr>
            <w:tcW w:w="1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137.5 bps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5"/>
                <w:szCs w:val="15"/>
                <w:color w:val="auto"/>
              </w:rPr>
            </w:pPr>
          </w:p>
        </w:tc>
        <w:tc>
          <w:tcPr>
            <w:tcW w:w="2700" w:type="dxa"/>
            <w:vAlign w:val="bottom"/>
            <w:gridSpan w:val="6"/>
          </w:tcPr>
          <w:p>
            <w:pPr>
              <w:jc w:val="center"/>
              <w:ind w:right="220"/>
              <w:spacing w:after="0" w:line="176" w:lineRule="exact"/>
              <w:rPr>
                <w:sz w:val="20"/>
                <w:szCs w:val="20"/>
                <w:color w:val="auto"/>
              </w:rPr>
            </w:pPr>
            <w:r>
              <w:rPr>
                <w:rFonts w:ascii="Arial" w:cs="Arial" w:eastAsia="Arial" w:hAnsi="Arial"/>
                <w:sz w:val="18"/>
                <w:szCs w:val="18"/>
                <w:color w:val="auto"/>
                <w:w w:val="92"/>
              </w:rPr>
              <w:t>&gt; 1.50 but &lt; 2.00:1</w:t>
            </w:r>
          </w:p>
        </w:tc>
        <w:tc>
          <w:tcPr>
            <w:tcW w:w="17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8"/>
              </w:rPr>
              <w:t>150.0 bps</w:t>
            </w:r>
          </w:p>
        </w:tc>
        <w:tc>
          <w:tcPr>
            <w:tcW w:w="19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7"/>
              </w:rPr>
              <w:t>-75.0 bps</w:t>
            </w:r>
          </w:p>
        </w:tc>
        <w:tc>
          <w:tcPr>
            <w:tcW w:w="19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30.0 bps</w:t>
            </w:r>
          </w:p>
        </w:tc>
        <w:tc>
          <w:tcPr>
            <w:tcW w:w="1760" w:type="dxa"/>
            <w:vAlign w:val="bottom"/>
          </w:tcPr>
          <w:p>
            <w:pPr>
              <w:jc w:val="center"/>
              <w:spacing w:after="0" w:line="176" w:lineRule="exact"/>
              <w:rPr>
                <w:sz w:val="20"/>
                <w:szCs w:val="20"/>
                <w:color w:val="auto"/>
              </w:rPr>
            </w:pPr>
            <w:r>
              <w:rPr>
                <w:rFonts w:ascii="Arial" w:cs="Arial" w:eastAsia="Arial" w:hAnsi="Arial"/>
                <w:sz w:val="18"/>
                <w:szCs w:val="18"/>
                <w:color w:val="auto"/>
                <w:w w:val="88"/>
              </w:rPr>
              <w:t>150.0 bps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jc w:val="right"/>
              <w:ind w:right="430"/>
              <w:spacing w:after="0" w:line="176"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5"/>
                <w:szCs w:val="15"/>
                <w:color w:val="auto"/>
              </w:rPr>
            </w:pPr>
          </w:p>
        </w:tc>
        <w:tc>
          <w:tcPr>
            <w:tcW w:w="2700" w:type="dxa"/>
            <w:vAlign w:val="bottom"/>
            <w:gridSpan w:val="6"/>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92"/>
              </w:rPr>
              <w:t>&gt; 2.00 but &lt; 2.50:1</w:t>
            </w:r>
          </w:p>
        </w:tc>
        <w:tc>
          <w:tcPr>
            <w:tcW w:w="176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88"/>
              </w:rPr>
              <w:t>175.0 bps</w:t>
            </w:r>
          </w:p>
        </w:tc>
        <w:tc>
          <w:tcPr>
            <w:tcW w:w="190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87"/>
              </w:rPr>
              <w:t>-37.5 bps</w:t>
            </w:r>
          </w:p>
        </w:tc>
        <w:tc>
          <w:tcPr>
            <w:tcW w:w="192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89"/>
              </w:rPr>
              <w:t>35.0 bps</w:t>
            </w:r>
          </w:p>
        </w:tc>
        <w:tc>
          <w:tcPr>
            <w:tcW w:w="17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175.0 bps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jc w:val="right"/>
              <w:ind w:right="430"/>
              <w:spacing w:after="0" w:line="176"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5"/>
                <w:szCs w:val="15"/>
                <w:color w:val="auto"/>
              </w:rPr>
            </w:pPr>
          </w:p>
        </w:tc>
        <w:tc>
          <w:tcPr>
            <w:tcW w:w="2700" w:type="dxa"/>
            <w:vAlign w:val="bottom"/>
            <w:gridSpan w:val="6"/>
          </w:tcPr>
          <w:p>
            <w:pPr>
              <w:jc w:val="center"/>
              <w:ind w:right="220"/>
              <w:spacing w:after="0" w:line="176" w:lineRule="exact"/>
              <w:rPr>
                <w:sz w:val="20"/>
                <w:szCs w:val="20"/>
                <w:color w:val="auto"/>
              </w:rPr>
            </w:pPr>
            <w:r>
              <w:rPr>
                <w:rFonts w:ascii="Arial" w:cs="Arial" w:eastAsia="Arial" w:hAnsi="Arial"/>
                <w:sz w:val="18"/>
                <w:szCs w:val="18"/>
                <w:color w:val="auto"/>
                <w:w w:val="92"/>
              </w:rPr>
              <w:t>&gt; 2.50 but &lt; 3.00:1</w:t>
            </w:r>
          </w:p>
        </w:tc>
        <w:tc>
          <w:tcPr>
            <w:tcW w:w="176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8"/>
              </w:rPr>
              <w:t>200.0 bps</w:t>
            </w:r>
          </w:p>
        </w:tc>
        <w:tc>
          <w:tcPr>
            <w:tcW w:w="1900" w:type="dxa"/>
            <w:vAlign w:val="bottom"/>
            <w:gridSpan w:val="2"/>
          </w:tcPr>
          <w:p>
            <w:pPr>
              <w:jc w:val="center"/>
              <w:ind w:right="200"/>
              <w:spacing w:after="0" w:line="176" w:lineRule="exact"/>
              <w:rPr>
                <w:sz w:val="20"/>
                <w:szCs w:val="20"/>
                <w:color w:val="auto"/>
              </w:rPr>
            </w:pPr>
            <w:r>
              <w:rPr>
                <w:rFonts w:ascii="Arial" w:cs="Arial" w:eastAsia="Arial" w:hAnsi="Arial"/>
                <w:sz w:val="18"/>
                <w:szCs w:val="18"/>
                <w:color w:val="auto"/>
                <w:w w:val="87"/>
              </w:rPr>
              <w:t>-25.0 bps</w:t>
            </w:r>
          </w:p>
        </w:tc>
        <w:tc>
          <w:tcPr>
            <w:tcW w:w="19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40.0 bps</w:t>
            </w:r>
          </w:p>
        </w:tc>
        <w:tc>
          <w:tcPr>
            <w:tcW w:w="1760" w:type="dxa"/>
            <w:vAlign w:val="bottom"/>
          </w:tcPr>
          <w:p>
            <w:pPr>
              <w:jc w:val="center"/>
              <w:spacing w:after="0" w:line="176" w:lineRule="exact"/>
              <w:rPr>
                <w:sz w:val="20"/>
                <w:szCs w:val="20"/>
                <w:color w:val="auto"/>
              </w:rPr>
            </w:pPr>
            <w:r>
              <w:rPr>
                <w:rFonts w:ascii="Arial" w:cs="Arial" w:eastAsia="Arial" w:hAnsi="Arial"/>
                <w:sz w:val="18"/>
                <w:szCs w:val="18"/>
                <w:color w:val="auto"/>
                <w:w w:val="88"/>
              </w:rPr>
              <w:t>200.0 bps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1"/>
              </w:rPr>
              <w:t>&gt; 3.00:1</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200.0 bps*</w:t>
            </w:r>
          </w:p>
        </w:tc>
        <w:tc>
          <w:tcPr>
            <w:tcW w:w="19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-25.0 bps*</w:t>
            </w:r>
          </w:p>
        </w:tc>
        <w:tc>
          <w:tcPr>
            <w:tcW w:w="1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40.0 bps*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200.0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Default pricing applies in addition to the pricing shown.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Any increase or decrease in the Applicable Rate resulting from a change in the Funded Debt Leverage Ratio shall become effective as of the first Business Day of the month immediately following the date a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Compliance Certificate is not delivered when due in accordance with </w:t>
      </w:r>
      <w:r>
        <w:rPr>
          <w:rFonts w:ascii="Arial" w:cs="Arial" w:eastAsia="Arial" w:hAnsi="Arial"/>
          <w:sz w:val="18"/>
          <w:szCs w:val="18"/>
          <w:u w:val="single" w:color="auto"/>
          <w:color w:val="auto"/>
        </w:rPr>
        <w:t>Section 6.02(a)</w:t>
      </w:r>
      <w:r>
        <w:rPr>
          <w:rFonts w:ascii="Arial" w:cs="Arial" w:eastAsia="Arial" w:hAnsi="Arial"/>
          <w:sz w:val="18"/>
          <w:szCs w:val="18"/>
          <w:color w:val="auto"/>
        </w:rPr>
        <w:t>, then Pricing Level 6 shall apply as of the first Business Day of the month following the date such Compliance Certificate was required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have been delivered until the first Business Day of the month immediately following the delivery of such Compliance Certificate. The Applicable Rate in effect from the Closing Date until receipt of the Compliance Certificate for the period ended February 28, 2012 shall be determined based upon Pricing Level 1.</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 Group</w:t>
      </w:r>
      <w:r>
        <w:rPr>
          <w:rFonts w:ascii="Arial" w:cs="Arial" w:eastAsia="Arial" w:hAnsi="Arial"/>
          <w:sz w:val="18"/>
          <w:szCs w:val="18"/>
          <w:color w:val="auto"/>
        </w:rPr>
        <w:t>” means two or more Eligible Assignees that are Affiliates of one another.</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MarkitClear or other electronic platform) approved by the Administrative Agent.</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Borrower and its Consolidated Subsidiaries for the fiscal year ended May 31, 2011 and the related consolidated statements of income or operations, shareholders’ equity and cash flows for such fiscal year of Borrower and its Consolidated Subsidiaries, including the notes thereto.</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xml:space="preserve">” means the period from and including the Closing Date to the earliest of (a) the Maturity Date, (b) the date of termination of the Aggregate Commitments pursuant to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(c) the date of termination of the commitment of each Lender to make Loans and of the obligation of the L/C Issuer to make L/C Credit Extensions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plus 1/2 of 1%, (b) the rate of interest in effect for such day as publicly announced from time to time by Bank of America as its “prime rate,” or (c) the Eurocurrency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 Loan</w:t>
      </w:r>
      <w:r>
        <w:rPr>
          <w:rFonts w:ascii="Arial" w:cs="Arial" w:eastAsia="Arial" w:hAnsi="Arial"/>
          <w:sz w:val="17"/>
          <w:szCs w:val="17"/>
          <w:color w:val="auto"/>
        </w:rPr>
        <w:t>” means a Committed Loan that bears interest at a rate based on the Base Rate. All Base Rate Loans shall be denominated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and ascribed to such term as set forth in the preamble to this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Committed Borrowing.</w:t>
      </w:r>
    </w:p>
    <w:p>
      <w:pPr>
        <w:sectPr>
          <w:pgSz w:w="11900" w:h="16838" w:orient="portrait"/>
          <w:cols w:equalWidth="0" w:num="1">
            <w:col w:w="11420"/>
          </w:cols>
          <w:pgMar w:left="240" w:top="125" w:right="239" w:bottom="0" w:gutter="0" w:footer="0" w:header="0"/>
        </w:sectPr>
      </w:pPr>
    </w:p>
    <w:bookmarkStart w:id="32" w:name="page33"/>
    <w:bookmarkEnd w:id="32"/>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7" w:lineRule="exact"/>
        <w:rPr>
          <w:sz w:val="20"/>
          <w:szCs w:val="20"/>
          <w:color w:val="auto"/>
        </w:rPr>
      </w:pPr>
    </w:p>
    <w:p>
      <w:pPr>
        <w:jc w:val="both"/>
        <w:ind w:right="20" w:firstLine="656"/>
        <w:spacing w:after="0" w:line="259" w:lineRule="auto"/>
        <w:tabs>
          <w:tab w:leader="none" w:pos="1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on which dealings in deposits in Dollars are conducted by and between banks in the London interbank eurodollar market;</w:t>
      </w:r>
    </w:p>
    <w:p>
      <w:pPr>
        <w:spacing w:after="0" w:line="186" w:lineRule="exact"/>
        <w:rPr>
          <w:rFonts w:ascii="Arial" w:cs="Arial" w:eastAsia="Arial" w:hAnsi="Arial"/>
          <w:sz w:val="18"/>
          <w:szCs w:val="18"/>
          <w:color w:val="auto"/>
        </w:rPr>
      </w:pPr>
    </w:p>
    <w:p>
      <w:pPr>
        <w:ind w:right="160" w:firstLine="656"/>
        <w:spacing w:after="0" w:line="264"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81" w:lineRule="exact"/>
        <w:rPr>
          <w:rFonts w:ascii="Arial" w:cs="Arial" w:eastAsia="Arial" w:hAnsi="Arial"/>
          <w:sz w:val="18"/>
          <w:szCs w:val="18"/>
          <w:color w:val="auto"/>
        </w:rPr>
      </w:pPr>
    </w:p>
    <w:p>
      <w:pPr>
        <w:jc w:val="both"/>
        <w:ind w:right="40" w:firstLine="656"/>
        <w:spacing w:after="0" w:line="264" w:lineRule="auto"/>
        <w:tabs>
          <w:tab w:leader="none" w:pos="1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81" w:lineRule="exact"/>
        <w:rPr>
          <w:rFonts w:ascii="Arial" w:cs="Arial" w:eastAsia="Arial" w:hAnsi="Arial"/>
          <w:sz w:val="18"/>
          <w:szCs w:val="18"/>
          <w:color w:val="auto"/>
        </w:rPr>
      </w:pPr>
    </w:p>
    <w:p>
      <w:pPr>
        <w:ind w:right="100" w:firstLine="656"/>
        <w:spacing w:after="0" w:line="279" w:lineRule="auto"/>
        <w:tabs>
          <w:tab w:leader="none" w:pos="130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 lawful money of Canada.</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Collateralize</w:t>
      </w:r>
      <w:r>
        <w:rPr>
          <w:rFonts w:ascii="Arial" w:cs="Arial" w:eastAsia="Arial" w:hAnsi="Arial"/>
          <w:sz w:val="17"/>
          <w:szCs w:val="17"/>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(but reasonable) discretion, other credit support, in each case pursuant to documentation in form and substance reasonably satisfactory to the Administrative Agent and the L/C Issuer. “</w:t>
      </w:r>
      <w:r>
        <w:rPr>
          <w:rFonts w:ascii="Arial" w:cs="Arial" w:eastAsia="Arial" w:hAnsi="Arial"/>
          <w:sz w:val="17"/>
          <w:szCs w:val="17"/>
          <w:u w:val="single" w:color="auto"/>
          <w:color w:val="auto"/>
        </w:rPr>
        <w:t>Cash Collateral</w:t>
      </w:r>
      <w:r>
        <w:rPr>
          <w:rFonts w:ascii="Arial" w:cs="Arial" w:eastAsia="Arial" w:hAnsi="Arial"/>
          <w:sz w:val="17"/>
          <w:szCs w:val="17"/>
          <w:color w:val="auto"/>
        </w:rPr>
        <w:t>” shall have a meaning correlative to the foregoing and shall include the proceeds of such cash collateral and other credit support.</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electronic funds transfer and other cash management arrangements.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at the time it enters into a Cash Management Agreement, is a Lender or an Affiliate of a Lender, in its capacity as a party to such Cash Management Agreement.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with respect to a specified Person, an event or series of events by which:</w:t>
      </w:r>
    </w:p>
    <w:p>
      <w:pPr>
        <w:spacing w:after="0" w:line="225" w:lineRule="exact"/>
        <w:rPr>
          <w:sz w:val="20"/>
          <w:szCs w:val="20"/>
          <w:color w:val="auto"/>
        </w:rPr>
      </w:pPr>
    </w:p>
    <w:p>
      <w:pPr>
        <w:ind w:right="20" w:firstLine="1305"/>
        <w:spacing w:after="0" w:line="291" w:lineRule="auto"/>
        <w:tabs>
          <w:tab w:leader="none" w:pos="1955" w:val="left"/>
        </w:tabs>
        <w:numPr>
          <w:ilvl w:val="2"/>
          <w:numId w:val="22"/>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but excluding any employee benefit plan of such person or its subsidiaries, and any person or entity acting in its capacity as trustee, the Administrative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(hereinafter such right shall be referred to as an “</w:t>
      </w:r>
      <w:r>
        <w:rPr>
          <w:rFonts w:ascii="Arial" w:cs="Arial" w:eastAsia="Arial" w:hAnsi="Arial"/>
          <w:sz w:val="16"/>
          <w:szCs w:val="16"/>
          <w:u w:val="single" w:color="auto"/>
          <w:color w:val="auto"/>
        </w:rPr>
        <w:t>option right</w:t>
      </w:r>
      <w:r>
        <w:rPr>
          <w:rFonts w:ascii="Arial" w:cs="Arial" w:eastAsia="Arial" w:hAnsi="Arial"/>
          <w:sz w:val="16"/>
          <w:szCs w:val="16"/>
          <w:color w:val="auto"/>
        </w:rPr>
        <w:t>”)), directly or indirectly, of more than 50% of the equity securities of such Person entitled to vote for members of the board of directors or equivalent governing body of such Person on a fully-diluted basis (and taking into account all such securities that such person or group has the right to acquire pursuant to any option right); or</w:t>
      </w:r>
    </w:p>
    <w:p>
      <w:pPr>
        <w:spacing w:after="0" w:line="167" w:lineRule="exact"/>
        <w:rPr>
          <w:rFonts w:ascii="Arial" w:cs="Arial" w:eastAsia="Arial" w:hAnsi="Arial"/>
          <w:sz w:val="16"/>
          <w:szCs w:val="16"/>
          <w:color w:val="auto"/>
        </w:rPr>
      </w:pPr>
    </w:p>
    <w:p>
      <w:pPr>
        <w:ind w:right="240" w:firstLine="1305"/>
        <w:spacing w:after="0" w:line="291" w:lineRule="auto"/>
        <w:tabs>
          <w:tab w:leader="none" w:pos="1952" w:val="left"/>
        </w:tabs>
        <w:numPr>
          <w:ilvl w:val="2"/>
          <w:numId w:val="22"/>
        </w:numPr>
        <w:rPr>
          <w:rFonts w:ascii="Arial" w:cs="Arial" w:eastAsia="Arial" w:hAnsi="Arial"/>
          <w:sz w:val="16"/>
          <w:szCs w:val="16"/>
          <w:color w:val="auto"/>
        </w:rPr>
      </w:pPr>
      <w:r>
        <w:rPr>
          <w:rFonts w:ascii="Arial" w:cs="Arial" w:eastAsia="Arial" w:hAnsi="Arial"/>
          <w:sz w:val="16"/>
          <w:szCs w:val="16"/>
          <w:color w:val="auto"/>
        </w:rPr>
        <w:t>during any period of 24 consecutive months, a majority of the members of the board of directors or other equivalent governing body of such Person cease to be composed of individuals (i) who were members of that board or equivalent governing body on the first day of such period,</w:t>
      </w:r>
    </w:p>
    <w:p>
      <w:pPr>
        <w:ind w:right="20" w:firstLine="8"/>
        <w:spacing w:after="0" w:line="252"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whose election or nomination to that board or equivalent governing body was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8"/>
          <w:szCs w:val="18"/>
          <w:u w:val="single" w:color="auto"/>
          <w:color w:val="auto"/>
        </w:rPr>
        <w:t>clauses (i) and (ii)</w:t>
      </w:r>
      <w:r>
        <w:rPr>
          <w:rFonts w:ascii="Arial" w:cs="Arial" w:eastAsia="Arial" w:hAnsi="Arial"/>
          <w:sz w:val="18"/>
          <w:szCs w:val="18"/>
          <w:color w:val="auto"/>
        </w:rPr>
        <w:t xml:space="preserve"> above constituting at the time of such election or nomination at least a majority of that board or equivalent governing body (excluding, in the case of both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(iii)</w:t>
      </w:r>
      <w:r>
        <w:rPr>
          <w:rFonts w:ascii="Arial" w:cs="Arial" w:eastAsia="Arial" w:hAnsi="Arial"/>
          <w:sz w:val="18"/>
          <w:szCs w:val="18"/>
          <w:color w:val="auto"/>
        </w:rPr>
        <w:t>, any individual whose initial nomination for, or assumption of office as, a member of that board or equivalent governing body occurs as a result of an actual or threatened solicitation of proxies or consents for the election or removal of one or more directors by any person or group other than a solicitation for the election of one or more directors by or on behalf of the board of directors); or</w:t>
      </w:r>
    </w:p>
    <w:p>
      <w:pPr>
        <w:spacing w:after="0" w:line="193" w:lineRule="exact"/>
        <w:rPr>
          <w:rFonts w:ascii="Arial" w:cs="Arial" w:eastAsia="Arial" w:hAnsi="Arial"/>
          <w:sz w:val="18"/>
          <w:szCs w:val="18"/>
          <w:color w:val="auto"/>
        </w:rPr>
      </w:pPr>
    </w:p>
    <w:p>
      <w:pPr>
        <w:ind w:right="60" w:firstLine="656"/>
        <w:spacing w:after="0" w:line="276" w:lineRule="auto"/>
        <w:tabs>
          <w:tab w:leader="none" w:pos="130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individual(s) or entity(s)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such Person, or control over the equity securities of such Person entitled to vote for members of the board of directors or equivalent governing body of such Person on a fully-diluted basis (and taking into account all such securities that such individual(s) or entity(s) or group has the right to acquire pursuant to any option right) representing more than 50% of the combined voting power of such securities.</w:t>
      </w:r>
    </w:p>
    <w:p>
      <w:pPr>
        <w:sectPr>
          <w:pgSz w:w="11900" w:h="16838" w:orient="portrait"/>
          <w:cols w:equalWidth="0" w:num="1">
            <w:col w:w="11420"/>
          </w:cols>
          <w:pgMar w:left="240" w:top="341" w:right="239" w:bottom="0" w:gutter="0" w:footer="0" w:header="0"/>
        </w:sectPr>
      </w:pPr>
    </w:p>
    <w:bookmarkStart w:id="33" w:name="page34"/>
    <w:bookmarkEnd w:id="33"/>
    <w:p>
      <w:pPr>
        <w:spacing w:after="0" w:line="8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the first date all the conditions precedent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are satisfied or waived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modified from time to time.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and rights and interests in or to property of the Borrower and each of the other Loan Parties, whether real or personal, tangible or intangible, in which a Lien is granted or purported to be granted pursuant to the Collateral Documents.</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all agreements, instruments and documents now or hereafter executed and delivered in connection with this Agreement pursuant to which Liens are granted or purported to be granted to the Administrative Agent in Collateral securing all or part of the Obligations each in form and substance satisfactory to the Administrative Agent.</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as to each Lender, its obligation to (a) make Committed Loans to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and (b) purchase participations in L/C Obligations, in an aggregate principal amount at any one time outstanding not to exceed the amount set forth opposite such Lender’s name on the portion of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describing the Committed Loans or in the Assignment and Assumption pursuant to which such Lender becomes a party hereto, as applicable, as such amount may be adjusted from time to time in accordance with this Agreement.</w:t>
      </w:r>
    </w:p>
    <w:p>
      <w:pPr>
        <w:spacing w:after="0" w:line="17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a borrowing consisting of simultaneous Committed Loans of the same Type, in the same currency, and, in the case of Eurocurrency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w:t>
      </w:r>
      <w:r>
        <w:rPr>
          <w:rFonts w:ascii="Arial" w:cs="Arial" w:eastAsia="Arial" w:hAnsi="Arial"/>
          <w:sz w:val="18"/>
          <w:szCs w:val="18"/>
          <w:color w:val="auto"/>
        </w:rPr>
        <w:t>” and “</w:t>
      </w:r>
      <w:r>
        <w:rPr>
          <w:rFonts w:ascii="Arial" w:cs="Arial" w:eastAsia="Arial" w:hAnsi="Arial"/>
          <w:sz w:val="18"/>
          <w:szCs w:val="18"/>
          <w:u w:val="single" w:color="auto"/>
          <w:color w:val="auto"/>
        </w:rPr>
        <w:t>Committed Loans</w:t>
      </w:r>
      <w:r>
        <w:rPr>
          <w:rFonts w:ascii="Arial" w:cs="Arial" w:eastAsia="Arial" w:hAnsi="Arial"/>
          <w:sz w:val="18"/>
          <w:szCs w:val="18"/>
          <w:color w:val="auto"/>
        </w:rPr>
        <w:t xml:space="preserve">” have the meanings specified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means a notice of (a) a Committed Borrowing, (b) a conversion of Committed Loans from one Type to the other, or (c) a continuation of Eurocurrency Rate Loans, pursuant to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made a part hereof.</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made a part hereof.</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xml:space="preserve">” means a collective reference to any Subsidiary of the Borrower now or hereafter included in the annual audited financial statements delivered by the Borrower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Facility</w:t>
      </w:r>
      <w:r>
        <w:rPr>
          <w:rFonts w:ascii="Arial" w:cs="Arial" w:eastAsia="Arial" w:hAnsi="Arial"/>
          <w:sz w:val="18"/>
          <w:szCs w:val="18"/>
          <w:color w:val="auto"/>
        </w:rPr>
        <w:t>” has the meaning assigned and ascribed to such term as set forth in the third recital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constitute an Event of Default.</w:t>
      </w:r>
    </w:p>
    <w:p>
      <w:pPr>
        <w:spacing w:after="0" w:line="170" w:lineRule="exact"/>
        <w:rPr>
          <w:sz w:val="20"/>
          <w:szCs w:val="20"/>
          <w:color w:val="auto"/>
        </w:rPr>
      </w:pPr>
    </w:p>
    <w:p>
      <w:pPr>
        <w:ind w:right="6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L/C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if any,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two hundred basis points (2.0%)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Eurocurrency Rate Loan, the Default Rate shall be an interest rate equal to the interest rate (including any Applicable Rate and any Mandatory Cost)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hundred basis points (2.0%) per annum, and (b) when used with respect to L/C Fees, a rate equal to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hundred basis points (2.0%) per annum.</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or any other Lender any other amount required to be paid by it hereunder (including in respect of its participation in Letters of Credit) within two Business Days of the date when due, (b) has notified the Borrower, the Administrative Agent or the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w:t>
      </w:r>
    </w:p>
    <w:p>
      <w:pPr>
        <w:sectPr>
          <w:pgSz w:w="11900" w:h="16927" w:orient="portrait"/>
          <w:cols w:equalWidth="0" w:num="1">
            <w:col w:w="11420"/>
          </w:cols>
          <w:pgMar w:left="240" w:top="125" w:right="239" w:bottom="0" w:gutter="0" w:footer="0" w:header="0"/>
        </w:sectPr>
      </w:pPr>
    </w:p>
    <w:bookmarkStart w:id="34" w:name="page35"/>
    <w:bookmarkEnd w:id="34"/>
    <w:p>
      <w:pPr>
        <w:ind w:right="20"/>
        <w:spacing w:after="0" w:line="253" w:lineRule="auto"/>
        <w:rPr>
          <w:sz w:val="20"/>
          <w:szCs w:val="20"/>
          <w:color w:val="auto"/>
        </w:rPr>
      </w:pPr>
      <w:r>
        <w:rPr>
          <w:rFonts w:ascii="Arial" w:cs="Arial" w:eastAsia="Arial" w:hAnsi="Arial"/>
          <w:sz w:val="18"/>
          <w:szCs w:val="18"/>
          <w:color w:val="auto"/>
        </w:rPr>
        <w:t xml:space="preserve">or any other state or federal regulatory authority acting in such a capacity;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 the L/C Issuer and each other Lender promptly following such determination.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sale and leaseback transaction) of any property by any Person, including any sale, assignment, transfer or other disposal, with or without recourse, of any notes or accounts receivable or any rights and claims associated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(a) net income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(b) income (or plus loss) from discontinued operations and extraordinary items,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income tax expenses,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(d) interest expense,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depreciation, depletion, and amortization (including non-cash loss on retirement of assets),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stock compensation expense,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(g) cash expense related to stock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(h) Add Back Amounts, if applicable, in an amount not to exceed US$20,000,000.00, </w:t>
      </w:r>
      <w:r>
        <w:rPr>
          <w:rFonts w:ascii="Arial" w:cs="Arial" w:eastAsia="Arial" w:hAnsi="Arial"/>
          <w:sz w:val="16"/>
          <w:szCs w:val="16"/>
          <w:u w:val="single" w:color="auto"/>
          <w:color w:val="auto"/>
        </w:rPr>
        <w:t>plus</w:t>
      </w:r>
    </w:p>
    <w:p>
      <w:pPr>
        <w:ind w:firstLine="8"/>
        <w:spacing w:after="0" w:line="290" w:lineRule="auto"/>
        <w:tabs>
          <w:tab w:leader="none" w:pos="21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for the purposes of calculating EBITDA for the fourth fiscal quarter of the 2011 fiscal year (during which fiscal quarter the Borrower completed a follow on public equity offering of its common stock pursuant to an effective registration statement under the Securities Act of 1933), an amount equal to any and all one-time expenses (specifically excluding any capitalized expenses) incurred by the Borrower in connection with said follow on public equity offering to the extent such expenses reduce the Borrower’s net income,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(j) amounts expended by the Borrower in connection with the closing of the credit facilities described in this Agreement, and adjusted for certain historical expenses, accounting adjustments, and other non-cash charges,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(k) non-cash expenses which do not (in the current or any future period) represent a cash item (excluding any non-cash gains which increase net income).</w:t>
      </w:r>
    </w:p>
    <w:p>
      <w:pPr>
        <w:spacing w:after="0" w:line="1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(a) meets the requirements to be an assignee under </w:t>
      </w:r>
      <w:r>
        <w:rPr>
          <w:rFonts w:ascii="Arial" w:cs="Arial" w:eastAsia="Arial" w:hAnsi="Arial"/>
          <w:sz w:val="18"/>
          <w:szCs w:val="18"/>
          <w:u w:val="single" w:color="auto"/>
          <w:color w:val="auto"/>
        </w:rPr>
        <w:t>Section 10.06(b)(v) and (vi)</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and (b) is a commercial bank with either (i) an investment grade credit rating from any of Moody’s, S&amp;P or Fitch or (ii) a public debt rating from any of Moody’s, S&amp;P or Fitch which is at least as high as the public debt rating for the then lowest rated Lender under this Agreement which is not then a Defaulting Lender.</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w:t>
      </w:r>
      <w:r>
        <w:rPr>
          <w:rFonts w:ascii="Arial" w:cs="Arial" w:eastAsia="Arial" w:hAnsi="Arial"/>
          <w:sz w:val="18"/>
          <w:szCs w:val="18"/>
          <w:color w:val="auto"/>
        </w:rPr>
        <w:t>” means the economic and monetary union in accordance with the Treaty of Rome 1957, as amended by the Single European Act 1986, the Maastricht Treaty of 1992 and the Amsterdam Treaty of 1998.</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threatened release of any Hazardous Materials into the environment or (e) any contract, agreement or other consensual arrangement pursuant to which liability is assumed or imposed with respect to any of the foregoing.</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or modified from time to time.</w:t>
      </w:r>
    </w:p>
    <w:p>
      <w:pPr>
        <w:spacing w:after="0" w:line="225" w:lineRule="exact"/>
        <w:rPr>
          <w:sz w:val="20"/>
          <w:szCs w:val="20"/>
          <w:color w:val="auto"/>
        </w:rPr>
      </w:pPr>
    </w:p>
    <w:p>
      <w:pPr>
        <w:ind w:right="7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under common control with Borrower within the meaning of Section 414(b) or (c) of the Code (and Sections 414(m) and (o) of the Code for purposes of provisions relating to Section 412 of the Code).</w:t>
      </w:r>
    </w:p>
    <w:p>
      <w:pPr>
        <w:sectPr>
          <w:pgSz w:w="11900" w:h="16838" w:orient="portrait"/>
          <w:cols w:equalWidth="0" w:num="1">
            <w:col w:w="11380"/>
          </w:cols>
          <w:pgMar w:left="240" w:top="125" w:right="279" w:bottom="0" w:gutter="0" w:footer="0" w:header="0"/>
        </w:sectPr>
      </w:pPr>
    </w:p>
    <w:bookmarkStart w:id="35" w:name="page36"/>
    <w:bookmarkEnd w:id="35"/>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EUR</w:t>
      </w:r>
      <w:r>
        <w:rPr>
          <w:rFonts w:ascii="Arial" w:cs="Arial" w:eastAsia="Arial" w:hAnsi="Arial"/>
          <w:sz w:val="18"/>
          <w:szCs w:val="18"/>
          <w:color w:val="auto"/>
        </w:rPr>
        <w:t>” mean the lawful currency of the Participating Member States introduced in accordance with the EMU Legislation.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225" w:lineRule="exact"/>
        <w:rPr>
          <w:sz w:val="20"/>
          <w:szCs w:val="20"/>
          <w:color w:val="auto"/>
        </w:rPr>
      </w:pPr>
    </w:p>
    <w:p>
      <w:pPr>
        <w:ind w:right="100" w:firstLine="656"/>
        <w:spacing w:after="0" w:line="272" w:lineRule="auto"/>
        <w:tabs>
          <w:tab w:leader="none" w:pos="13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 any Interest Period with respect to a Eurocurrency Rate Loan, the rate per annum equal to (i) the British Bankers Association LIBOR Rate (“</w:t>
      </w:r>
      <w:r>
        <w:rPr>
          <w:rFonts w:ascii="Arial" w:cs="Arial" w:eastAsia="Arial" w:hAnsi="Arial"/>
          <w:sz w:val="17"/>
          <w:szCs w:val="17"/>
          <w:u w:val="single" w:color="auto"/>
          <w:color w:val="auto"/>
        </w:rPr>
        <w:t>BBA LIBOR</w:t>
      </w:r>
      <w:r>
        <w:rPr>
          <w:rFonts w:ascii="Arial" w:cs="Arial" w:eastAsia="Arial" w:hAnsi="Arial"/>
          <w:sz w:val="17"/>
          <w:szCs w:val="17"/>
          <w:color w:val="auto"/>
        </w:rPr>
        <w:t>”), as published by Reuters (or such other commercially available source providing quotations of BBA LIBOR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 by the Administrative Agent to be the rate at which deposits in the relevant currency for delivery on the first day of such Interest Period in Same Day Funds in the approximate amount of the Eurocurrency Rate Loan being made, continued or converted and with a term equivalent to such Interest Period would be offered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by Bank of America’s London Branch (or other Bank of America branch or Affiliate) to major banks in the London or other offshore interbank market for such currency at their request at approximately 11:00 a.m. (London time) two Business Days prior to the commencement of such Interest Period; and</w:t>
      </w:r>
    </w:p>
    <w:p>
      <w:pPr>
        <w:spacing w:after="0" w:line="124" w:lineRule="exact"/>
        <w:rPr>
          <w:sz w:val="20"/>
          <w:szCs w:val="20"/>
          <w:color w:val="auto"/>
        </w:rPr>
      </w:pPr>
    </w:p>
    <w:p>
      <w:pPr>
        <w:ind w:left="1320" w:hanging="664"/>
        <w:spacing w:after="0"/>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(i) BBA LIBOR, at approximately</w:t>
      </w:r>
    </w:p>
    <w:p>
      <w:pPr>
        <w:spacing w:after="0" w:line="46" w:lineRule="exact"/>
        <w:rPr>
          <w:rFonts w:ascii="Arial" w:cs="Arial" w:eastAsia="Arial" w:hAnsi="Arial"/>
          <w:sz w:val="16"/>
          <w:szCs w:val="16"/>
          <w:color w:val="auto"/>
        </w:rPr>
      </w:pPr>
    </w:p>
    <w:p>
      <w:pPr>
        <w:ind w:right="60"/>
        <w:spacing w:after="0" w:line="271" w:lineRule="auto"/>
        <w:rPr>
          <w:rFonts w:ascii="Arial" w:cs="Arial" w:eastAsia="Arial" w:hAnsi="Arial"/>
          <w:sz w:val="16"/>
          <w:szCs w:val="16"/>
          <w:color w:val="auto"/>
        </w:rPr>
      </w:pPr>
      <w:r>
        <w:rPr>
          <w:rFonts w:ascii="Arial" w:cs="Arial" w:eastAsia="Arial" w:hAnsi="Arial"/>
          <w:sz w:val="17"/>
          <w:szCs w:val="17"/>
          <w:color w:val="auto"/>
        </w:rPr>
        <w:t>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179"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Eurocurrency Rate Loan</w:t>
      </w:r>
      <w:r>
        <w:rPr>
          <w:rFonts w:ascii="Arial" w:cs="Arial" w:eastAsia="Arial" w:hAnsi="Arial"/>
          <w:sz w:val="16"/>
          <w:szCs w:val="16"/>
          <w:color w:val="auto"/>
        </w:rPr>
        <w:t>” means a Committed Loan that bears interest at a rate based on the Eurocurrency Rate. Eurocurrency Rate Loans may be denominated in Dollars or in an Alternative Currency. All Committed Loans denominated in an Alternative Currency must be Eurocurrency Rate Loans.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ind w:right="180" w:firstLine="8"/>
        <w:spacing w:after="0" w:line="281" w:lineRule="auto"/>
        <w:tabs>
          <w:tab w:leader="none" w:pos="2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Sections</w:t>
      </w:r>
    </w:p>
    <w:p>
      <w:pPr>
        <w:spacing w:after="0" w:line="3" w:lineRule="exact"/>
        <w:rPr>
          <w:rFonts w:ascii="Arial" w:cs="Arial" w:eastAsia="Arial" w:hAnsi="Arial"/>
          <w:sz w:val="16"/>
          <w:szCs w:val="16"/>
          <w:color w:val="auto"/>
        </w:rPr>
      </w:pPr>
    </w:p>
    <w:p>
      <w:pPr>
        <w:jc w:val="both"/>
        <w:ind w:right="6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3.01(a)(ii)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the Letters of Credit set forth on </w:t>
      </w:r>
      <w:r>
        <w:rPr>
          <w:rFonts w:ascii="Arial" w:cs="Arial" w:eastAsia="Arial" w:hAnsi="Arial"/>
          <w:sz w:val="18"/>
          <w:szCs w:val="18"/>
          <w:u w:val="single" w:color="auto"/>
          <w:color w:val="auto"/>
        </w:rPr>
        <w:t>Schedule 1.01(E)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8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if such day is not a Business Day, the Federal Funds Rate for such day shall be such rate on such transactions on the next preceding Business Day as so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8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ectPr>
          <w:pgSz w:w="11900" w:h="16838" w:orient="portrait"/>
          <w:cols w:equalWidth="0" w:num="1">
            <w:col w:w="11420"/>
          </w:cols>
          <w:pgMar w:left="240" w:top="125" w:right="239" w:bottom="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and any successor thereto.</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means, as of any date of determination thereof, all outstanding Indebtedness for borrowed money and other interest-bearing Indebtedness, including current and long term Indebtedness, but excluding the capital lease between the Borrower and S.J. Vahaviolos Partners L.L.C. relating to the Borrower’s occupancy of the premises located at 195 Clarksville Road, Princeton Junction, New Jersey.</w:t>
      </w:r>
    </w:p>
    <w:p>
      <w:pPr>
        <w:spacing w:after="0" w:line="18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Debt Leverage Ratio</w:t>
      </w:r>
      <w:r>
        <w:rPr>
          <w:rFonts w:ascii="Arial" w:cs="Arial" w:eastAsia="Arial" w:hAnsi="Arial"/>
          <w:sz w:val="17"/>
          <w:szCs w:val="17"/>
          <w:color w:val="auto"/>
        </w:rPr>
        <w:t>” means, as of any date of determination, the ratio of (a) Funded Debt as of said date of determination -</w:t>
      </w:r>
      <w:r>
        <w:rPr>
          <w:rFonts w:ascii="Arial" w:cs="Arial" w:eastAsia="Arial" w:hAnsi="Arial"/>
          <w:sz w:val="17"/>
          <w:szCs w:val="17"/>
          <w:i w:val="1"/>
          <w:iCs w:val="1"/>
          <w:color w:val="auto"/>
        </w:rPr>
        <w:t>to-</w:t>
      </w:r>
      <w:r>
        <w:rPr>
          <w:rFonts w:ascii="Arial" w:cs="Arial" w:eastAsia="Arial" w:hAnsi="Arial"/>
          <w:sz w:val="17"/>
          <w:szCs w:val="17"/>
          <w:color w:val="auto"/>
        </w:rPr>
        <w:t xml:space="preserve"> (b) EBITDA for the period of four consecutive fiscal quarters immediately preceding said date of determination, taken together as one accounting period.</w:t>
      </w:r>
    </w:p>
    <w:p>
      <w:pPr>
        <w:spacing w:after="0" w:line="147"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7"/>
          <w:szCs w:val="17"/>
          <w:u w:val="single" w:color="auto"/>
          <w:color w:val="auto"/>
        </w:rPr>
        <w:t>Guarantee</w:t>
      </w:r>
      <w:r>
        <w:rPr>
          <w:rFonts w:ascii="Arial" w:cs="Arial" w:eastAsia="Arial" w:hAnsi="Arial"/>
          <w:sz w:val="17"/>
          <w:szCs w:val="17"/>
          <w:color w:val="auto"/>
        </w:rPr>
        <w:t>” as a verb has a corresponding meaning.</w:t>
      </w:r>
    </w:p>
    <w:p>
      <w:pPr>
        <w:spacing w:after="0" w:line="178"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means each of (a) Virtual Media Integration, Ltd., formerly known as “SJVMI Acquisition Corp.”, a Delaware corporation, and (b) any additional guarantors added pursuant to the terms, conditions, and provisions of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w:t>
      </w:r>
      <w:r>
        <w:rPr>
          <w:rFonts w:ascii="Arial" w:cs="Arial" w:eastAsia="Arial" w:hAnsi="Arial"/>
          <w:sz w:val="18"/>
          <w:szCs w:val="18"/>
          <w:u w:val="single" w:color="auto"/>
          <w:color w:val="auto"/>
        </w:rPr>
        <w:t>all on a joint and several basis</w:t>
      </w:r>
      <w:r>
        <w:rPr>
          <w:rFonts w:ascii="Arial" w:cs="Arial" w:eastAsia="Arial" w:hAnsi="Arial"/>
          <w:sz w:val="18"/>
          <w:szCs w:val="18"/>
          <w:color w:val="auto"/>
        </w:rPr>
        <w:t>.</w:t>
      </w:r>
    </w:p>
    <w:p>
      <w:pPr>
        <w:spacing w:after="0" w:line="170"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Guarantor Subsidiary</w:t>
      </w:r>
      <w:r>
        <w:rPr>
          <w:rFonts w:ascii="Arial" w:cs="Arial" w:eastAsia="Arial" w:hAnsi="Arial"/>
          <w:sz w:val="17"/>
          <w:szCs w:val="17"/>
          <w:color w:val="auto"/>
        </w:rPr>
        <w:t>” means any Person that (a) is a Majority-Owned Subsidiary, (b) has assets or operating income that represents five percent (5.0%) or more of the assets or operating income of the Borrower, and (c) was formed or incorporated in the United States.</w:t>
      </w:r>
    </w:p>
    <w:p>
      <w:pPr>
        <w:spacing w:after="0" w:line="14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Third Amended and Restated Guaranty Agreement dated of even date herewith executed and delivered by the Guarantors, </w:t>
      </w:r>
      <w:r>
        <w:rPr>
          <w:rFonts w:ascii="Arial" w:cs="Arial" w:eastAsia="Arial" w:hAnsi="Arial"/>
          <w:sz w:val="18"/>
          <w:szCs w:val="18"/>
          <w:u w:val="single" w:color="auto"/>
          <w:color w:val="auto"/>
        </w:rPr>
        <w:t>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 joint and several basis</w:t>
      </w:r>
      <w:r>
        <w:rPr>
          <w:rFonts w:ascii="Arial" w:cs="Arial" w:eastAsia="Arial" w:hAnsi="Arial"/>
          <w:sz w:val="18"/>
          <w:szCs w:val="18"/>
          <w:color w:val="auto"/>
        </w:rPr>
        <w:t>, in favor of Administrative Agent, for the benefit of the Lenders, as said Third Amended and Restated Guaranty Agreement may be from time to time amended, modified, extended, renewed, substituted, and/or supplemented.</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at the time it enters into a Swap Contract, or any transactions or confirmations thereunder,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is a Lender or an Affiliate of a Lender, in its capacity as a party to such Swap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170" w:lineRule="exact"/>
        <w:rPr>
          <w:sz w:val="20"/>
          <w:szCs w:val="20"/>
          <w:color w:val="auto"/>
        </w:rPr>
      </w:pPr>
    </w:p>
    <w:p>
      <w:pPr>
        <w:ind w:right="760" w:firstLine="656"/>
        <w:spacing w:after="0" w:line="277" w:lineRule="auto"/>
        <w:tabs>
          <w:tab w:leader="none" w:pos="1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170" w:lineRule="exact"/>
        <w:rPr>
          <w:rFonts w:ascii="Arial" w:cs="Arial" w:eastAsia="Arial" w:hAnsi="Arial"/>
          <w:sz w:val="18"/>
          <w:szCs w:val="18"/>
          <w:color w:val="auto"/>
        </w:rPr>
      </w:pPr>
    </w:p>
    <w:p>
      <w:pPr>
        <w:ind w:right="100" w:firstLine="656"/>
        <w:spacing w:after="0" w:line="277" w:lineRule="auto"/>
        <w:tabs>
          <w:tab w:leader="none" w:pos="13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surety bonds and similar instruments;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ectPr>
          <w:pgSz w:w="11900" w:h="16838" w:orient="portrait"/>
          <w:cols w:equalWidth="0" w:num="1">
            <w:col w:w="11420"/>
          </w:cols>
          <w:pgMar w:left="240" w:top="125" w:right="239" w:bottom="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59"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pay the deferred purchase price of property or services (other than trade accounts payable in the ordinary course of business and, in each case, not past due for more than 60 days or such longer period as permitted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obligations shall not include contingent purchase price amounts required to be recorded pursuant to GAAP until such time, if at all, as the Borrower has determined that such purchase price amounts are no longer contingent;</w:t>
      </w:r>
    </w:p>
    <w:p>
      <w:pPr>
        <w:spacing w:after="0" w:line="186" w:lineRule="exact"/>
        <w:rPr>
          <w:rFonts w:ascii="Arial" w:cs="Arial" w:eastAsia="Arial" w:hAnsi="Arial"/>
          <w:sz w:val="18"/>
          <w:szCs w:val="18"/>
          <w:color w:val="auto"/>
        </w:rPr>
      </w:pPr>
    </w:p>
    <w:p>
      <w:pPr>
        <w:ind w:right="60" w:firstLine="656"/>
        <w:spacing w:after="0" w:line="264" w:lineRule="auto"/>
        <w:tabs>
          <w:tab w:leader="none" w:pos="1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225" w:lineRule="exact"/>
        <w:rPr>
          <w:rFonts w:ascii="Arial" w:cs="Arial" w:eastAsia="Arial" w:hAnsi="Arial"/>
          <w:sz w:val="18"/>
          <w:szCs w:val="18"/>
          <w:color w:val="auto"/>
        </w:rPr>
      </w:pPr>
    </w:p>
    <w:p>
      <w:pPr>
        <w:ind w:right="140" w:firstLine="656"/>
        <w:spacing w:after="0" w:line="264" w:lineRule="auto"/>
        <w:tabs>
          <w:tab w:leader="none" w:pos="130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8"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Other Taxes.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and “</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means the ratio, as of any date of determination thereof, of (a) EBITDA for the 12 month period immediately preceding said date of determination, taken together as one accounting period, </w:t>
      </w:r>
      <w:r>
        <w:rPr>
          <w:rFonts w:ascii="Arial" w:cs="Arial" w:eastAsia="Arial" w:hAnsi="Arial"/>
          <w:sz w:val="18"/>
          <w:szCs w:val="18"/>
          <w:i w:val="1"/>
          <w:iCs w:val="1"/>
          <w:color w:val="auto"/>
        </w:rPr>
        <w:t>-to-</w:t>
      </w:r>
      <w:r>
        <w:rPr>
          <w:rFonts w:ascii="Arial" w:cs="Arial" w:eastAsia="Arial" w:hAnsi="Arial"/>
          <w:sz w:val="18"/>
          <w:szCs w:val="18"/>
          <w:color w:val="auto"/>
        </w:rPr>
        <w:t xml:space="preserve"> (b) all interest, premium payments, debt discount, fees, charges and related expenses of the Borrower and its Subsidiaries in connection with borrowed money (including capitalized interest) or in connection with the deferred purchase price of assets, in each case to the extent treated as interest in accordance with GAAP, paid during the 12 month period immediately preceding said date of determination.</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and (b) as to any Base Rate Loan, the last Business Day of each January, April, July and October and the Maturity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the period commencing on the date such Eurocurrency Rate Loan is disbursed or converted to or continued as a Eurocurrency Rate Loan and ending on the date one, two or three months thereafter, as selected by the Borrower in its Committed Loan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w:t>
      </w:r>
    </w:p>
    <w:p>
      <w:pPr>
        <w:spacing w:after="0" w:line="181" w:lineRule="exact"/>
        <w:rPr>
          <w:sz w:val="20"/>
          <w:szCs w:val="20"/>
          <w:color w:val="auto"/>
        </w:rPr>
      </w:pPr>
    </w:p>
    <w:p>
      <w:pPr>
        <w:ind w:right="60" w:firstLine="1305"/>
        <w:spacing w:after="0" w:line="264" w:lineRule="auto"/>
        <w:tabs>
          <w:tab w:leader="none" w:pos="194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ind w:right="160" w:firstLine="1305"/>
        <w:spacing w:after="0" w:line="264"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Control Event</w:t>
      </w:r>
      <w:r>
        <w:rPr>
          <w:rFonts w:ascii="Arial" w:cs="Arial" w:eastAsia="Arial" w:hAnsi="Arial"/>
          <w:sz w:val="18"/>
          <w:szCs w:val="18"/>
          <w:color w:val="auto"/>
        </w:rPr>
        <w:t>” means a material weakness in, or fraud that involves management or other employees who have a significant role in the Borrower’s internal controls over financial reporting.</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ectPr>
          <w:pgSz w:w="11900" w:h="16838" w:orient="portrait"/>
          <w:cols w:equalWidth="0" w:num="1">
            <w:col w:w="11420"/>
          </w:cols>
          <w:pgMar w:left="240" w:top="341" w:right="239" w:bottom="0" w:gutter="0" w:footer="0" w:header="0"/>
        </w:sectPr>
      </w:pPr>
    </w:p>
    <w:bookmarkStart w:id="38" w:name="page39"/>
    <w:bookmarkEnd w:id="38"/>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L/C Application and any other document, agreement and instrument entered into by the L/C Issuer and the Borrower (or any Subsidiary) or in favor of the L/C Issuer and relating to such Letter of Credit.</w:t>
      </w:r>
    </w:p>
    <w:p>
      <w:pPr>
        <w:spacing w:after="0" w:line="14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and “</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Advance</w:t>
      </w:r>
      <w:r>
        <w:rPr>
          <w:rFonts w:ascii="Arial" w:cs="Arial" w:eastAsia="Arial" w:hAnsi="Arial"/>
          <w:sz w:val="16"/>
          <w:szCs w:val="16"/>
          <w:color w:val="auto"/>
        </w:rPr>
        <w:t>” and “</w:t>
      </w:r>
      <w:r>
        <w:rPr>
          <w:rFonts w:ascii="Arial" w:cs="Arial" w:eastAsia="Arial" w:hAnsi="Arial"/>
          <w:sz w:val="16"/>
          <w:szCs w:val="16"/>
          <w:u w:val="single" w:color="auto"/>
          <w:color w:val="auto"/>
        </w:rPr>
        <w:t>L/C Advances</w:t>
      </w:r>
      <w:r>
        <w:rPr>
          <w:rFonts w:ascii="Arial" w:cs="Arial" w:eastAsia="Arial" w:hAnsi="Arial"/>
          <w:sz w:val="16"/>
          <w:szCs w:val="16"/>
          <w:color w:val="auto"/>
        </w:rPr>
        <w:t>” mean, with respect to each Lender, such Lender’s funding of its participation in any L/C Borrowing in accordance with its Applicable Percentage. All L/C Advances shall be denominated in U.S. Dollars. All L/C Advances shall be denominated in Dollars.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70"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and “</w:t>
      </w:r>
      <w:r>
        <w:rPr>
          <w:rFonts w:ascii="Arial" w:cs="Arial" w:eastAsia="Arial" w:hAnsi="Arial"/>
          <w:sz w:val="17"/>
          <w:szCs w:val="17"/>
          <w:u w:val="single" w:color="auto"/>
          <w:color w:val="auto"/>
        </w:rPr>
        <w:t>L/C Borrowings</w:t>
      </w:r>
      <w:r>
        <w:rPr>
          <w:rFonts w:ascii="Arial" w:cs="Arial" w:eastAsia="Arial" w:hAnsi="Arial"/>
          <w:sz w:val="17"/>
          <w:szCs w:val="17"/>
          <w:color w:val="auto"/>
        </w:rPr>
        <w:t>” mean an extension of credit resulting from a drawing under any Letter of Credit which has not been reimbursed on the date when made or refinanced as a Committed Borrowing. All L/C Borrowings shall be denominated in U.S. Dollars.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Expiration Date</w:t>
      </w:r>
      <w:r>
        <w:rPr>
          <w:rFonts w:ascii="Arial" w:cs="Arial" w:eastAsia="Arial" w:hAnsi="Arial"/>
          <w:sz w:val="18"/>
          <w:szCs w:val="18"/>
          <w:color w:val="auto"/>
        </w:rPr>
        <w:t>” means the day that is thirty days prior to the Maturity Date then in effect (or, if such day is not a Business Day, the next preceding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Bank of America, N.A. in its capacity as issuer of Letters of Credit hereunder, or any successor issuer of Letters of Credit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(a) the aggregate amount available to be drawn under all outstanding Letters of Credit </w:t>
      </w:r>
      <w:r>
        <w:rPr>
          <w:rFonts w:ascii="Arial" w:cs="Arial" w:eastAsia="Arial" w:hAnsi="Arial"/>
          <w:sz w:val="16"/>
          <w:szCs w:val="16"/>
          <w:u w:val="single" w:color="auto"/>
          <w:color w:val="auto"/>
        </w:rPr>
        <w:t>plus</w:t>
      </w:r>
    </w:p>
    <w:p>
      <w:pPr>
        <w:spacing w:after="0" w:line="46" w:lineRule="exact"/>
        <w:rPr>
          <w:sz w:val="20"/>
          <w:szCs w:val="20"/>
          <w:color w:val="auto"/>
        </w:rPr>
      </w:pPr>
    </w:p>
    <w:p>
      <w:pPr>
        <w:ind w:right="20" w:firstLine="8"/>
        <w:spacing w:after="0" w:line="273"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Sublimit</w:t>
      </w:r>
      <w:r>
        <w:rPr>
          <w:rFonts w:ascii="Arial" w:cs="Arial" w:eastAsia="Arial" w:hAnsi="Arial"/>
          <w:sz w:val="17"/>
          <w:szCs w:val="17"/>
          <w:color w:val="auto"/>
        </w:rPr>
        <w:t>” means an amount equal to $10,000,000.00. The L/C Sublimit is part of, and not in addition to, the Aggregate Commitments.</w:t>
      </w:r>
    </w:p>
    <w:p>
      <w:pPr>
        <w:spacing w:after="0" w:line="23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Lead Arranger</w:t>
      </w:r>
      <w:r>
        <w:rPr>
          <w:rFonts w:ascii="Arial" w:cs="Arial" w:eastAsia="Arial" w:hAnsi="Arial"/>
          <w:sz w:val="16"/>
          <w:szCs w:val="16"/>
          <w:color w:val="auto"/>
        </w:rPr>
        <w:t>” means collectively (a) Merrill Lynch, Pierce, Fenner &amp; Smith Incorporated, in its capacity as a Lead Arranger under any of the Loan Documents, (b) J.P. Morgan Securities LLC, in its capacity as a Lead Arranger under any of the Loan Documents, and (c) any successor Lead Arranger.</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and “</w:t>
      </w:r>
      <w:r>
        <w:rPr>
          <w:rFonts w:ascii="Arial" w:cs="Arial" w:eastAsia="Arial" w:hAnsi="Arial"/>
          <w:sz w:val="18"/>
          <w:szCs w:val="18"/>
          <w:u w:val="single" w:color="auto"/>
          <w:color w:val="auto"/>
        </w:rPr>
        <w:t>Lenders</w:t>
      </w:r>
      <w:r>
        <w:rPr>
          <w:rFonts w:ascii="Arial" w:cs="Arial" w:eastAsia="Arial" w:hAnsi="Arial"/>
          <w:sz w:val="18"/>
          <w:szCs w:val="18"/>
          <w:color w:val="auto"/>
        </w:rPr>
        <w:t>” have the meaning assigned and ascribed to such terms as set forth in the preamble to this Agreement. Where the context requires, the defined terms “</w:t>
      </w:r>
      <w:r>
        <w:rPr>
          <w:rFonts w:ascii="Arial" w:cs="Arial" w:eastAsia="Arial" w:hAnsi="Arial"/>
          <w:sz w:val="18"/>
          <w:szCs w:val="18"/>
          <w:u w:val="single" w:color="auto"/>
          <w:color w:val="auto"/>
        </w:rPr>
        <w:t>Lender</w:t>
      </w:r>
      <w:r>
        <w:rPr>
          <w:rFonts w:ascii="Arial" w:cs="Arial" w:eastAsia="Arial" w:hAnsi="Arial"/>
          <w:sz w:val="18"/>
          <w:szCs w:val="18"/>
          <w:color w:val="auto"/>
        </w:rPr>
        <w:t>” and “</w:t>
      </w:r>
      <w:r>
        <w:rPr>
          <w:rFonts w:ascii="Arial" w:cs="Arial" w:eastAsia="Arial" w:hAnsi="Arial"/>
          <w:sz w:val="18"/>
          <w:szCs w:val="18"/>
          <w:u w:val="single" w:color="auto"/>
          <w:color w:val="auto"/>
        </w:rPr>
        <w:t>Lenders</w:t>
      </w:r>
      <w:r>
        <w:rPr>
          <w:rFonts w:ascii="Arial" w:cs="Arial" w:eastAsia="Arial" w:hAnsi="Arial"/>
          <w:sz w:val="18"/>
          <w:szCs w:val="18"/>
          <w:color w:val="auto"/>
        </w:rPr>
        <w:t>” shall include the Canadian Lender.</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70"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Letter of Credit</w:t>
      </w:r>
      <w:r>
        <w:rPr>
          <w:rFonts w:ascii="Arial" w:cs="Arial" w:eastAsia="Arial" w:hAnsi="Arial"/>
          <w:sz w:val="17"/>
          <w:szCs w:val="17"/>
          <w:color w:val="auto"/>
        </w:rPr>
        <w:t>” means any letter of credit issued hereunder and shall include the Existing Letters of Credit. A Letter of Credit may be a commercial letter of credit or a standby letter of credit. Letters of Credit may be issued in Dollars or in an Alternative Currency.</w:t>
      </w:r>
    </w:p>
    <w:p>
      <w:pPr>
        <w:spacing w:after="0" w:line="14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and “</w:t>
      </w:r>
      <w:r>
        <w:rPr>
          <w:rFonts w:ascii="Arial" w:cs="Arial" w:eastAsia="Arial" w:hAnsi="Arial"/>
          <w:sz w:val="18"/>
          <w:szCs w:val="18"/>
          <w:u w:val="single" w:color="auto"/>
          <w:color w:val="auto"/>
        </w:rPr>
        <w:t>Loans</w:t>
      </w:r>
      <w:r>
        <w:rPr>
          <w:rFonts w:ascii="Arial" w:cs="Arial" w:eastAsia="Arial" w:hAnsi="Arial"/>
          <w:sz w:val="18"/>
          <w:szCs w:val="18"/>
          <w:color w:val="auto"/>
        </w:rPr>
        <w:t xml:space="preserve">” mean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Committed Loan.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this Agreement, each Note, each Issuer Document,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 the Administrative Agent Fee Letter, each Collateral Document, the Guaranty, the Non-Recourse Guaranty, and the Subordination Agreements.</w:t>
      </w:r>
    </w:p>
    <w:p>
      <w:pPr>
        <w:spacing w:after="0" w:line="181" w:lineRule="exact"/>
        <w:rPr>
          <w:sz w:val="20"/>
          <w:szCs w:val="20"/>
          <w:color w:val="auto"/>
        </w:rPr>
      </w:pPr>
    </w:p>
    <w:p>
      <w:pPr>
        <w:jc w:val="both"/>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Party</w:t>
      </w:r>
      <w:r>
        <w:rPr>
          <w:rFonts w:ascii="Arial" w:cs="Arial" w:eastAsia="Arial" w:hAnsi="Arial"/>
          <w:sz w:val="16"/>
          <w:szCs w:val="16"/>
          <w:color w:val="auto"/>
        </w:rPr>
        <w:t>” and “</w:t>
      </w:r>
      <w:r>
        <w:rPr>
          <w:rFonts w:ascii="Arial" w:cs="Arial" w:eastAsia="Arial" w:hAnsi="Arial"/>
          <w:sz w:val="16"/>
          <w:szCs w:val="16"/>
          <w:u w:val="single" w:color="auto"/>
          <w:color w:val="auto"/>
        </w:rPr>
        <w:t>Loan Parties</w:t>
      </w:r>
      <w:r>
        <w:rPr>
          <w:rFonts w:ascii="Arial" w:cs="Arial" w:eastAsia="Arial" w:hAnsi="Arial"/>
          <w:sz w:val="16"/>
          <w:szCs w:val="16"/>
          <w:color w:val="auto"/>
        </w:rPr>
        <w:t>” means, individually and collectively, the Borrower and each Person (other than Administrative Agent, the L/C Issuer, or any Lender) executing a Loan Document including, without limitation, each Guarantor and such each Person executing a Collateral Document.</w:t>
      </w:r>
    </w:p>
    <w:p>
      <w:pPr>
        <w:sectPr>
          <w:pgSz w:w="11900" w:h="16838" w:orient="portrait"/>
          <w:cols w:equalWidth="0" w:num="1">
            <w:col w:w="11420"/>
          </w:cols>
          <w:pgMar w:left="240" w:top="125" w:right="239" w:bottom="0" w:gutter="0" w:footer="0" w:header="0"/>
        </w:sectPr>
      </w:pPr>
    </w:p>
    <w:bookmarkStart w:id="39" w:name="page40"/>
    <w:bookmarkEnd w:id="39"/>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Majority-Owned Subsidiary</w:t>
      </w:r>
      <w:r>
        <w:rPr>
          <w:rFonts w:ascii="Arial" w:cs="Arial" w:eastAsia="Arial" w:hAnsi="Arial"/>
          <w:sz w:val="18"/>
          <w:szCs w:val="18"/>
          <w:color w:val="auto"/>
        </w:rPr>
        <w:t>” of the Borrower means a Subsidiary of which the Borrower owns, directly or indirectly through another Subsidiary, more than fifty percent (50%) of the issued and outstanding capital stock or other equity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xml:space="preserve">” means, with respect to any period, the percentage rate per annum determined in accordance with </w:t>
      </w:r>
      <w:r>
        <w:rPr>
          <w:rFonts w:ascii="Arial" w:cs="Arial" w:eastAsia="Arial" w:hAnsi="Arial"/>
          <w:sz w:val="18"/>
          <w:szCs w:val="18"/>
          <w:u w:val="single" w:color="auto"/>
          <w:color w:val="auto"/>
        </w:rPr>
        <w:t>Schedule 1.01(M)</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liabilities (actual or contingent), or condition (financial or otherwise) of the Borrower or the Borrower and its Subsidiaries taken as a whole; (b) a material impairment of the ability of the Borrower to perform its obligations under this Agreement; or (c) a material adverse effect upon the legality, validity, binding effect or enforceability against any Loan Party of any Loan Document to which it is a party which could reasonably be expected to have a material adverse effect upon the rights of the Lenders hereunder.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December 20, 2016.</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the existence of a Defaulting Lender, an amount equal to 105% of the Fronting Exposure of the L/C Issuer with respect to Letters of Credit issued and outstanding at such time and (b) with respect to Cash Collateral consisting of cash or deposit account balances provided in accordance with the provisions of </w:t>
      </w:r>
      <w:r>
        <w:rPr>
          <w:rFonts w:ascii="Arial" w:cs="Arial" w:eastAsia="Arial" w:hAnsi="Arial"/>
          <w:sz w:val="16"/>
          <w:szCs w:val="16"/>
          <w:u w:val="single" w:color="auto"/>
          <w:color w:val="auto"/>
        </w:rPr>
        <w:t>Section 2.14(a)(i), (a)(ii) or (a)(iii)</w:t>
      </w:r>
      <w:r>
        <w:rPr>
          <w:rFonts w:ascii="Arial" w:cs="Arial" w:eastAsia="Arial" w:hAnsi="Arial"/>
          <w:sz w:val="16"/>
          <w:szCs w:val="16"/>
          <w:color w:val="auto"/>
        </w:rPr>
        <w:t>, an amount equal to 105% of the Outstanding Amount of all L/C Obligations.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Guarantor</w:t>
      </w:r>
      <w:r>
        <w:rPr>
          <w:rFonts w:ascii="Arial" w:cs="Arial" w:eastAsia="Arial" w:hAnsi="Arial"/>
          <w:sz w:val="18"/>
          <w:szCs w:val="18"/>
          <w:color w:val="auto"/>
        </w:rPr>
        <w:t>” means Quality Services Laboratories, Inc., a Delaware corporation.</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Guaranty</w:t>
      </w:r>
      <w:r>
        <w:rPr>
          <w:rFonts w:ascii="Arial" w:cs="Arial" w:eastAsia="Arial" w:hAnsi="Arial"/>
          <w:sz w:val="18"/>
          <w:szCs w:val="18"/>
          <w:color w:val="auto"/>
        </w:rPr>
        <w:t>” means the Non-Recourse Guaranty Agreement dated of even date herewith executed and delivered by the Non-Recourse Guarantor, in favor of Administrative Agent, for the benefit of the Lenders, as said Non-Recourse Guaranty Agreement may be from time to time amended, modified, extended, renewed, substituted, and/or supplemented.</w:t>
      </w:r>
    </w:p>
    <w:p>
      <w:pPr>
        <w:spacing w:after="0" w:line="181"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and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means one or more promissory notes made by Borrower in favor of a Lender evidencing Committed Loans made by such Lender,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made a part hereof, as said promissory note(s) may be from time to time amended, modified, extended, renewed, substituted, and/or supplemented.</w:t>
      </w:r>
    </w:p>
    <w:p>
      <w:pPr>
        <w:spacing w:after="0" w:line="181"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advances to, and Indebtedness, liabilities, obligations, covenants and duties of, any Loan Party arising under any Loan Document or otherwise with respect to any Loan, any Letter of Credit, any Secured Cash Management Agreement, and/or any Secured Hedge Agreements,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as any of the foregoing may be from time to time amended, modified, substituted, and/or supplemented.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has the meaning assigned and ascribed to such term as set forth in the first recital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Facilities</w:t>
      </w:r>
      <w:r>
        <w:rPr>
          <w:rFonts w:ascii="Arial" w:cs="Arial" w:eastAsia="Arial" w:hAnsi="Arial"/>
          <w:sz w:val="18"/>
          <w:szCs w:val="18"/>
          <w:color w:val="auto"/>
        </w:rPr>
        <w:t>” has the meaning assigned and ascribed to such term as set forth in the first recital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Notes</w:t>
      </w:r>
      <w:r>
        <w:rPr>
          <w:rFonts w:ascii="Arial" w:cs="Arial" w:eastAsia="Arial" w:hAnsi="Arial"/>
          <w:sz w:val="18"/>
          <w:szCs w:val="18"/>
          <w:color w:val="auto"/>
        </w:rPr>
        <w:t>” has the meaning assigned and ascribed to such term as set forth in the second recital of this Agreement.</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32"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obligations under, received payments under, received or perfected a security interest under, engaged in any other transaction pursuant to or enforced any Loan Document, or sold or assigned an interest in any Loan or Loan Document).</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Committed Loans on any date, the Dollar Equivalent amount of the aggregate outstanding principal amount thereof after giving effect to any borrowings and prepayments or repayments of such Committed Loans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Borrower of Unreimbursed Amounts.</w:t>
      </w:r>
    </w:p>
    <w:p>
      <w:pPr>
        <w:spacing w:after="0" w:line="18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Overnight Rate</w:t>
      </w:r>
      <w:r>
        <w:rPr>
          <w:rFonts w:ascii="Arial" w:cs="Arial" w:eastAsia="Arial" w:hAnsi="Arial"/>
          <w:sz w:val="16"/>
          <w:szCs w:val="16"/>
          <w:color w:val="auto"/>
        </w:rPr>
        <w:t>” means, for any day, (a) with respect to any amount denominated in Dollars, the greater of (i) the Federal Funds Rate and (ii) an overnight rate determined by the Administrative Agent or the L/C Issuer,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each state so described in any EMU Legislation.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association, company, partnership (whether limited or general), or other entity.</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Subsidiary</w:t>
      </w:r>
      <w:r>
        <w:rPr>
          <w:rFonts w:ascii="Arial" w:cs="Arial" w:eastAsia="Arial" w:hAnsi="Arial"/>
          <w:sz w:val="18"/>
          <w:szCs w:val="18"/>
          <w:color w:val="auto"/>
        </w:rPr>
        <w:t>” means any Person that (a) is a foreign first-tier Subsidiary of the Borrower, (b) has assets or operating income that represents five percent (5.0%) or more of the assets or operating income of the Borrower, and (c) is a Majority-Owned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any Loan Party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Administrative Agents, trustees, administrators, managers, advisors and representatives of such Person and of such Person’s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Reportable Event</w:t>
      </w:r>
      <w:r>
        <w:rPr>
          <w:rFonts w:ascii="Arial" w:cs="Arial" w:eastAsia="Arial" w:hAnsi="Arial"/>
          <w:sz w:val="16"/>
          <w:szCs w:val="16"/>
          <w:color w:val="auto"/>
        </w:rPr>
        <w:t>” means any of the events set forth in Section 4043(c) of ERISA, other than events for which the 30 day notice period has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waived.</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Committed Loans, a Committed Loan Notice and (b) with respect to an L/C Credit Extension, a L/C Application.</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Total Credit Exposures representing 66 2/3% or more of the Total Credit Exposures of all Lenders. The Total Credit Exposure of any Defaulting Lender shall be disregarded in determining Required Lenders at any time;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amount of</w:t>
      </w:r>
    </w:p>
    <w:p>
      <w:pPr>
        <w:sectPr>
          <w:pgSz w:w="11900" w:h="16838" w:orient="portrait"/>
          <w:cols w:equalWidth="0" w:num="1">
            <w:col w:w="11400"/>
          </w:cols>
          <w:pgMar w:left="240" w:top="125" w:right="259" w:bottom="0" w:gutter="0" w:footer="0" w:header="0"/>
        </w:sectPr>
      </w:pPr>
    </w:p>
    <w:bookmarkStart w:id="41" w:name="page42"/>
    <w:bookmarkEnd w:id="41"/>
    <w:p>
      <w:pPr>
        <w:ind w:right="520"/>
        <w:spacing w:after="0" w:line="277" w:lineRule="auto"/>
        <w:rPr>
          <w:sz w:val="20"/>
          <w:szCs w:val="20"/>
          <w:color w:val="auto"/>
        </w:rPr>
      </w:pPr>
      <w:r>
        <w:rPr>
          <w:rFonts w:ascii="Arial" w:cs="Arial" w:eastAsia="Arial" w:hAnsi="Arial"/>
          <w:sz w:val="18"/>
          <w:szCs w:val="18"/>
          <w:color w:val="auto"/>
        </w:rPr>
        <w:t>any participation in any Unreimbursed Amounts that such Defaulting Lender has failed to fund that have not been reallocated to and funded by another Lender shall be deemed to be held by the Lender that is the L/C Issuer in making such determination.</w:t>
      </w:r>
    </w:p>
    <w:p>
      <w:pPr>
        <w:spacing w:after="0" w:line="16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president, chief financial officer, treasurer, assistant treasurer or controller of a Loan Party</w:t>
      </w:r>
      <w:r>
        <w:rPr>
          <w:rFonts w:ascii="Arial" w:cs="Arial" w:eastAsia="Arial" w:hAnsi="Arial"/>
          <w:sz w:val="18"/>
          <w:szCs w:val="18"/>
          <w:b w:val="1"/>
          <w:bCs w:val="1"/>
          <w:color w:val="auto"/>
        </w:rPr>
        <w:t>,</w:t>
      </w:r>
      <w:r>
        <w:rPr>
          <w:rFonts w:ascii="Arial" w:cs="Arial" w:eastAsia="Arial" w:hAnsi="Arial"/>
          <w:sz w:val="18"/>
          <w:szCs w:val="18"/>
          <w:color w:val="auto"/>
        </w:rPr>
        <w:t xml:space="preserve"> and solely for purposes of the delivery of incumbency certificates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secretary or any assistant secretary of a Loan Party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termination of any such capital stock or other Equity Interest or on account of any return of capital to the Borrower’s stockholders, partners or members (or the equivalent Person thereof).</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(iv) in the case of the Existing Letters of Credit, December 20, 2012,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 such additional dates as the Administrative Agent or the L/C Issuer shall determine or the Required Lenders shall require.</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Committed Loans and such Lender’s participation in L/C Obligations at such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or any transactions or confirmations thereunder,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any Loan Party and any Hedge Bank. For purposes of clarity, the defined term “</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shall not include any transactions or confirmations with a Lender or an Affiliate of such Lender entered into after such Lender ceases to be a Lender or such Affiliate ceases to be an Affiliate of such Lender.</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the Securities Act of 1933, the Securities Exchange Act of 1934, Sarbanes-Oxley and the applicable accounting and auditing principles, rules, standards and practices promulgated, approved or incorporated by the SEC or the PCAOB.</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(a) the currency of a country that is a member of the Organization for Economic Cooperation and Development at such time located in North America or Europe and (b) Yen.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Rate</w:t>
      </w:r>
      <w:r>
        <w:rPr>
          <w:rFonts w:ascii="Arial" w:cs="Arial" w:eastAsia="Arial" w:hAnsi="Arial"/>
          <w:sz w:val="18"/>
          <w:szCs w:val="18"/>
          <w:color w:val="auto"/>
        </w:rPr>
        <w:t>” for a currency means the rate determined by the Administrative Agent or the 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L/C Issuer may use such spot rate quoted on the date as of which the foreign exchange computation is made in the case of any Letter of Credit denominated in an Alternative Currency.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Notes</w:t>
      </w:r>
      <w:r>
        <w:rPr>
          <w:rFonts w:ascii="Arial" w:cs="Arial" w:eastAsia="Arial" w:hAnsi="Arial"/>
          <w:sz w:val="16"/>
          <w:szCs w:val="16"/>
          <w:color w:val="auto"/>
        </w:rPr>
        <w:t xml:space="preserve">” means a collective reference to any subordinated promissory note entered into by the Borrower or any Subsidiary as evidence of Indebtedness incurred under </w:t>
      </w:r>
      <w:r>
        <w:rPr>
          <w:rFonts w:ascii="Arial" w:cs="Arial" w:eastAsia="Arial" w:hAnsi="Arial"/>
          <w:sz w:val="16"/>
          <w:szCs w:val="16"/>
          <w:u w:val="single" w:color="auto"/>
          <w:color w:val="auto"/>
        </w:rPr>
        <w:t>Section 7.03(f)(ii)</w:t>
      </w:r>
      <w:r>
        <w:rPr>
          <w:rFonts w:ascii="Arial" w:cs="Arial" w:eastAsia="Arial" w:hAnsi="Arial"/>
          <w:sz w:val="16"/>
          <w:szCs w:val="16"/>
          <w:color w:val="auto"/>
        </w:rPr>
        <w:t>, which promissory note is subject to a Subordination Agreement in favor of the Administrative Agent, for the benefit of the Lenders, as any such promissory note may be from time to time amended, modified, extended, renewed, substituted, and/or supplemented.</w:t>
      </w:r>
    </w:p>
    <w:p>
      <w:pPr>
        <w:sectPr>
          <w:pgSz w:w="11900" w:h="16838" w:orient="portrait"/>
          <w:cols w:equalWidth="0" w:num="1">
            <w:col w:w="11400"/>
          </w:cols>
          <w:pgMar w:left="240" w:top="125" w:right="259" w:bottom="0" w:gutter="0" w:footer="0" w:header="0"/>
        </w:sectPr>
      </w:pPr>
    </w:p>
    <w:bookmarkStart w:id="42" w:name="page43"/>
    <w:bookmarkEnd w:id="42"/>
    <w:p>
      <w:pPr>
        <w:ind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and “</w:t>
      </w:r>
      <w:r>
        <w:rPr>
          <w:rFonts w:ascii="Arial" w:cs="Arial" w:eastAsia="Arial" w:hAnsi="Arial"/>
          <w:sz w:val="18"/>
          <w:szCs w:val="18"/>
          <w:u w:val="single" w:color="auto"/>
          <w:color w:val="auto"/>
        </w:rPr>
        <w:t>Subordination Agreements</w:t>
      </w:r>
      <w:r>
        <w:rPr>
          <w:rFonts w:ascii="Arial" w:cs="Arial" w:eastAsia="Arial" w:hAnsi="Arial"/>
          <w:sz w:val="18"/>
          <w:szCs w:val="18"/>
          <w:color w:val="auto"/>
        </w:rPr>
        <w:t>” means any subordination agreement entered into by the Borrower or any Subsidiary in connection with Subordinated Notes, as any such subordination agreement may be from time to time amended, modified, extended, renewed, substituted, and/or supplemented.</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shall be hereinafter referred to as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7" w:lineRule="exact"/>
        <w:rPr>
          <w:sz w:val="20"/>
          <w:szCs w:val="20"/>
          <w:color w:val="auto"/>
        </w:rPr>
      </w:pPr>
    </w:p>
    <w:p>
      <w:pPr>
        <w:ind w:right="46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w:t>
      </w:r>
    </w:p>
    <w:p>
      <w:pPr>
        <w:ind w:right="160"/>
        <w:spacing w:after="0" w:line="261" w:lineRule="auto"/>
        <w:rPr>
          <w:sz w:val="20"/>
          <w:szCs w:val="20"/>
          <w:color w:val="auto"/>
        </w:rPr>
      </w:pPr>
      <w:r>
        <w:rPr>
          <w:rFonts w:ascii="Arial" w:cs="Arial" w:eastAsia="Arial" w:hAnsi="Arial"/>
          <w:sz w:val="18"/>
          <w:szCs w:val="18"/>
          <w:color w:val="auto"/>
        </w:rPr>
        <w:t>amount(s) determined as the mark-to-market value(s) for such Swap Contracts, as determined based upon one or more mid-market or other readily available quotations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provided by any recognized dealer in such Swap Contracts (which may include a Lender or any Affiliate of a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640" w:firstLine="8"/>
        <w:spacing w:after="0" w:line="323"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$1,500,000.00.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unused Commitments and Revolving Credit Exposure of such Lender at such time.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Liabilities</w:t>
      </w:r>
      <w:r>
        <w:rPr>
          <w:rFonts w:ascii="Arial" w:cs="Arial" w:eastAsia="Arial" w:hAnsi="Arial"/>
          <w:sz w:val="18"/>
          <w:szCs w:val="18"/>
          <w:color w:val="auto"/>
        </w:rPr>
        <w:t xml:space="preserve">” means the sum of (a) current liabilities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long term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TTM EBITDA</w:t>
      </w:r>
      <w:r>
        <w:rPr>
          <w:rFonts w:ascii="Arial" w:cs="Arial" w:eastAsia="Arial" w:hAnsi="Arial"/>
          <w:sz w:val="18"/>
          <w:szCs w:val="18"/>
          <w:color w:val="auto"/>
        </w:rPr>
        <w:t>” means an amount equal to the “Designated Percentage” (as such term is defined below) of the actual historical EBITDA of any Person acquired by the Borrower or one of its Subsidiaries in accordance with the terms, conditions, and provisions of this Agreement, as such EBITDA is calculated as agreed between the Borrower and the Administrative Agent, based on the Administrative Agent’s review of the acquired Person’s financial statements for the twelve (12) month period immediately preceding the last day of the last fiscal quarter of the acquired Person occurring prior to the date of acquisition or such Person’s Federal tax returns covering all or any portion of said period. For the purposes of this definition, the term “Designated Percentage” shall mean (a) in the event the acquired Person’s financial statements are “audited” statements, one hundred percent (100%), (b) in the event the acquired Person’s financial statements are “reviewed” statements, seventy-five percent (75%), (c) in the event the acquired Person’s Federal tax returns are reviewed by the Administrative Agent, seventy-five percent (75%), and (d) in the event the acquired Person’s financial statements are “compiled” statements, fifty percent (50%).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Committed Loan, its character as a Base Rate Loan or a Eurocurrency Rate Loan.</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means lawful money of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ectPr>
          <w:pgSz w:w="11900" w:h="16838" w:orient="portrait"/>
          <w:cols w:equalWidth="0" w:num="1">
            <w:col w:w="11420"/>
          </w:cols>
          <w:pgMar w:left="240" w:top="125" w:right="239" w:bottom="0" w:gutter="0" w:footer="0" w:header="0"/>
        </w:sectPr>
      </w:pPr>
    </w:p>
    <w:bookmarkStart w:id="43" w:name="page44"/>
    <w:bookmarkEnd w:id="43"/>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Yen</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Japan.</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the Borrower means a Subsidiary of which the Borrower owns, directly or indirectly through another Subsidiary, ninety-five percent (95%) or more of the issued and outstanding capital stock or other equity interests.</w:t>
      </w:r>
    </w:p>
    <w:p>
      <w:pPr>
        <w:spacing w:after="0" w:line="16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166" w:lineRule="exact"/>
        <w:rPr>
          <w:sz w:val="20"/>
          <w:szCs w:val="20"/>
          <w:color w:val="auto"/>
        </w:rPr>
      </w:pPr>
    </w:p>
    <w:p>
      <w:pPr>
        <w:ind w:firstLine="656"/>
        <w:spacing w:after="0" w:line="286" w:lineRule="auto"/>
        <w:tabs>
          <w:tab w:leader="none" w:pos="129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74" w:lineRule="exact"/>
        <w:rPr>
          <w:rFonts w:ascii="Arial" w:cs="Arial" w:eastAsia="Arial" w:hAnsi="Arial"/>
          <w:sz w:val="16"/>
          <w:szCs w:val="16"/>
          <w:color w:val="auto"/>
        </w:rPr>
      </w:pPr>
    </w:p>
    <w:p>
      <w:pPr>
        <w:ind w:right="440" w:firstLine="656"/>
        <w:spacing w:after="0" w:line="277"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right="840" w:firstLine="656"/>
        <w:spacing w:after="0" w:line="277" w:lineRule="auto"/>
        <w:tabs>
          <w:tab w:leader="none" w:pos="13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u w:val="single" w:color="auto"/>
          <w:color w:val="auto"/>
        </w:rPr>
        <w:t>Accounting Terms</w:t>
      </w:r>
    </w:p>
    <w:p>
      <w:pPr>
        <w:spacing w:after="0" w:line="229" w:lineRule="exact"/>
        <w:rPr>
          <w:sz w:val="20"/>
          <w:szCs w:val="20"/>
          <w:color w:val="auto"/>
        </w:rPr>
      </w:pPr>
    </w:p>
    <w:p>
      <w:pPr>
        <w:ind w:right="180" w:firstLine="656"/>
        <w:spacing w:after="0" w:line="342" w:lineRule="auto"/>
        <w:tabs>
          <w:tab w:leader="none" w:pos="129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54" w:lineRule="exact"/>
        <w:rPr>
          <w:sz w:val="20"/>
          <w:szCs w:val="20"/>
          <w:color w:val="auto"/>
        </w:rPr>
      </w:pPr>
    </w:p>
    <w:p>
      <w:pPr>
        <w:ind w:firstLine="656"/>
        <w:spacing w:after="0" w:line="289" w:lineRule="auto"/>
        <w:tabs>
          <w:tab w:leader="none" w:pos="1304"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66" w:lineRule="exact"/>
        <w:rPr>
          <w:rFonts w:ascii="Arial" w:cs="Arial" w:eastAsia="Arial" w:hAnsi="Arial"/>
          <w:sz w:val="16"/>
          <w:szCs w:val="16"/>
          <w:color w:val="auto"/>
        </w:rPr>
      </w:pPr>
    </w:p>
    <w:p>
      <w:pPr>
        <w:ind w:right="60" w:firstLine="656"/>
        <w:spacing w:after="0" w:line="259" w:lineRule="auto"/>
        <w:tabs>
          <w:tab w:leader="none" w:pos="130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Borrower and its Consolidated Subsidiaries or to the determination of any amount for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b w:val="1"/>
          <w:bCs w:val="1"/>
          <w:u w:val="single" w:color="auto"/>
          <w:color w:val="auto"/>
        </w:rPr>
        <w:t>Rounding</w:t>
      </w:r>
      <w:r>
        <w:rPr>
          <w:rFonts w:ascii="Arial" w:cs="Arial" w:eastAsia="Arial" w:hAnsi="Arial"/>
          <w:sz w:val="18"/>
          <w:szCs w:val="18"/>
          <w:color w:val="auto"/>
        </w:rPr>
        <w:t>. Any financial ratios required to be maintained by the Borrower pursuant to this Agreement shall be calculated by dividing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Exchange Rates; Currency Equivalents.</w:t>
      </w:r>
    </w:p>
    <w:p>
      <w:pPr>
        <w:spacing w:after="0" w:line="229" w:lineRule="exact"/>
        <w:rPr>
          <w:sz w:val="20"/>
          <w:szCs w:val="20"/>
          <w:color w:val="auto"/>
        </w:rPr>
      </w:pPr>
    </w:p>
    <w:p>
      <w:pPr>
        <w:ind w:right="20" w:firstLine="656"/>
        <w:spacing w:after="0" w:line="273" w:lineRule="auto"/>
        <w:tabs>
          <w:tab w:leader="none" w:pos="1294"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78" w:lineRule="exact"/>
        <w:rPr>
          <w:rFonts w:ascii="Arial" w:cs="Arial" w:eastAsia="Arial" w:hAnsi="Arial"/>
          <w:sz w:val="17"/>
          <w:szCs w:val="17"/>
          <w:color w:val="auto"/>
        </w:rPr>
      </w:pPr>
    </w:p>
    <w:p>
      <w:pPr>
        <w:jc w:val="both"/>
        <w:ind w:right="120" w:firstLine="656"/>
        <w:spacing w:after="0" w:line="342" w:lineRule="auto"/>
        <w:tabs>
          <w:tab w:leader="none" w:pos="13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w:t>
      </w:r>
    </w:p>
    <w:p>
      <w:pPr>
        <w:sectPr>
          <w:pgSz w:w="11900" w:h="16908" w:orient="portrait"/>
          <w:cols w:equalWidth="0" w:num="1">
            <w:col w:w="11400"/>
          </w:cols>
          <w:pgMar w:left="240" w:top="125" w:right="259" w:bottom="0" w:gutter="0" w:footer="0" w:header="0"/>
        </w:sectPr>
      </w:pPr>
    </w:p>
    <w:bookmarkStart w:id="44" w:name="page45"/>
    <w:bookmarkEnd w:id="44"/>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such Committed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6"/>
          <w:szCs w:val="16"/>
          <w:b w:val="1"/>
          <w:bCs w:val="1"/>
          <w:u w:val="single" w:color="auto"/>
          <w:color w:val="auto"/>
        </w:rPr>
        <w:t>Additional Alternative Currencies.</w:t>
      </w:r>
    </w:p>
    <w:p>
      <w:pPr>
        <w:spacing w:after="0" w:line="229" w:lineRule="exact"/>
        <w:rPr>
          <w:sz w:val="20"/>
          <w:szCs w:val="20"/>
          <w:color w:val="auto"/>
        </w:rPr>
      </w:pPr>
    </w:p>
    <w:p>
      <w:pPr>
        <w:ind w:firstLine="656"/>
        <w:spacing w:after="0" w:line="293" w:lineRule="auto"/>
        <w:tabs>
          <w:tab w:leader="none" w:pos="129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request that Eurocurrency Rate Loans be made and/or Letters of Credit be issued in a currency other than those specifically listed in the definition of “Alternative Currency;”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 The approval of the Administrative Agent, the Lenders, and/or the L/C Issuer required under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shall not be unreasonably withheld, conditioned or delayed.</w:t>
      </w:r>
    </w:p>
    <w:p>
      <w:pPr>
        <w:spacing w:after="0" w:line="164" w:lineRule="exact"/>
        <w:rPr>
          <w:rFonts w:ascii="Arial" w:cs="Arial" w:eastAsia="Arial" w:hAnsi="Arial"/>
          <w:sz w:val="16"/>
          <w:szCs w:val="16"/>
          <w:color w:val="auto"/>
        </w:rPr>
      </w:pPr>
    </w:p>
    <w:p>
      <w:pPr>
        <w:ind w:firstLine="656"/>
        <w:spacing w:after="0" w:line="291" w:lineRule="auto"/>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such request shall be made to the Administrative Agent not later than 11:00 a.m., seven (7)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seven (7) Business Days after receipt of such request whether it consents, in its sole discretion, to the making of Eurocurrency Rate Loans or the issuance of Letters of Credit, as the case may be, in such requested currency.</w:t>
      </w:r>
    </w:p>
    <w:p>
      <w:pPr>
        <w:spacing w:after="0" w:line="167" w:lineRule="exact"/>
        <w:rPr>
          <w:rFonts w:ascii="Arial" w:cs="Arial" w:eastAsia="Arial" w:hAnsi="Arial"/>
          <w:sz w:val="16"/>
          <w:szCs w:val="16"/>
          <w:color w:val="auto"/>
        </w:rPr>
      </w:pPr>
    </w:p>
    <w:p>
      <w:pPr>
        <w:ind w:right="20" w:firstLine="656"/>
        <w:spacing w:after="0" w:line="290" w:lineRule="auto"/>
        <w:tabs>
          <w:tab w:leader="none" w:pos="1307"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 currency. If the Administrative Agent and all the Lenders consent to making Eurocurrency Rate Loans in such requested currency, the Administrative Agent shall so notify the Borrower and such currency shall thereupon be deemed for all purposes to be an Alternative Currency hereunder for purposes of any Committed Borrowings of Eurocurrency Rate Loans; and if the Administrative Agent and the L/C Issuer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6"/>
          <w:szCs w:val="16"/>
          <w:u w:val="single" w:color="auto"/>
          <w:color w:val="auto"/>
        </w:rPr>
        <w:t>Section 1.06</w:t>
      </w:r>
      <w:r>
        <w:rPr>
          <w:rFonts w:ascii="Arial" w:cs="Arial" w:eastAsia="Arial" w:hAnsi="Arial"/>
          <w:sz w:val="16"/>
          <w:szCs w:val="16"/>
          <w:color w:val="auto"/>
        </w:rPr>
        <w:t>, the Administrative Agent shall promptly so notify the Borrower.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6"/>
          <w:szCs w:val="16"/>
          <w:b w:val="1"/>
          <w:bCs w:val="1"/>
          <w:u w:val="single" w:color="auto"/>
          <w:color w:val="auto"/>
        </w:rPr>
        <w:t>Change of Currency.</w:t>
      </w:r>
    </w:p>
    <w:p>
      <w:pPr>
        <w:spacing w:after="0" w:line="229" w:lineRule="exact"/>
        <w:rPr>
          <w:sz w:val="20"/>
          <w:szCs w:val="20"/>
          <w:color w:val="auto"/>
        </w:rPr>
      </w:pPr>
    </w:p>
    <w:p>
      <w:pPr>
        <w:ind w:right="60" w:firstLine="656"/>
        <w:spacing w:after="0" w:line="272" w:lineRule="auto"/>
        <w:tabs>
          <w:tab w:leader="none" w:pos="1294"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if any Committed Borrowing in the currency of such member state is outstanding immediately prior to such date, such replacement shall take effect, with respect to such Committed Borrowing, at the end of the then current Interest Period.</w:t>
      </w:r>
    </w:p>
    <w:p>
      <w:pPr>
        <w:spacing w:after="0" w:line="177" w:lineRule="exact"/>
        <w:rPr>
          <w:rFonts w:ascii="Arial" w:cs="Arial" w:eastAsia="Arial" w:hAnsi="Arial"/>
          <w:sz w:val="17"/>
          <w:szCs w:val="17"/>
          <w:color w:val="auto"/>
        </w:rPr>
      </w:pPr>
    </w:p>
    <w:p>
      <w:pPr>
        <w:ind w:right="20" w:firstLine="656"/>
        <w:spacing w:after="0" w:line="342" w:lineRule="auto"/>
        <w:tabs>
          <w:tab w:leader="none" w:pos="1304"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practices relating to the Euro.</w:t>
      </w:r>
    </w:p>
    <w:p>
      <w:pPr>
        <w:spacing w:after="0" w:line="225" w:lineRule="exact"/>
        <w:rPr>
          <w:sz w:val="20"/>
          <w:szCs w:val="20"/>
          <w:color w:val="auto"/>
        </w:rPr>
      </w:pPr>
    </w:p>
    <w:p>
      <w:pPr>
        <w:ind w:right="240" w:firstLine="656"/>
        <w:spacing w:after="0" w:line="264" w:lineRule="auto"/>
        <w:tabs>
          <w:tab w:leader="none" w:pos="1307"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b w:val="1"/>
          <w:bCs w:val="1"/>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b w:val="1"/>
          <w:bCs w:val="1"/>
          <w:u w:val="single" w:color="auto"/>
          <w:color w:val="auto"/>
        </w:rPr>
        <w:t>Letter of Credit Amounts</w:t>
      </w:r>
      <w:r>
        <w:rPr>
          <w:rFonts w:ascii="Arial" w:cs="Arial" w:eastAsia="Arial" w:hAnsi="Arial"/>
          <w:sz w:val="18"/>
          <w:szCs w:val="18"/>
          <w:color w:val="auto"/>
        </w:rPr>
        <w:t>. Unless otherwise specified herein the amount of a Letter of Credit at any time shall be deemed to be the Dollar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THE COMMITMENTS AND CREDIT EXTENSIONS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u w:val="single" w:color="auto"/>
          <w:color w:val="auto"/>
        </w:rPr>
        <w:t>Loans</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Subject to the terms and conditions set forth herein, each Lender severally agrees to make certain loans (hereinafter each such loan shall be referred to as a “</w:t>
      </w:r>
      <w:r>
        <w:rPr>
          <w:rFonts w:ascii="Arial" w:cs="Arial" w:eastAsia="Arial" w:hAnsi="Arial"/>
          <w:sz w:val="16"/>
          <w:szCs w:val="16"/>
          <w:u w:val="single" w:color="auto"/>
          <w:color w:val="auto"/>
        </w:rPr>
        <w:t>Committed Loan</w:t>
      </w:r>
      <w:r>
        <w:rPr>
          <w:rFonts w:ascii="Arial" w:cs="Arial" w:eastAsia="Arial" w:hAnsi="Arial"/>
          <w:sz w:val="16"/>
          <w:szCs w:val="16"/>
          <w:color w:val="auto"/>
        </w:rPr>
        <w:t>” and all such loans shall be collectively referred to as the “</w:t>
      </w:r>
      <w:r>
        <w:rPr>
          <w:rFonts w:ascii="Arial" w:cs="Arial" w:eastAsia="Arial" w:hAnsi="Arial"/>
          <w:sz w:val="16"/>
          <w:szCs w:val="16"/>
          <w:u w:val="single" w:color="auto"/>
          <w:color w:val="auto"/>
        </w:rPr>
        <w:t>Committed Loans</w:t>
      </w:r>
      <w:r>
        <w:rPr>
          <w:rFonts w:ascii="Arial" w:cs="Arial" w:eastAsia="Arial" w:hAnsi="Arial"/>
          <w:sz w:val="16"/>
          <w:szCs w:val="16"/>
          <w:color w:val="auto"/>
        </w:rPr>
        <w:t xml:space="preserve">”) to the Borrower in Dollars or in one or more Alternative Currencies from time to time, on any Business Day during the Availability Period, in an aggregate amount not to exceed at any time outstanding the amount of such Lender’s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Borrowing of a Committed Loan, (i) the Total Outstandings shall not exceed the Aggregate Commitments, (ii) the Revolving Credit Exposure of any Lender shall not exceed such Lender’s Commitment, and (iii) the</w:t>
      </w:r>
    </w:p>
    <w:p>
      <w:pPr>
        <w:sectPr>
          <w:pgSz w:w="11900" w:h="16941" w:orient="portrait"/>
          <w:cols w:equalWidth="0" w:num="1">
            <w:col w:w="11420"/>
          </w:cols>
          <w:pgMar w:left="240" w:top="125" w:right="239" w:bottom="0" w:gutter="0" w:footer="0" w:header="0"/>
        </w:sectPr>
      </w:pPr>
    </w:p>
    <w:bookmarkStart w:id="45" w:name="page46"/>
    <w:bookmarkEnd w:id="45"/>
    <w:p>
      <w:pPr>
        <w:ind w:right="100"/>
        <w:spacing w:after="0" w:line="259" w:lineRule="auto"/>
        <w:rPr>
          <w:sz w:val="20"/>
          <w:szCs w:val="20"/>
          <w:color w:val="auto"/>
        </w:rPr>
      </w:pPr>
      <w:r>
        <w:rPr>
          <w:rFonts w:ascii="Arial" w:cs="Arial" w:eastAsia="Arial" w:hAnsi="Arial"/>
          <w:sz w:val="18"/>
          <w:szCs w:val="18"/>
          <w:color w:val="auto"/>
        </w:rPr>
        <w:t xml:space="preserve">aggregate Outstanding Amount of all Committed Loans denominated in Alternative Currencies shall not exceed the Alternative Currency Sublimit. Within the limits of each Lender’s Commitment, and subject to the other terms and conditions hereof, Borrower may 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The Committed Loans may be Base Rate Loans or Eurocurrency Rate Loans, as further provided herein, and the Borrower shall execute and deliver a Note to each Lender requesting a Note.</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u w:val="single" w:color="auto"/>
          <w:color w:val="auto"/>
        </w:rPr>
        <w:t>Borrowings, Conversions and Continuations of Committed Loans</w:t>
      </w:r>
      <w:r>
        <w:rPr>
          <w:rFonts w:ascii="Arial" w:cs="Arial" w:eastAsia="Arial" w:hAnsi="Arial"/>
          <w:sz w:val="16"/>
          <w:szCs w:val="16"/>
          <w:color w:val="auto"/>
        </w:rPr>
        <w:t>.</w:t>
      </w:r>
    </w:p>
    <w:p>
      <w:pPr>
        <w:spacing w:after="0" w:line="229" w:lineRule="exact"/>
        <w:rPr>
          <w:sz w:val="20"/>
          <w:szCs w:val="20"/>
          <w:color w:val="auto"/>
        </w:rPr>
      </w:pPr>
    </w:p>
    <w:p>
      <w:pPr>
        <w:ind w:right="60" w:firstLine="656"/>
        <w:spacing w:after="0" w:line="286" w:lineRule="auto"/>
        <w:tabs>
          <w:tab w:leader="none" w:pos="1294" w:val="left"/>
        </w:tabs>
        <w:numPr>
          <w:ilvl w:val="1"/>
          <w:numId w:val="40"/>
        </w:numPr>
        <w:rPr>
          <w:rFonts w:ascii="Arial" w:cs="Arial" w:eastAsia="Arial" w:hAnsi="Arial"/>
          <w:sz w:val="16"/>
          <w:szCs w:val="16"/>
          <w:color w:val="auto"/>
        </w:rPr>
      </w:pPr>
      <w:r>
        <w:rPr>
          <w:rFonts w:ascii="Arial" w:cs="Arial" w:eastAsia="Arial" w:hAnsi="Arial"/>
          <w:sz w:val="16"/>
          <w:szCs w:val="16"/>
          <w:color w:val="auto"/>
        </w:rPr>
        <w:t>Each Committed Borrowing, each conversion of Committed Loans from one Type to the other, and each continuation of Eurocurrency Rate Loans shall be made upon Borrower’s irrevocable notice to Administrative Agent, which may be given by telephone. Each such notice must be received by Administrative Agent not later than 11:00 a.m. (i) three Business Days prior to the requested date of any Borrowing of, conversion to or continuation of Eurocurrency Rate Loans denominated in U.S. Dollars or of any conversion of Eurocurrency Rate Loans denominated in U.S. Dollars to Base Rate Loans,</w:t>
      </w:r>
    </w:p>
    <w:p>
      <w:pPr>
        <w:spacing w:after="0" w:line="1" w:lineRule="exact"/>
        <w:rPr>
          <w:rFonts w:ascii="Arial" w:cs="Arial" w:eastAsia="Arial" w:hAnsi="Arial"/>
          <w:sz w:val="16"/>
          <w:szCs w:val="16"/>
          <w:color w:val="auto"/>
        </w:rPr>
      </w:pPr>
    </w:p>
    <w:p>
      <w:pPr>
        <w:ind w:right="280" w:firstLine="8"/>
        <w:spacing w:after="0" w:line="253"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four Business Days (or five Business Days in the case of a Special Notice Currency) prior to the requested date of any Borrowing or continuation of Eurocurrency Rate Loans denominated in Alternative Currencies, and (iii) on the requested date of any Borrowing of Base Rate Loans. Each telephonic notice by the Borrower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confirmed promptly by delivery to the Administrative Agent of a written Committed Loan Notice, appropriately completed and signed by a Responsible Officer of the Borrower. Each Borrowing of, conversion to or continuation of Eurocurrency Rate Loans shall be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a principal amount of $500,000.00 or a whole multiple of $100,000.00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each conversion to Base Rate Loans shall be in a principal amount of $500,000.00 or a whole multiple of $100,000.00 in excess thereof. Each Committed Loan Notice (whether telephonic or written) shall specify (A) whether the Borrower is requesting a Committed Borrowing, a conversion of Committed Loans from one Type to the other, or a continuation of Eurocurrency Rate Loans, (B) the requested date of the Borrowing, conversion or continuation, as the case may be (which shall be a Business Day), (C) the principal amount of Committed Loans to be borrowed, converted or continued, (D) the Type of Committed Loans to be borrowed or to which existing Committed Loans are to be converted, (E) if applicable, the duration of the Interest Period with respect thereto, and (F) the currency of the Committed Loans to be borrowed. If the Borrower fails to specify a currency in a Committed Loan Notice requesting a Borrowing, then the Committed Loans so requested shall be made in Dollars. If the Borrower fails to specify a Type of Committed Loan in a Committed Loan Notice or if the Borrower fails to give a timely notice requesting a conversion or continuation, then the applicable Committed Loans shall be made as, or converted to,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Committed Loans denominated in an Alternative Currency,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Loans. If the Borrower requests a Borrowing of, conversion to, or continuation of Eurocurrency Rate Loans in any such Committed Loan Notice, but fails to specify an Interest Period, it will be deemed to have specified an Interest Period of one (1) month. No Committed Loan may be converted into or continued as a Committed Loan denominated in a different currency, but instead must be prepaid in the original currency of such Committed Loan and reborrowed in the other currency.</w:t>
      </w:r>
    </w:p>
    <w:p>
      <w:pPr>
        <w:spacing w:after="0" w:line="169" w:lineRule="exact"/>
        <w:rPr>
          <w:sz w:val="20"/>
          <w:szCs w:val="20"/>
          <w:color w:val="auto"/>
        </w:rPr>
      </w:pPr>
    </w:p>
    <w:p>
      <w:pPr>
        <w:ind w:right="140" w:firstLine="656"/>
        <w:spacing w:after="0" w:line="283" w:lineRule="auto"/>
        <w:tabs>
          <w:tab w:leader="none" w:pos="1304"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(and the currency) of its Applicable Percentage of the applicable Committed Loans, and if no timely notice of a conversion or continuation is provided by the Borrower, the Administrative Agent shall notify each Lender of the details of any automatic conversion to Base Rate Loans or continuation of Committed Loans denominated in a currency other than Dollars, in each case as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Administrative Agent shall make all funds so received available to the Borrower in like funds as received by Administrative Agent either by</w:t>
      </w:r>
    </w:p>
    <w:p>
      <w:pPr>
        <w:spacing w:after="0" w:line="6" w:lineRule="exact"/>
        <w:rPr>
          <w:rFonts w:ascii="Arial" w:cs="Arial" w:eastAsia="Arial" w:hAnsi="Arial"/>
          <w:sz w:val="16"/>
          <w:szCs w:val="16"/>
          <w:color w:val="auto"/>
        </w:rPr>
      </w:pPr>
    </w:p>
    <w:p>
      <w:pPr>
        <w:ind w:right="40" w:firstLine="8"/>
        <w:spacing w:after="0" w:line="253"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crediting the account of the Borrower on the books of Bank of America with the amount of such funds or (ii) wire transfer of such funds, in each case in accordance with instructions provided to (and reasonably acceptable to) Administrative Agent by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the Committed Loan Notice with respect to such Borrowing denominated in Dollars is given by Borrower, there are L/C Borrowings outstanding, then the proceeds of such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91" w:lineRule="exact"/>
        <w:rPr>
          <w:rFonts w:ascii="Arial" w:cs="Arial" w:eastAsia="Arial" w:hAnsi="Arial"/>
          <w:sz w:val="18"/>
          <w:szCs w:val="18"/>
          <w:color w:val="auto"/>
        </w:rPr>
      </w:pPr>
    </w:p>
    <w:p>
      <w:pPr>
        <w:ind w:firstLine="656"/>
        <w:spacing w:after="0" w:line="302" w:lineRule="auto"/>
        <w:tabs>
          <w:tab w:leader="none" w:pos="130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prior express written consent of the Required Lenders, and the Required Lenders may demand that any or all of the then outstanding Eurocurrency Rate Loans denominated in an Alternative Currency be prepaid, or redenominated into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Dollars in the amount of the Dollar Equivalent thereof, on the last day of the then current Interest period with respect thereto, and Borrower agrees to pay all amounts due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in accordance with the terms thereof due to any such conversion.</w:t>
      </w:r>
    </w:p>
    <w:p>
      <w:pPr>
        <w:spacing w:after="0" w:line="170" w:lineRule="exact"/>
        <w:rPr>
          <w:sz w:val="20"/>
          <w:szCs w:val="20"/>
          <w:color w:val="auto"/>
        </w:rPr>
      </w:pPr>
    </w:p>
    <w:p>
      <w:pPr>
        <w:ind w:right="20" w:firstLine="656"/>
        <w:spacing w:after="0" w:line="259"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Administrative Agent shall promptly notify the Borrower and the Lenders of the interest rate applicable to any Interest Period for Eurocurrency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right="160" w:firstLine="656"/>
        <w:spacing w:after="0" w:line="308" w:lineRule="auto"/>
        <w:tabs>
          <w:tab w:leader="none" w:pos="1307" w:val="left"/>
        </w:tabs>
        <w:numPr>
          <w:ilvl w:val="0"/>
          <w:numId w:val="44"/>
        </w:numPr>
        <w:rPr>
          <w:rFonts w:ascii="Arial" w:cs="Arial" w:eastAsia="Arial" w:hAnsi="Arial"/>
          <w:sz w:val="17"/>
          <w:szCs w:val="17"/>
          <w:color w:val="auto"/>
        </w:rPr>
      </w:pPr>
      <w:r>
        <w:rPr>
          <w:rFonts w:ascii="Arial" w:cs="Arial" w:eastAsia="Arial" w:hAnsi="Arial"/>
          <w:sz w:val="17"/>
          <w:szCs w:val="17"/>
          <w:color w:val="auto"/>
        </w:rPr>
        <w:t>After giving effect to all Committed Borrowings, all conversions of Committed Loans from one Type to the other, and all continuations of Committed Loans as the same Type, there shall not be more than four (4) Interest Periods in effect with respect to Committed Loans.</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2.03</w:t>
      </w:r>
      <w:r>
        <w:rPr>
          <w:sz w:val="20"/>
          <w:szCs w:val="20"/>
          <w:color w:val="auto"/>
        </w:rPr>
        <w:tab/>
      </w:r>
      <w:r>
        <w:rPr>
          <w:rFonts w:ascii="Arial" w:cs="Arial" w:eastAsia="Arial" w:hAnsi="Arial"/>
          <w:sz w:val="16"/>
          <w:szCs w:val="16"/>
          <w:b w:val="1"/>
          <w:bCs w:val="1"/>
          <w:u w:val="single" w:color="auto"/>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46" w:name="page47"/>
    <w:bookmarkEnd w:id="46"/>
    <w:p>
      <w:pPr>
        <w:spacing w:after="0" w:line="13" w:lineRule="exact"/>
        <w:rPr>
          <w:sz w:val="20"/>
          <w:szCs w:val="20"/>
          <w:color w:val="auto"/>
        </w:rPr>
      </w:pPr>
    </w:p>
    <w:p>
      <w:pPr>
        <w:ind w:firstLine="1305"/>
        <w:spacing w:after="0" w:line="286" w:lineRule="auto"/>
        <w:tabs>
          <w:tab w:leader="none" w:pos="1966"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Letter of Credit Expiration Date, to issue Letters of Credit denominated in Dollars or in one or more Alternative Currencies for the account of the Borrower, and to amend or extend Letters of Credit previously issued by it, in accordance with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and (2) to honor drawings under the Letters of Credit; and (B) the Lenders severally agree to participate in Letters of Credit issued for the account of the Borrower and any drawings thereunder;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after giving effect to any L/C Credit Extension with respect to any Letter of Credit, (x) the Total Outstandings shall not exceed the Aggregate Commitments, (y) the aggregate Outstanding Amount of the Committed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Applicable Percentage of the Outstanding Amount of all L/C Obligations, shall not exceed such Lender’s Commitment, and (z) the Outstanding Amount of the L/C Obligations shall not exceed the L/C Sublimit. Each request by the Borrower for the issuance or amendment of a Letter of Credit shall be deemed to be a representation by the Borrower that the L/C Credit Extension so requested complies with the conditions set forth in the provisos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 All commercial Letters of Credit issued hereunder shall require payment upon presentation of a sight draft.</w:t>
      </w:r>
    </w:p>
    <w:p>
      <w:pPr>
        <w:spacing w:after="0" w:line="171" w:lineRule="exact"/>
        <w:rPr>
          <w:rFonts w:ascii="Arial" w:cs="Arial" w:eastAsia="Arial" w:hAnsi="Arial"/>
          <w:sz w:val="16"/>
          <w:szCs w:val="16"/>
          <w:color w:val="auto"/>
        </w:rPr>
      </w:pPr>
    </w:p>
    <w:p>
      <w:pPr>
        <w:ind w:left="1980" w:hanging="675"/>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225" w:lineRule="exact"/>
        <w:rPr>
          <w:rFonts w:ascii="Arial" w:cs="Arial" w:eastAsia="Arial" w:hAnsi="Arial"/>
          <w:sz w:val="18"/>
          <w:szCs w:val="18"/>
          <w:color w:val="auto"/>
        </w:rPr>
      </w:pPr>
    </w:p>
    <w:p>
      <w:pPr>
        <w:ind w:right="460" w:firstLine="1953"/>
        <w:spacing w:after="0" w:line="277" w:lineRule="auto"/>
        <w:tabs>
          <w:tab w:leader="none" w:pos="26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2.03(b)(iv)</w:t>
      </w:r>
      <w:r>
        <w:rPr>
          <w:rFonts w:ascii="Arial" w:cs="Arial" w:eastAsia="Arial" w:hAnsi="Arial"/>
          <w:sz w:val="18"/>
          <w:szCs w:val="18"/>
          <w:color w:val="auto"/>
        </w:rPr>
        <w:t>, the expiry date of such requested Letter of Credit would occur more than twelve (12) months after the date of issuance or last extension, unless the Required Lenders have approved such expiry date;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expiry date of such requested Letter of Credit would occur after the L/C Expiration Date, unless all the Lenders have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approved such expiry date.</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L/C Issuer shall be under no obligation to issue any Letter of Credit if: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953"/>
        <w:spacing w:after="0" w:line="255" w:lineRule="auto"/>
        <w:tabs>
          <w:tab w:leader="none" w:pos="2613"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in each case the L/C Issuer in good faith deems material to it;</w:t>
      </w:r>
    </w:p>
    <w:p>
      <w:pPr>
        <w:spacing w:after="0" w:line="189" w:lineRule="exact"/>
        <w:rPr>
          <w:rFonts w:ascii="Arial" w:cs="Arial" w:eastAsia="Arial" w:hAnsi="Arial"/>
          <w:sz w:val="18"/>
          <w:szCs w:val="18"/>
          <w:color w:val="auto"/>
        </w:rPr>
      </w:pPr>
    </w:p>
    <w:p>
      <w:pPr>
        <w:ind w:right="260" w:firstLine="1953"/>
        <w:spacing w:after="0" w:line="342" w:lineRule="auto"/>
        <w:tabs>
          <w:tab w:leader="none" w:pos="26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L/C Issuer applicable to letters of credit generally, a copy of which policies has previously been provided to the Borrower or is provided in connection with the Borrower’s L/C Application</w:t>
      </w:r>
    </w:p>
    <w:p>
      <w:pPr>
        <w:spacing w:after="0" w:line="123" w:lineRule="exact"/>
        <w:rPr>
          <w:rFonts w:ascii="Arial" w:cs="Arial" w:eastAsia="Arial" w:hAnsi="Arial"/>
          <w:sz w:val="16"/>
          <w:szCs w:val="16"/>
          <w:color w:val="auto"/>
        </w:rPr>
      </w:pPr>
    </w:p>
    <w:p>
      <w:pPr>
        <w:ind w:firstLine="1953"/>
        <w:spacing w:after="0" w:line="277" w:lineRule="auto"/>
        <w:tabs>
          <w:tab w:leader="none" w:pos="2603"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except as otherwise agreed by Administrative Agent and the L/C Issuer, such Letter of Credit is in an initial stated amount less than $10,000.00, in the case of a commercial Letter of Credit, or $100,000.00, in the case of a standby Letter of Credit;</w:t>
      </w:r>
    </w:p>
    <w:p>
      <w:pPr>
        <w:spacing w:after="0" w:line="170" w:lineRule="exact"/>
        <w:rPr>
          <w:rFonts w:ascii="Arial" w:cs="Arial" w:eastAsia="Arial" w:hAnsi="Arial"/>
          <w:sz w:val="18"/>
          <w:szCs w:val="18"/>
          <w:color w:val="auto"/>
        </w:rPr>
      </w:pPr>
    </w:p>
    <w:p>
      <w:pPr>
        <w:ind w:right="80" w:firstLine="1953"/>
        <w:spacing w:after="0" w:line="277" w:lineRule="auto"/>
        <w:tabs>
          <w:tab w:leader="none" w:pos="2613"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to be denominated in a currency other than Dollars or an Alternative Currency;</w:t>
      </w:r>
    </w:p>
    <w:p>
      <w:pPr>
        <w:spacing w:after="0" w:line="170" w:lineRule="exact"/>
        <w:rPr>
          <w:rFonts w:ascii="Arial" w:cs="Arial" w:eastAsia="Arial" w:hAnsi="Arial"/>
          <w:sz w:val="18"/>
          <w:szCs w:val="18"/>
          <w:color w:val="auto"/>
        </w:rPr>
      </w:pPr>
    </w:p>
    <w:p>
      <w:pPr>
        <w:ind w:firstLine="1953"/>
        <w:spacing w:after="0" w:line="257" w:lineRule="auto"/>
        <w:tabs>
          <w:tab w:leader="none" w:pos="2607"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L/C Issuer has entered into arrangements, including the delivery of Cash Collateral, satisfactory to the L/C Issuer (in its sole and absolute discretion) with the Borrower or such Lender to eliminate the L/C Issuer’s actual or potential Fronting Exposure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and absolute discretion;</w:t>
      </w:r>
    </w:p>
    <w:p>
      <w:pPr>
        <w:spacing w:after="0" w:line="188" w:lineRule="exact"/>
        <w:rPr>
          <w:rFonts w:ascii="Arial" w:cs="Arial" w:eastAsia="Arial" w:hAnsi="Arial"/>
          <w:sz w:val="18"/>
          <w:szCs w:val="18"/>
          <w:color w:val="auto"/>
        </w:rPr>
      </w:pPr>
    </w:p>
    <w:p>
      <w:pPr>
        <w:ind w:right="840" w:firstLine="1953"/>
        <w:spacing w:after="0" w:line="277" w:lineRule="auto"/>
        <w:tabs>
          <w:tab w:leader="none" w:pos="2610" w:val="left"/>
        </w:tabs>
        <w:numPr>
          <w:ilvl w:val="1"/>
          <w:numId w:val="47"/>
        </w:numPr>
        <w:rPr>
          <w:rFonts w:ascii="Arial" w:cs="Arial" w:eastAsia="Arial" w:hAnsi="Arial"/>
          <w:sz w:val="18"/>
          <w:szCs w:val="18"/>
          <w:color w:val="auto"/>
        </w:rPr>
      </w:pPr>
      <w:r>
        <w:rPr>
          <w:rFonts w:ascii="Arial" w:cs="Arial" w:eastAsia="Arial" w:hAnsi="Arial"/>
          <w:sz w:val="18"/>
          <w:szCs w:val="18"/>
          <w:color w:val="auto"/>
        </w:rPr>
        <w:t>unless specifically provided for in this Agreement, such Letter of Credit contains any provisions for automatic reinstatement of the stated amount after any drawing thereunder;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L/C Issuer does not as of the issuance date of such requested Letter of Credit issue Letters of Credit in the requested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currency.</w:t>
      </w:r>
    </w:p>
    <w:p>
      <w:pPr>
        <w:spacing w:after="0" w:line="210" w:lineRule="exact"/>
        <w:rPr>
          <w:rFonts w:ascii="Arial" w:cs="Arial" w:eastAsia="Arial" w:hAnsi="Arial"/>
          <w:sz w:val="16"/>
          <w:szCs w:val="16"/>
          <w:color w:val="auto"/>
        </w:rPr>
      </w:pPr>
    </w:p>
    <w:p>
      <w:pPr>
        <w:ind w:right="200" w:firstLine="1305"/>
        <w:spacing w:after="0" w:line="277" w:lineRule="auto"/>
        <w:tabs>
          <w:tab w:leader="none" w:pos="196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ind w:right="180" w:firstLine="1305"/>
        <w:spacing w:after="0" w:line="264"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81" w:lineRule="exact"/>
        <w:rPr>
          <w:rFonts w:ascii="Arial" w:cs="Arial" w:eastAsia="Arial" w:hAnsi="Arial"/>
          <w:sz w:val="18"/>
          <w:szCs w:val="18"/>
          <w:color w:val="auto"/>
        </w:rPr>
      </w:pPr>
    </w:p>
    <w:p>
      <w:pPr>
        <w:ind w:right="160" w:firstLine="1305"/>
        <w:spacing w:after="0" w:line="276" w:lineRule="auto"/>
        <w:tabs>
          <w:tab w:leader="none" w:pos="1961"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L/C Issuer shall act on behalf of the Lenders with respect to any Letters of Credit issued by it and the documents associated therewith, and the L/C Issuer shall have all of the benefits and immunities (A) provided to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or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the L/C Issuer with respect to such acts or omissions, and (B) as additionally provided herein with respect to the L/C Issuer.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20" w:hanging="664"/>
        <w:spacing w:after="0"/>
        <w:tabs>
          <w:tab w:leader="none" w:pos="1320"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Procedures for Issuance and Amendment of Letters of Credit; Auto-Extension Letters of Credit</w:t>
      </w:r>
      <w:r>
        <w:rPr>
          <w:rFonts w:ascii="Arial" w:cs="Arial" w:eastAsia="Arial" w:hAnsi="Arial"/>
          <w:sz w:val="16"/>
          <w:szCs w:val="16"/>
          <w:color w:val="auto"/>
        </w:rPr>
        <w:t>.</w:t>
      </w:r>
    </w:p>
    <w:p>
      <w:pPr>
        <w:sectPr>
          <w:pgSz w:w="11900" w:h="16851" w:orient="portrait"/>
          <w:cols w:equalWidth="0" w:num="1">
            <w:col w:w="11400"/>
          </w:cols>
          <w:pgMar w:left="240" w:top="125" w:right="259" w:bottom="0" w:gutter="0" w:footer="0" w:header="0"/>
          <w:type w:val="continuous"/>
        </w:sectPr>
      </w:pPr>
    </w:p>
    <w:bookmarkStart w:id="47" w:name="page48"/>
    <w:bookmarkEnd w:id="47"/>
    <w:p>
      <w:pPr>
        <w:spacing w:after="0" w:line="12" w:lineRule="exact"/>
        <w:rPr>
          <w:sz w:val="20"/>
          <w:szCs w:val="20"/>
          <w:color w:val="auto"/>
        </w:rPr>
      </w:pPr>
    </w:p>
    <w:p>
      <w:pPr>
        <w:ind w:firstLine="1305"/>
        <w:spacing w:after="0" w:line="286" w:lineRule="auto"/>
        <w:tabs>
          <w:tab w:leader="none" w:pos="1966"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Borrower delivered to the L/C Issuer (with a copy to the Administrative Agent) in the form of a L/C Application, appropriately completed and signed by a Responsible Officer of the Borrower. Such L/C Application may be sent by facsimile, by United States mail, by overnight courier, by electronic transmission using the system provided by the L/C Issuer, by personal delivery or by any other means acceptable to the L/C Issuer. Such L/C Application must be received by the L/C Issuer and Administrative Agent not later than 11:00 a.m. at least two Business Days (or such later date and time as Administrative Agent and the L/C Issuer may agree in a particular instance in their sole discretion) prior to the proposed issuance date or date of amendment, as the case may be. In the case of a request for an initial issuance of a Letter of Credit, such L/C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reasonably may require. In the case of a request for an amendment of any outstanding Letter of Credit, such L/C Application shall specify in form and detail satisfactory to the L/C Issuer (1) the Letter of Credit to be amended, (2) the proposed date of amendment thereof (which shall be a Business Day), (3) the nature of the proposed amendment and (4) such other matters as the L/C Issuer reasonably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reasonably may require.</w:t>
      </w:r>
    </w:p>
    <w:p>
      <w:pPr>
        <w:spacing w:after="0" w:line="168" w:lineRule="exact"/>
        <w:rPr>
          <w:rFonts w:ascii="Arial" w:cs="Arial" w:eastAsia="Arial" w:hAnsi="Arial"/>
          <w:sz w:val="16"/>
          <w:szCs w:val="16"/>
          <w:color w:val="auto"/>
        </w:rPr>
      </w:pPr>
    </w:p>
    <w:p>
      <w:pPr>
        <w:ind w:right="20" w:firstLine="1305"/>
        <w:spacing w:after="0" w:line="270" w:lineRule="auto"/>
        <w:tabs>
          <w:tab w:leader="none" w:pos="1976"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Promptly after receipt of any L/C Application at the address set forth in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the L/C Issuer will confirm with the Administrative Agent (by telephone or in writing) that the Administrative Agent has received a copy of such L/C Application from the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then be satisfied, then, subject to the terms and conditions hereof, the L/C Issuer shall, on the requested date, issue a Letter of Credit for the account of the Borrower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times the amount of such Letter of Credit.</w:t>
      </w:r>
    </w:p>
    <w:p>
      <w:pPr>
        <w:spacing w:after="0" w:line="181" w:lineRule="exact"/>
        <w:rPr>
          <w:rFonts w:ascii="Arial" w:cs="Arial" w:eastAsia="Arial" w:hAnsi="Arial"/>
          <w:sz w:val="17"/>
          <w:szCs w:val="17"/>
          <w:color w:val="auto"/>
        </w:rPr>
      </w:pPr>
    </w:p>
    <w:p>
      <w:pPr>
        <w:jc w:val="both"/>
        <w:ind w:right="100" w:firstLine="1305"/>
        <w:spacing w:after="0" w:line="264" w:lineRule="auto"/>
        <w:tabs>
          <w:tab w:leader="none" w:pos="19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81" w:lineRule="exact"/>
        <w:rPr>
          <w:rFonts w:ascii="Arial" w:cs="Arial" w:eastAsia="Arial" w:hAnsi="Arial"/>
          <w:sz w:val="18"/>
          <w:szCs w:val="18"/>
          <w:color w:val="auto"/>
        </w:rPr>
      </w:pPr>
    </w:p>
    <w:p>
      <w:pPr>
        <w:ind w:right="120" w:firstLine="1305"/>
        <w:spacing w:after="0" w:line="302" w:lineRule="auto"/>
        <w:tabs>
          <w:tab w:leader="none" w:pos="196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the Borrower so requests in any applicable L/C Application, the L/C Issuer may, in its sole and absolute discretion, agree to issue a Letter of Credit that has automatic extension provisions (hereinafter each such Letter of Credit that has automatic extension provisions shall be referred to as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such Auto-Extension Letter of Credit must permit the L/C Issuer to prevent any such extension at least once in each twelve-month period (commencing with the date of issuance of such Letter of Credit) by giving prior notice to the beneficiary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thereof not later than a day (hereinafter referred to as the “</w:t>
      </w:r>
      <w:r>
        <w:rPr>
          <w:rFonts w:ascii="Arial" w:cs="Arial" w:eastAsia="Arial" w:hAnsi="Arial"/>
          <w:sz w:val="17"/>
          <w:szCs w:val="17"/>
          <w:u w:val="single" w:color="auto"/>
          <w:color w:val="auto"/>
        </w:rPr>
        <w:t>Non-Extension Notice Date</w:t>
      </w:r>
      <w:r>
        <w:rPr>
          <w:rFonts w:ascii="Arial" w:cs="Arial" w:eastAsia="Arial" w:hAnsi="Arial"/>
          <w:sz w:val="17"/>
          <w:szCs w:val="17"/>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L/C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Administrative Agent, any Lender or the Borrower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and in each such case directing the L/C Issuer not to permit such extension.</w:t>
      </w:r>
    </w:p>
    <w:p>
      <w:pPr>
        <w:spacing w:after="0" w:line="178" w:lineRule="exact"/>
        <w:rPr>
          <w:sz w:val="20"/>
          <w:szCs w:val="20"/>
          <w:color w:val="auto"/>
        </w:rPr>
      </w:pPr>
    </w:p>
    <w:p>
      <w:pPr>
        <w:ind w:right="40" w:firstLine="1305"/>
        <w:spacing w:after="0" w:line="286" w:lineRule="auto"/>
        <w:tabs>
          <w:tab w:leader="none" w:pos="1952"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its sole and absolute discretion, agree to issue a Letter of Credit that permits the automatic reinstatement of all or a portion of the stated amount thereof after any drawing thereunder (hereinafter each such Letter of Credit that permits the automatic reinstatement of all or a portion of the stated amount thereof after any drawing thereunder shall be referred to as an “</w:t>
      </w:r>
      <w:r>
        <w:rPr>
          <w:rFonts w:ascii="Arial" w:cs="Arial" w:eastAsia="Arial" w:hAnsi="Arial"/>
          <w:sz w:val="16"/>
          <w:szCs w:val="16"/>
          <w:u w:val="single" w:color="auto"/>
          <w:color w:val="auto"/>
        </w:rPr>
        <w:t>Auto-Reinstatement Letter of Credit</w:t>
      </w:r>
      <w:r>
        <w:rPr>
          <w:rFonts w:ascii="Arial" w:cs="Arial" w:eastAsia="Arial" w:hAnsi="Arial"/>
          <w:sz w:val="16"/>
          <w:szCs w:val="16"/>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to the contrary, if such Auto-Reinstatement Letter of Credit permits the L/C Issuer to decline to reinstate all or any portion of the stated amount thereof after a drawing thereunder by giving notice of such non-reinstatement within a specified number of days after such drawing (hereinafter referred to as the “</w:t>
      </w:r>
      <w:r>
        <w:rPr>
          <w:rFonts w:ascii="Arial" w:cs="Arial" w:eastAsia="Arial" w:hAnsi="Arial"/>
          <w:sz w:val="16"/>
          <w:szCs w:val="16"/>
          <w:u w:val="single" w:color="auto"/>
          <w:color w:val="auto"/>
        </w:rPr>
        <w:t>Non-Reinstatement Deadline</w:t>
      </w:r>
      <w:r>
        <w:rPr>
          <w:rFonts w:ascii="Arial" w:cs="Arial" w:eastAsia="Arial" w:hAnsi="Arial"/>
          <w:sz w:val="16"/>
          <w:szCs w:val="16"/>
          <w:color w:val="auto"/>
        </w:rPr>
        <w:t xml:space="preserve">”), the L/C Issuer shall not permit such reinstatement if it has received a notice (which may be by telephone or in writing) on or before the day that is five Business Days before the Non-Reinstatement Deadline (A) from the Administrative Agent that the Required Lenders have elected not to permit such reinstatement or (B) from Administrative Agent, any Lender or Borrower that one or more of the applicable conditions specified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is not then satisfied (treating such reinstatement as an L/C Credit Extension for purposes of this clause) and, in each case, directing the L/C Issuer not to permit such reinstatement</w:t>
      </w:r>
    </w:p>
    <w:p>
      <w:pPr>
        <w:spacing w:after="0" w:line="174" w:lineRule="exact"/>
        <w:rPr>
          <w:rFonts w:ascii="Arial" w:cs="Arial" w:eastAsia="Arial" w:hAnsi="Arial"/>
          <w:sz w:val="16"/>
          <w:szCs w:val="16"/>
          <w:color w:val="auto"/>
        </w:rPr>
      </w:pPr>
    </w:p>
    <w:p>
      <w:pPr>
        <w:ind w:left="1320" w:hanging="664"/>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0" w:lineRule="auto"/>
        <w:tabs>
          <w:tab w:leader="none" w:pos="1966" w:val="left"/>
        </w:tabs>
        <w:numPr>
          <w:ilvl w:val="1"/>
          <w:numId w:val="52"/>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a drawing under such Letter of Credit, the L/C Issuer shall notify the Borrower and the Administrative Agent thereof. In the case of a Letter of Credit denominated in an Alternative Currency, the Borrower shall reimburse the L/C Issuer in such Alternative Currency, unless (A) the L/C Issuer (at its option) shall have specified in such notice that it will require reimbursement in Dollars, or (B) in the absence of any such requirement for reimbursement in Dollars, the Borrower shall have notified the L/C Issuer promptly following receipt of the notice of drawing that the Borrower will reimburse the L/C Issuer in Dollars. In the case of any such reimbursement in Dollars of a drawing under a Letter of Credit denominated in an Alternative Currency, the L/C Issuer shall notify the Borrower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(hereinafter each such date shall be referred to as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w:t>
      </w:r>
    </w:p>
    <w:p>
      <w:pPr>
        <w:sectPr>
          <w:pgSz w:w="11900" w:h="16850" w:orient="portrait"/>
          <w:cols w:equalWidth="0" w:num="1">
            <w:col w:w="11420"/>
          </w:cols>
          <w:pgMar w:left="240" w:top="341" w:right="239" w:bottom="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reimburse the L/C Issuer through the Administrative Agent in an amount equal to the amount of such drawing and in the applicable currency. If the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(hereinafter referred to as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Borrower shall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Aggregate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lack of such an immediate confirmation shall not affect the conclusiveness or binding effect of such notice.</w:t>
      </w:r>
    </w:p>
    <w:p>
      <w:pPr>
        <w:spacing w:after="0" w:line="167" w:lineRule="exact"/>
        <w:rPr>
          <w:sz w:val="20"/>
          <w:szCs w:val="20"/>
          <w:color w:val="auto"/>
        </w:rPr>
      </w:pPr>
    </w:p>
    <w:p>
      <w:pPr>
        <w:ind w:right="80" w:firstLine="1305"/>
        <w:spacing w:after="0" w:line="297" w:lineRule="auto"/>
        <w:tabs>
          <w:tab w:leader="none" w:pos="1976"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Each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Lender that so makes funds available shall be deemed to have made a Base Rate Loan to Borrower in such amount. The Administrative Agent shall remit the funds so received to the L/C Issuer in Dollars.</w:t>
      </w:r>
    </w:p>
    <w:p>
      <w:pPr>
        <w:spacing w:after="0" w:line="158" w:lineRule="exact"/>
        <w:rPr>
          <w:rFonts w:ascii="Arial" w:cs="Arial" w:eastAsia="Arial" w:hAnsi="Arial"/>
          <w:sz w:val="16"/>
          <w:szCs w:val="16"/>
          <w:color w:val="auto"/>
        </w:rPr>
      </w:pPr>
    </w:p>
    <w:p>
      <w:pPr>
        <w:ind w:right="20" w:firstLine="1305"/>
        <w:spacing w:after="0" w:line="255" w:lineRule="auto"/>
        <w:tabs>
          <w:tab w:leader="none" w:pos="1985"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With respect to any Unreimbursed Amount that is not fully refinanced by a Committed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Administrative Agent for the account of the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right="40" w:firstLine="1305"/>
        <w:spacing w:after="0" w:line="264" w:lineRule="auto"/>
        <w:tabs>
          <w:tab w:leader="none" w:pos="1961" w:val="left"/>
        </w:tabs>
        <w:numPr>
          <w:ilvl w:val="1"/>
          <w:numId w:val="53"/>
        </w:numPr>
        <w:rPr>
          <w:rFonts w:ascii="Arial" w:cs="Arial" w:eastAsia="Arial" w:hAnsi="Arial"/>
          <w:sz w:val="18"/>
          <w:szCs w:val="18"/>
          <w:color w:val="auto"/>
        </w:rPr>
      </w:pPr>
      <w:r>
        <w:rPr>
          <w:rFonts w:ascii="Arial" w:cs="Arial" w:eastAsia="Arial" w:hAnsi="Arial"/>
          <w:sz w:val="18"/>
          <w:szCs w:val="18"/>
          <w:color w:val="auto"/>
        </w:rPr>
        <w:t xml:space="preserve">Until each Lender funds its Committed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181" w:lineRule="exact"/>
        <w:rPr>
          <w:rFonts w:ascii="Arial" w:cs="Arial" w:eastAsia="Arial" w:hAnsi="Arial"/>
          <w:sz w:val="18"/>
          <w:szCs w:val="18"/>
          <w:color w:val="auto"/>
        </w:rPr>
      </w:pPr>
    </w:p>
    <w:p>
      <w:pPr>
        <w:jc w:val="both"/>
        <w:ind w:right="540" w:firstLine="1305"/>
        <w:spacing w:after="0" w:line="291" w:lineRule="auto"/>
        <w:tabs>
          <w:tab w:leader="none" w:pos="1952"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Each Lender’s obligation to make Committed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shall be absolute and unconditional and shall not be affected by any circumstance, including</w:t>
      </w:r>
    </w:p>
    <w:p>
      <w:pPr>
        <w:ind w:right="20" w:firstLine="8"/>
        <w:spacing w:after="0" w:line="252"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Committed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Borrower of a Committed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70" w:lineRule="auto"/>
        <w:tabs>
          <w:tab w:leader="none" w:pos="1961" w:val="left"/>
        </w:tabs>
        <w:numPr>
          <w:ilvl w:val="1"/>
          <w:numId w:val="55"/>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then, without limiting the other provisions of this Agreement, the L/C Issuer shall be entitled to recover from such Lender (acting through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Lender (through the Administrative Agent) with respect to any amounts owing under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shall be conclusive absent manifest error.</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57" w:lineRule="auto"/>
        <w:tabs>
          <w:tab w:leader="none" w:pos="1966"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188" w:lineRule="exact"/>
        <w:rPr>
          <w:rFonts w:ascii="Arial" w:cs="Arial" w:eastAsia="Arial" w:hAnsi="Arial"/>
          <w:sz w:val="18"/>
          <w:szCs w:val="18"/>
          <w:color w:val="auto"/>
        </w:rPr>
      </w:pPr>
    </w:p>
    <w:p>
      <w:pPr>
        <w:ind w:firstLine="1305"/>
        <w:spacing w:after="0" w:line="255" w:lineRule="auto"/>
        <w:tabs>
          <w:tab w:leader="none" w:pos="19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survive the payment in full of the Obligations and the termination of this Agreement.</w:t>
      </w:r>
    </w:p>
    <w:p>
      <w:pPr>
        <w:spacing w:after="0" w:line="193" w:lineRule="exact"/>
        <w:rPr>
          <w:rFonts w:ascii="Arial" w:cs="Arial" w:eastAsia="Arial" w:hAnsi="Arial"/>
          <w:sz w:val="18"/>
          <w:szCs w:val="18"/>
          <w:color w:val="auto"/>
        </w:rPr>
      </w:pPr>
    </w:p>
    <w:p>
      <w:pPr>
        <w:ind w:right="20" w:firstLine="656"/>
        <w:spacing w:after="0" w:line="264" w:lineRule="auto"/>
        <w:tabs>
          <w:tab w:leader="none" w:pos="130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ectPr>
          <w:pgSz w:w="11900" w:h="16838" w:orient="portrait"/>
          <w:cols w:equalWidth="0" w:num="1">
            <w:col w:w="11420"/>
          </w:cols>
          <w:pgMar w:left="240" w:top="341" w:right="239" w:bottom="0" w:gutter="0" w:footer="0" w:header="0"/>
        </w:sectPr>
      </w:pPr>
    </w:p>
    <w:bookmarkStart w:id="49" w:name="page50"/>
    <w:bookmarkEnd w:id="49"/>
    <w:p>
      <w:pPr>
        <w:spacing w:after="0" w:line="114" w:lineRule="exact"/>
        <w:rPr>
          <w:sz w:val="20"/>
          <w:szCs w:val="20"/>
          <w:color w:val="auto"/>
        </w:rPr>
      </w:pPr>
    </w:p>
    <w:p>
      <w:pPr>
        <w:ind w:right="180" w:firstLine="1305"/>
        <w:spacing w:after="0" w:line="259" w:lineRule="auto"/>
        <w:tabs>
          <w:tab w:leader="none" w:pos="19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6" w:lineRule="exact"/>
        <w:rPr>
          <w:rFonts w:ascii="Arial" w:cs="Arial" w:eastAsia="Arial" w:hAnsi="Arial"/>
          <w:sz w:val="18"/>
          <w:szCs w:val="18"/>
          <w:color w:val="auto"/>
        </w:rPr>
      </w:pPr>
    </w:p>
    <w:p>
      <w:pPr>
        <w:ind w:right="80" w:firstLine="1305"/>
        <w:spacing w:after="0" w:line="264" w:lineRule="auto"/>
        <w:tabs>
          <w:tab w:leader="none" w:pos="19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77" w:lineRule="auto"/>
        <w:tabs>
          <w:tab w:leader="none" w:pos="20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draft;</w:t>
      </w:r>
    </w:p>
    <w:p>
      <w:pPr>
        <w:spacing w:after="0" w:line="210" w:lineRule="exact"/>
        <w:rPr>
          <w:rFonts w:ascii="Arial" w:cs="Arial" w:eastAsia="Arial" w:hAnsi="Arial"/>
          <w:sz w:val="17"/>
          <w:szCs w:val="17"/>
          <w:color w:val="auto"/>
        </w:rPr>
      </w:pPr>
    </w:p>
    <w:p>
      <w:pPr>
        <w:ind w:right="40" w:firstLine="1305"/>
        <w:spacing w:after="0" w:line="264" w:lineRule="auto"/>
        <w:tabs>
          <w:tab w:leader="none" w:pos="20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Arial" w:cs="Arial" w:eastAsia="Arial" w:hAnsi="Arial"/>
          <w:sz w:val="18"/>
          <w:szCs w:val="18"/>
          <w:color w:val="auto"/>
        </w:rPr>
      </w:pPr>
    </w:p>
    <w:p>
      <w:pPr>
        <w:ind w:right="60" w:firstLine="1305"/>
        <w:spacing w:after="0" w:line="279" w:lineRule="auto"/>
        <w:tabs>
          <w:tab w:leader="none" w:pos="20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1" w:lineRule="exact"/>
        <w:rPr>
          <w:rFonts w:ascii="Arial" w:cs="Arial" w:eastAsia="Arial" w:hAnsi="Arial"/>
          <w:sz w:val="17"/>
          <w:szCs w:val="17"/>
          <w:color w:val="auto"/>
        </w:rPr>
      </w:pPr>
    </w:p>
    <w:p>
      <w:pPr>
        <w:ind w:right="80" w:firstLine="1305"/>
        <w:spacing w:after="0" w:line="277" w:lineRule="auto"/>
        <w:tabs>
          <w:tab w:leader="none" w:pos="20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 or in the relevant currency markets generally; or</w:t>
      </w:r>
    </w:p>
    <w:p>
      <w:pPr>
        <w:spacing w:after="0" w:line="170" w:lineRule="exact"/>
        <w:rPr>
          <w:rFonts w:ascii="Arial" w:cs="Arial" w:eastAsia="Arial" w:hAnsi="Arial"/>
          <w:sz w:val="18"/>
          <w:szCs w:val="18"/>
          <w:color w:val="auto"/>
        </w:rPr>
      </w:pPr>
    </w:p>
    <w:p>
      <w:pPr>
        <w:ind w:right="20" w:firstLine="1305"/>
        <w:spacing w:after="0" w:line="277" w:lineRule="auto"/>
        <w:tabs>
          <w:tab w:leader="none" w:pos="20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L/C Issuer. The Borrower shall be conclusively deemed to have waived any such claim against the L/C Issuer and its correspondents unless such notice is given as aforesaid.</w:t>
      </w:r>
    </w:p>
    <w:p>
      <w:pPr>
        <w:spacing w:after="0" w:line="166" w:lineRule="exact"/>
        <w:rPr>
          <w:sz w:val="20"/>
          <w:szCs w:val="20"/>
          <w:color w:val="auto"/>
        </w:rPr>
      </w:pPr>
    </w:p>
    <w:p>
      <w:pPr>
        <w:ind w:firstLine="656"/>
        <w:spacing w:after="0" w:line="268" w:lineRule="auto"/>
        <w:tabs>
          <w:tab w:leader="none" w:pos="1368"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Role of L/C Issuer</w:t>
      </w:r>
      <w:r>
        <w:rPr>
          <w:rFonts w:ascii="Arial" w:cs="Arial" w:eastAsia="Arial" w:hAnsi="Arial"/>
          <w:sz w:val="17"/>
          <w:szCs w:val="17"/>
          <w:color w:val="auto"/>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or any correspondent, participant or assignee of the L/C Issuer shall be liable to any Lender for (i) any action taken or omitted in connection herewith at the request or with the approval of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assumption is not intended to, and shall not, preclude Borrower’s pursuing such rights and remedies as it may have against the beneficiary or transferee at law or under any other agreement. None of the L/C Issuer, the Administrative Agent, any of their respective Related Parties or any correspondent, participant or assignee of the L/C Issuer, shall be liable or responsible for any of the matters described in </w:t>
      </w:r>
      <w:r>
        <w:rPr>
          <w:rFonts w:ascii="Arial" w:cs="Arial" w:eastAsia="Arial" w:hAnsi="Arial"/>
          <w:sz w:val="17"/>
          <w:szCs w:val="17"/>
          <w:u w:val="single" w:color="auto"/>
          <w:color w:val="auto"/>
        </w:rPr>
        <w:t>clauses (i) through (v)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Borrower may have a claim against the L/C Issuer, and the L/C Issuer may be liable to the Borrower, to the extent, but only to the extent, of any direct, as opposed to consequential or exemplary, damages suffered by the Borrower which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93" w:lineRule="exact"/>
        <w:rPr>
          <w:sz w:val="20"/>
          <w:szCs w:val="20"/>
          <w:color w:val="auto"/>
        </w:rPr>
      </w:pPr>
    </w:p>
    <w:p>
      <w:pPr>
        <w:ind w:right="80" w:firstLine="656"/>
        <w:spacing w:after="0" w:line="253" w:lineRule="auto"/>
        <w:tabs>
          <w:tab w:leader="none" w:pos="135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 Limitation of Liability</w:t>
      </w:r>
      <w:r>
        <w:rPr>
          <w:rFonts w:ascii="Arial" w:cs="Arial" w:eastAsia="Arial" w:hAnsi="Arial"/>
          <w:sz w:val="18"/>
          <w:szCs w:val="18"/>
          <w:color w:val="auto"/>
        </w:rPr>
        <w:t>. Unless otherwise expressly agreed by the L/C Issuer and the Borrower when a Letter of Credit is issued (including any such agreement applicable to any Existing Letter of Credit), (i) the rules of the ISP shall apply to each standby Letter of Credit, and (ii) the rules of the UCP shall apply to each commercial Letter of Credit. Notwithstanding the foregoing to the contrary,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7" w:lineRule="exact"/>
        <w:rPr>
          <w:rFonts w:ascii="Arial" w:cs="Arial" w:eastAsia="Arial" w:hAnsi="Arial"/>
          <w:sz w:val="18"/>
          <w:szCs w:val="18"/>
          <w:color w:val="auto"/>
        </w:rPr>
      </w:pPr>
    </w:p>
    <w:p>
      <w:pPr>
        <w:ind w:right="40" w:firstLine="656"/>
        <w:spacing w:after="0" w:line="312" w:lineRule="auto"/>
        <w:tabs>
          <w:tab w:leader="none" w:pos="135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L/C Fees</w:t>
      </w:r>
      <w:r>
        <w:rPr>
          <w:rFonts w:ascii="Arial" w:cs="Arial" w:eastAsia="Arial" w:hAnsi="Arial"/>
          <w:sz w:val="16"/>
          <w:szCs w:val="16"/>
          <w:color w:val="auto"/>
        </w:rPr>
        <w:t xml:space="preserve">. The Borrower shall pay to the Administrative Agent for the account of each Lender in accordance.,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with its Applicable Percentage, in Dollars, an L/C fee (hereinafter referred to as the “</w:t>
      </w:r>
      <w:r>
        <w:rPr>
          <w:rFonts w:ascii="Arial" w:cs="Arial" w:eastAsia="Arial" w:hAnsi="Arial"/>
          <w:sz w:val="16"/>
          <w:szCs w:val="16"/>
          <w:u w:val="single" w:color="auto"/>
          <w:color w:val="auto"/>
        </w:rPr>
        <w:t>L/C Fee</w:t>
      </w:r>
      <w:r>
        <w:rPr>
          <w:rFonts w:ascii="Arial" w:cs="Arial" w:eastAsia="Arial" w:hAnsi="Arial"/>
          <w:sz w:val="16"/>
          <w:szCs w:val="16"/>
          <w:color w:val="auto"/>
        </w:rPr>
        <w:t xml:space="preserve">”) (i) for each commercial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Dollar Equivalent of the daily amount available to be drawn under such Letter of Credit, and (ii) for each standby Letter of Credit equal to the</w:t>
      </w:r>
    </w:p>
    <w:p>
      <w:pPr>
        <w:sectPr>
          <w:pgSz w:w="11900" w:h="16952" w:orient="portrait"/>
          <w:cols w:equalWidth="0" w:num="1">
            <w:col w:w="11420"/>
          </w:cols>
          <w:pgMar w:left="240" w:top="125" w:right="239" w:bottom="0" w:gutter="0" w:footer="0" w:header="0"/>
        </w:sectPr>
      </w:pPr>
    </w:p>
    <w:bookmarkStart w:id="50" w:name="page51"/>
    <w:bookmarkEnd w:id="50"/>
    <w:p>
      <w:pPr>
        <w:spacing w:after="0" w:line="9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L/C Fees shall be (1) due and payable on the first Business Day after the end of each March, June, September and December, commencing with the first such date to occur after the issuance of such Letter of Credit, on the L/C Expiration Date and thereafter on demand and (2)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L/C Fees shall accrue at the Default Rate.</w:t>
      </w:r>
    </w:p>
    <w:p>
      <w:pPr>
        <w:spacing w:after="0" w:line="167" w:lineRule="exact"/>
        <w:rPr>
          <w:sz w:val="20"/>
          <w:szCs w:val="20"/>
          <w:color w:val="auto"/>
        </w:rPr>
      </w:pPr>
    </w:p>
    <w:p>
      <w:pPr>
        <w:ind w:right="20" w:firstLine="656"/>
        <w:spacing w:after="0" w:line="271" w:lineRule="auto"/>
        <w:tabs>
          <w:tab w:leader="none" w:pos="1358"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Borrower shall pay directly to the L/C Issuer for its own account, in Dollars, a fronting fee with respect to each standby Letter of Credit (and not any commercial Letter of Credit), at the rate per annum specified in the Administrative Agent Fee Letter, computed on the Dollar Equivalent of the daily amount available to be drawn under such Letter of Credit and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L/C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In addition, the Borrower shall pay directly to the L/C Issuer for its own account, 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Dollars, the reasonable and customary issuance, presentation, amendment and other processing fees, and other standard costs and charges, of the L/C Issuer relating to letters of credit as from time to time in effect. Such individual customary fees and standard costs and charges are due and payable on demand and are nonrefundable.</w:t>
      </w:r>
    </w:p>
    <w:p>
      <w:pPr>
        <w:spacing w:after="0" w:line="181" w:lineRule="exact"/>
        <w:rPr>
          <w:sz w:val="20"/>
          <w:szCs w:val="20"/>
          <w:color w:val="auto"/>
        </w:rPr>
      </w:pPr>
    </w:p>
    <w:p>
      <w:pPr>
        <w:ind w:right="260" w:firstLine="656"/>
        <w:spacing w:after="0" w:line="277" w:lineRule="auto"/>
        <w:tabs>
          <w:tab w:leader="none" w:pos="135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Documents, the terms hereof shall govern and control.</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u w:val="single" w:color="auto"/>
          <w:color w:val="auto"/>
        </w:rPr>
        <w:t>Repayment of Loans</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Borrower shall repay to the Administrative Agent, for the ratable account of the Lenders, on the Maturity Date the aggregate principal amount of all Committed Loans outstanding on such date.</w:t>
      </w:r>
    </w:p>
    <w:p>
      <w:pPr>
        <w:spacing w:after="0" w:line="16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u w:val="single" w:color="auto"/>
          <w:color w:val="auto"/>
        </w:rPr>
        <w:t>Prepayments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68" w:lineRule="auto"/>
        <w:tabs>
          <w:tab w:leader="none" w:pos="1343"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Borrower may, upon notice to the Administrative Agent, at any time or from time to time voluntarily prepay Committed Loans in whole or in part without premium or penalty;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such notice must be received by the Administrative Agent not later than 11:00 a.m. (A) three Business Days prior to any date of prepayment of Eurocurrency Rate Loans denominated in Dollars, (B) four Business Days (or five, in the case of prepayment of Loans denominated in Special Notice Currencies) prior to any date of prepayment of Eurocurrency Rate Loans denominated in Alternative Currencies, and (C) on the date of prepayment of Base Rate Loans; (ii) any prepayment of Eurocurrency Rate Loans denominated in Dollars shall be in a principal amount of $500,000.00 or a whole multiple of $100,000.00 in excess thereof; (iii) any prepayment of Eurocurrency Rate Loans denominated in Alternative Currencies shall be in a minimum principal amount of $500,000.00 or a whole multiple of $100,000.00 in excess thereof; and (iv) any prepayment of Base Rate Loans shall be in a principal amount of $500,000.00 or a whole multiple of $100,000.00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Each such prepayment shall be applied to the Committed Loans of the Lenders in accordance with their respective Applicable Percentages.</w:t>
      </w:r>
    </w:p>
    <w:p>
      <w:pPr>
        <w:spacing w:after="0" w:line="183" w:lineRule="exact"/>
        <w:rPr>
          <w:rFonts w:ascii="Arial" w:cs="Arial" w:eastAsia="Arial" w:hAnsi="Arial"/>
          <w:sz w:val="17"/>
          <w:szCs w:val="17"/>
          <w:color w:val="auto"/>
        </w:rPr>
      </w:pPr>
    </w:p>
    <w:p>
      <w:pPr>
        <w:ind w:firstLine="656"/>
        <w:spacing w:after="0" w:line="272" w:lineRule="auto"/>
        <w:tabs>
          <w:tab w:leader="none" w:pos="1353"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the Administrative Agent notifies the Borrower at any time that the Total Outstandings at such time exceed the Aggregate Commitments then in effect, then, within three Business Days after receipt of such notice, the Borrowers shall prepay Loans and/or the Borrower shall Cash Collateralize the L/C Obligations in an aggregate amount sufficient to reduce such Outstanding Amount as of such date of payment to an amount not to exceed 100% of the Aggregate Commitments then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Borrower shall not be required to Cash Collateralize the L/C Obligations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unless after the prepayment in full of the Committed Loans the Total Outstandings exceed the Aggregate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77" w:lineRule="exact"/>
        <w:rPr>
          <w:rFonts w:ascii="Arial" w:cs="Arial" w:eastAsia="Arial" w:hAnsi="Arial"/>
          <w:sz w:val="17"/>
          <w:szCs w:val="17"/>
          <w:color w:val="auto"/>
        </w:rPr>
      </w:pPr>
    </w:p>
    <w:p>
      <w:pPr>
        <w:ind w:right="160" w:firstLine="656"/>
        <w:spacing w:after="0" w:line="342" w:lineRule="auto"/>
        <w:tabs>
          <w:tab w:leader="none" w:pos="1343"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Administrative Agent notifies the Borrower at any time that the Outstanding Amount of all Loans denominated in Alternative Currencies at such time exceeds an amount equal to 105% of the Alternative Currency Sublimit then in effect, then, within three Business Days after receipt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of such notice, the Borrowers shall prepay Loans in an aggregate amount sufficient to reduce such Outstanding Amount as of such date of payment to an amount not to exceed 100% of the Alternative Currency Sublimit then in effect.</w:t>
      </w:r>
    </w:p>
    <w:p>
      <w:pPr>
        <w:spacing w:after="0" w:line="166" w:lineRule="exact"/>
        <w:rPr>
          <w:sz w:val="20"/>
          <w:szCs w:val="20"/>
          <w:color w:val="auto"/>
        </w:rPr>
      </w:pPr>
    </w:p>
    <w:p>
      <w:pPr>
        <w:ind w:right="240" w:firstLine="648"/>
        <w:spacing w:after="0" w:line="292" w:lineRule="auto"/>
        <w:rPr>
          <w:sz w:val="20"/>
          <w:szCs w:val="20"/>
          <w:color w:val="auto"/>
        </w:rPr>
      </w:pPr>
      <w:r>
        <w:rPr>
          <w:rFonts w:ascii="Arial" w:cs="Arial" w:eastAsia="Arial" w:hAnsi="Arial"/>
          <w:sz w:val="16"/>
          <w:szCs w:val="16"/>
          <w:b w:val="1"/>
          <w:bCs w:val="1"/>
          <w:color w:val="auto"/>
        </w:rPr>
        <w:t xml:space="preserve">2.06 </w:t>
      </w:r>
      <w:r>
        <w:rPr>
          <w:rFonts w:ascii="Arial" w:cs="Arial" w:eastAsia="Arial" w:hAnsi="Arial"/>
          <w:sz w:val="16"/>
          <w:szCs w:val="16"/>
          <w:b w:val="1"/>
          <w:bCs w:val="1"/>
          <w:u w:val="single" w:color="auto"/>
          <w:color w:val="auto"/>
        </w:rPr>
        <w:t>Termination or Reduction of Commitments</w:t>
      </w:r>
      <w:r>
        <w:rPr>
          <w:rFonts w:ascii="Arial" w:cs="Arial" w:eastAsia="Arial" w:hAnsi="Arial"/>
          <w:sz w:val="16"/>
          <w:szCs w:val="16"/>
          <w:color w:val="auto"/>
        </w:rPr>
        <w:t>. The Borrower may, upon notice to the Administrative Agent, terminate the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Commitments, or from time to time permanently reduce the Aggregate Commitments;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any such notice shall be received by the Administrative Agent not later than 11:00 a.m. five Business Days prior to the date of termination or reduction, (b) any such partial reduction shall be in an aggregate amount of $5,000,000.00 or any whole multiple of $1,000,000.00 in excess thereof, (c) the Borrower shall not terminate or reduce the Aggregate Commitments if, after giving effect thereto and to any concurrent prepayments hereunder, the Total Committed Loan Outstandings would exceed the Aggregate Commitments, and (d) if, after giving effect to any reduction of the Aggregate Commitments, the L/C Sublimit or the Alternative Currency Sublimit exceeds the amount of the Aggregate Commitments, such Sublimit shall be automatically reduced by the amount of such excess. The</w:t>
      </w:r>
    </w:p>
    <w:p>
      <w:pPr>
        <w:sectPr>
          <w:pgSz w:w="11900" w:h="16933" w:orient="portrait"/>
          <w:cols w:equalWidth="0" w:num="1">
            <w:col w:w="11420"/>
          </w:cols>
          <w:pgMar w:left="240" w:top="125" w:right="239" w:bottom="0" w:gutter="0" w:footer="0" w:header="0"/>
        </w:sectPr>
      </w:pPr>
    </w:p>
    <w:bookmarkStart w:id="51" w:name="page52"/>
    <w:bookmarkEnd w:id="51"/>
    <w:p>
      <w:pPr>
        <w:jc w:val="both"/>
        <w:ind w:right="80"/>
        <w:spacing w:after="0" w:line="286" w:lineRule="auto"/>
        <w:rPr>
          <w:sz w:val="20"/>
          <w:szCs w:val="20"/>
          <w:color w:val="auto"/>
        </w:rPr>
      </w:pPr>
      <w:r>
        <w:rPr>
          <w:rFonts w:ascii="Arial" w:cs="Arial" w:eastAsia="Arial" w:hAnsi="Arial"/>
          <w:sz w:val="17"/>
          <w:szCs w:val="17"/>
          <w:color w:val="auto"/>
        </w:rPr>
        <w:t>Administrative Agent will promptly notify the Lenders of any such notice of termination or reduction of the Aggregate Commitments. Any reduction of the Aggregate Commitments shall be applied to the Committed Loan Commitment of each Lender according to its Applicable Percentage. All fees accrued until the effective date of any termination of the Aggregate Commitments shall be paid on the effective date of such termination.</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u w:val="single" w:color="auto"/>
          <w:color w:val="auto"/>
        </w:rPr>
        <w:t>Interest</w:t>
      </w:r>
      <w:r>
        <w:rPr>
          <w:rFonts w:ascii="Arial" w:cs="Arial" w:eastAsia="Arial" w:hAnsi="Arial"/>
          <w:sz w:val="16"/>
          <w:szCs w:val="16"/>
          <w:color w:val="auto"/>
        </w:rPr>
        <w:t>.</w:t>
      </w:r>
    </w:p>
    <w:p>
      <w:pPr>
        <w:spacing w:after="0" w:line="229" w:lineRule="exact"/>
        <w:rPr>
          <w:sz w:val="20"/>
          <w:szCs w:val="20"/>
          <w:color w:val="auto"/>
        </w:rPr>
      </w:pPr>
    </w:p>
    <w:p>
      <w:pPr>
        <w:ind w:right="60" w:firstLine="656"/>
        <w:spacing w:after="0" w:line="288" w:lineRule="auto"/>
        <w:tabs>
          <w:tab w:leader="none" w:pos="1343"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(i) each Eurocurrency Rate Loan shall bear interest on the outstanding principal amount thereof for each Interest Period at a rate per annum equal to the Eurocurrency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 the case of a Eurocurrency Rate Loan of any Lender which is lent from a Lending Office in the United Kingdom or a Participating Member State) the Mandatory Cost and</w:t>
      </w:r>
    </w:p>
    <w:p>
      <w:pPr>
        <w:ind w:right="220" w:firstLine="8"/>
        <w:spacing w:after="0" w:line="261" w:lineRule="auto"/>
        <w:tabs>
          <w:tab w:leader="none" w:pos="2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83" w:lineRule="exact"/>
        <w:rPr>
          <w:rFonts w:ascii="Arial" w:cs="Arial" w:eastAsia="Arial" w:hAnsi="Arial"/>
          <w:sz w:val="18"/>
          <w:szCs w:val="18"/>
          <w:color w:val="auto"/>
        </w:rPr>
      </w:pPr>
    </w:p>
    <w:p>
      <w:pPr>
        <w:ind w:right="140" w:firstLine="656"/>
        <w:spacing w:after="0" w:line="264" w:lineRule="auto"/>
        <w:tabs>
          <w:tab w:leader="none" w:pos="1353" w:val="left"/>
        </w:tabs>
        <w:numPr>
          <w:ilvl w:val="1"/>
          <w:numId w:val="65"/>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right="40" w:firstLine="1305"/>
        <w:spacing w:after="0" w:line="259" w:lineRule="auto"/>
        <w:tabs>
          <w:tab w:leader="none" w:pos="2011" w:val="left"/>
        </w:tabs>
        <w:numPr>
          <w:ilvl w:val="2"/>
          <w:numId w:val="65"/>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6" w:lineRule="exact"/>
        <w:rPr>
          <w:rFonts w:ascii="Arial" w:cs="Arial" w:eastAsia="Arial" w:hAnsi="Arial"/>
          <w:sz w:val="18"/>
          <w:szCs w:val="18"/>
          <w:color w:val="auto"/>
        </w:rPr>
      </w:pPr>
    </w:p>
    <w:p>
      <w:pPr>
        <w:jc w:val="both"/>
        <w:ind w:right="240" w:firstLine="1305"/>
        <w:spacing w:after="0" w:line="264" w:lineRule="auto"/>
        <w:tabs>
          <w:tab w:leader="none" w:pos="2016"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Upon the request of the Required Lenders, while any Event of Default exists (other than as set forth in </w:t>
      </w:r>
      <w:r>
        <w:rPr>
          <w:rFonts w:ascii="Arial" w:cs="Arial" w:eastAsia="Arial" w:hAnsi="Arial"/>
          <w:sz w:val="18"/>
          <w:szCs w:val="18"/>
          <w:u w:val="single" w:color="auto"/>
          <w:color w:val="auto"/>
        </w:rPr>
        <w:t>clauses (b)(i) and (b)(ii)</w:t>
      </w:r>
      <w:r>
        <w:rPr>
          <w:rFonts w:ascii="Arial" w:cs="Arial" w:eastAsia="Arial" w:hAnsi="Arial"/>
          <w:sz w:val="18"/>
          <w:szCs w:val="18"/>
          <w:color w:val="auto"/>
        </w:rPr>
        <w:t xml:space="preserve"> above), the Borrower shall pay interest on the principal amount of all outstanding Obligations hereunder at a fluctuating interest rate per annum at all times equal to the Default Rate to the fullest extent permitted by applicable Laws.</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2"/>
          <w:numId w:val="65"/>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248" w:lineRule="exact"/>
        <w:rPr>
          <w:rFonts w:ascii="Arial" w:cs="Arial" w:eastAsia="Arial" w:hAnsi="Arial"/>
          <w:sz w:val="16"/>
          <w:szCs w:val="16"/>
          <w:color w:val="auto"/>
        </w:rPr>
      </w:pPr>
    </w:p>
    <w:p>
      <w:pPr>
        <w:ind w:right="160" w:firstLine="656"/>
        <w:spacing w:after="0" w:line="277" w:lineRule="auto"/>
        <w:tabs>
          <w:tab w:leader="none" w:pos="1343"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payable in accordance with the terms hereof before and after judgment, and before and after the commencement of any proceeding under any Debtor Relief Law.</w:t>
      </w:r>
    </w:p>
    <w:p>
      <w:pPr>
        <w:spacing w:after="0" w:line="170" w:lineRule="exact"/>
        <w:rPr>
          <w:sz w:val="20"/>
          <w:szCs w:val="20"/>
          <w:color w:val="auto"/>
        </w:rPr>
      </w:pPr>
    </w:p>
    <w:p>
      <w:pPr>
        <w:ind w:right="100" w:firstLine="656"/>
        <w:spacing w:after="0" w:line="276" w:lineRule="auto"/>
        <w:tabs>
          <w:tab w:leader="none" w:pos="13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6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u w:val="single" w:color="auto"/>
          <w:color w:val="auto"/>
        </w:rPr>
        <w:t>Fees</w:t>
      </w:r>
      <w:r>
        <w:rPr>
          <w:rFonts w:ascii="Arial" w:cs="Arial" w:eastAsia="Arial" w:hAnsi="Arial"/>
          <w:sz w:val="16"/>
          <w:szCs w:val="16"/>
          <w:color w:val="auto"/>
        </w:rPr>
        <w:t>. In addition to certain fees described in</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subsections (h) and (i)</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of</w:t>
      </w:r>
      <w:r>
        <w:rPr>
          <w:rFonts w:ascii="Arial" w:cs="Arial" w:eastAsia="Arial" w:hAnsi="Arial"/>
          <w:sz w:val="16"/>
          <w:szCs w:val="16"/>
          <w:b w:val="1"/>
          <w:bCs w:val="1"/>
          <w:u w:val="single" w:color="auto"/>
          <w:color w:val="auto"/>
        </w:rPr>
        <w:t xml:space="preserve">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29" w:lineRule="exact"/>
        <w:rPr>
          <w:sz w:val="20"/>
          <w:szCs w:val="20"/>
          <w:color w:val="auto"/>
        </w:rPr>
      </w:pPr>
    </w:p>
    <w:p>
      <w:pPr>
        <w:ind w:right="220" w:firstLine="656"/>
        <w:spacing w:after="0" w:line="291" w:lineRule="auto"/>
        <w:tabs>
          <w:tab w:leader="none" w:pos="1343"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The Borrower shall pay to the Administrative Agent for the account of each Lender in accordance with its Applicable Percentage, a commitment fee, in Dollars,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by which the Aggregate Commitments exceed the sum of</w:t>
      </w:r>
    </w:p>
    <w:p>
      <w:pPr>
        <w:ind w:firstLine="8"/>
        <w:spacing w:after="0" w:line="290" w:lineRule="auto"/>
        <w:tabs>
          <w:tab w:leader="none" w:pos="2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Outstanding Committed Loan Amount of Committed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Outstanding Committed Loan Amount of L/C Obligations, calculated on the basis of a 360-day year and the number of actual days elapsed. The commitment fee shall accrue at all times during the Availability Period, including at any time during which one or more of the conditions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64" w:lineRule="exact"/>
        <w:rPr>
          <w:rFonts w:ascii="Arial" w:cs="Arial" w:eastAsia="Arial" w:hAnsi="Arial"/>
          <w:sz w:val="16"/>
          <w:szCs w:val="16"/>
          <w:color w:val="auto"/>
        </w:rPr>
      </w:pPr>
    </w:p>
    <w:p>
      <w:pPr>
        <w:ind w:right="140" w:firstLine="656"/>
        <w:spacing w:after="0" w:line="259" w:lineRule="auto"/>
        <w:tabs>
          <w:tab w:leader="none" w:pos="1353"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The Borrower shall pay (i) to the Lead Arranger and the Administrative Agent for their own respective accounts, in Dollars, fees in the amounts and at the times specified in the Administrative Agent Fee Letter and (ii) to the Lenders, in Dollars, such fees as shall have been separately agreed upon in writing in the amounts and at the times so specified. Such fees shall be fully earned when paid and shall not be refundable for any reason whatsoever.</w:t>
      </w:r>
    </w:p>
    <w:p>
      <w:pPr>
        <w:spacing w:after="0" w:line="18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2.09</w:t>
      </w:r>
      <w:r>
        <w:rPr>
          <w:sz w:val="20"/>
          <w:szCs w:val="20"/>
          <w:color w:val="auto"/>
        </w:rPr>
        <w:tab/>
      </w:r>
      <w:r>
        <w:rPr>
          <w:rFonts w:ascii="Arial" w:cs="Arial" w:eastAsia="Arial" w:hAnsi="Arial"/>
          <w:sz w:val="16"/>
          <w:szCs w:val="16"/>
          <w:b w:val="1"/>
          <w:bCs w:val="1"/>
          <w:u w:val="single" w:color="auto"/>
          <w:color w:val="auto"/>
        </w:rPr>
        <w:t>Computation of Interest and Fees; Retroactive Adjustments of Applicable Rate</w:t>
      </w:r>
      <w:r>
        <w:rPr>
          <w:rFonts w:ascii="Arial" w:cs="Arial" w:eastAsia="Arial" w:hAnsi="Arial"/>
          <w:sz w:val="16"/>
          <w:szCs w:val="16"/>
          <w:color w:val="auto"/>
        </w:rPr>
        <w:t>.</w:t>
      </w:r>
    </w:p>
    <w:p>
      <w:pPr>
        <w:spacing w:after="0" w:line="229" w:lineRule="exact"/>
        <w:rPr>
          <w:sz w:val="20"/>
          <w:szCs w:val="20"/>
          <w:color w:val="auto"/>
        </w:rPr>
      </w:pPr>
    </w:p>
    <w:p>
      <w:pPr>
        <w:ind w:right="40" w:firstLine="656"/>
        <w:spacing w:after="0" w:line="271" w:lineRule="auto"/>
        <w:tabs>
          <w:tab w:leader="none" w:pos="13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Committed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Arial" w:cs="Arial" w:eastAsia="Arial" w:hAnsi="Arial"/>
          <w:sz w:val="17"/>
          <w:szCs w:val="17"/>
          <w:u w:val="single" w:color="auto"/>
          <w:color w:val="auto"/>
        </w:rPr>
        <w:t>Section 2.11(a)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178" w:lineRule="exact"/>
        <w:rPr>
          <w:rFonts w:ascii="Arial" w:cs="Arial" w:eastAsia="Arial" w:hAnsi="Arial"/>
          <w:sz w:val="17"/>
          <w:szCs w:val="17"/>
          <w:color w:val="auto"/>
        </w:rPr>
      </w:pPr>
    </w:p>
    <w:p>
      <w:pPr>
        <w:ind w:right="60" w:firstLine="656"/>
        <w:spacing w:after="0" w:line="264"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as a result of any restatement of or other adjustment to the financial statements of the Borrower or for any other reason, the Borrower or the Lenders determine that (i) the Funded Debt Leverage Ratio as calculated by the Borrower as of any applicable date was inaccurate in a material respect and (ii) a proper calculation of the Funded Debt Leverage Ratio would have resulted in higher</w:t>
      </w:r>
    </w:p>
    <w:p>
      <w:pPr>
        <w:sectPr>
          <w:pgSz w:w="11900" w:h="16838" w:orient="portrait"/>
          <w:cols w:equalWidth="0" w:num="1">
            <w:col w:w="11420"/>
          </w:cols>
          <w:pgMar w:left="240" w:top="125" w:right="239" w:bottom="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2" w:name="page53"/>
    <w:bookmarkEnd w:id="52"/>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pricing for such period, the Borrower shall immediately and retroactively be obligated to pay to the Administrative Agent for the account of the applicable Lenders or the L/C Issuer, as the case may be, promptly within ten (10) days of written demand by the Administrative Agent (or, after the occurrence of the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6"/>
          <w:szCs w:val="16"/>
          <w:u w:val="single" w:color="auto"/>
          <w:color w:val="auto"/>
        </w:rPr>
        <w:t>Section 2.03(c)(iii), 2.03(h) or 2.07(b)</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Article VIII</w:t>
      </w:r>
      <w:r>
        <w:rPr>
          <w:rFonts w:ascii="Arial" w:cs="Arial" w:eastAsia="Arial" w:hAnsi="Arial"/>
          <w:sz w:val="16"/>
          <w:szCs w:val="16"/>
          <w:color w:val="auto"/>
        </w:rPr>
        <w:t>. The Borrower’s obligations under this paragraph shall survive the termination of the Aggregate Commitments and the repayment of all other Obligations hereunder.</w:t>
      </w:r>
    </w:p>
    <w:p>
      <w:pPr>
        <w:spacing w:after="0" w:line="16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u w:val="single" w:color="auto"/>
          <w:color w:val="auto"/>
        </w:rPr>
        <w:t>Evidence of Debt</w:t>
      </w:r>
      <w:r>
        <w:rPr>
          <w:rFonts w:ascii="Arial" w:cs="Arial" w:eastAsia="Arial" w:hAnsi="Arial"/>
          <w:sz w:val="15"/>
          <w:szCs w:val="15"/>
          <w:color w:val="auto"/>
        </w:rPr>
        <w:t>.</w:t>
      </w:r>
    </w:p>
    <w:p>
      <w:pPr>
        <w:spacing w:after="0" w:line="229" w:lineRule="exact"/>
        <w:rPr>
          <w:sz w:val="20"/>
          <w:szCs w:val="20"/>
          <w:color w:val="auto"/>
        </w:rPr>
      </w:pPr>
    </w:p>
    <w:p>
      <w:pPr>
        <w:ind w:right="20" w:firstLine="656"/>
        <w:spacing w:after="0" w:line="289" w:lineRule="auto"/>
        <w:tabs>
          <w:tab w:leader="none" w:pos="134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spacing w:after="0" w:line="166" w:lineRule="exact"/>
        <w:rPr>
          <w:rFonts w:ascii="Arial" w:cs="Arial" w:eastAsia="Arial" w:hAnsi="Arial"/>
          <w:sz w:val="16"/>
          <w:szCs w:val="16"/>
          <w:color w:val="auto"/>
        </w:rPr>
      </w:pPr>
    </w:p>
    <w:p>
      <w:pPr>
        <w:ind w:firstLine="656"/>
        <w:spacing w:after="0" w:line="259"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 addition to the accounts and records referred to in </w:t>
      </w:r>
      <w:r>
        <w:rPr>
          <w:rFonts w:ascii="Arial" w:cs="Arial" w:eastAsia="Arial" w:hAnsi="Arial"/>
          <w:sz w:val="18"/>
          <w:szCs w:val="18"/>
          <w:u w:val="single" w:color="auto"/>
          <w:color w:val="auto"/>
        </w:rPr>
        <w:t>subsection (a)</w:t>
      </w:r>
      <w:r>
        <w:rPr>
          <w:rFonts w:ascii="Arial" w:cs="Arial" w:eastAsia="Arial" w:hAnsi="Arial"/>
          <w:sz w:val="18"/>
          <w:szCs w:val="18"/>
          <w:color w:val="auto"/>
        </w:rPr>
        <w:t>,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u w:val="single" w:color="auto"/>
          <w:color w:val="auto"/>
        </w:rPr>
        <w:t>Payments Generally; Administrative Agent’s Clawback</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0" w:lineRule="auto"/>
        <w:tabs>
          <w:tab w:leader="none" w:pos="1343"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without condition or deduction for any counterclaim, defense, recoupment or setoff.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not later than 2:00 p.m. on the dates specified herein.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the Borrower shall make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such payment in Dollars in the Dollar Equivalent of the Alternative Currency payment amount. The Administrative Agent will promptly distribute to each Lender its Applicable Percentage (or other applicable share as provided herein) of such payment in Same Day Funds by wire transfer to such Lender’s Lending Office. All payments received by the Administrative Agent (A) after 2:00 p.m., in the case of payments in Dollars, or (B) after the Applicable Time specified by the Administrative Agent in the case of payments in an Alternative Currency, shall in each case be deemed received on the next succeeding Business Day and any applicable interest or fee shall continue to accrue. If any payment to be made by Borrower shall come due on a day other than a Business Day, payment shall be made on the next following Business Day, and such extension of time shall be reflected in computing interest or fees, as the case may be.</w:t>
      </w:r>
    </w:p>
    <w:p>
      <w:pPr>
        <w:spacing w:after="0" w:line="189" w:lineRule="exact"/>
        <w:rPr>
          <w:sz w:val="20"/>
          <w:szCs w:val="20"/>
          <w:color w:val="auto"/>
        </w:rPr>
      </w:pPr>
    </w:p>
    <w:p>
      <w:pPr>
        <w:ind w:right="40" w:firstLine="1305"/>
        <w:spacing w:after="0" w:line="269" w:lineRule="auto"/>
        <w:tabs>
          <w:tab w:leader="none" w:pos="2011" w:val="left"/>
        </w:tabs>
        <w:numPr>
          <w:ilvl w:val="1"/>
          <w:numId w:val="72"/>
        </w:numPr>
        <w:rPr>
          <w:rFonts w:ascii="Arial" w:cs="Arial" w:eastAsia="Arial" w:hAnsi="Arial"/>
          <w:sz w:val="17"/>
          <w:szCs w:val="17"/>
          <w:color w:val="auto"/>
        </w:rPr>
      </w:pPr>
      <w:r>
        <w:rPr>
          <w:rFonts w:ascii="Arial" w:cs="Arial" w:eastAsia="Arial" w:hAnsi="Arial"/>
          <w:sz w:val="17"/>
          <w:szCs w:val="17"/>
          <w:color w:val="auto"/>
        </w:rPr>
        <w:t>On each date when the payment of any principal, interest or fees are due hereunder or under any Note, the Borrower agrees to maintain on deposit in an ordinary checking account maintained by the Borrower with the Administrative Agent (hereinafter, as such account shall be designated by the Borrower in a written notice to the Administrative Agent from time to time, referred to as the “</w:t>
      </w:r>
      <w:r>
        <w:rPr>
          <w:rFonts w:ascii="Arial" w:cs="Arial" w:eastAsia="Arial" w:hAnsi="Arial"/>
          <w:sz w:val="17"/>
          <w:szCs w:val="17"/>
          <w:u w:val="single" w:color="auto"/>
          <w:color w:val="auto"/>
        </w:rPr>
        <w:t>Borrower Account</w:t>
      </w:r>
      <w:r>
        <w:rPr>
          <w:rFonts w:ascii="Arial" w:cs="Arial" w:eastAsia="Arial" w:hAnsi="Arial"/>
          <w:sz w:val="17"/>
          <w:szCs w:val="17"/>
          <w:color w:val="auto"/>
        </w:rPr>
        <w:t xml:space="preserve">”) an amount sufficient to pay such principal, interest or fees in full on such date. The Borrower hereby authorizes the Administrative Agent (A) to deduct automatically all principal, interest or fees when due hereunder or under any Note from the Borrower Account, and (B) if and to the extent any payment of principal, interest or fees under this Agreement or any Note is not made when due to deduct any such amount from any or all of the accounts of the Borrower maintained at the Administrative Agent. The Administrative Agent agrees to provide written notice to the Borrower of any automatic deduction made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2.11(a)(ii)</w:t>
      </w:r>
      <w:r>
        <w:rPr>
          <w:rFonts w:ascii="Arial" w:cs="Arial" w:eastAsia="Arial" w:hAnsi="Arial"/>
          <w:sz w:val="17"/>
          <w:szCs w:val="17"/>
          <w:color w:val="auto"/>
        </w:rPr>
        <w:t xml:space="preserve"> showing in reasonable detail the amounts of such deduction. Lenders agree to reimburse the Borrower promptly based on their Applicable Percentage for any amounts deducted from such accounts in excess of amount due hereunder and under any other Loan Documents. The Borrower’s failure to deposit funds into the Borrower Account as required under the terms of this Agreement in no way relieves the Borrower of its obligation to make any payment due under the terms of this Agreement on such date.</w:t>
      </w:r>
    </w:p>
    <w:p>
      <w:pPr>
        <w:spacing w:after="0" w:line="182" w:lineRule="exact"/>
        <w:rPr>
          <w:rFonts w:ascii="Arial" w:cs="Arial" w:eastAsia="Arial" w:hAnsi="Arial"/>
          <w:sz w:val="17"/>
          <w:szCs w:val="17"/>
          <w:color w:val="auto"/>
        </w:rPr>
      </w:pPr>
    </w:p>
    <w:p>
      <w:pPr>
        <w:ind w:firstLine="656"/>
        <w:spacing w:after="0" w:line="287" w:lineRule="auto"/>
        <w:tabs>
          <w:tab w:leader="none" w:pos="1353"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Committed Borrowing available to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w:t>
      </w:r>
    </w:p>
    <w:p>
      <w:pPr>
        <w:sectPr>
          <w:pgSz w:w="11900" w:h="16890" w:orient="portrait"/>
          <w:cols w:equalWidth="0" w:num="1">
            <w:col w:w="11380"/>
          </w:cols>
          <w:pgMar w:left="240" w:top="584" w:right="279" w:bottom="0" w:gutter="0" w:footer="0" w:header="0"/>
        </w:sectPr>
      </w:pPr>
    </w:p>
    <w:bookmarkStart w:id="53" w:name="page54"/>
    <w:bookmarkEnd w:id="53"/>
    <w:p>
      <w:pPr>
        <w:spacing w:after="0" w:line="11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shall promptly remit to the Borrower the amount of such interest paid by the Borrower for such period. If such Lender pays its share of the applicable Committed Borrowing to the Administrative Agent, then the amount so paid shall constitute such Lender’s Committed Loan included in such Committed Borrowing. Any payment by the Borrower shall be without prejudice to any claim the Borrower may have against a Lender that shall have failed to make such payment to the Administrative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25" w:lineRule="exact"/>
        <w:rPr>
          <w:sz w:val="20"/>
          <w:szCs w:val="20"/>
          <w:color w:val="auto"/>
        </w:rPr>
      </w:pPr>
    </w:p>
    <w:p>
      <w:pPr>
        <w:ind w:firstLine="1305"/>
        <w:spacing w:after="0" w:line="290" w:lineRule="auto"/>
        <w:tabs>
          <w:tab w:leader="none" w:pos="2011"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xml:space="preserve">.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Lenders or the L/C Issuer, as the case may be, the amount due. In such event, if the Borrower has not in fact made such payment, then each of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shall be conclusive, absent manifest error.</w:t>
      </w:r>
    </w:p>
    <w:p>
      <w:pPr>
        <w:spacing w:after="0" w:line="166" w:lineRule="exact"/>
        <w:rPr>
          <w:rFonts w:ascii="Arial" w:cs="Arial" w:eastAsia="Arial" w:hAnsi="Arial"/>
          <w:sz w:val="16"/>
          <w:szCs w:val="16"/>
          <w:color w:val="auto"/>
        </w:rPr>
      </w:pPr>
    </w:p>
    <w:p>
      <w:pPr>
        <w:jc w:val="both"/>
        <w:ind w:right="60" w:firstLine="656"/>
        <w:spacing w:after="0" w:line="279" w:lineRule="auto"/>
        <w:tabs>
          <w:tab w:leader="none" w:pos="134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71" w:lineRule="exact"/>
        <w:rPr>
          <w:rFonts w:ascii="Arial" w:cs="Arial" w:eastAsia="Arial" w:hAnsi="Arial"/>
          <w:sz w:val="17"/>
          <w:szCs w:val="17"/>
          <w:color w:val="auto"/>
        </w:rPr>
      </w:pPr>
    </w:p>
    <w:p>
      <w:pPr>
        <w:ind w:right="20" w:firstLine="656"/>
        <w:spacing w:after="0" w:line="257" w:lineRule="auto"/>
        <w:tabs>
          <w:tab w:leader="none" w:pos="1353"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Committed Loans, to fund participations in Letters of Credit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Committed Loan, to fund any such participation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80" w:firstLine="656"/>
        <w:spacing w:after="0" w:line="308" w:lineRule="auto"/>
        <w:tabs>
          <w:tab w:leader="none" w:pos="1343"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2.12 </w:t>
      </w:r>
      <w:r>
        <w:rPr>
          <w:rFonts w:ascii="Arial" w:cs="Arial" w:eastAsia="Arial" w:hAnsi="Arial"/>
          <w:sz w:val="17"/>
          <w:szCs w:val="17"/>
          <w:b w:val="1"/>
          <w:bCs w:val="1"/>
          <w:u w:val="single" w:color="auto"/>
          <w:color w:val="auto"/>
        </w:rPr>
        <w:t>Sharing of Payments</w:t>
      </w:r>
      <w:r>
        <w:rPr>
          <w:rFonts w:ascii="Arial" w:cs="Arial" w:eastAsia="Arial" w:hAnsi="Arial"/>
          <w:sz w:val="17"/>
          <w:szCs w:val="17"/>
          <w:color w:val="auto"/>
        </w:rPr>
        <w:t>. If any Lender shall, by exercising any right of setoff or counterclaim or otherwise, obtain payment in respect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of or interest on any of the Committed Loans made by it, or the participations in L/C Obligations held by it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and subparticipations in L/C Obligations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Arial" w:cs="Arial" w:eastAsia="Arial" w:hAnsi="Arial"/>
          <w:sz w:val="17"/>
          <w:szCs w:val="17"/>
          <w:u w:val="single" w:color="auto"/>
          <w:color w:val="auto"/>
        </w:rPr>
        <w:t>provided that</w:t>
      </w:r>
      <w:r>
        <w:rPr>
          <w:rFonts w:ascii="Arial" w:cs="Arial" w:eastAsia="Arial" w:hAnsi="Arial"/>
          <w:sz w:val="17"/>
          <w:szCs w:val="17"/>
          <w:color w:val="auto"/>
        </w:rPr>
        <w:t>:</w:t>
      </w:r>
    </w:p>
    <w:p>
      <w:pPr>
        <w:spacing w:after="0" w:line="176" w:lineRule="exact"/>
        <w:rPr>
          <w:sz w:val="20"/>
          <w:szCs w:val="20"/>
          <w:color w:val="auto"/>
        </w:rPr>
      </w:pPr>
    </w:p>
    <w:p>
      <w:pPr>
        <w:ind w:right="40" w:firstLine="1305"/>
        <w:spacing w:after="0" w:line="342" w:lineRule="auto"/>
        <w:tabs>
          <w:tab w:leader="none" w:pos="2006"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23" w:lineRule="exact"/>
        <w:rPr>
          <w:rFonts w:ascii="Arial" w:cs="Arial" w:eastAsia="Arial" w:hAnsi="Arial"/>
          <w:sz w:val="16"/>
          <w:szCs w:val="16"/>
          <w:color w:val="auto"/>
        </w:rPr>
      </w:pPr>
    </w:p>
    <w:p>
      <w:pPr>
        <w:ind w:left="2020" w:hanging="715"/>
        <w:spacing w:after="0"/>
        <w:tabs>
          <w:tab w:leader="none" w:pos="2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not be construed to apply to (A)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6"/>
          <w:szCs w:val="16"/>
          <w:u w:val="single" w:color="auto"/>
          <w:color w:val="auto"/>
        </w:rPr>
        <w:t>Section 2.14</w:t>
      </w:r>
      <w:r>
        <w:rPr>
          <w:rFonts w:ascii="Arial" w:cs="Arial" w:eastAsia="Arial" w:hAnsi="Arial"/>
          <w:sz w:val="16"/>
          <w:szCs w:val="16"/>
          <w:color w:val="auto"/>
        </w:rPr>
        <w:t>, or (C) any payment obtained by a Lender as consideration for the assignment of or sale of a participation in any of its Committed Loans or subparticipations in L/C Obligations to any assignee or participant, other than an assignment to the Borrower or any Subsidiary thereof (as to which the provisions of this Section shall apply).</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u w:val="single" w:color="auto"/>
          <w:color w:val="auto"/>
        </w:rPr>
        <w:t>Increase in Commitments</w:t>
      </w:r>
      <w:r>
        <w:rPr>
          <w:rFonts w:ascii="Arial" w:cs="Arial" w:eastAsia="Arial" w:hAnsi="Arial"/>
          <w:sz w:val="16"/>
          <w:szCs w:val="16"/>
          <w:u w:val="single" w:color="auto"/>
          <w:color w:val="auto"/>
        </w:rPr>
        <w:t>.</w:t>
      </w:r>
    </w:p>
    <w:p>
      <w:pPr>
        <w:spacing w:after="0" w:line="229" w:lineRule="exact"/>
        <w:rPr>
          <w:sz w:val="20"/>
          <w:szCs w:val="20"/>
          <w:color w:val="auto"/>
        </w:rPr>
      </w:pPr>
    </w:p>
    <w:p>
      <w:pPr>
        <w:ind w:right="40" w:firstLine="656"/>
        <w:spacing w:after="0" w:line="255" w:lineRule="auto"/>
        <w:tabs>
          <w:tab w:leader="none" w:pos="134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Request for Increase</w:t>
      </w:r>
      <w:r>
        <w:rPr>
          <w:rFonts w:ascii="Arial" w:cs="Arial" w:eastAsia="Arial" w:hAnsi="Arial"/>
          <w:sz w:val="18"/>
          <w:szCs w:val="18"/>
          <w:color w:val="auto"/>
        </w:rPr>
        <w:t xml:space="preserve">. Provided no Default then exists, upon notice to the Administrative Agent (which shall promptly notify the Lenders), the Borrower may from time to time, request an increase in the Aggregate Commitments by an amount (for all such requests) not exceeding an additional $25,000,000.00;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request for an increase shall be in a minimum amount of $5,000,000.00, and (ii) the Borrower may make a maximum of two such requests. At the time of sending such notice, the Borrower (in consultation with the Administrative Agent) shall specify the time period within which each Lender is requested to respond (which shall in no event be less than seven Business Days from the date of delivery of such notice to the Lenders).</w:t>
      </w:r>
    </w:p>
    <w:p>
      <w:pPr>
        <w:spacing w:after="0" w:line="193" w:lineRule="exact"/>
        <w:rPr>
          <w:rFonts w:ascii="Arial" w:cs="Arial" w:eastAsia="Arial" w:hAnsi="Arial"/>
          <w:sz w:val="18"/>
          <w:szCs w:val="18"/>
          <w:color w:val="auto"/>
        </w:rPr>
      </w:pPr>
    </w:p>
    <w:p>
      <w:pPr>
        <w:ind w:right="460" w:firstLine="656"/>
        <w:spacing w:after="0" w:line="264" w:lineRule="auto"/>
        <w:tabs>
          <w:tab w:leader="none" w:pos="135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181" w:lineRule="exact"/>
        <w:rPr>
          <w:rFonts w:ascii="Arial" w:cs="Arial" w:eastAsia="Arial" w:hAnsi="Arial"/>
          <w:sz w:val="18"/>
          <w:szCs w:val="18"/>
          <w:color w:val="auto"/>
        </w:rPr>
      </w:pPr>
    </w:p>
    <w:p>
      <w:pPr>
        <w:ind w:right="300" w:firstLine="656"/>
        <w:spacing w:after="0" w:line="312" w:lineRule="auto"/>
        <w:tabs>
          <w:tab w:leader="none" w:pos="1343"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 Additional Lenders</w:t>
      </w:r>
      <w:r>
        <w:rPr>
          <w:rFonts w:ascii="Arial" w:cs="Arial" w:eastAsia="Arial" w:hAnsi="Arial"/>
          <w:sz w:val="16"/>
          <w:szCs w:val="16"/>
          <w:color w:val="auto"/>
        </w:rPr>
        <w:t>. The Administrative Agent shall notify the Borrower and each Lender of the Lenders’ responses to each request made hereunder. To achieve the full amount of a requested increase, the Borrower may also invite additional Eligible Assignees to become Lenders pursuant to a joinder agreement in form and substance reasonably satisfactory to the Administrative Agent and its counsel.</w:t>
      </w:r>
    </w:p>
    <w:p>
      <w:pPr>
        <w:sectPr>
          <w:pgSz w:w="11900" w:h="16952" w:orient="portrait"/>
          <w:cols w:equalWidth="0" w:num="1">
            <w:col w:w="11420"/>
          </w:cols>
          <w:pgMar w:left="240" w:top="125" w:right="239" w:bottom="0" w:gutter="0" w:footer="0" w:header="0"/>
        </w:sectPr>
      </w:pPr>
    </w:p>
    <w:bookmarkStart w:id="54" w:name="page55"/>
    <w:bookmarkEnd w:id="54"/>
    <w:p>
      <w:pPr>
        <w:spacing w:after="0" w:line="106" w:lineRule="exact"/>
        <w:rPr>
          <w:sz w:val="20"/>
          <w:szCs w:val="20"/>
          <w:color w:val="auto"/>
        </w:rPr>
      </w:pPr>
    </w:p>
    <w:p>
      <w:pPr>
        <w:ind w:right="200" w:firstLine="656"/>
        <w:spacing w:after="0" w:line="312" w:lineRule="auto"/>
        <w:tabs>
          <w:tab w:leader="none" w:pos="1353"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Effective Date and Allocations</w:t>
      </w:r>
      <w:r>
        <w:rPr>
          <w:rFonts w:ascii="Arial" w:cs="Arial" w:eastAsia="Arial" w:hAnsi="Arial"/>
          <w:sz w:val="16"/>
          <w:szCs w:val="16"/>
          <w:color w:val="auto"/>
        </w:rPr>
        <w:t xml:space="preserve">. If the Aggregate Commitments are increased in accordance with this </w:t>
      </w:r>
      <w:r>
        <w:rPr>
          <w:rFonts w:ascii="Arial" w:cs="Arial" w:eastAsia="Arial" w:hAnsi="Arial"/>
          <w:sz w:val="16"/>
          <w:szCs w:val="16"/>
          <w:u w:val="single" w:color="auto"/>
          <w:color w:val="auto"/>
        </w:rPr>
        <w:t>Section 2.13</w:t>
      </w:r>
      <w:r>
        <w:rPr>
          <w:rFonts w:ascii="Arial" w:cs="Arial" w:eastAsia="Arial" w:hAnsi="Arial"/>
          <w:sz w:val="16"/>
          <w:szCs w:val="16"/>
          <w:color w:val="auto"/>
        </w:rPr>
        <w:t>, the Administrative Agent and the Borrower shall determine the effective date (hereinafter referred to as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and the final allocation of such increase. The Administrative Agent shall promptly notify the Borrower and the Lenders of the final allocation of such increase and the Increase Effective Date.</w:t>
      </w:r>
    </w:p>
    <w:p>
      <w:pPr>
        <w:spacing w:after="0" w:line="146" w:lineRule="exact"/>
        <w:rPr>
          <w:rFonts w:ascii="Arial" w:cs="Arial" w:eastAsia="Arial" w:hAnsi="Arial"/>
          <w:sz w:val="16"/>
          <w:szCs w:val="16"/>
          <w:color w:val="auto"/>
        </w:rPr>
      </w:pPr>
    </w:p>
    <w:p>
      <w:pPr>
        <w:ind w:right="20" w:firstLine="656"/>
        <w:spacing w:after="0" w:line="271" w:lineRule="auto"/>
        <w:tabs>
          <w:tab w:leader="none" w:pos="134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Conditions to Effectiveness of Increase</w:t>
      </w:r>
      <w:r>
        <w:rPr>
          <w:rFonts w:ascii="Arial" w:cs="Arial" w:eastAsia="Arial" w:hAnsi="Arial"/>
          <w:sz w:val="17"/>
          <w:szCs w:val="17"/>
          <w:color w:val="auto"/>
        </w:rPr>
        <w:t xml:space="preserve">. As a condition precedent to such increase, (i) the Borrower shall deliver to the Administrative Agent a certificate of each Loan Party dated as of the Increase Effective Date (in sufficient copies for each Lender) signed by a Responsible Officer of such Loan Party (x) certifying and attaching the resolutions adopted by such Loan Party approving or consenting to such increase, and (y) in the case of the Borrower, certifying that, before and after giving effect to such increase, (A)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 statements furnished pursuant to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and (B) no Default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then exists. The Borrower shall prepay any Committed Loans outstanding on the Increase Effective Date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to the extent necessary to keep the outstanding Committed Loans ratable with any revised Applicable Percentages arising from any nonratable increase in the Commitments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81" w:lineRule="exact"/>
        <w:rPr>
          <w:sz w:val="20"/>
          <w:szCs w:val="20"/>
          <w:color w:val="auto"/>
        </w:rPr>
      </w:pPr>
    </w:p>
    <w:p>
      <w:pPr>
        <w:ind w:left="1380" w:hanging="724"/>
        <w:spacing w:after="0"/>
        <w:tabs>
          <w:tab w:leader="none" w:pos="13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supersede any provisions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u w:val="single" w:color="auto"/>
          <w:color w:val="auto"/>
        </w:rPr>
        <w:t>Cash Collateral.</w:t>
      </w:r>
    </w:p>
    <w:p>
      <w:pPr>
        <w:spacing w:after="0" w:line="229" w:lineRule="exact"/>
        <w:rPr>
          <w:sz w:val="20"/>
          <w:szCs w:val="20"/>
          <w:color w:val="auto"/>
        </w:rPr>
      </w:pPr>
    </w:p>
    <w:p>
      <w:pPr>
        <w:ind w:right="20" w:firstLine="656"/>
        <w:spacing w:after="0" w:line="285" w:lineRule="auto"/>
        <w:tabs>
          <w:tab w:leader="none" w:pos="1343"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the L/C Issuer has honored any full or partial drawing request under any Letter of Credit and such drawing has resulted in an L/C Borrowing, (ii) as of the L/C Expiration Date, any L/C Obligation for any reason remains outstanding, (iii) the Borrower shall be required to provide Cash Collateral pursuant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or (iv) there shall exist a Defaulting Lender, the Borrower shall immediately (in the case of the foregoing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81"/>
        </w:numPr>
        <w:rPr>
          <w:rFonts w:ascii="Arial" w:cs="Arial" w:eastAsia="Arial" w:hAnsi="Arial"/>
          <w:sz w:val="18"/>
          <w:szCs w:val="18"/>
          <w:u w:val="single" w:color="auto"/>
          <w:color w:val="auto"/>
        </w:rPr>
      </w:pPr>
      <w:r>
        <w:rPr>
          <w:rFonts w:ascii="Arial" w:cs="Arial" w:eastAsia="Arial" w:hAnsi="Arial"/>
          <w:sz w:val="18"/>
          <w:szCs w:val="18"/>
          <w:color w:val="auto"/>
        </w:rPr>
        <w:t xml:space="preserve">above,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and any Cash Collateral provided by the Defaulting Lender).</w:t>
      </w:r>
    </w:p>
    <w:p>
      <w:pPr>
        <w:spacing w:after="0" w:line="210" w:lineRule="exact"/>
        <w:rPr>
          <w:rFonts w:ascii="Arial" w:cs="Arial" w:eastAsia="Arial" w:hAnsi="Arial"/>
          <w:sz w:val="18"/>
          <w:szCs w:val="18"/>
          <w:u w:val="single" w:color="auto"/>
          <w:color w:val="auto"/>
        </w:rPr>
      </w:pPr>
    </w:p>
    <w:p>
      <w:pPr>
        <w:ind w:firstLine="656"/>
        <w:spacing w:after="0" w:line="288" w:lineRule="auto"/>
        <w:tabs>
          <w:tab w:leader="none" w:pos="1353"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2.14(c)</w:t>
      </w:r>
      <w:r>
        <w:rPr>
          <w:rFonts w:ascii="Arial" w:cs="Arial" w:eastAsia="Arial" w:hAnsi="Arial"/>
          <w:sz w:val="16"/>
          <w:szCs w:val="16"/>
          <w:color w:val="auto"/>
        </w:rPr>
        <w:t>. If at any time the Administrative Agent reasonably determines in good faith that Cash Collateral is subject to any right or claim of any Person other than the Administrative Agent or the L/C Issuer as herein provided, or that the total amount of such Cash Collateral is less than the Minimum Collateral Amount, the Borrower will, promptly upon ten (10) days written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69" w:lineRule="exact"/>
        <w:rPr>
          <w:rFonts w:ascii="Arial" w:cs="Arial" w:eastAsia="Arial" w:hAnsi="Arial"/>
          <w:sz w:val="16"/>
          <w:szCs w:val="16"/>
          <w:color w:val="auto"/>
        </w:rPr>
      </w:pPr>
    </w:p>
    <w:p>
      <w:pPr>
        <w:ind w:left="1360" w:hanging="704"/>
        <w:spacing w:after="0"/>
        <w:tabs>
          <w:tab w:leader="none" w:pos="136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Notwithstanding anything to the contrary contained in this Agreement, Cash Collateral provided under any of this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90" w:lineRule="exact"/>
        <w:rPr>
          <w:sz w:val="20"/>
          <w:szCs w:val="20"/>
          <w:color w:val="auto"/>
        </w:rPr>
      </w:pPr>
    </w:p>
    <w:p>
      <w:pPr>
        <w:ind w:right="40" w:firstLine="656"/>
        <w:spacing w:after="0" w:line="255" w:lineRule="auto"/>
        <w:tabs>
          <w:tab w:leader="none" w:pos="1353"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10.06(b)(vi)</w:t>
      </w:r>
      <w:r>
        <w:rPr>
          <w:rFonts w:ascii="Arial" w:cs="Arial" w:eastAsia="Arial" w:hAnsi="Arial"/>
          <w:sz w:val="18"/>
          <w:szCs w:val="18"/>
          <w:color w:val="auto"/>
        </w:rPr>
        <w:t xml:space="preserve">)) or (ii) the determination by the Administrative Agent and the L/C Issuer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Person providing Cash Collateral and the L/C Issuer may agree that Cash Collateral shall not be released but instead held to support future anticipated Fronting Exposure or other obligations.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u w:val="single" w:color="auto"/>
          <w:color w:val="auto"/>
        </w:rPr>
        <w:t>Defaulting Lenders.</w:t>
      </w:r>
    </w:p>
    <w:p>
      <w:pPr>
        <w:spacing w:after="0" w:line="229" w:lineRule="exact"/>
        <w:rPr>
          <w:sz w:val="20"/>
          <w:szCs w:val="20"/>
          <w:color w:val="auto"/>
        </w:rPr>
      </w:pPr>
    </w:p>
    <w:p>
      <w:pPr>
        <w:ind w:right="360" w:firstLine="656"/>
        <w:spacing w:after="0" w:line="277" w:lineRule="auto"/>
        <w:tabs>
          <w:tab w:leader="none" w:pos="129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60" w:right="420" w:firstLine="645"/>
        <w:spacing w:after="0" w:line="277" w:lineRule="auto"/>
        <w:tabs>
          <w:tab w:leader="none" w:pos="1978"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140" w:firstLine="645"/>
        <w:spacing w:after="0" w:line="302" w:lineRule="auto"/>
        <w:tabs>
          <w:tab w:leader="none" w:pos="1987"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to the payment of any amounts owing by such Defaulting Lender to the Administrative Agent hereunder;</w:t>
      </w:r>
    </w:p>
    <w:p>
      <w:pPr>
        <w:sectPr>
          <w:pgSz w:w="11900" w:h="16945" w:orient="portrait"/>
          <w:cols w:equalWidth="0" w:num="1">
            <w:col w:w="11420"/>
          </w:cols>
          <w:pgMar w:left="240" w:top="341" w:right="239" w:bottom="0" w:gutter="0" w:footer="0" w:header="0"/>
        </w:sectPr>
      </w:pPr>
    </w:p>
    <w:bookmarkStart w:id="55" w:name="page56"/>
    <w:bookmarkEnd w:id="55"/>
    <w:p>
      <w:pPr>
        <w:ind w:left="660" w:right="40"/>
        <w:spacing w:after="0" w:line="285"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the L/C Issuer hereunder;</w:t>
      </w:r>
      <w:r>
        <w:rPr>
          <w:rFonts w:ascii="Arial" w:cs="Arial" w:eastAsia="Arial" w:hAnsi="Arial"/>
          <w:sz w:val="16"/>
          <w:szCs w:val="16"/>
          <w:i w:val="1"/>
          <w:iCs w:val="1"/>
          <w:color w:val="auto"/>
        </w:rPr>
        <w:t xml:space="preserve"> third</w:t>
      </w:r>
      <w:r>
        <w:rPr>
          <w:rFonts w:ascii="Arial" w:cs="Arial" w:eastAsia="Arial" w:hAnsi="Arial"/>
          <w:sz w:val="16"/>
          <w:szCs w:val="16"/>
          <w:color w:val="auto"/>
        </w:rPr>
        <w:t>, to Cash Collateralize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L/C Issuer’s Fronting Exposure with respect to such Defaulting Lender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the L/C Issuer as a result of any judgment of a court of competent jurisdiction obtained by any Lender or the L/C Issuer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to such Defaulting Lender or as otherwise directed by a court of competent jurisdiction;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(x) such payment is a payment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principal amount of any Committed Loans or L/C Borrowings in respect of which such Defaulting Lender has not fully funded its appropriate share, and (y) such Committed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Committed Loans of, and L/C Obligations owed to, all Non-Defaulting Lenders on a pro rata basis prior to being applied to the payment of any Committed Loans of, or L/C Obligations owed to, such Defaulting Lender until such time as all Committed Loans and funded and unfunded participations in L/C Obligations are held by the Lenders pro rata in accordance with the Commitments hereunder without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right="80" w:firstLine="653"/>
        <w:spacing w:after="0" w:line="264" w:lineRule="auto"/>
        <w:tabs>
          <w:tab w:leader="none" w:pos="2617"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81" w:lineRule="exact"/>
        <w:rPr>
          <w:rFonts w:ascii="Arial" w:cs="Arial" w:eastAsia="Arial" w:hAnsi="Arial"/>
          <w:sz w:val="18"/>
          <w:szCs w:val="18"/>
          <w:color w:val="auto"/>
        </w:rPr>
      </w:pPr>
    </w:p>
    <w:p>
      <w:pPr>
        <w:ind w:left="1300" w:right="380" w:firstLine="653"/>
        <w:spacing w:after="0" w:line="264" w:lineRule="auto"/>
        <w:tabs>
          <w:tab w:leader="none" w:pos="2607"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300" w:right="160" w:firstLine="653"/>
        <w:spacing w:after="0" w:line="255" w:lineRule="auto"/>
        <w:tabs>
          <w:tab w:leader="none" w:pos="2607" w:val="left"/>
        </w:tabs>
        <w:numPr>
          <w:ilvl w:val="2"/>
          <w:numId w:val="84"/>
        </w:numPr>
        <w:rPr>
          <w:rFonts w:ascii="Arial" w:cs="Arial" w:eastAsia="Arial" w:hAnsi="Arial"/>
          <w:sz w:val="18"/>
          <w:szCs w:val="18"/>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or any Letter of Credit Fee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 (y) pay to the L/C Issuer the amount of any such fee otherwise payable to such Defaulting Lender to the extent allocable to the L/C Issuer’s Fronting Exposure to such Defaulting Lender, and (z) not be required to pay the remaining amount of any such fee.</w:t>
      </w:r>
    </w:p>
    <w:p>
      <w:pPr>
        <w:spacing w:after="0" w:line="193" w:lineRule="exact"/>
        <w:rPr>
          <w:rFonts w:ascii="Arial" w:cs="Arial" w:eastAsia="Arial" w:hAnsi="Arial"/>
          <w:sz w:val="18"/>
          <w:szCs w:val="18"/>
          <w:color w:val="auto"/>
        </w:rPr>
      </w:pPr>
    </w:p>
    <w:p>
      <w:pPr>
        <w:ind w:left="660" w:firstLine="645"/>
        <w:spacing w:after="0" w:line="290" w:lineRule="auto"/>
        <w:tabs>
          <w:tab w:leader="none" w:pos="1973"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6" w:lineRule="exact"/>
        <w:rPr>
          <w:rFonts w:ascii="Arial" w:cs="Arial" w:eastAsia="Arial" w:hAnsi="Arial"/>
          <w:sz w:val="16"/>
          <w:szCs w:val="16"/>
          <w:color w:val="auto"/>
        </w:rPr>
      </w:pPr>
    </w:p>
    <w:p>
      <w:pPr>
        <w:jc w:val="both"/>
        <w:ind w:left="660" w:right="80" w:firstLine="645"/>
        <w:spacing w:after="0" w:line="264" w:lineRule="auto"/>
        <w:tabs>
          <w:tab w:leader="none" w:pos="1964"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Cash Collateral</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 Cash Collateralize the L/C Issuers’ Fronting Exposure in accordance with the procedures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80" w:firstLine="656"/>
        <w:spacing w:after="0" w:line="272" w:lineRule="auto"/>
        <w:tabs>
          <w:tab w:leader="none" w:pos="1304"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to be held on a pro rata basis by the Lenders in accordance with their Applicable Percentages (without giving effect to </w:t>
      </w:r>
      <w:r>
        <w:rPr>
          <w:rFonts w:ascii="Arial" w:cs="Arial" w:eastAsia="Arial" w:hAnsi="Arial"/>
          <w:sz w:val="17"/>
          <w:szCs w:val="17"/>
          <w:u w:val="single" w:color="auto"/>
          <w:color w:val="auto"/>
        </w:rPr>
        <w:t>Section 2.15(a)(iv)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TAXES, YIELD PROTECTION AND ILLEGALITY</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5"/>
          <w:szCs w:val="15"/>
          <w:b w:val="1"/>
          <w:bCs w:val="1"/>
          <w:u w:val="single" w:color="auto"/>
          <w:color w:val="auto"/>
        </w:rPr>
        <w:t>Taxes</w:t>
      </w:r>
      <w:r>
        <w:rPr>
          <w:rFonts w:ascii="Arial" w:cs="Arial" w:eastAsia="Arial" w:hAnsi="Arial"/>
          <w:sz w:val="15"/>
          <w:szCs w:val="15"/>
          <w:color w:val="auto"/>
        </w:rPr>
        <w:t>.</w:t>
      </w:r>
    </w:p>
    <w:p>
      <w:pPr>
        <w:sectPr>
          <w:pgSz w:w="11900" w:h="16838" w:orient="portrait"/>
          <w:cols w:equalWidth="0" w:num="1">
            <w:col w:w="11420"/>
          </w:cols>
          <w:pgMar w:left="240" w:top="125" w:right="239" w:bottom="0" w:gutter="0" w:footer="0" w:header="0"/>
        </w:sectPr>
      </w:pPr>
    </w:p>
    <w:bookmarkStart w:id="56" w:name="page57"/>
    <w:bookmarkEnd w:id="56"/>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57" w:lineRule="auto"/>
        <w:tabs>
          <w:tab w:leader="none" w:pos="1966"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188" w:lineRule="exact"/>
        <w:rPr>
          <w:rFonts w:ascii="Arial" w:cs="Arial" w:eastAsia="Arial" w:hAnsi="Arial"/>
          <w:sz w:val="18"/>
          <w:szCs w:val="18"/>
          <w:color w:val="auto"/>
        </w:rPr>
      </w:pPr>
    </w:p>
    <w:p>
      <w:pPr>
        <w:ind w:right="260" w:firstLine="1305"/>
        <w:spacing w:after="0" w:line="271" w:lineRule="auto"/>
        <w:tabs>
          <w:tab w:leader="none" w:pos="1976"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ind w:right="20" w:firstLine="1305"/>
        <w:spacing w:after="0" w:line="271" w:lineRule="auto"/>
        <w:tabs>
          <w:tab w:leader="none" w:pos="1985"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7"/>
          <w:szCs w:val="17"/>
          <w:color w:val="auto"/>
        </w:rPr>
      </w:pPr>
    </w:p>
    <w:p>
      <w:pPr>
        <w:jc w:val="both"/>
        <w:ind w:right="120" w:firstLine="656"/>
        <w:spacing w:after="0" w:line="264" w:lineRule="auto"/>
        <w:tabs>
          <w:tab w:leader="none" w:pos="130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(i) Each of the Loan Parties shall, and does hereby, jointly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15 days after the Administrative Agent’s written demand therefor, for any amount which a Lender or the L/C Issuer for any reason fails to pay indefeasibly to the Administrative Agent as required pursuant to </w:t>
      </w:r>
      <w:r>
        <w:rPr>
          <w:rFonts w:ascii="Arial" w:cs="Arial" w:eastAsia="Arial" w:hAnsi="Arial"/>
          <w:sz w:val="17"/>
          <w:szCs w:val="17"/>
          <w:u w:val="single" w:color="auto"/>
          <w:color w:val="auto"/>
        </w:rPr>
        <w:t>Section 3.01(c)(ii)</w:t>
      </w:r>
      <w:r>
        <w:rPr>
          <w:rFonts w:ascii="Arial" w:cs="Arial" w:eastAsia="Arial" w:hAnsi="Arial"/>
          <w:sz w:val="17"/>
          <w:szCs w:val="17"/>
          <w:color w:val="auto"/>
        </w:rPr>
        <w:t xml:space="preserve"> below.</w:t>
      </w:r>
    </w:p>
    <w:p>
      <w:pPr>
        <w:spacing w:after="0" w:line="182" w:lineRule="exact"/>
        <w:rPr>
          <w:sz w:val="20"/>
          <w:szCs w:val="20"/>
          <w:color w:val="auto"/>
        </w:rPr>
      </w:pPr>
    </w:p>
    <w:p>
      <w:pPr>
        <w:ind w:right="20" w:firstLine="1305"/>
        <w:spacing w:after="0" w:line="269" w:lineRule="auto"/>
        <w:tabs>
          <w:tab w:leader="none" w:pos="1976"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(y) the Administrative Agent and the Loan Parties, as applicable, against any Taxes attributable to such Lender’s failure to comply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relating to the maintenance of a Participant Register and (z) the Administrative Agent and the Loan Parties,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firstLine="656"/>
        <w:spacing w:after="0" w:line="257" w:lineRule="auto"/>
        <w:tabs>
          <w:tab w:leader="none" w:pos="1304"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a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8" w:lineRule="exact"/>
        <w:rPr>
          <w:rFonts w:ascii="Arial" w:cs="Arial" w:eastAsia="Arial" w:hAnsi="Arial"/>
          <w:sz w:val="18"/>
          <w:szCs w:val="18"/>
          <w:color w:val="auto"/>
        </w:rPr>
      </w:pPr>
    </w:p>
    <w:p>
      <w:pPr>
        <w:ind w:left="1320" w:hanging="664"/>
        <w:spacing w:after="0"/>
        <w:tabs>
          <w:tab w:leader="none" w:pos="132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2" w:lineRule="auto"/>
        <w:tabs>
          <w:tab w:leader="none" w:pos="1966" w:val="left"/>
        </w:tabs>
        <w:numPr>
          <w:ilvl w:val="1"/>
          <w:numId w:val="88"/>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w:t>
      </w:r>
    </w:p>
    <w:p>
      <w:pPr>
        <w:sectPr>
          <w:pgSz w:w="11900" w:h="16838"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57" w:name="page58"/>
    <w:bookmarkEnd w:id="57"/>
    <w:p>
      <w:pPr>
        <w:spacing w:after="0" w:line="4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 xml:space="preserve">execution and submission of such documentation (other than such documentation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ind w:left="1980" w:hanging="675"/>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225" w:lineRule="exact"/>
        <w:rPr>
          <w:rFonts w:ascii="Arial" w:cs="Arial" w:eastAsia="Arial" w:hAnsi="Arial"/>
          <w:sz w:val="18"/>
          <w:szCs w:val="18"/>
          <w:color w:val="auto"/>
        </w:rPr>
      </w:pPr>
    </w:p>
    <w:p>
      <w:pPr>
        <w:ind w:right="400" w:firstLine="1953"/>
        <w:spacing w:after="0" w:line="286" w:lineRule="auto"/>
        <w:tabs>
          <w:tab w:leader="none" w:pos="2613" w:val="left"/>
        </w:tabs>
        <w:numPr>
          <w:ilvl w:val="1"/>
          <w:numId w:val="89"/>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65" w:lineRule="exact"/>
        <w:rPr>
          <w:rFonts w:ascii="Arial" w:cs="Arial" w:eastAsia="Arial" w:hAnsi="Arial"/>
          <w:sz w:val="17"/>
          <w:szCs w:val="17"/>
          <w:color w:val="auto"/>
        </w:rPr>
      </w:pPr>
    </w:p>
    <w:p>
      <w:pPr>
        <w:ind w:right="60" w:firstLine="1953"/>
        <w:spacing w:after="0" w:line="259" w:lineRule="auto"/>
        <w:tabs>
          <w:tab w:leader="none" w:pos="2603"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7" w:lineRule="exact"/>
        <w:rPr>
          <w:sz w:val="20"/>
          <w:szCs w:val="20"/>
          <w:color w:val="auto"/>
        </w:rPr>
      </w:pPr>
    </w:p>
    <w:p>
      <w:pPr>
        <w:ind w:left="2600" w:right="100" w:hanging="647"/>
        <w:spacing w:after="0" w:line="288" w:lineRule="auto"/>
        <w:tabs>
          <w:tab w:leader="none" w:pos="2597"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w:t>
      </w:r>
    </w:p>
    <w:p>
      <w:pPr>
        <w:ind w:left="2600" w:right="80"/>
        <w:spacing w:after="0" w:line="255" w:lineRule="auto"/>
        <w:rPr>
          <w:rFonts w:ascii="Arial" w:cs="Arial" w:eastAsia="Arial" w:hAnsi="Arial"/>
          <w:sz w:val="16"/>
          <w:szCs w:val="16"/>
          <w:color w:val="auto"/>
        </w:rPr>
      </w:pPr>
      <w:r>
        <w:rPr>
          <w:rFonts w:ascii="Arial" w:cs="Arial" w:eastAsia="Arial" w:hAnsi="Arial"/>
          <w:sz w:val="18"/>
          <w:szCs w:val="18"/>
          <w:color w:val="auto"/>
        </w:rPr>
        <w:t>(y) with respect to any other applicable payments under any Loan Document, IRS Form W-8BEN establishing an exemption from, or reduction of, U.S. federal withholding Tax pursuant to the “business profits” or “other income” article of such tax treaty;</w:t>
      </w:r>
    </w:p>
    <w:p>
      <w:pPr>
        <w:spacing w:after="0" w:line="190" w:lineRule="exact"/>
        <w:rPr>
          <w:sz w:val="20"/>
          <w:szCs w:val="20"/>
          <w:color w:val="auto"/>
        </w:rPr>
      </w:pPr>
    </w:p>
    <w:p>
      <w:pPr>
        <w:ind w:left="2600" w:hanging="647"/>
        <w:spacing w:after="0"/>
        <w:tabs>
          <w:tab w:leader="none" w:pos="2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225" w:lineRule="exact"/>
        <w:rPr>
          <w:sz w:val="20"/>
          <w:szCs w:val="20"/>
          <w:color w:val="auto"/>
        </w:rPr>
      </w:pPr>
    </w:p>
    <w:p>
      <w:pPr>
        <w:ind w:left="2600" w:right="180" w:hanging="647"/>
        <w:spacing w:after="0" w:line="297" w:lineRule="auto"/>
        <w:tabs>
          <w:tab w:leader="none" w:pos="2582"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H-1</w:t>
      </w:r>
      <w:r>
        <w:rPr>
          <w:rFonts w:ascii="Arial" w:cs="Arial" w:eastAsia="Arial" w:hAnsi="Arial"/>
          <w:sz w:val="16"/>
          <w:szCs w:val="16"/>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(hereinafter referred to as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executed originals of IRS Form W-8BEN; 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ind w:left="1960"/>
              <w:spacing w:after="0"/>
              <w:rPr>
                <w:sz w:val="20"/>
                <w:szCs w:val="20"/>
                <w:color w:val="auto"/>
              </w:rPr>
            </w:pPr>
            <w:r>
              <w:rPr>
                <w:rFonts w:ascii="Arial" w:cs="Arial" w:eastAsia="Arial" w:hAnsi="Arial"/>
                <w:sz w:val="18"/>
                <w:szCs w:val="18"/>
                <w:color w:val="auto"/>
              </w:rPr>
              <w:t>IV.</w:t>
            </w:r>
          </w:p>
        </w:tc>
        <w:tc>
          <w:tcPr>
            <w:tcW w:w="9080" w:type="dxa"/>
            <w:vAlign w:val="bottom"/>
            <w:gridSpan w:val="9"/>
          </w:tcPr>
          <w:p>
            <w:pPr>
              <w:ind w:left="200"/>
              <w:spacing w:after="0"/>
              <w:rPr>
                <w:sz w:val="20"/>
                <w:szCs w:val="20"/>
                <w:color w:val="auto"/>
              </w:rPr>
            </w:pPr>
            <w:r>
              <w:rPr>
                <w:rFonts w:ascii="Arial" w:cs="Arial" w:eastAsia="Arial" w:hAnsi="Arial"/>
                <w:sz w:val="18"/>
                <w:szCs w:val="18"/>
                <w:color w:val="auto"/>
                <w:w w:val="92"/>
              </w:rPr>
              <w:t>to the extent a Foreign Lender is not the beneficial owner, executed originals of IRS Form W-8IMY, accompanied by IRS</w:t>
            </w:r>
          </w:p>
        </w:tc>
      </w:tr>
      <w:tr>
        <w:trPr>
          <w:trHeight w:val="190"/>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60" w:type="dxa"/>
            <w:vAlign w:val="bottom"/>
            <w:gridSpan w:val="8"/>
          </w:tcPr>
          <w:p>
            <w:pPr>
              <w:spacing w:after="0" w:line="190" w:lineRule="exact"/>
              <w:rPr>
                <w:sz w:val="20"/>
                <w:szCs w:val="20"/>
                <w:color w:val="auto"/>
              </w:rPr>
            </w:pPr>
            <w:r>
              <w:rPr>
                <w:rFonts w:ascii="Arial" w:cs="Arial" w:eastAsia="Arial" w:hAnsi="Arial"/>
                <w:sz w:val="18"/>
                <w:szCs w:val="18"/>
                <w:color w:val="auto"/>
              </w:rPr>
              <w:t>Form W-8ECI, IRS Form W-8BEN, a U.S. Tax Compliance Certificate substantially in the form of Exhibit H-2 or</w:t>
            </w:r>
          </w:p>
        </w:tc>
      </w:tr>
      <w:tr>
        <w:trPr>
          <w:trHeight w:val="20"/>
        </w:trPr>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60" w:type="dxa"/>
            <w:vAlign w:val="bottom"/>
            <w:gridSpan w:val="8"/>
          </w:tcPr>
          <w:p>
            <w:pPr>
              <w:spacing w:after="0" w:line="196" w:lineRule="exact"/>
              <w:rPr>
                <w:sz w:val="20"/>
                <w:szCs w:val="20"/>
                <w:color w:val="auto"/>
              </w:rPr>
            </w:pPr>
            <w:r>
              <w:rPr>
                <w:rFonts w:ascii="Arial" w:cs="Arial" w:eastAsia="Arial" w:hAnsi="Arial"/>
                <w:sz w:val="18"/>
                <w:szCs w:val="18"/>
                <w:color w:val="auto"/>
                <w:w w:val="92"/>
              </w:rPr>
              <w:t>Exhibit H-3, IRS Form W-9, and/or other certification documents from each beneficial owner, as applicable; provided that</w:t>
            </w:r>
          </w:p>
        </w:tc>
      </w:tr>
      <w:tr>
        <w:trPr>
          <w:trHeight w:val="20"/>
        </w:trPr>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2"/>
        </w:trPr>
        <w:tc>
          <w:tcPr>
            <w:tcW w:w="2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w w:val="92"/>
              </w:rPr>
              <w:t>if the Foreign Lender is a partnership and one or more direct or indirect partners of such Foreign Lender are claiming the</w:t>
            </w: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60" w:type="dxa"/>
            <w:vAlign w:val="bottom"/>
            <w:gridSpan w:val="8"/>
          </w:tcPr>
          <w:p>
            <w:pPr>
              <w:spacing w:after="0"/>
              <w:rPr>
                <w:sz w:val="20"/>
                <w:szCs w:val="20"/>
                <w:color w:val="auto"/>
              </w:rPr>
            </w:pPr>
            <w:r>
              <w:rPr>
                <w:rFonts w:ascii="Arial" w:cs="Arial" w:eastAsia="Arial" w:hAnsi="Arial"/>
                <w:sz w:val="18"/>
                <w:szCs w:val="18"/>
                <w:color w:val="auto"/>
                <w:w w:val="95"/>
              </w:rPr>
              <w:t>portfolio interest exemption, such Foreign Lender may provide a U.S. Tax Compliance Certificate substantially in the</w:t>
            </w:r>
          </w:p>
        </w:tc>
      </w:tr>
      <w:tr>
        <w:trPr>
          <w:trHeight w:val="190"/>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60" w:type="dxa"/>
            <w:vAlign w:val="bottom"/>
            <w:gridSpan w:val="8"/>
          </w:tcPr>
          <w:p>
            <w:pPr>
              <w:spacing w:after="0" w:line="190" w:lineRule="exact"/>
              <w:rPr>
                <w:sz w:val="20"/>
                <w:szCs w:val="20"/>
                <w:color w:val="auto"/>
              </w:rPr>
            </w:pPr>
            <w:r>
              <w:rPr>
                <w:rFonts w:ascii="Arial" w:cs="Arial" w:eastAsia="Arial" w:hAnsi="Arial"/>
                <w:sz w:val="18"/>
                <w:szCs w:val="18"/>
                <w:color w:val="auto"/>
              </w:rPr>
              <w:t>form of Exhibit “E” on</w:t>
            </w:r>
          </w:p>
        </w:tc>
      </w:tr>
      <w:tr>
        <w:trPr>
          <w:trHeight w:val="453"/>
        </w:trPr>
        <w:tc>
          <w:tcPr>
            <w:tcW w:w="238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840" w:type="dxa"/>
            <w:vAlign w:val="bottom"/>
            <w:tcBorders>
              <w:top w:val="single" w:sz="8" w:color="auto"/>
            </w:tcBorders>
            <w:gridSpan w:val="2"/>
          </w:tcPr>
          <w:p>
            <w:pPr>
              <w:spacing w:after="0"/>
              <w:rPr>
                <w:sz w:val="24"/>
                <w:szCs w:val="24"/>
                <w:color w:val="auto"/>
              </w:rPr>
            </w:pPr>
          </w:p>
        </w:tc>
        <w:tc>
          <w:tcPr>
            <w:tcW w:w="5720" w:type="dxa"/>
            <w:vAlign w:val="bottom"/>
          </w:tcPr>
          <w:p>
            <w:pPr>
              <w:jc w:val="right"/>
              <w:ind w:right="3870"/>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2"/>
        </w:trPr>
        <w:tc>
          <w:tcPr>
            <w:tcW w:w="23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57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behalf of each such direct and indirect partner;</w:t>
      </w:r>
    </w:p>
    <w:p>
      <w:pPr>
        <w:spacing w:after="0" w:line="225" w:lineRule="exact"/>
        <w:rPr>
          <w:sz w:val="20"/>
          <w:szCs w:val="20"/>
          <w:color w:val="auto"/>
        </w:rPr>
      </w:pPr>
    </w:p>
    <w:p>
      <w:pPr>
        <w:ind w:right="60" w:firstLine="1953"/>
        <w:spacing w:after="0" w:line="255" w:lineRule="auto"/>
        <w:tabs>
          <w:tab w:leader="none" w:pos="2603"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3" w:lineRule="exact"/>
        <w:rPr>
          <w:rFonts w:ascii="Arial" w:cs="Arial" w:eastAsia="Arial" w:hAnsi="Arial"/>
          <w:sz w:val="18"/>
          <w:szCs w:val="18"/>
          <w:color w:val="auto"/>
        </w:rPr>
      </w:pPr>
    </w:p>
    <w:p>
      <w:pPr>
        <w:ind w:right="100" w:firstLine="1953"/>
        <w:spacing w:after="0" w:line="271" w:lineRule="auto"/>
        <w:tabs>
          <w:tab w:leader="none" w:pos="2613" w:val="left"/>
        </w:tabs>
        <w:numPr>
          <w:ilvl w:val="2"/>
          <w:numId w:val="93"/>
        </w:numPr>
        <w:rPr>
          <w:rFonts w:ascii="Arial" w:cs="Arial" w:eastAsia="Arial" w:hAnsi="Arial"/>
          <w:sz w:val="17"/>
          <w:szCs w:val="17"/>
          <w:color w:val="auto"/>
        </w:rPr>
      </w:pPr>
      <w:r>
        <w:rPr>
          <w:rFonts w:ascii="Arial" w:cs="Arial" w:eastAsia="Arial" w:hAnsi="Arial"/>
          <w:sz w:val="17"/>
          <w:szCs w:val="17"/>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7"/>
          <w:szCs w:val="17"/>
          <w:u w:val="single" w:color="auto"/>
          <w:color w:val="auto"/>
        </w:rPr>
        <w:t>clause (D)</w:t>
      </w:r>
      <w:r>
        <w:rPr>
          <w:rFonts w:ascii="Arial" w:cs="Arial" w:eastAsia="Arial" w:hAnsi="Arial"/>
          <w:sz w:val="17"/>
          <w:szCs w:val="17"/>
          <w:color w:val="auto"/>
        </w:rPr>
        <w:t>, “FATCA” shall include any amendments made to FATCA after the date of this Agreement.</w:t>
      </w:r>
    </w:p>
    <w:p>
      <w:pPr>
        <w:spacing w:after="0" w:line="178" w:lineRule="exact"/>
        <w:rPr>
          <w:rFonts w:ascii="Arial" w:cs="Arial" w:eastAsia="Arial" w:hAnsi="Arial"/>
          <w:sz w:val="17"/>
          <w:szCs w:val="17"/>
          <w:color w:val="auto"/>
        </w:rPr>
      </w:pPr>
    </w:p>
    <w:p>
      <w:pPr>
        <w:ind w:right="140" w:firstLine="1305"/>
        <w:spacing w:after="0" w:line="264" w:lineRule="auto"/>
        <w:tabs>
          <w:tab w:leader="none" w:pos="1985"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1" w:lineRule="exact"/>
        <w:rPr>
          <w:rFonts w:ascii="Arial" w:cs="Arial" w:eastAsia="Arial" w:hAnsi="Arial"/>
          <w:sz w:val="18"/>
          <w:szCs w:val="18"/>
          <w:color w:val="auto"/>
        </w:rPr>
      </w:pPr>
    </w:p>
    <w:p>
      <w:pPr>
        <w:ind w:right="40" w:firstLine="656"/>
        <w:spacing w:after="0" w:line="287" w:lineRule="auto"/>
        <w:tabs>
          <w:tab w:leader="none" w:pos="130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Loan Party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net of any loss or gain realized in the conversion of such funds from or to another currency incurred by the Administrative Agent, such Lender or the L/C Issuer,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w:t>
      </w:r>
    </w:p>
    <w:p>
      <w:pPr>
        <w:sectPr>
          <w:pgSz w:w="11900" w:h="16886" w:orient="portrait"/>
          <w:cols w:equalWidth="0" w:num="1">
            <w:col w:w="11460"/>
          </w:cols>
          <w:pgMar w:left="240" w:top="584" w:right="199" w:bottom="0" w:gutter="0" w:footer="0" w:header="0"/>
        </w:sectPr>
      </w:pPr>
    </w:p>
    <w:bookmarkStart w:id="58" w:name="page59"/>
    <w:bookmarkEnd w:id="58"/>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Recipient be required to pay any amount to such Loan Party pursuant to this subsection the payment of which would place the Recipient in a less favorable net after-Tax position than such Recipient would have been in if the indemnification payments or additional amounts giving rise to such refund had never been paid. This subsection shall not be construed to require any Recipient to make available its tax returns (or any other information relating to its taxes that it deems confidential) to any Loan Party or any other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64" w:lineRule="auto"/>
        <w:tabs>
          <w:tab w:leader="none" w:pos="131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7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color w:val="auto"/>
        </w:rPr>
        <w:t xml:space="preserve">3.02 </w:t>
      </w:r>
      <w:r>
        <w:rPr>
          <w:rFonts w:ascii="Arial" w:cs="Arial" w:eastAsia="Arial" w:hAnsi="Arial"/>
          <w:sz w:val="16"/>
          <w:szCs w:val="16"/>
          <w:b w:val="1"/>
          <w:bCs w:val="1"/>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Lender or its applicable Lending Office to make, maintain or fund Loans whose interest is determined by reference to the Eurocurrency Rate (whether denominated in Dollars or an Alternative Currency),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the Borrower through the Administrative Agent, (i) any obligation of such Lender to make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Administrative Agent and Borrower that the circumstances giving rise to such determination no longer exist. Upon receipt of such notice, (x) the Borrower shall, upon demand from such Lender (with a copy to Administrative Agent), prepay or, if applicable, and such Loans are denominated in Dollars, convert such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Notwithstanding the foregoing to the contrary and despite the illegality for such a Lender to make, maintain or fund Eurocurrency Rate Loans, that Lender shall remain committed to make Base Rate Loans and shall be entitled to recover interest thereon at the Base Rate. Upon any such prepayment or conversion, Borrower shall also pay accrued interest on the amount so prepaid or converted.</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 xml:space="preserve">3.03 </w:t>
      </w:r>
      <w:r>
        <w:rPr>
          <w:rFonts w:ascii="Arial" w:cs="Arial" w:eastAsia="Arial" w:hAnsi="Arial"/>
          <w:sz w:val="17"/>
          <w:szCs w:val="17"/>
          <w:b w:val="1"/>
          <w:bCs w:val="1"/>
          <w:u w:val="single" w:color="auto"/>
          <w:color w:val="auto"/>
        </w:rPr>
        <w:t>Inability to Determine Rates</w:t>
      </w:r>
      <w:r>
        <w:rPr>
          <w:rFonts w:ascii="Arial" w:cs="Arial" w:eastAsia="Arial" w:hAnsi="Arial"/>
          <w:sz w:val="17"/>
          <w:szCs w:val="17"/>
          <w:color w:val="auto"/>
        </w:rPr>
        <w:t>. If the Required Lenders determine that for any reason in connection with any request for a Eurocurrency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Rate Loan or a conversion to or continuation thereof that (a) deposits (whether in Dollars or an Alternative Currency) are not being offered to banks in the applicable offshore interbank market for such currency for the applicable amount and Interest Period of such Eurocurrency Rate Loan, (b) adequate and reasonable means do not exist for determining the Eurocurrency Rate for any requested Interest Period with respect to a proposed Eurocurrency Rate Loan (whether in Dollars or an Alternative Currency) or in connection with an existing or proposed Base Rate Loan, or (c) the Eurocurrency Rate for any requested Interest Period with respect to a proposed Eurocurrency Rate Loan does not adequately and fairly reflect the cost to such Lenders of funding such Loan, the Administrative Agent will promptly so notify the Borrower and each Lender. Thereafter, (i) the obligation of the Lenders to make or maintain Eurocurrency Rate Loans in the affected currency or currencies shall be suspended, and (ii) in the event of a determination described in the preceding sentence with respect to the Eurocurrency Rate component of the Base Rate, the utilization of the Eurocurrency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Eurocurrency Rate Loans in the affected currency or currencies or, failing that, will be deemed to have converted such request into a request for a Borrowing of Base Rate Loans in the amount specified therein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u w:val="single" w:color="auto"/>
          <w:color w:val="auto"/>
        </w:rPr>
        <w:t>Increased Costs</w:t>
      </w:r>
      <w:r>
        <w:rPr>
          <w:rFonts w:ascii="Arial" w:cs="Arial" w:eastAsia="Arial" w:hAnsi="Arial"/>
          <w:sz w:val="15"/>
          <w:szCs w:val="15"/>
          <w:color w:val="auto"/>
        </w:rPr>
        <w:t>.</w:t>
      </w:r>
    </w:p>
    <w:p>
      <w:pPr>
        <w:spacing w:after="0" w:line="229"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225" w:lineRule="exact"/>
        <w:rPr>
          <w:rFonts w:ascii="Arial" w:cs="Arial" w:eastAsia="Arial" w:hAnsi="Arial"/>
          <w:sz w:val="18"/>
          <w:szCs w:val="18"/>
          <w:color w:val="auto"/>
        </w:rPr>
      </w:pPr>
    </w:p>
    <w:p>
      <w:pPr>
        <w:ind w:right="80" w:firstLine="1305"/>
        <w:spacing w:after="0" w:line="259" w:lineRule="auto"/>
        <w:tabs>
          <w:tab w:leader="none" w:pos="1966" w:val="left"/>
        </w:tabs>
        <w:numPr>
          <w:ilvl w:val="1"/>
          <w:numId w:val="97"/>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 any reserve requirement reflected in the Eurocurrency Rate and (B) the requirements of the Bank of England and the Financial Services Authority or the European Central Bank reflected in the Mandatory Cost, other than as set forth below) or the L/C Issuer;</w:t>
      </w:r>
    </w:p>
    <w:p>
      <w:pPr>
        <w:spacing w:after="0" w:line="186" w:lineRule="exact"/>
        <w:rPr>
          <w:rFonts w:ascii="Arial" w:cs="Arial" w:eastAsia="Arial" w:hAnsi="Arial"/>
          <w:sz w:val="18"/>
          <w:szCs w:val="18"/>
          <w:color w:val="auto"/>
        </w:rPr>
      </w:pPr>
    </w:p>
    <w:p>
      <w:pPr>
        <w:jc w:val="both"/>
        <w:ind w:right="580" w:firstLine="1305"/>
        <w:spacing w:after="0" w:line="264" w:lineRule="auto"/>
        <w:tabs>
          <w:tab w:leader="none" w:pos="1976"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 through (d)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81" w:lineRule="exact"/>
        <w:rPr>
          <w:rFonts w:ascii="Arial" w:cs="Arial" w:eastAsia="Arial" w:hAnsi="Arial"/>
          <w:sz w:val="18"/>
          <w:szCs w:val="18"/>
          <w:color w:val="auto"/>
        </w:rPr>
      </w:pPr>
    </w:p>
    <w:p>
      <w:pPr>
        <w:ind w:right="600" w:firstLine="1305"/>
        <w:spacing w:after="0" w:line="277" w:lineRule="auto"/>
        <w:tabs>
          <w:tab w:leader="none" w:pos="1985" w:val="left"/>
        </w:tabs>
        <w:numPr>
          <w:ilvl w:val="1"/>
          <w:numId w:val="97"/>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Eurocurrency Rate Loans made by such Lender or any Letter of Credit or participation therein;</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Borrower will pay to such Lender or the L/C Issuer, as the case may be, such additional amount or amounts as will compensate such Lender or the L/C Issuer, as the case may be, for such additional costs incurred or reduction suffered.</w:t>
      </w:r>
    </w:p>
    <w:p>
      <w:pPr>
        <w:sectPr>
          <w:pgSz w:w="11900" w:h="16934" w:orient="portrait"/>
          <w:cols w:equalWidth="0" w:num="1">
            <w:col w:w="11420"/>
          </w:cols>
          <w:pgMar w:left="240" w:top="125" w:right="239" w:bottom="0" w:gutter="0" w:footer="0" w:header="0"/>
        </w:sectPr>
      </w:pPr>
    </w:p>
    <w:bookmarkStart w:id="59" w:name="page60"/>
    <w:bookmarkEnd w:id="59"/>
    <w:p>
      <w:pPr>
        <w:spacing w:after="0" w:line="95" w:lineRule="exact"/>
        <w:rPr>
          <w:sz w:val="20"/>
          <w:szCs w:val="20"/>
          <w:color w:val="auto"/>
        </w:rPr>
      </w:pPr>
    </w:p>
    <w:p>
      <w:pPr>
        <w:ind w:firstLine="656"/>
        <w:spacing w:after="0" w:line="270" w:lineRule="auto"/>
        <w:tabs>
          <w:tab w:leader="none" w:pos="1304"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Borrower will pay to such Lender or the L/C Issuer, as the case may be, such additional amount or amounts as will compensate such Lender or the L/C Issuer or such Lender’s or the L/C Issuer’s holding company for any such reduction suffered.</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amount or amounts necessary to compensate such Lender or the L/C Issuer or its holding company, as the case may be, as specified in </w:t>
      </w:r>
      <w:r>
        <w:rPr>
          <w:rFonts w:ascii="Arial" w:cs="Arial" w:eastAsia="Arial" w:hAnsi="Arial"/>
          <w:sz w:val="16"/>
          <w:szCs w:val="16"/>
          <w:u w:val="single" w:color="auto"/>
          <w:color w:val="auto"/>
        </w:rPr>
        <w:t>subsection (a) or</w:t>
      </w:r>
    </w:p>
    <w:p>
      <w:pPr>
        <w:spacing w:after="0" w:line="46" w:lineRule="exact"/>
        <w:rPr>
          <w:sz w:val="20"/>
          <w:szCs w:val="20"/>
          <w:color w:val="auto"/>
        </w:rPr>
      </w:pPr>
    </w:p>
    <w:p>
      <w:pPr>
        <w:ind w:right="340" w:firstLine="8"/>
        <w:spacing w:after="0" w:line="261" w:lineRule="auto"/>
        <w:tabs>
          <w:tab w:leader="none" w:pos="255"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delivered to Borrower shall be conclusive absent manifest error. Borrower shall pay such Lender or the L/C Issuer, as the case may be, the amount shown as due on any such certificate within ten (10) days after receipt thereof.</w:t>
      </w:r>
    </w:p>
    <w:p>
      <w:pPr>
        <w:spacing w:after="0" w:line="183" w:lineRule="exact"/>
        <w:rPr>
          <w:rFonts w:ascii="Arial" w:cs="Arial" w:eastAsia="Arial" w:hAnsi="Arial"/>
          <w:sz w:val="18"/>
          <w:szCs w:val="18"/>
          <w:u w:val="single" w:color="auto"/>
          <w:color w:val="auto"/>
        </w:rPr>
      </w:pPr>
    </w:p>
    <w:p>
      <w:pPr>
        <w:ind w:right="100" w:firstLine="656"/>
        <w:spacing w:after="0" w:line="255" w:lineRule="auto"/>
        <w:tabs>
          <w:tab w:leader="none" w:pos="1304"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the L/C Issuer’s right to demand such compensation, provided that Borrower shall not be required to compensate a Lender or the L/C Issuer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for any increased costs incurred or reductions suffered more than nine months prior to the date that such Lender or the L/C Issuer, as the case may be, notifies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u w:val="single" w:color="auto"/>
          <w:color w:val="auto"/>
        </w:rPr>
        <w:t>Compensation for Losses</w:t>
      </w:r>
      <w:r>
        <w:rPr>
          <w:rFonts w:ascii="Arial" w:cs="Arial" w:eastAsia="Arial" w:hAnsi="Arial"/>
          <w:sz w:val="18"/>
          <w:szCs w:val="18"/>
          <w:color w:val="auto"/>
        </w:rPr>
        <w:t>. Upon demand of any Lender (with a copy to Administrative Agent) from time to time, Borrower shall promptly</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compensate such Lender for and hold such Lender harmless from any loss, cost or expense incurred by it as a result of:</w:t>
      </w:r>
    </w:p>
    <w:p>
      <w:pPr>
        <w:spacing w:after="0" w:line="166" w:lineRule="exact"/>
        <w:rPr>
          <w:sz w:val="20"/>
          <w:szCs w:val="20"/>
          <w:color w:val="auto"/>
        </w:rPr>
      </w:pPr>
    </w:p>
    <w:p>
      <w:pPr>
        <w:ind w:right="500" w:firstLine="656"/>
        <w:spacing w:after="0" w:line="277" w:lineRule="auto"/>
        <w:tabs>
          <w:tab w:leader="none" w:pos="129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170"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failure by Borrower (for a reason other than the failure of such Lender to make a Loan) to prepay, borrow, continue or convert any Loan other than a Base Rate Loan on the date or in the amount notified by Borrower; or</w:t>
      </w:r>
    </w:p>
    <w:p>
      <w:pPr>
        <w:spacing w:after="0" w:line="170" w:lineRule="exact"/>
        <w:rPr>
          <w:rFonts w:ascii="Arial" w:cs="Arial" w:eastAsia="Arial" w:hAnsi="Arial"/>
          <w:sz w:val="18"/>
          <w:szCs w:val="18"/>
          <w:color w:val="auto"/>
        </w:rPr>
      </w:pPr>
    </w:p>
    <w:p>
      <w:pPr>
        <w:ind w:right="180" w:firstLine="656"/>
        <w:spacing w:after="0" w:line="277" w:lineRule="auto"/>
        <w:tabs>
          <w:tab w:leader="none" w:pos="13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70" w:lineRule="exact"/>
        <w:rPr>
          <w:rFonts w:ascii="Arial" w:cs="Arial" w:eastAsia="Arial" w:hAnsi="Arial"/>
          <w:sz w:val="18"/>
          <w:szCs w:val="18"/>
          <w:color w:val="auto"/>
        </w:rPr>
      </w:pPr>
    </w:p>
    <w:p>
      <w:pPr>
        <w:ind w:right="260" w:firstLine="656"/>
        <w:spacing w:after="0" w:line="277" w:lineRule="auto"/>
        <w:tabs>
          <w:tab w:leader="none" w:pos="13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administrative fees charged by such Lender in connection with the foregoing. For purposes of calculating amounts payable by Borrower to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Eurocurrency Rate Loan made by it at the Eurodollar Base Rate used in determining the Eurocurrency Rate for such Loan by a matching deposit or other borrowing in the applicable offshore interbank market for such currency for a comparable amount and for a comparable period, whether or not such Eurocurrency Rate Loan was in fact so funded.</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3.06</w:t>
      </w:r>
      <w:r>
        <w:rPr>
          <w:sz w:val="20"/>
          <w:szCs w:val="20"/>
          <w:color w:val="auto"/>
        </w:rPr>
        <w:tab/>
      </w:r>
      <w:r>
        <w:rPr>
          <w:rFonts w:ascii="Arial" w:cs="Arial" w:eastAsia="Arial" w:hAnsi="Arial"/>
          <w:sz w:val="16"/>
          <w:szCs w:val="16"/>
          <w:b w:val="1"/>
          <w:bCs w:val="1"/>
          <w:u w:val="single" w:color="auto"/>
          <w:color w:val="auto"/>
        </w:rPr>
        <w:t>Mitigation Obligations; Replacement of Lenders</w:t>
      </w:r>
      <w:r>
        <w:rPr>
          <w:rFonts w:ascii="Arial" w:cs="Arial" w:eastAsia="Arial" w:hAnsi="Arial"/>
          <w:sz w:val="16"/>
          <w:szCs w:val="16"/>
          <w:color w:val="auto"/>
        </w:rPr>
        <w:t>.</w:t>
      </w:r>
    </w:p>
    <w:p>
      <w:pPr>
        <w:spacing w:after="0" w:line="229" w:lineRule="exact"/>
        <w:rPr>
          <w:sz w:val="20"/>
          <w:szCs w:val="20"/>
          <w:color w:val="auto"/>
        </w:rPr>
      </w:pPr>
    </w:p>
    <w:p>
      <w:pPr>
        <w:ind w:right="220" w:firstLine="656"/>
        <w:spacing w:after="0" w:line="342" w:lineRule="auto"/>
        <w:tabs>
          <w:tab w:leader="none" w:pos="1294"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or requires the Borrower to pay any Indemnified Taxes or additional amounts to any Lender, the L/C Issuer, or any Governmental Authority for the account of any Lender or the L/C Issuer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67" w:lineRule="exact"/>
        <w:rPr>
          <w:sz w:val="20"/>
          <w:szCs w:val="20"/>
          <w:color w:val="auto"/>
        </w:rPr>
      </w:pPr>
    </w:p>
    <w:p>
      <w:pPr>
        <w:ind w:right="240" w:firstLine="656"/>
        <w:spacing w:after="0" w:line="259" w:lineRule="auto"/>
        <w:tabs>
          <w:tab w:leader="none" w:pos="1304"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3"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3.07 </w:t>
      </w:r>
      <w:r>
        <w:rPr>
          <w:rFonts w:ascii="Arial" w:cs="Arial" w:eastAsia="Arial" w:hAnsi="Arial"/>
          <w:sz w:val="18"/>
          <w:szCs w:val="18"/>
          <w:b w:val="1"/>
          <w:bCs w:val="1"/>
          <w:u w:val="single" w:color="auto"/>
          <w:color w:val="auto"/>
        </w:rPr>
        <w:t>Survival</w:t>
      </w:r>
      <w:r>
        <w:rPr>
          <w:rFonts w:ascii="Arial" w:cs="Arial" w:eastAsia="Arial" w:hAnsi="Arial"/>
          <w:sz w:val="18"/>
          <w:szCs w:val="18"/>
          <w:color w:val="auto"/>
        </w:rPr>
        <w:t>. 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hereunder, and resignation of the Administrative Agent.</w:t>
      </w:r>
    </w:p>
    <w:p>
      <w:pPr>
        <w:sectPr>
          <w:pgSz w:w="11900" w:h="16933" w:orient="portrait"/>
          <w:cols w:equalWidth="0" w:num="1">
            <w:col w:w="11420"/>
          </w:cols>
          <w:pgMar w:left="240" w:top="341" w:right="239" w:bottom="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PRECEDENT TO CREDIT EXTENSIONS</w:t>
      </w:r>
    </w:p>
    <w:p>
      <w:pPr>
        <w:spacing w:after="0" w:line="20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u w:val="single" w:color="auto"/>
          <w:color w:val="auto"/>
        </w:rPr>
        <w:t>Conditions of Initial Credit Extension</w:t>
      </w:r>
      <w:r>
        <w:rPr>
          <w:rFonts w:ascii="Arial" w:cs="Arial" w:eastAsia="Arial" w:hAnsi="Arial"/>
          <w:sz w:val="18"/>
          <w:szCs w:val="18"/>
          <w:color w:val="auto"/>
        </w:rPr>
        <w:t>. The obligation of the L/C Issuer and each Lender to make its initial Credit Extension hereunder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satisfaction of the following conditions precedent:</w:t>
      </w:r>
    </w:p>
    <w:p>
      <w:pPr>
        <w:spacing w:after="0" w:line="166" w:lineRule="exact"/>
        <w:rPr>
          <w:sz w:val="20"/>
          <w:szCs w:val="20"/>
          <w:color w:val="auto"/>
        </w:rPr>
      </w:pPr>
    </w:p>
    <w:p>
      <w:pPr>
        <w:ind w:right="160" w:firstLine="656"/>
        <w:spacing w:after="0" w:line="259" w:lineRule="auto"/>
        <w:tabs>
          <w:tab w:leader="none" w:pos="129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Administrative Agent’s receipt of the following, each of which shall be originals, telecopies (followed promptly by originals), or pdfs sent by electronic mail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Administrative Agent and each of the Lenders:</w:t>
      </w:r>
    </w:p>
    <w:p>
      <w:pPr>
        <w:spacing w:after="0" w:line="186" w:lineRule="exact"/>
        <w:rPr>
          <w:rFonts w:ascii="Arial" w:cs="Arial" w:eastAsia="Arial" w:hAnsi="Arial"/>
          <w:sz w:val="18"/>
          <w:szCs w:val="18"/>
          <w:color w:val="auto"/>
        </w:rPr>
      </w:pPr>
    </w:p>
    <w:p>
      <w:pPr>
        <w:ind w:right="280" w:firstLine="1305"/>
        <w:spacing w:after="0" w:line="277" w:lineRule="auto"/>
        <w:tabs>
          <w:tab w:leader="none" w:pos="196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executed counterparts of this Agreement, all Collateral Documents, the Guaranty, and the Non-Recourse Guaranty sufficient in number for distribution to Administrative Agent, each Lender and Borrower;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Notes executed by Borrower in favor of each Lender requesting a Note;</w:t>
      </w:r>
    </w:p>
    <w:p>
      <w:pPr>
        <w:spacing w:after="0" w:line="225" w:lineRule="exact"/>
        <w:rPr>
          <w:rFonts w:ascii="Arial" w:cs="Arial" w:eastAsia="Arial" w:hAnsi="Arial"/>
          <w:sz w:val="18"/>
          <w:szCs w:val="18"/>
          <w:color w:val="auto"/>
        </w:rPr>
      </w:pPr>
    </w:p>
    <w:p>
      <w:pPr>
        <w:ind w:right="80" w:firstLine="1305"/>
        <w:spacing w:after="0" w:line="286" w:lineRule="auto"/>
        <w:tabs>
          <w:tab w:leader="none" w:pos="1985" w:val="left"/>
        </w:tabs>
        <w:numPr>
          <w:ilvl w:val="1"/>
          <w:numId w:val="103"/>
        </w:numPr>
        <w:rPr>
          <w:rFonts w:ascii="Arial" w:cs="Arial" w:eastAsia="Arial" w:hAnsi="Arial"/>
          <w:sz w:val="17"/>
          <w:szCs w:val="17"/>
          <w:color w:val="auto"/>
        </w:rPr>
      </w:pPr>
      <w:r>
        <w:rPr>
          <w:rFonts w:ascii="Arial" w:cs="Arial" w:eastAsia="Arial" w:hAnsi="Arial"/>
          <w:sz w:val="17"/>
          <w:szCs w:val="17"/>
          <w:color w:val="auto"/>
        </w:rPr>
        <w:t>such certificates of resolutions or other action, incumbency certificates and/or other certificates of Responsible Officers of each Loan Party as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165" w:lineRule="exact"/>
        <w:rPr>
          <w:rFonts w:ascii="Arial" w:cs="Arial" w:eastAsia="Arial" w:hAnsi="Arial"/>
          <w:sz w:val="17"/>
          <w:szCs w:val="17"/>
          <w:color w:val="auto"/>
        </w:rPr>
      </w:pPr>
    </w:p>
    <w:p>
      <w:pPr>
        <w:ind w:right="520" w:firstLine="1305"/>
        <w:spacing w:after="0" w:line="286" w:lineRule="auto"/>
        <w:tabs>
          <w:tab w:leader="none" w:pos="1961" w:val="left"/>
        </w:tabs>
        <w:numPr>
          <w:ilvl w:val="1"/>
          <w:numId w:val="103"/>
        </w:numPr>
        <w:rPr>
          <w:rFonts w:ascii="Arial" w:cs="Arial" w:eastAsia="Arial" w:hAnsi="Arial"/>
          <w:sz w:val="17"/>
          <w:szCs w:val="17"/>
          <w:color w:val="auto"/>
        </w:rPr>
      </w:pPr>
      <w:r>
        <w:rPr>
          <w:rFonts w:ascii="Arial" w:cs="Arial" w:eastAsia="Arial" w:hAnsi="Arial"/>
          <w:sz w:val="17"/>
          <w:szCs w:val="17"/>
          <w:color w:val="auto"/>
        </w:rPr>
        <w:t>such documents and certifications as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extent that failure to do so could not reasonably be expected to have a Material Adverse Effect;</w:t>
      </w:r>
    </w:p>
    <w:p>
      <w:pPr>
        <w:spacing w:after="0" w:line="225" w:lineRule="exact"/>
        <w:rPr>
          <w:sz w:val="20"/>
          <w:szCs w:val="20"/>
          <w:color w:val="auto"/>
        </w:rPr>
      </w:pPr>
    </w:p>
    <w:p>
      <w:pPr>
        <w:ind w:right="20" w:firstLine="1305"/>
        <w:spacing w:after="0" w:line="342" w:lineRule="auto"/>
        <w:tabs>
          <w:tab w:leader="none" w:pos="1952"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 favorable opinion of counsel to the Loan Parties acceptable to Administrative Agent addressed to Administrative Agent and each Lender, as to the matters set forth concerning the Loan Parties and the Loan Documents in form and substance acceptable to Administrative Agent;</w:t>
      </w:r>
    </w:p>
    <w:p>
      <w:pPr>
        <w:spacing w:after="0" w:line="123" w:lineRule="exact"/>
        <w:rPr>
          <w:rFonts w:ascii="Arial" w:cs="Arial" w:eastAsia="Arial" w:hAnsi="Arial"/>
          <w:sz w:val="16"/>
          <w:szCs w:val="16"/>
          <w:color w:val="auto"/>
        </w:rPr>
      </w:pPr>
    </w:p>
    <w:p>
      <w:pPr>
        <w:ind w:right="60" w:firstLine="1305"/>
        <w:spacing w:after="0" w:line="259" w:lineRule="auto"/>
        <w:tabs>
          <w:tab w:leader="none" w:pos="196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evidence that all insurance required to be maintained pursuant to the Loan Documents has been obtained and is in effect;</w:t>
      </w:r>
    </w:p>
    <w:p>
      <w:pPr>
        <w:spacing w:after="0" w:line="236" w:lineRule="exact"/>
        <w:rPr>
          <w:rFonts w:ascii="Arial" w:cs="Arial" w:eastAsia="Arial" w:hAnsi="Arial"/>
          <w:sz w:val="17"/>
          <w:szCs w:val="17"/>
          <w:color w:val="auto"/>
        </w:rPr>
      </w:pPr>
    </w:p>
    <w:p>
      <w:pPr>
        <w:ind w:right="480" w:firstLine="1305"/>
        <w:spacing w:after="0" w:line="277" w:lineRule="auto"/>
        <w:tabs>
          <w:tab w:leader="none" w:pos="1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duly completed Compliance Certificate as of the last day of the fiscal quarter of Borrower most recently ended prior to the Closing Date, signed by a Responsible Officer of Borrower; and</w:t>
      </w:r>
    </w:p>
    <w:p>
      <w:pPr>
        <w:spacing w:after="0" w:line="170" w:lineRule="exact"/>
        <w:rPr>
          <w:rFonts w:ascii="Arial" w:cs="Arial" w:eastAsia="Arial" w:hAnsi="Arial"/>
          <w:sz w:val="18"/>
          <w:szCs w:val="18"/>
          <w:color w:val="auto"/>
        </w:rPr>
      </w:pPr>
    </w:p>
    <w:p>
      <w:pPr>
        <w:ind w:right="480" w:firstLine="1305"/>
        <w:spacing w:after="0" w:line="277" w:lineRule="auto"/>
        <w:tabs>
          <w:tab w:leader="none" w:pos="1961"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such other assurances, certificates, documents, consents or opinions as Administrative Agent, the L/C Issuer or the Required Lenders reasonably may require.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fees required to be paid on or before the Closing Date shall have been paid.</w:t>
      </w:r>
    </w:p>
    <w:p>
      <w:pPr>
        <w:spacing w:after="0" w:line="225" w:lineRule="exact"/>
        <w:rPr>
          <w:rFonts w:ascii="Arial" w:cs="Arial" w:eastAsia="Arial" w:hAnsi="Arial"/>
          <w:sz w:val="18"/>
          <w:szCs w:val="18"/>
          <w:color w:val="auto"/>
        </w:rPr>
      </w:pPr>
    </w:p>
    <w:p>
      <w:pPr>
        <w:ind w:right="100" w:firstLine="656"/>
        <w:spacing w:after="0" w:line="257" w:lineRule="auto"/>
        <w:tabs>
          <w:tab w:leader="none" w:pos="130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the reasonable fees, charges and disbursements of counsel to Administrative Agent (directly to such counsel if requested by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Borrower and Administrative Agent).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w:t>
      </w:r>
    </w:p>
    <w:p>
      <w:pPr>
        <w:spacing w:after="0" w:line="183" w:lineRule="exact"/>
        <w:rPr>
          <w:sz w:val="20"/>
          <w:szCs w:val="20"/>
          <w:color w:val="auto"/>
        </w:rPr>
      </w:pPr>
    </w:p>
    <w:p>
      <w:pPr>
        <w:jc w:val="both"/>
        <w:ind w:right="200" w:firstLine="648"/>
        <w:spacing w:after="0" w:line="266" w:lineRule="auto"/>
        <w:rPr>
          <w:sz w:val="20"/>
          <w:szCs w:val="20"/>
          <w:color w:val="auto"/>
        </w:rPr>
      </w:pPr>
      <w:r>
        <w:rPr>
          <w:rFonts w:ascii="Arial" w:cs="Arial" w:eastAsia="Arial" w:hAnsi="Arial"/>
          <w:sz w:val="18"/>
          <w:szCs w:val="18"/>
          <w:b w:val="1"/>
          <w:bCs w:val="1"/>
          <w:color w:val="auto"/>
        </w:rPr>
        <w:t xml:space="preserve">4.02 </w:t>
      </w:r>
      <w:r>
        <w:rPr>
          <w:rFonts w:ascii="Arial" w:cs="Arial" w:eastAsia="Arial" w:hAnsi="Arial"/>
          <w:sz w:val="18"/>
          <w:szCs w:val="18"/>
          <w:b w:val="1"/>
          <w:bCs w:val="1"/>
          <w:u w:val="single" w:color="auto"/>
          <w:color w:val="auto"/>
        </w:rPr>
        <w:t>Conditions to all Credit Extensions</w:t>
      </w:r>
      <w:r>
        <w:rPr>
          <w:rFonts w:ascii="Arial" w:cs="Arial" w:eastAsia="Arial" w:hAnsi="Arial"/>
          <w:sz w:val="18"/>
          <w:szCs w:val="18"/>
          <w:color w:val="auto"/>
        </w:rPr>
        <w:t>. The obligation of each Lender to honor any Request for Credit Extension (other than a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Loan Notice requesting only a conversion of Committed Loans to the other Type, or a continuation of Eurocurrency Rate Loans) is subject to the following conditions precedent:</w:t>
      </w:r>
    </w:p>
    <w:p>
      <w:pPr>
        <w:spacing w:after="0" w:line="180" w:lineRule="exact"/>
        <w:rPr>
          <w:sz w:val="20"/>
          <w:szCs w:val="20"/>
          <w:color w:val="auto"/>
        </w:rPr>
      </w:pPr>
    </w:p>
    <w:p>
      <w:pPr>
        <w:ind w:right="60" w:firstLine="656"/>
        <w:spacing w:after="0" w:line="276" w:lineRule="auto"/>
        <w:tabs>
          <w:tab w:leader="none" w:pos="1294"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(other than those set forth and contained in </w:t>
      </w:r>
      <w:r>
        <w:rPr>
          <w:rFonts w:ascii="Arial" w:cs="Arial" w:eastAsia="Arial" w:hAnsi="Arial"/>
          <w:sz w:val="17"/>
          <w:szCs w:val="17"/>
          <w:u w:val="single" w:color="auto"/>
          <w:color w:val="auto"/>
        </w:rPr>
        <w:t>Section 5.05(c)</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the representations and warranties contained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shall be deemed to refer to the most recent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ectPr>
          <w:pgSz w:w="11900" w:h="16838" w:orient="portrait"/>
          <w:cols w:equalWidth="0" w:num="1">
            <w:col w:w="11400"/>
          </w:cols>
          <w:pgMar w:left="240" w:top="337" w:right="259" w:bottom="0" w:gutter="0" w:footer="0" w:header="0"/>
        </w:sectPr>
      </w:pPr>
    </w:p>
    <w:bookmarkStart w:id="61" w:name="page62"/>
    <w:bookmarkEnd w:id="61"/>
    <w:p>
      <w:pPr>
        <w:spacing w:after="0" w:line="47" w:lineRule="exact"/>
        <w:rPr>
          <w:sz w:val="20"/>
          <w:szCs w:val="20"/>
          <w:color w:val="auto"/>
        </w:rPr>
      </w:pPr>
    </w:p>
    <w:p>
      <w:pPr>
        <w:ind w:left="1320" w:hanging="664"/>
        <w:spacing w:after="0"/>
        <w:tabs>
          <w:tab w:leader="none" w:pos="1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225" w:lineRule="exact"/>
        <w:rPr>
          <w:rFonts w:ascii="Arial" w:cs="Arial" w:eastAsia="Arial" w:hAnsi="Arial"/>
          <w:sz w:val="18"/>
          <w:szCs w:val="18"/>
          <w:color w:val="auto"/>
        </w:rPr>
      </w:pPr>
    </w:p>
    <w:p>
      <w:pPr>
        <w:ind w:right="780" w:firstLine="656"/>
        <w:spacing w:after="0" w:line="277" w:lineRule="auto"/>
        <w:tabs>
          <w:tab w:leader="none" w:pos="13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Administrative Agent and, if applicable, the L/C Issuer shall have received a Request for Credit Extension in accordance with the requirements hereof.</w:t>
      </w:r>
    </w:p>
    <w:p>
      <w:pPr>
        <w:spacing w:after="0" w:line="170" w:lineRule="exact"/>
        <w:rPr>
          <w:rFonts w:ascii="Arial" w:cs="Arial" w:eastAsia="Arial" w:hAnsi="Arial"/>
          <w:sz w:val="18"/>
          <w:szCs w:val="18"/>
          <w:color w:val="auto"/>
        </w:rPr>
      </w:pPr>
    </w:p>
    <w:p>
      <w:pPr>
        <w:ind w:right="640" w:firstLine="656"/>
        <w:spacing w:after="0" w:line="277" w:lineRule="auto"/>
        <w:tabs>
          <w:tab w:leader="none" w:pos="130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Administrative Agent shall have received, in form and substance satisfactory to it, such other assurances, certificates, documents or consents related to the foregoing as Administrative Agent or the Required Lenders reasonably may require.</w:t>
      </w:r>
    </w:p>
    <w:p>
      <w:pPr>
        <w:spacing w:after="0" w:line="170" w:lineRule="exact"/>
        <w:rPr>
          <w:rFonts w:ascii="Arial" w:cs="Arial" w:eastAsia="Arial" w:hAnsi="Arial"/>
          <w:sz w:val="18"/>
          <w:szCs w:val="18"/>
          <w:color w:val="auto"/>
        </w:rPr>
      </w:pPr>
    </w:p>
    <w:p>
      <w:pPr>
        <w:ind w:right="300" w:firstLine="656"/>
        <w:spacing w:after="0" w:line="257" w:lineRule="auto"/>
        <w:tabs>
          <w:tab w:leader="none" w:pos="130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good faith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8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 xml:space="preserve">Each Request for Credit Extension (other than a Committed Loan Notice requesting only a conversion of Committed Loans to the other Type, or a continuation of Eurocurrency Rate Loans) submitted by Borrower shall be deemed to be a representation and warranty that the conditions specified in </w:t>
      </w:r>
      <w:r>
        <w:rPr>
          <w:rFonts w:ascii="Arial" w:cs="Arial" w:eastAsia="Arial" w:hAnsi="Arial"/>
          <w:sz w:val="18"/>
          <w:szCs w:val="18"/>
          <w:u w:val="single" w:color="auto"/>
          <w:color w:val="auto"/>
        </w:rPr>
        <w:t>Sections 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Borrower represents and warrants to Administrative Agent and the Lenders that:</w:t>
      </w:r>
    </w:p>
    <w:p>
      <w:pPr>
        <w:spacing w:after="0" w:line="22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5.01 </w:t>
      </w:r>
      <w:r>
        <w:rPr>
          <w:rFonts w:ascii="Arial" w:cs="Arial" w:eastAsia="Arial" w:hAnsi="Arial"/>
          <w:sz w:val="16"/>
          <w:szCs w:val="16"/>
          <w:b w:val="1"/>
          <w:bCs w:val="1"/>
          <w:u w:val="single" w:color="auto"/>
          <w:color w:val="auto"/>
        </w:rPr>
        <w:t>Existence, Qualification and Power</w:t>
      </w:r>
      <w:r>
        <w:rPr>
          <w:rFonts w:ascii="Arial" w:cs="Arial" w:eastAsia="Arial" w:hAnsi="Arial"/>
          <w:sz w:val="16"/>
          <w:szCs w:val="16"/>
          <w:color w:val="auto"/>
        </w:rPr>
        <w:t>. Each Loan Party (a) is duly organized or formed, validly existing and, as applicable, in good 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6"/>
          <w:szCs w:val="16"/>
          <w:u w:val="single" w:color="auto"/>
          <w:color w:val="auto"/>
        </w:rPr>
        <w:t>clauses (b)</w:t>
      </w:r>
    </w:p>
    <w:p>
      <w:pPr>
        <w:spacing w:after="0" w:line="2" w:lineRule="exact"/>
        <w:rPr>
          <w:sz w:val="20"/>
          <w:szCs w:val="20"/>
          <w:color w:val="auto"/>
        </w:rPr>
      </w:pPr>
    </w:p>
    <w:p>
      <w:pPr>
        <w:ind w:left="220" w:hanging="212"/>
        <w:spacing w:after="0"/>
        <w:tabs>
          <w:tab w:leader="none" w:pos="220" w:val="left"/>
        </w:tabs>
        <w:numPr>
          <w:ilvl w:val="0"/>
          <w:numId w:val="108"/>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to the extent that failure to do so could not reasonably be expected to have a Material Adverse Effect.</w:t>
      </w:r>
    </w:p>
    <w:p>
      <w:pPr>
        <w:spacing w:after="0" w:line="20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5.02 </w:t>
      </w:r>
      <w:r>
        <w:rPr>
          <w:rFonts w:ascii="Arial" w:cs="Arial" w:eastAsia="Arial" w:hAnsi="Arial"/>
          <w:sz w:val="18"/>
          <w:szCs w:val="18"/>
          <w:b w:val="1"/>
          <w:bCs w:val="1"/>
          <w:u w:val="single" w:color="auto"/>
          <w:color w:val="auto"/>
        </w:rPr>
        <w:t>Authorization; No Contravention</w:t>
      </w:r>
      <w:r>
        <w:rPr>
          <w:rFonts w:ascii="Arial" w:cs="Arial" w:eastAsia="Arial" w:hAnsi="Arial"/>
          <w:sz w:val="18"/>
          <w:szCs w:val="18"/>
          <w:color w:val="auto"/>
        </w:rPr>
        <w:t>. The execution, delivery and performance by each Loan Party of each Loan Document 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of </w:t>
      </w:r>
      <w:r>
        <w:rPr>
          <w:rFonts w:ascii="Arial" w:cs="Arial" w:eastAsia="Arial" w:hAnsi="Arial"/>
          <w:sz w:val="18"/>
          <w:szCs w:val="18"/>
          <w:u w:val="single" w:color="auto"/>
          <w:color w:val="auto"/>
        </w:rPr>
        <w:t>subsections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where such breach, contravention or payment could not reasonably be expected to have a Material Adverse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5.03 </w:t>
      </w:r>
      <w:r>
        <w:rPr>
          <w:rFonts w:ascii="Arial" w:cs="Arial" w:eastAsia="Arial" w:hAnsi="Arial"/>
          <w:sz w:val="18"/>
          <w:szCs w:val="18"/>
          <w:b w:val="1"/>
          <w:bCs w:val="1"/>
          <w:u w:val="single" w:color="auto"/>
          <w:color w:val="auto"/>
        </w:rPr>
        <w:t>Governmental Authorization; Other Consents</w:t>
      </w:r>
      <w:r>
        <w:rPr>
          <w:rFonts w:ascii="Arial" w:cs="Arial" w:eastAsia="Arial" w:hAnsi="Arial"/>
          <w:sz w:val="18"/>
          <w:szCs w:val="18"/>
          <w:color w:val="auto"/>
        </w:rPr>
        <w:t>. No approval, consent, exemption, authorization, or other action by, or notice to, or filing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Governmental Authority or any other Person is necessary or required in connection with the execution, delivery or performance by, or enforcement against, any Loan Party of this Agreement or any other Loan Document except for such filings as may be necessary to perfect the security interest of the Administrative Agent in the Collateral.</w:t>
      </w:r>
    </w:p>
    <w:p>
      <w:pPr>
        <w:spacing w:after="0" w:line="180" w:lineRule="exact"/>
        <w:rPr>
          <w:sz w:val="20"/>
          <w:szCs w:val="20"/>
          <w:color w:val="auto"/>
        </w:rPr>
      </w:pPr>
    </w:p>
    <w:p>
      <w:pPr>
        <w:ind w:right="240" w:firstLine="648"/>
        <w:spacing w:after="0" w:line="314" w:lineRule="auto"/>
        <w:rPr>
          <w:sz w:val="20"/>
          <w:szCs w:val="20"/>
          <w:color w:val="auto"/>
        </w:rPr>
      </w:pPr>
      <w:r>
        <w:rPr>
          <w:rFonts w:ascii="Arial" w:cs="Arial" w:eastAsia="Arial" w:hAnsi="Arial"/>
          <w:sz w:val="16"/>
          <w:szCs w:val="16"/>
          <w:b w:val="1"/>
          <w:bCs w:val="1"/>
          <w:color w:val="auto"/>
        </w:rPr>
        <w:t xml:space="preserve">5.04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This Agreement has been, and each other Loan Document, when delivered hereunder, will have been, duly executed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u w:val="single" w:color="auto"/>
          <w:color w:val="auto"/>
        </w:rPr>
        <w:t>Financial Statements; No Material Adverse Effect; No Internal Control Event</w:t>
      </w:r>
      <w:r>
        <w:rPr>
          <w:rFonts w:ascii="Arial" w:cs="Arial" w:eastAsia="Arial" w:hAnsi="Arial"/>
          <w:sz w:val="16"/>
          <w:szCs w:val="16"/>
          <w:color w:val="auto"/>
        </w:rPr>
        <w:t>.</w:t>
      </w:r>
    </w:p>
    <w:p>
      <w:pPr>
        <w:spacing w:after="0" w:line="229" w:lineRule="exact"/>
        <w:rPr>
          <w:sz w:val="20"/>
          <w:szCs w:val="20"/>
          <w:color w:val="auto"/>
        </w:rPr>
      </w:pPr>
    </w:p>
    <w:p>
      <w:pPr>
        <w:ind w:right="80" w:firstLine="656"/>
        <w:spacing w:after="0" w:line="276" w:lineRule="auto"/>
        <w:tabs>
          <w:tab w:leader="none" w:pos="129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The Audited Financial Statements (i) were prepared in accordance with GAAP consistently applied throughout the period covered thereby, except as otherwise expressly noted therein; (ii) fairly present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Borrower and its Consolidated Subsidiaries as of the date thereof, including liabilities for taxes, material commitments and Indebtedness.</w:t>
      </w:r>
    </w:p>
    <w:p>
      <w:pPr>
        <w:spacing w:after="0" w:line="172" w:lineRule="exact"/>
        <w:rPr>
          <w:rFonts w:ascii="Arial" w:cs="Arial" w:eastAsia="Arial" w:hAnsi="Arial"/>
          <w:sz w:val="17"/>
          <w:szCs w:val="17"/>
          <w:color w:val="auto"/>
        </w:rPr>
      </w:pPr>
    </w:p>
    <w:p>
      <w:pPr>
        <w:ind w:right="80" w:firstLine="656"/>
        <w:spacing w:after="0" w:line="276" w:lineRule="auto"/>
        <w:tabs>
          <w:tab w:leader="none" w:pos="130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unaudited consolidated balance sheets of Borrower and its Consolidated Subsidiaries dated August 31, 2011,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Borrower and its Consolidated Subsidiaries as of the date thereof and their results of operations for the period covered thereby, subject, in the case of </w:t>
      </w:r>
      <w:r>
        <w:rPr>
          <w:rFonts w:ascii="Arial" w:cs="Arial" w:eastAsia="Arial" w:hAnsi="Arial"/>
          <w:sz w:val="17"/>
          <w:szCs w:val="17"/>
          <w:u w:val="single" w:color="auto"/>
          <w:color w:val="auto"/>
        </w:rPr>
        <w:t>clauses (i) and (ii)</w:t>
      </w:r>
      <w:r>
        <w:rPr>
          <w:rFonts w:ascii="Arial" w:cs="Arial" w:eastAsia="Arial" w:hAnsi="Arial"/>
          <w:sz w:val="17"/>
          <w:szCs w:val="17"/>
          <w:color w:val="auto"/>
        </w:rPr>
        <w:t>, to the absence of footnotes and to normal year-end audit adjustments.</w:t>
      </w:r>
    </w:p>
    <w:p>
      <w:pPr>
        <w:spacing w:after="0" w:line="172" w:lineRule="exact"/>
        <w:rPr>
          <w:rFonts w:ascii="Arial" w:cs="Arial" w:eastAsia="Arial" w:hAnsi="Arial"/>
          <w:sz w:val="17"/>
          <w:szCs w:val="17"/>
          <w:color w:val="auto"/>
        </w:rPr>
      </w:pPr>
    </w:p>
    <w:p>
      <w:pPr>
        <w:ind w:right="40" w:firstLine="656"/>
        <w:spacing w:after="0" w:line="277" w:lineRule="auto"/>
        <w:tabs>
          <w:tab w:leader="none" w:pos="130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170" w:lineRule="exact"/>
        <w:rPr>
          <w:rFonts w:ascii="Arial" w:cs="Arial" w:eastAsia="Arial" w:hAnsi="Arial"/>
          <w:sz w:val="18"/>
          <w:szCs w:val="18"/>
          <w:color w:val="auto"/>
        </w:rPr>
      </w:pPr>
    </w:p>
    <w:p>
      <w:pPr>
        <w:jc w:val="both"/>
        <w:ind w:right="40" w:firstLine="656"/>
        <w:spacing w:after="0" w:line="259" w:lineRule="auto"/>
        <w:tabs>
          <w:tab w:leader="none" w:pos="13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best knowledge of Borrower, no Internal Control Event exists or has occurred since the date of the Audited Financial Statements that has resulted in or could reasonably be expected to result in a misstatement in any material respect, in any financial information delivered or to be delivered to Administrative Agent or Lenders, of (i) covenant compliance calculations provided hereunder or (ii) the assets, liabilities, financial condition or results of operations of Borrower and its Subsidiaries on a consolidated basis.</w:t>
      </w:r>
    </w:p>
    <w:p>
      <w:pPr>
        <w:spacing w:after="0" w:line="186" w:lineRule="exact"/>
        <w:rPr>
          <w:rFonts w:ascii="Arial" w:cs="Arial" w:eastAsia="Arial" w:hAnsi="Arial"/>
          <w:sz w:val="18"/>
          <w:szCs w:val="18"/>
          <w:color w:val="auto"/>
        </w:rPr>
      </w:pPr>
    </w:p>
    <w:p>
      <w:pPr>
        <w:ind w:right="100" w:firstLine="656"/>
        <w:spacing w:after="0" w:line="312" w:lineRule="auto"/>
        <w:tabs>
          <w:tab w:leader="none" w:pos="130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forecasted balance sheet and statements of income and cash flows of Borrower and its Consolidated Subsidiaries delivered pursuant to </w:t>
      </w:r>
      <w:r>
        <w:rPr>
          <w:rFonts w:ascii="Arial" w:cs="Arial" w:eastAsia="Arial" w:hAnsi="Arial"/>
          <w:sz w:val="16"/>
          <w:szCs w:val="16"/>
          <w:u w:val="single" w:color="auto"/>
          <w:color w:val="auto"/>
        </w:rPr>
        <w:t>Section 6.01(c)</w:t>
      </w:r>
      <w:r>
        <w:rPr>
          <w:rFonts w:ascii="Arial" w:cs="Arial" w:eastAsia="Arial" w:hAnsi="Arial"/>
          <w:sz w:val="16"/>
          <w:szCs w:val="16"/>
          <w:color w:val="auto"/>
        </w:rPr>
        <w:t xml:space="preserve"> were prepared in good faith on the basis of the assumptions stated therein, which assumptions were fair in light of the conditions existing at the time of delivery of such forecasts, and represented, at the time of delivery, Borrower’s best estimate of its future financial condition and performance.</w:t>
      </w:r>
    </w:p>
    <w:p>
      <w:pPr>
        <w:sectPr>
          <w:pgSz w:w="11900" w:h="16885" w:orient="portrait"/>
          <w:cols w:equalWidth="0" w:num="1">
            <w:col w:w="11420"/>
          </w:cols>
          <w:pgMar w:left="240" w:top="125" w:right="239" w:bottom="0" w:gutter="0" w:footer="0" w:header="0"/>
        </w:sectPr>
      </w:pPr>
    </w:p>
    <w:bookmarkStart w:id="62" w:name="page63"/>
    <w:bookmarkEnd w:id="62"/>
    <w:p>
      <w:pPr>
        <w:ind w:right="360" w:firstLine="648"/>
        <w:spacing w:after="0" w:line="266" w:lineRule="auto"/>
        <w:rPr>
          <w:sz w:val="20"/>
          <w:szCs w:val="20"/>
          <w:color w:val="auto"/>
        </w:rPr>
      </w:pPr>
      <w:r>
        <w:rPr>
          <w:rFonts w:ascii="Arial" w:cs="Arial" w:eastAsia="Arial" w:hAnsi="Arial"/>
          <w:sz w:val="18"/>
          <w:szCs w:val="18"/>
          <w:b w:val="1"/>
          <w:bCs w:val="1"/>
          <w:color w:val="auto"/>
        </w:rPr>
        <w:t xml:space="preserve">5.06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There are no actions, suits, proceedings, claims or disputes pending or, to the knowledge of Borrower after due and diligent</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threatened or contemplated, at law, in equity, in arbitration or before any Governmental Authority, by or against Borrower or any of its Subsidiaries or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Arial" w:cs="Arial" w:eastAsia="Arial" w:hAnsi="Arial"/>
          <w:sz w:val="18"/>
          <w:szCs w:val="18"/>
          <w:u w:val="single" w:color="auto"/>
          <w:color w:val="auto"/>
        </w:rPr>
        <w:t>Schedule 5.06</w:t>
      </w:r>
      <w:r>
        <w:rPr>
          <w:rFonts w:ascii="Arial" w:cs="Arial" w:eastAsia="Arial" w:hAnsi="Arial"/>
          <w:sz w:val="18"/>
          <w:szCs w:val="18"/>
          <w:color w:val="auto"/>
        </w:rPr>
        <w:t>.</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 xml:space="preserve">5.07 </w:t>
      </w:r>
      <w:r>
        <w:rPr>
          <w:rFonts w:ascii="Arial" w:cs="Arial" w:eastAsia="Arial" w:hAnsi="Arial"/>
          <w:sz w:val="18"/>
          <w:szCs w:val="18"/>
          <w:b w:val="1"/>
          <w:bCs w:val="1"/>
          <w:u w:val="single" w:color="auto"/>
          <w:color w:val="auto"/>
        </w:rPr>
        <w:t>No Default</w:t>
      </w:r>
      <w:r>
        <w:rPr>
          <w:rFonts w:ascii="Arial" w:cs="Arial" w:eastAsia="Arial" w:hAnsi="Arial"/>
          <w:sz w:val="18"/>
          <w:szCs w:val="18"/>
          <w:color w:val="auto"/>
        </w:rPr>
        <w:t>. Neither any Loan Party nor any Subsidiary thereof is in default under or with respect to any Contractual Obligation that could,</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5.08 </w:t>
      </w:r>
      <w:r>
        <w:rPr>
          <w:rFonts w:ascii="Arial" w:cs="Arial" w:eastAsia="Arial" w:hAnsi="Arial"/>
          <w:sz w:val="18"/>
          <w:szCs w:val="18"/>
          <w:b w:val="1"/>
          <w:bCs w:val="1"/>
          <w:u w:val="single" w:color="auto"/>
          <w:color w:val="auto"/>
        </w:rPr>
        <w:t>Ownership of Property; Liens</w:t>
      </w:r>
      <w:r>
        <w:rPr>
          <w:rFonts w:ascii="Arial" w:cs="Arial" w:eastAsia="Arial" w:hAnsi="Arial"/>
          <w:sz w:val="18"/>
          <w:szCs w:val="18"/>
          <w:color w:val="auto"/>
        </w:rPr>
        <w:t>. Each of Borrower and each Subsidiary has good record and marketable title in fee simple to, or valid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leasehold interests in, all real property necessary or used in the ordinary conduct of its business, except for such defects in title as could not, individually or in the aggregate, reasonably be expected to have a Material Adverse Effect. The property of Borrower and its Subsidiaries is subject to no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including Liens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w:t>
      </w:r>
    </w:p>
    <w:p>
      <w:pPr>
        <w:spacing w:after="0" w:line="180"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5.09 </w:t>
      </w:r>
      <w:r>
        <w:rPr>
          <w:rFonts w:ascii="Arial" w:cs="Arial" w:eastAsia="Arial" w:hAnsi="Arial"/>
          <w:sz w:val="17"/>
          <w:szCs w:val="17"/>
          <w:b w:val="1"/>
          <w:bCs w:val="1"/>
          <w:u w:val="single" w:color="auto"/>
          <w:color w:val="auto"/>
        </w:rPr>
        <w:t>Environmental Compliance</w:t>
      </w:r>
      <w:r>
        <w:rPr>
          <w:rFonts w:ascii="Arial" w:cs="Arial" w:eastAsia="Arial" w:hAnsi="Arial"/>
          <w:sz w:val="17"/>
          <w:szCs w:val="17"/>
          <w:color w:val="auto"/>
        </w:rPr>
        <w:t>. Borrower and its Subsidiaries conduct in the ordinary course of business a review of the effect of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Environmental Laws and claims alleging potential liability or responsibility for violation of any Environmental Law on their respective businesses, operations and properties, and as a result thereof Borrower has reasonably concluded that, except as specifically disclosed in </w:t>
      </w:r>
      <w:r>
        <w:rPr>
          <w:rFonts w:ascii="Arial" w:cs="Arial" w:eastAsia="Arial" w:hAnsi="Arial"/>
          <w:sz w:val="17"/>
          <w:szCs w:val="17"/>
          <w:u w:val="single" w:color="auto"/>
          <w:color w:val="auto"/>
        </w:rPr>
        <w:t>Schedule 5.09</w:t>
      </w:r>
      <w:r>
        <w:rPr>
          <w:rFonts w:ascii="Arial" w:cs="Arial" w:eastAsia="Arial" w:hAnsi="Arial"/>
          <w:sz w:val="17"/>
          <w:szCs w:val="17"/>
          <w:color w:val="auto"/>
        </w:rPr>
        <w:t>, such Environmental Laws and claims could not, individually or in the aggregate, reasonably be expected to have a Material Adverse Effect.</w:t>
      </w:r>
    </w:p>
    <w:p>
      <w:pPr>
        <w:spacing w:after="0" w:line="16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5.10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properties of Borrower and its Subsidiaries are insured with financially sound and reputable insurance companies not</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of Borrower, in such amounts (after giving effect to any self-insurance compatible with the following standards), with such deductibles and covering such risks as Borrower reasonably believes appropriate. All insurance with respect to the Collateral shall (a) contain a breach of warranty clause in favor of the Administrative Agent, (b) provide that no cancellation, reduction in amount or change in coverage thereof shall be effective until at least 10 days after receipt by the Administrative Agent of written notice thereof (30 days for nonpayment of premium) and (c) be reasonably satisfactory in all material respects to the Administrative Agent.</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7"/>
          <w:szCs w:val="17"/>
          <w:b w:val="1"/>
          <w:bCs w:val="1"/>
          <w:color w:val="auto"/>
        </w:rPr>
        <w:t xml:space="preserve">5.11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Borrower and its Subsidiaries have filed all foreign and domestic Federal, state and other material tax returns and reports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be filed, and have paid all foreign and domestic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Borrower or any Subsidiary that would, if made, have a Material Adverse Effect.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u w:val="single" w:color="auto"/>
          <w:color w:val="auto"/>
        </w:rPr>
        <w:t>ERISA Compliance</w:t>
      </w:r>
      <w:r>
        <w:rPr>
          <w:rFonts w:ascii="Arial" w:cs="Arial" w:eastAsia="Arial" w:hAnsi="Arial"/>
          <w:sz w:val="16"/>
          <w:szCs w:val="16"/>
          <w:color w:val="auto"/>
        </w:rPr>
        <w:t>.</w:t>
      </w:r>
    </w:p>
    <w:p>
      <w:pPr>
        <w:spacing w:after="0" w:line="229" w:lineRule="exact"/>
        <w:rPr>
          <w:sz w:val="20"/>
          <w:szCs w:val="20"/>
          <w:color w:val="auto"/>
        </w:rPr>
      </w:pPr>
    </w:p>
    <w:p>
      <w:pPr>
        <w:ind w:right="100" w:firstLine="656"/>
        <w:spacing w:after="0" w:line="257" w:lineRule="auto"/>
        <w:tabs>
          <w:tab w:leader="none" w:pos="129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Plan is in compliance with the applicable provisions of ERISA, the Code and other Federal or state laws except for any failure to comply which, either individually or in the aggregate, could not reasonably be expected to result in a Material Adverse Effect.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147" w:lineRule="exact"/>
        <w:rPr>
          <w:sz w:val="20"/>
          <w:szCs w:val="20"/>
          <w:color w:val="auto"/>
        </w:rPr>
      </w:pPr>
    </w:p>
    <w:p>
      <w:pPr>
        <w:ind w:right="20" w:firstLine="656"/>
        <w:spacing w:after="0" w:line="312" w:lineRule="auto"/>
        <w:tabs>
          <w:tab w:leader="none" w:pos="130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46" w:lineRule="exact"/>
        <w:rPr>
          <w:rFonts w:ascii="Arial" w:cs="Arial" w:eastAsia="Arial" w:hAnsi="Arial"/>
          <w:sz w:val="16"/>
          <w:szCs w:val="16"/>
          <w:color w:val="auto"/>
        </w:rPr>
      </w:pPr>
    </w:p>
    <w:p>
      <w:pPr>
        <w:ind w:right="40" w:firstLine="656"/>
        <w:spacing w:after="0" w:line="269" w:lineRule="auto"/>
        <w:tabs>
          <w:tab w:leader="none" w:pos="130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2" w:lineRule="exact"/>
        <w:rPr>
          <w:rFonts w:ascii="Arial" w:cs="Arial" w:eastAsia="Arial" w:hAnsi="Arial"/>
          <w:sz w:val="17"/>
          <w:szCs w:val="17"/>
          <w:color w:val="auto"/>
        </w:rPr>
      </w:pPr>
    </w:p>
    <w:p>
      <w:pPr>
        <w:ind w:right="200" w:firstLine="656"/>
        <w:spacing w:after="0" w:line="264" w:lineRule="auto"/>
        <w:tabs>
          <w:tab w:leader="none" w:pos="13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Neither the Borrower nor any ERISA Affiliate maintains or contributes to, or has any unsatisfied obligation to contribute to, or liability under, any active or terminated Pension Plan other than (i) on the Closing Date, those listed on </w:t>
      </w:r>
      <w:r>
        <w:rPr>
          <w:rFonts w:ascii="Arial" w:cs="Arial" w:eastAsia="Arial" w:hAnsi="Arial"/>
          <w:sz w:val="18"/>
          <w:szCs w:val="18"/>
          <w:u w:val="single" w:color="auto"/>
          <w:color w:val="auto"/>
        </w:rPr>
        <w:t>Schedule 5.12(d)</w:t>
      </w:r>
      <w:r>
        <w:rPr>
          <w:rFonts w:ascii="Arial" w:cs="Arial" w:eastAsia="Arial" w:hAnsi="Arial"/>
          <w:sz w:val="18"/>
          <w:szCs w:val="18"/>
          <w:color w:val="auto"/>
        </w:rPr>
        <w:t xml:space="preserve"> attached hereto and (ii) thereafter, Pension Plans not otherwise prohibited by this Agreement.</w:t>
      </w:r>
    </w:p>
    <w:p>
      <w:pPr>
        <w:sectPr>
          <w:pgSz w:w="11900" w:h="16838" w:orient="portrait"/>
          <w:cols w:equalWidth="0" w:num="1">
            <w:col w:w="11400"/>
          </w:cols>
          <w:pgMar w:left="240" w:top="337" w:right="259" w:bottom="0" w:gutter="0" w:footer="0" w:header="0"/>
        </w:sectPr>
      </w:pPr>
    </w:p>
    <w:bookmarkStart w:id="63" w:name="page64"/>
    <w:bookmarkEnd w:id="63"/>
    <w:p>
      <w:pPr>
        <w:ind w:firstLine="648"/>
        <w:spacing w:after="0" w:line="261" w:lineRule="auto"/>
        <w:rPr>
          <w:sz w:val="20"/>
          <w:szCs w:val="20"/>
          <w:color w:val="auto"/>
        </w:rPr>
      </w:pPr>
      <w:r>
        <w:rPr>
          <w:rFonts w:ascii="Arial" w:cs="Arial" w:eastAsia="Arial" w:hAnsi="Arial"/>
          <w:sz w:val="18"/>
          <w:szCs w:val="18"/>
          <w:b w:val="1"/>
          <w:bCs w:val="1"/>
          <w:color w:val="auto"/>
        </w:rPr>
        <w:t xml:space="preserve">5.13 </w:t>
      </w:r>
      <w:r>
        <w:rPr>
          <w:rFonts w:ascii="Arial" w:cs="Arial" w:eastAsia="Arial" w:hAnsi="Arial"/>
          <w:sz w:val="18"/>
          <w:szCs w:val="18"/>
          <w:b w:val="1"/>
          <w:bCs w:val="1"/>
          <w:u w:val="single" w:color="auto"/>
          <w:color w:val="auto"/>
        </w:rPr>
        <w:t>Subsidiaries</w:t>
      </w:r>
      <w:r>
        <w:rPr>
          <w:rFonts w:ascii="Arial" w:cs="Arial" w:eastAsia="Arial" w:hAnsi="Arial"/>
          <w:sz w:val="18"/>
          <w:szCs w:val="18"/>
          <w:color w:val="auto"/>
        </w:rPr>
        <w:t>. As of the Closing Date, Borrower has no Subsidiaries other than those specifically disclosed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Part (a)</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5.13</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outstanding Equity Interests in such Subsidiaries have been validly issued, are fully paid and nonassessable and are owned by a Loan Party in the amounts specified on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free and clear of all Liens. Borrower has no equity investments in any other corporation or entity other than those specifically disclosed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u w:val="single" w:color="auto"/>
          <w:color w:val="auto"/>
        </w:rPr>
        <w:t>Margin Regulations; Investment Company Act; Public Utility Holding Company Act</w:t>
      </w:r>
      <w:r>
        <w:rPr>
          <w:rFonts w:ascii="Arial" w:cs="Arial" w:eastAsia="Arial" w:hAnsi="Arial"/>
          <w:sz w:val="16"/>
          <w:szCs w:val="16"/>
          <w:color w:val="auto"/>
        </w:rPr>
        <w:t>.</w:t>
      </w:r>
    </w:p>
    <w:p>
      <w:pPr>
        <w:spacing w:after="0" w:line="229" w:lineRule="exact"/>
        <w:rPr>
          <w:sz w:val="20"/>
          <w:szCs w:val="20"/>
          <w:color w:val="auto"/>
        </w:rPr>
      </w:pPr>
    </w:p>
    <w:p>
      <w:pPr>
        <w:ind w:right="200" w:firstLine="656"/>
        <w:spacing w:after="0" w:line="264" w:lineRule="auto"/>
        <w:tabs>
          <w:tab w:leader="none" w:pos="129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Neither Borrower nor any Subsidiary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81" w:lineRule="exact"/>
        <w:rPr>
          <w:rFonts w:ascii="Arial" w:cs="Arial" w:eastAsia="Arial" w:hAnsi="Arial"/>
          <w:sz w:val="18"/>
          <w:szCs w:val="18"/>
          <w:color w:val="auto"/>
        </w:rPr>
      </w:pPr>
    </w:p>
    <w:p>
      <w:pPr>
        <w:ind w:right="100" w:firstLine="656"/>
        <w:spacing w:after="0" w:line="264" w:lineRule="auto"/>
        <w:tabs>
          <w:tab w:leader="none" w:pos="130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None of Borrower, any Person Controlling Borrower, or any Subsidiary (i) is a “holding company,” or a “subsidiary company” of a “holding company,” or an “affiliate” of a “holding company” or of a “subsidiary company” of a “holding company,” within the meaning of the Public Utility Holding Company Act of 1935, or (ii) is or is required to be registered as an “investment company” under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pacing w:after="0" w:line="2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5.15 </w:t>
      </w:r>
      <w:r>
        <w:rPr>
          <w:rFonts w:ascii="Arial" w:cs="Arial" w:eastAsia="Arial" w:hAnsi="Arial"/>
          <w:sz w:val="17"/>
          <w:szCs w:val="17"/>
          <w:b w:val="1"/>
          <w:bCs w:val="1"/>
          <w:u w:val="single" w:color="auto"/>
          <w:color w:val="auto"/>
        </w:rPr>
        <w:t>Disclosure</w:t>
      </w:r>
      <w:r>
        <w:rPr>
          <w:rFonts w:ascii="Arial" w:cs="Arial" w:eastAsia="Arial" w:hAnsi="Arial"/>
          <w:sz w:val="17"/>
          <w:szCs w:val="17"/>
          <w:color w:val="auto"/>
        </w:rPr>
        <w:t>. Borrower has disclosed to Administrative Agent and Lenders all agreements, instruments and corporate or other restrictions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7"/>
          <w:szCs w:val="17"/>
          <w:u w:val="single" w:color="auto"/>
          <w:color w:val="auto"/>
        </w:rPr>
        <w:t>provided that</w:t>
      </w:r>
      <w:r>
        <w:rPr>
          <w:rFonts w:ascii="Arial" w:cs="Arial" w:eastAsia="Arial" w:hAnsi="Arial"/>
          <w:sz w:val="17"/>
          <w:szCs w:val="17"/>
          <w:color w:val="auto"/>
        </w:rPr>
        <w:t>, with respect to projected financial information, the Borrower represents only that such information was prepared in good faith based upon assumptions believed to be reasonable at the time</w:t>
      </w:r>
    </w:p>
    <w:p>
      <w:pPr>
        <w:spacing w:after="0" w:line="17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5.16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Each Loan Party and each Subsidiary thereof is in compliance in all material respects with the requirements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5.17 </w:t>
      </w:r>
      <w:r>
        <w:rPr>
          <w:rFonts w:ascii="Arial" w:cs="Arial" w:eastAsia="Arial" w:hAnsi="Arial"/>
          <w:sz w:val="18"/>
          <w:szCs w:val="18"/>
          <w:b w:val="1"/>
          <w:bCs w:val="1"/>
          <w:u w:val="single" w:color="auto"/>
          <w:color w:val="auto"/>
        </w:rPr>
        <w:t>Taxpayer Identification Number</w:t>
      </w:r>
      <w:r>
        <w:rPr>
          <w:rFonts w:ascii="Arial" w:cs="Arial" w:eastAsia="Arial" w:hAnsi="Arial"/>
          <w:sz w:val="18"/>
          <w:szCs w:val="18"/>
          <w:color w:val="auto"/>
        </w:rPr>
        <w:t>. Borrower’s true and correct U.S. taxpayer identification number is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10.02</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made a part hereof.</w:t>
      </w:r>
    </w:p>
    <w:p>
      <w:pPr>
        <w:spacing w:after="0" w:line="162"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5.18 </w:t>
      </w:r>
      <w:r>
        <w:rPr>
          <w:rFonts w:ascii="Arial" w:cs="Arial" w:eastAsia="Arial" w:hAnsi="Arial"/>
          <w:sz w:val="17"/>
          <w:szCs w:val="17"/>
          <w:b w:val="1"/>
          <w:bCs w:val="1"/>
          <w:u w:val="single" w:color="auto"/>
          <w:color w:val="auto"/>
        </w:rPr>
        <w:t>Intellectual Property; Licenses, Etc</w:t>
      </w:r>
      <w:r>
        <w:rPr>
          <w:rFonts w:ascii="Arial" w:cs="Arial" w:eastAsia="Arial" w:hAnsi="Arial"/>
          <w:sz w:val="17"/>
          <w:szCs w:val="17"/>
          <w:color w:val="auto"/>
        </w:rPr>
        <w:t>. Borrower and its Subsidiaries own, or possess the right to use, all of the trademarks, service marks,</w:t>
      </w:r>
      <w:r>
        <w:rPr>
          <w:rFonts w:ascii="Arial" w:cs="Arial" w:eastAsia="Arial" w:hAnsi="Arial"/>
          <w:sz w:val="17"/>
          <w:szCs w:val="17"/>
          <w:b w:val="1"/>
          <w:bCs w:val="1"/>
          <w:color w:val="auto"/>
        </w:rPr>
        <w:t xml:space="preserve"> </w:t>
      </w:r>
      <w:r>
        <w:rPr>
          <w:rFonts w:ascii="Arial" w:cs="Arial" w:eastAsia="Arial" w:hAnsi="Arial"/>
          <w:sz w:val="17"/>
          <w:szCs w:val="17"/>
          <w:color w:val="auto"/>
        </w:rPr>
        <w:t>trade names, copyrights, patents, patent rights, franchises, licenses and other intellectual property rights that are reasonably necessary for the operation of their respective businesses, without conflict with the rights of any other Person. To the best knowledge of Borrower, no slogan or other advertising device, product, process, method, substance, part or other material now employed, or now contemplated to be employed, by Borrower or any Subsidiary infringes upon any rights held by any other Person. No claim or litigation regarding any of the foregoing is pending or, to the best knowledge of Borrower, threatened, which, either individually or in the aggregate, could reasonably be expected to have a Material Adverse Effect.</w:t>
      </w:r>
    </w:p>
    <w:p>
      <w:pPr>
        <w:spacing w:after="0" w:line="174"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b w:val="1"/>
          <w:bCs w:val="1"/>
          <w:color w:val="auto"/>
        </w:rPr>
        <w:t xml:space="preserve">5.19 </w:t>
      </w:r>
      <w:r>
        <w:rPr>
          <w:rFonts w:ascii="Arial" w:cs="Arial" w:eastAsia="Arial" w:hAnsi="Arial"/>
          <w:sz w:val="18"/>
          <w:szCs w:val="18"/>
          <w:b w:val="1"/>
          <w:bCs w:val="1"/>
          <w:u w:val="single" w:color="auto"/>
          <w:color w:val="auto"/>
        </w:rPr>
        <w:t>Rights in Collateral; Priority of Liens</w:t>
      </w:r>
      <w:r>
        <w:rPr>
          <w:rFonts w:ascii="Arial" w:cs="Arial" w:eastAsia="Arial" w:hAnsi="Arial"/>
          <w:sz w:val="18"/>
          <w:szCs w:val="18"/>
          <w:color w:val="auto"/>
        </w:rPr>
        <w:t>. Borrower and each other Loan Party own the property granted by it as Collateral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Collateral Documents, free and clear of any and all Liens in favor of third parties, other than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including Liens set forth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Upon the proper filing of UCC financing statements and trademark and patent assignments, the Liens granted pursuant to the Collateral Documents will constitute valid and enforceable first, prior and perfected Liens in favor of Administrative Agent, for the ratable benefit of Administrative Agent and Lenders on all collateral on which a lien may be perfected by the filing of such UCC financing statements and trademark and patent assignments, subject only to the Liens set forth on </w:t>
      </w:r>
      <w:r>
        <w:rPr>
          <w:rFonts w:ascii="Arial" w:cs="Arial" w:eastAsia="Arial" w:hAnsi="Arial"/>
          <w:sz w:val="18"/>
          <w:szCs w:val="18"/>
          <w:u w:val="single" w:color="auto"/>
          <w:color w:val="auto"/>
        </w:rPr>
        <w:t>Schedule 7.01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Letter of Credit shall remain outstanding, Borrower shall, and shall (except in the case of the covenants set forth in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6.03</w:t>
      </w:r>
      <w:r>
        <w:rPr>
          <w:rFonts w:ascii="Arial" w:cs="Arial" w:eastAsia="Arial" w:hAnsi="Arial"/>
          <w:sz w:val="16"/>
          <w:szCs w:val="16"/>
          <w:color w:val="auto"/>
        </w:rPr>
        <w:t>) cause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Subsidiary 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6.01 </w:t>
      </w:r>
      <w:r>
        <w:rPr>
          <w:rFonts w:ascii="Arial" w:cs="Arial" w:eastAsia="Arial" w:hAnsi="Arial"/>
          <w:sz w:val="18"/>
          <w:szCs w:val="18"/>
          <w:b w:val="1"/>
          <w:bCs w:val="1"/>
          <w:u w:val="single" w:color="auto"/>
          <w:color w:val="auto"/>
        </w:rPr>
        <w:t>Financial Statements</w:t>
      </w:r>
      <w:r>
        <w:rPr>
          <w:rFonts w:ascii="Arial" w:cs="Arial" w:eastAsia="Arial" w:hAnsi="Arial"/>
          <w:sz w:val="18"/>
          <w:szCs w:val="18"/>
          <w:color w:val="auto"/>
        </w:rPr>
        <w:t>. Deliver to Administrative Agent (whether in hard copy or through a link sent via electronic mail to a copy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on the Internet) a sufficient number of copies for delivery by Administrative Agent to each Lender, in form and detail satisfactory to Administrative Agent and the Required Lenders:</w:t>
      </w:r>
    </w:p>
    <w:p>
      <w:pPr>
        <w:spacing w:after="0" w:line="180" w:lineRule="exact"/>
        <w:rPr>
          <w:sz w:val="20"/>
          <w:szCs w:val="20"/>
          <w:color w:val="auto"/>
        </w:rPr>
      </w:pPr>
    </w:p>
    <w:p>
      <w:pPr>
        <w:ind w:right="300" w:firstLine="656"/>
        <w:spacing w:after="0" w:line="290" w:lineRule="auto"/>
        <w:tabs>
          <w:tab w:leader="none" w:pos="129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promptly after being filed with the SEC, but in any event within seventy-five (75) days after the end of each fiscal year of Borrower (or within such shorter time period as the Borrower may be required to file the foregoing with the SEC), a consolidated balance sheet of Borrower and its Consolidated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PricewaterhouseCoopers LLP or another independent certified public accounting firm of recognized standing reasonably acceptable to the Administrative Agent, which report and opinion shall be prepared in accordance with generally accepted auditing standards and applicable Securities Laws and shall not be subject to any “going concern” or like qualification or exception or any qualification or exception as to the scope of such audit or with respect to the absence of any material misstatement; and</w:t>
      </w:r>
    </w:p>
    <w:p>
      <w:pPr>
        <w:sectPr>
          <w:pgSz w:w="11900" w:h="16838" w:orient="portrait"/>
          <w:cols w:equalWidth="0" w:num="1">
            <w:col w:w="11400"/>
          </w:cols>
          <w:pgMar w:left="240" w:top="121" w:right="259" w:bottom="0" w:gutter="0" w:footer="0" w:header="0"/>
        </w:sectPr>
      </w:pPr>
    </w:p>
    <w:bookmarkStart w:id="64" w:name="page65"/>
    <w:bookmarkEnd w:id="64"/>
    <w:p>
      <w:pPr>
        <w:ind w:right="40" w:firstLine="656"/>
        <w:spacing w:after="0" w:line="291" w:lineRule="auto"/>
        <w:tabs>
          <w:tab w:leader="none" w:pos="130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promptly after being filed with the SEC, but in any event within forty-five (45) days after the end of each of the first three fiscal quarters of each fiscal year of Borrower, a consolidated balance sheet of Borrower and its Consolidated Subsidiaries as at the end of such fiscal quarter, and the related consolidated statements of income or operations, shareholders’ equity and cash flows for such fiscal quarter and for the portion of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Borrower as fairly presenting the financial condition, results of operations, shareholders’ equity and cash flows of Borrower and its Consolidated Subsidiaries in accordance with GAAP, subject only to normal year-end audit adjustments and the absence of footnotes; and</w:t>
      </w:r>
    </w:p>
    <w:p>
      <w:pPr>
        <w:spacing w:after="0" w:line="167" w:lineRule="exact"/>
        <w:rPr>
          <w:rFonts w:ascii="Arial" w:cs="Arial" w:eastAsia="Arial" w:hAnsi="Arial"/>
          <w:sz w:val="16"/>
          <w:szCs w:val="16"/>
          <w:color w:val="auto"/>
        </w:rPr>
      </w:pPr>
    </w:p>
    <w:p>
      <w:pPr>
        <w:ind w:firstLine="656"/>
        <w:spacing w:after="0" w:line="259" w:lineRule="auto"/>
        <w:tabs>
          <w:tab w:leader="none" w:pos="13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soon as available, but in any event at least fifteen (15) days before the end of each fiscal year of Borrower, forecasts prepared by management of Borrower, in form satisfactory to Administrative Agent and the Required Lenders, of consolidated balance sheets and statements of income or operations of Borrower and its Consolidated Subsidiaries for the immediately following fiscal year (including the fiscal year in which the Maturity Date occurs), prepared on an annual basis.</w:t>
      </w:r>
    </w:p>
    <w:p>
      <w:pPr>
        <w:spacing w:after="0" w:line="183"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6.02 </w:t>
      </w:r>
      <w:r>
        <w:rPr>
          <w:rFonts w:ascii="Arial" w:cs="Arial" w:eastAsia="Arial" w:hAnsi="Arial"/>
          <w:sz w:val="18"/>
          <w:szCs w:val="18"/>
          <w:b w:val="1"/>
          <w:bCs w:val="1"/>
          <w:u w:val="single" w:color="auto"/>
          <w:color w:val="auto"/>
        </w:rPr>
        <w:t>Certificates: Other Information</w:t>
      </w:r>
      <w:r>
        <w:rPr>
          <w:rFonts w:ascii="Arial" w:cs="Arial" w:eastAsia="Arial" w:hAnsi="Arial"/>
          <w:sz w:val="18"/>
          <w:szCs w:val="18"/>
          <w:color w:val="auto"/>
        </w:rPr>
        <w:t>. Deliver to Administrative Agent a sufficient number of copies for delivery by Administrative Agent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Lender, in form and detail satisfactory to Administrative Agent and the Required Lenders:</w:t>
      </w:r>
    </w:p>
    <w:p>
      <w:pPr>
        <w:spacing w:after="0" w:line="166" w:lineRule="exact"/>
        <w:rPr>
          <w:sz w:val="20"/>
          <w:szCs w:val="20"/>
          <w:color w:val="auto"/>
        </w:rPr>
      </w:pPr>
    </w:p>
    <w:p>
      <w:pPr>
        <w:ind w:right="180" w:firstLine="656"/>
        <w:spacing w:after="0" w:line="277" w:lineRule="auto"/>
        <w:tabs>
          <w:tab w:leader="none" w:pos="129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financial officer or president of Borrower;</w:t>
      </w:r>
    </w:p>
    <w:p>
      <w:pPr>
        <w:spacing w:after="0" w:line="170" w:lineRule="exact"/>
        <w:rPr>
          <w:rFonts w:ascii="Arial" w:cs="Arial" w:eastAsia="Arial" w:hAnsi="Arial"/>
          <w:sz w:val="18"/>
          <w:szCs w:val="18"/>
          <w:color w:val="auto"/>
        </w:rPr>
      </w:pPr>
    </w:p>
    <w:p>
      <w:pPr>
        <w:ind w:right="20" w:firstLine="656"/>
        <w:spacing w:after="0" w:line="264" w:lineRule="auto"/>
        <w:tabs>
          <w:tab w:leader="none" w:pos="130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after any request by Administrative Agent or any Lender, copies of any detailed audit reports, management letters or recommendations submitted to the board of directors (or the audit committee of the board of directors) of Borrower by independent accountants in connection with the accounts or books of Borrower or any Subsidiary, or any audit of any of them;</w:t>
      </w:r>
    </w:p>
    <w:p>
      <w:pPr>
        <w:spacing w:after="0" w:line="181" w:lineRule="exact"/>
        <w:rPr>
          <w:rFonts w:ascii="Arial" w:cs="Arial" w:eastAsia="Arial" w:hAnsi="Arial"/>
          <w:sz w:val="18"/>
          <w:szCs w:val="18"/>
          <w:color w:val="auto"/>
        </w:rPr>
      </w:pPr>
    </w:p>
    <w:p>
      <w:pPr>
        <w:ind w:right="620" w:firstLine="656"/>
        <w:spacing w:after="0" w:line="277" w:lineRule="auto"/>
        <w:tabs>
          <w:tab w:leader="none" w:pos="130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reporting notice, or other report or communication sent to the stockholders of Borrower,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copies of any annual, regular, periodic and special reports and registration statements which Borrower may file or be required to file with the SEC under Section 13 or 15(d) of the Securities Exchange Act of 1934, and not otherwise required to be delivered to Administrative Agent pursuant hereto;</w:t>
      </w:r>
    </w:p>
    <w:p>
      <w:pPr>
        <w:spacing w:after="0" w:line="124" w:lineRule="exact"/>
        <w:rPr>
          <w:sz w:val="20"/>
          <w:szCs w:val="20"/>
          <w:color w:val="auto"/>
        </w:rPr>
      </w:pPr>
    </w:p>
    <w:p>
      <w:pPr>
        <w:ind w:right="160" w:firstLine="656"/>
        <w:spacing w:after="0" w:line="264" w:lineRule="auto"/>
        <w:tabs>
          <w:tab w:leader="none" w:pos="130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60" w:firstLine="656"/>
        <w:spacing w:after="0" w:line="259" w:lineRule="auto"/>
        <w:tabs>
          <w:tab w:leader="none" w:pos="130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any Loan Party or any Subsidiary thereof, copies of each notice or other correspondence received from the Securities and Exchange Commission (or comparable agency in any applicable non-U.S. jurisdiction) concerning any investigation or possible investigation or other inquiry by such agency regarding financial or other operational results of any Loan Party or any Subsidiary thereof; and</w:t>
      </w:r>
    </w:p>
    <w:p>
      <w:pPr>
        <w:spacing w:after="0" w:line="186" w:lineRule="exact"/>
        <w:rPr>
          <w:rFonts w:ascii="Arial" w:cs="Arial" w:eastAsia="Arial" w:hAnsi="Arial"/>
          <w:sz w:val="18"/>
          <w:szCs w:val="18"/>
          <w:color w:val="auto"/>
        </w:rPr>
      </w:pPr>
    </w:p>
    <w:p>
      <w:pPr>
        <w:ind w:right="220" w:firstLine="656"/>
        <w:spacing w:after="0" w:line="277" w:lineRule="auto"/>
        <w:tabs>
          <w:tab w:leader="none" w:pos="13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Borrower or any Subsidiary, or compliance with the terms of the Loan Documents, as Administrative Agent or any Lender may from time to time reasonably request.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Borrower hereby acknowledges that (i) Administrative Agent will make available to Lenders and the L/C Issuer materials and/or information provided by or on behalf of Borrower hereunder (hereinafter collectively referred to as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Borrower Materials on IntraLinks or another similar electronic system (hereinafter referred to as the “</w:t>
      </w:r>
      <w:r>
        <w:rPr>
          <w:rFonts w:ascii="Arial" w:cs="Arial" w:eastAsia="Arial" w:hAnsi="Arial"/>
          <w:sz w:val="17"/>
          <w:szCs w:val="17"/>
          <w:u w:val="single" w:color="auto"/>
          <w:color w:val="auto"/>
        </w:rPr>
        <w:t>Platform</w:t>
      </w:r>
      <w:r>
        <w:rPr>
          <w:rFonts w:ascii="Arial" w:cs="Arial" w:eastAsia="Arial" w:hAnsi="Arial"/>
          <w:sz w:val="17"/>
          <w:szCs w:val="17"/>
          <w:color w:val="auto"/>
        </w:rPr>
        <w:t>”) and (ii) certain of the Lenders may be “public-side” Lenders (i.e., Lenders that do not wish to receive material non-public information with respect to Borrower or its securities) (hereinafter each shall be referred to as a “</w:t>
      </w:r>
      <w:r>
        <w:rPr>
          <w:rFonts w:ascii="Arial" w:cs="Arial" w:eastAsia="Arial" w:hAnsi="Arial"/>
          <w:sz w:val="17"/>
          <w:szCs w:val="17"/>
          <w:u w:val="single" w:color="auto"/>
          <w:color w:val="auto"/>
        </w:rPr>
        <w:t>Public Lender</w:t>
      </w:r>
      <w:r>
        <w:rPr>
          <w:rFonts w:ascii="Arial" w:cs="Arial" w:eastAsia="Arial" w:hAnsi="Arial"/>
          <w:sz w:val="17"/>
          <w:szCs w:val="17"/>
          <w:color w:val="auto"/>
        </w:rPr>
        <w:t>”). Borrower hereby agrees that (A) all Borrower Materials that are to be made available to Public Lenders shall be clearly and conspicuously marked “PUBLIC” which, at a minimum, shall mean that the word “PUBLIC” shall appear prominently on the first page thereof; (B) by marking Borrower Materials “PUBLIC,” Borrower shall be deemed to have authorized Administrative Agent, the L/C Issuer and the Lenders to treat such Borrower Materials as not containing any material non-public information with respect to Borrower or its securities for purposes of United States Federal and state securities laws (provided, however, that to the extent such Borrower Materials constitute Information, they shall be treated as set forth in Section 10.07); (C) all Borrower Materials marked “PUBLIC” are permitted to be made available through a portion of the Platform designated “Public Investor;” and (D) Administrative Agent shall be entitled to treat any Borrower Materials that are not marked “PUBLIC” as being suitable only for posting on a portion of the Platform not designated “Public Investor”.</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Promptly notify Administrative Agent and each Lender for which the Administrative Agent has provided an address:</w:t>
      </w:r>
    </w:p>
    <w:p>
      <w:pPr>
        <w:spacing w:after="0" w:line="229"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any matter that has resulted or could reasonably be expected to result in a Material Adverse Effect;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Borrower or any Subsidiary,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of Borrower’s determination at any time of the occurrence or existence of any Internal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Control Event.</w:t>
      </w:r>
    </w:p>
    <w:p>
      <w:pPr>
        <w:sectPr>
          <w:pgSz w:w="11900" w:h="16838" w:orient="portrait"/>
          <w:cols w:equalWidth="0" w:num="1">
            <w:col w:w="11400"/>
          </w:cols>
          <w:pgMar w:left="240" w:top="125" w:right="259" w:bottom="0" w:gutter="0" w:footer="0" w:header="0"/>
        </w:sectPr>
      </w:pPr>
    </w:p>
    <w:bookmarkStart w:id="65" w:name="page66"/>
    <w:bookmarkEnd w:id="65"/>
    <w:p>
      <w:pPr>
        <w:ind w:right="500" w:firstLine="648"/>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Borrower setting forth details of the occurrence referred to therein and stating what action Borrower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6"/>
          <w:szCs w:val="16"/>
          <w:b w:val="1"/>
          <w:bCs w:val="1"/>
          <w:u w:val="single" w:color="auto"/>
          <w:color w:val="auto"/>
        </w:rPr>
        <w:t>Payment of Obligations</w:t>
      </w:r>
      <w:r>
        <w:rPr>
          <w:rFonts w:ascii="Arial" w:cs="Arial" w:eastAsia="Arial" w:hAnsi="Arial"/>
          <w:sz w:val="16"/>
          <w:szCs w:val="16"/>
          <w:color w:val="auto"/>
        </w:rPr>
        <w:t>. Pay and discharge as the same shall become due and payable, its obligations and liabilities in excess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$500,000.00, including (a) all tax liabilities, assessments and governmental charges or levies upon it or its properties or assets, unless the same are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contested in good faith by appropriate proceedings diligently conducted and adequate reserves in accordance with GAAP are being maintained by Borrower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such Subsidiary; (b) all lawful claims which, if unpaid, would by law become a Lien upon its property; and (c) all Indebtedness, as and when due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payable, but subject to any subordination provisions contained in any instrument or agreement evidencing such Indebtedness.</w:t>
      </w:r>
    </w:p>
    <w:p>
      <w:pPr>
        <w:spacing w:after="0" w:line="20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7"/>
          <w:szCs w:val="17"/>
          <w:b w:val="1"/>
          <w:bCs w:val="1"/>
          <w:color w:val="auto"/>
        </w:rPr>
        <w:t xml:space="preserve">6.05 </w:t>
      </w:r>
      <w:r>
        <w:rPr>
          <w:rFonts w:ascii="Arial" w:cs="Arial" w:eastAsia="Arial" w:hAnsi="Arial"/>
          <w:sz w:val="17"/>
          <w:szCs w:val="17"/>
          <w:b w:val="1"/>
          <w:bCs w:val="1"/>
          <w:u w:val="single" w:color="auto"/>
          <w:color w:val="auto"/>
        </w:rPr>
        <w:t>Preservation of Existence, Etc</w:t>
      </w:r>
      <w:r>
        <w:rPr>
          <w:rFonts w:ascii="Arial" w:cs="Arial" w:eastAsia="Arial" w:hAnsi="Arial"/>
          <w:sz w:val="17"/>
          <w:szCs w:val="17"/>
          <w:color w:val="auto"/>
        </w:rPr>
        <w:t>. (a) Preserve, renew and maintain in full force and effect its legal existence and good standing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Laws of the 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7.05</w:t>
      </w:r>
      <w:r>
        <w:rPr>
          <w:rFonts w:ascii="Arial" w:cs="Arial" w:eastAsia="Arial" w:hAnsi="Arial"/>
          <w:sz w:val="17"/>
          <w:szCs w:val="17"/>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any registered patents, trademarks, trade names and service marks, the non-preservation of which could reasonably be expected to have a Material Adverse Effect.</w:t>
      </w:r>
    </w:p>
    <w:p>
      <w:pPr>
        <w:spacing w:after="0" w:line="16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6.06 </w:t>
      </w:r>
      <w:r>
        <w:rPr>
          <w:rFonts w:ascii="Arial" w:cs="Arial" w:eastAsia="Arial" w:hAnsi="Arial"/>
          <w:sz w:val="18"/>
          <w:szCs w:val="18"/>
          <w:b w:val="1"/>
          <w:bCs w:val="1"/>
          <w:u w:val="single" w:color="auto"/>
          <w:color w:val="auto"/>
        </w:rPr>
        <w:t>Maintenance of Properties</w:t>
      </w:r>
      <w:r>
        <w:rPr>
          <w:rFonts w:ascii="Arial" w:cs="Arial" w:eastAsia="Arial" w:hAnsi="Arial"/>
          <w:sz w:val="18"/>
          <w:szCs w:val="18"/>
          <w:color w:val="auto"/>
        </w:rPr>
        <w:t>. (a) Maintain, preserve and protect all of its material properties and equipment necessary in the operation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6.07 </w:t>
      </w:r>
      <w:r>
        <w:rPr>
          <w:rFonts w:ascii="Arial" w:cs="Arial" w:eastAsia="Arial" w:hAnsi="Arial"/>
          <w:sz w:val="18"/>
          <w:szCs w:val="18"/>
          <w:b w:val="1"/>
          <w:bCs w:val="1"/>
          <w:u w:val="single" w:color="auto"/>
          <w:color w:val="auto"/>
        </w:rPr>
        <w:t>Maintenance of Insurance</w:t>
      </w:r>
      <w:r>
        <w:rPr>
          <w:rFonts w:ascii="Arial" w:cs="Arial" w:eastAsia="Arial" w:hAnsi="Arial"/>
          <w:sz w:val="18"/>
          <w:szCs w:val="18"/>
          <w:color w:val="auto"/>
        </w:rPr>
        <w:t>. Maintain with financially sound and reputable insurance companies not Affiliates of Borrower, insurance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providing for not less than ten (10) days’ prior notice to Administrative Agent of termination, lapse or cancellation of such insurance (thirty (30) days for nonpayment of premium). Borrower shall cause its carriers to name the Administrative Agent as additional insured and, in the case of property or casualty insurance for all tangible Collateral, first loss payee, and shall provide the Administrative Agent with a certificate or certificates evidencing such coverages and the payment of premiums therefore, on or before the Closing Date and at such times as the insurance in question is modified or renewed.</w:t>
      </w:r>
    </w:p>
    <w:p>
      <w:pPr>
        <w:spacing w:after="0" w:line="18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 xml:space="preserve">6.08 </w:t>
      </w:r>
      <w:r>
        <w:rPr>
          <w:rFonts w:ascii="Arial" w:cs="Arial" w:eastAsia="Arial" w:hAnsi="Arial"/>
          <w:sz w:val="18"/>
          <w:szCs w:val="18"/>
          <w:b w:val="1"/>
          <w:bCs w:val="1"/>
          <w:u w:val="single" w:color="auto"/>
          <w:color w:val="auto"/>
        </w:rPr>
        <w:t>Compliance with Laws</w:t>
      </w:r>
      <w:r>
        <w:rPr>
          <w:rFonts w:ascii="Arial" w:cs="Arial" w:eastAsia="Arial" w:hAnsi="Arial"/>
          <w:sz w:val="18"/>
          <w:szCs w:val="18"/>
          <w:color w:val="auto"/>
        </w:rPr>
        <w:t>. Comply in all material respects with the requirements of all Laws and all orders, writs, injunctions and decrees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it or to its business or property, except in such instances in which (a) such requirement of Law or order, write, injunction or decree is being contested in good faith by appropriate proceedings diligently conducted or (b) the failure to comply therewith could not reasonably be expected to have a Material Adverse Effect.</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6.09 </w:t>
      </w:r>
      <w:r>
        <w:rPr>
          <w:rFonts w:ascii="Arial" w:cs="Arial" w:eastAsia="Arial" w:hAnsi="Arial"/>
          <w:sz w:val="18"/>
          <w:szCs w:val="18"/>
          <w:b w:val="1"/>
          <w:bCs w:val="1"/>
          <w:u w:val="single" w:color="auto"/>
          <w:color w:val="auto"/>
        </w:rPr>
        <w:t>Books and Records</w:t>
      </w:r>
      <w:r>
        <w:rPr>
          <w:rFonts w:ascii="Arial" w:cs="Arial" w:eastAsia="Arial" w:hAnsi="Arial"/>
          <w:sz w:val="18"/>
          <w:szCs w:val="18"/>
          <w:color w:val="auto"/>
        </w:rPr>
        <w:t>. Maintain (a) proper books of record and account, in which full, true and correct entries in conformity with GAAP</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consistently applied shall be made of all financial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and matters involving the assets and business of Borrower or such Subsidiary, as the case may be and (b) such books of record and account in material conformity with all applicable requirements of any Governmental Authority having regulatory jurisdiction over Borrower or such Subsidiary, as the case may be. Borrower shall maintain at all times books and records pertaining to the Collateral in such detail, form and scope as Administrative Agent or any Lender shall reasonably require.</w:t>
      </w:r>
    </w:p>
    <w:p>
      <w:pPr>
        <w:spacing w:after="0" w:line="183"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6.10 </w:t>
      </w:r>
      <w:r>
        <w:rPr>
          <w:rFonts w:ascii="Arial" w:cs="Arial" w:eastAsia="Arial" w:hAnsi="Arial"/>
          <w:sz w:val="17"/>
          <w:szCs w:val="17"/>
          <w:b w:val="1"/>
          <w:bCs w:val="1"/>
          <w:u w:val="single" w:color="auto"/>
          <w:color w:val="auto"/>
        </w:rPr>
        <w:t>Inspection Rights</w:t>
      </w:r>
      <w:r>
        <w:rPr>
          <w:rFonts w:ascii="Arial" w:cs="Arial" w:eastAsia="Arial" w:hAnsi="Arial"/>
          <w:sz w:val="17"/>
          <w:szCs w:val="17"/>
          <w:color w:val="auto"/>
        </w:rPr>
        <w:t>. Permit representatives and independent contractors of Administrative Agent and each Lender to visit and inspect any of</w:t>
      </w:r>
      <w:r>
        <w:rPr>
          <w:rFonts w:ascii="Arial" w:cs="Arial" w:eastAsia="Arial" w:hAnsi="Arial"/>
          <w:sz w:val="17"/>
          <w:szCs w:val="17"/>
          <w:b w:val="1"/>
          <w:bCs w:val="1"/>
          <w:color w:val="auto"/>
        </w:rPr>
        <w:t xml:space="preserve"> </w:t>
      </w:r>
      <w:r>
        <w:rPr>
          <w:rFonts w:ascii="Arial" w:cs="Arial" w:eastAsia="Arial" w:hAnsi="Arial"/>
          <w:sz w:val="17"/>
          <w:szCs w:val="17"/>
          <w:color w:val="auto"/>
        </w:rPr>
        <w:t>its properties, to examine its corporate, financial and operating records, and make copies thereof or abstracts therefrom, and to discuss its affairs, finances and accounts with its directors, officers, and independent public accountants, all at the expense of Borrower and at such reasonable times during normal business hours and as often as may be reasonably desired, upon reasonable advance notice to Borrower; provided, however, that when an Event of Default exists Administrative Agent or any Lender (or any of their respective representatives or independent contractors) may do any of the foregoing at the expense of Borrower at any time during normal business hours and without advance notice.</w:t>
      </w:r>
    </w:p>
    <w:p>
      <w:pPr>
        <w:spacing w:after="0" w:line="174"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b w:val="1"/>
          <w:bCs w:val="1"/>
          <w:color w:val="auto"/>
        </w:rPr>
        <w:t xml:space="preserve">6.11 </w:t>
      </w:r>
      <w:r>
        <w:rPr>
          <w:rFonts w:ascii="Arial" w:cs="Arial" w:eastAsia="Arial" w:hAnsi="Arial"/>
          <w:sz w:val="16"/>
          <w:szCs w:val="16"/>
          <w:b w:val="1"/>
          <w:bCs w:val="1"/>
          <w:u w:val="single" w:color="auto"/>
          <w:color w:val="auto"/>
        </w:rPr>
        <w:t>Use of Proceeds</w:t>
      </w:r>
      <w:r>
        <w:rPr>
          <w:rFonts w:ascii="Arial" w:cs="Arial" w:eastAsia="Arial" w:hAnsi="Arial"/>
          <w:sz w:val="16"/>
          <w:szCs w:val="16"/>
          <w:color w:val="auto"/>
        </w:rPr>
        <w:t>. Use the proceeds of the Committed Loans and Letters of Credit for working capital and other lawful corporate purposes,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without limitation, financing such acquisitions as may be permitted in accordance with the terms, conditions, and provisions of </w:t>
      </w:r>
      <w:r>
        <w:rPr>
          <w:rFonts w:ascii="Arial" w:cs="Arial" w:eastAsia="Arial" w:hAnsi="Arial"/>
          <w:sz w:val="16"/>
          <w:szCs w:val="16"/>
          <w:u w:val="single" w:color="auto"/>
          <w:color w:val="auto"/>
        </w:rPr>
        <w:t>Section 7.02(f)</w:t>
      </w:r>
      <w:r>
        <w:rPr>
          <w:rFonts w:ascii="Arial" w:cs="Arial" w:eastAsia="Arial" w:hAnsi="Arial"/>
          <w:sz w:val="16"/>
          <w:szCs w:val="16"/>
          <w:color w:val="auto"/>
        </w:rPr>
        <w:t>.</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u w:val="single" w:color="auto"/>
          <w:color w:val="auto"/>
        </w:rPr>
        <w:t>Financial Covenants</w:t>
      </w:r>
    </w:p>
    <w:p>
      <w:pPr>
        <w:spacing w:after="0" w:line="229" w:lineRule="exact"/>
        <w:rPr>
          <w:sz w:val="20"/>
          <w:szCs w:val="20"/>
          <w:color w:val="auto"/>
        </w:rPr>
      </w:pPr>
    </w:p>
    <w:p>
      <w:pPr>
        <w:jc w:val="both"/>
        <w:ind w:right="40" w:firstLine="656"/>
        <w:spacing w:after="0" w:line="264" w:lineRule="auto"/>
        <w:tabs>
          <w:tab w:leader="none" w:pos="129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Minimum Consolidated Interest Coverage Ratio</w:t>
      </w:r>
      <w:r>
        <w:rPr>
          <w:rFonts w:ascii="Arial" w:cs="Arial" w:eastAsia="Arial" w:hAnsi="Arial"/>
          <w:sz w:val="18"/>
          <w:szCs w:val="18"/>
          <w:color w:val="auto"/>
        </w:rPr>
        <w:t>. Maintain, on a consolidated basis, an Interest Coverage Ratio of at least 3.0 -to- 1.0. This ratio will be calculated at the end of each reporting period for which this Agreement requires Borrower to deliver financial statements, using the results of the twelve-month period ending with that reporting period.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304"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Maximum Funded Debt Leverage Ratio</w:t>
      </w:r>
      <w:r>
        <w:rPr>
          <w:rFonts w:ascii="Arial" w:cs="Arial" w:eastAsia="Arial" w:hAnsi="Arial"/>
          <w:sz w:val="18"/>
          <w:szCs w:val="18"/>
          <w:color w:val="auto"/>
        </w:rPr>
        <w:t>. Maintain, on a consolidated basis, a Funded Debt Leverage Ratio not exceeding 3.0 -to- 1.0. This ratio will be calculated at the end of each reporting period for which this Agreement requires Borrower to deliver financial statements, using the results of the twelve-month period ending with that reporting period.</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u w:val="single" w:color="auto"/>
          <w:color w:val="auto"/>
        </w:rPr>
        <w:t>Additional Guarantors; Pledges of Stock</w:t>
      </w:r>
      <w:r>
        <w:rPr>
          <w:rFonts w:ascii="Arial" w:cs="Arial" w:eastAsia="Arial" w:hAnsi="Arial"/>
          <w:sz w:val="16"/>
          <w:szCs w:val="16"/>
          <w:color w:val="auto"/>
        </w:rPr>
        <w:t>. Notify Administrative Agent at any time that any Person becomes a Guarantor Subsidiary or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Pledged Subsidiary and, promptly thereafter (and in any event within 30 days):</w:t>
      </w:r>
    </w:p>
    <w:p>
      <w:pPr>
        <w:spacing w:after="0" w:line="211" w:lineRule="exact"/>
        <w:rPr>
          <w:sz w:val="20"/>
          <w:szCs w:val="20"/>
          <w:color w:val="auto"/>
        </w:rPr>
      </w:pPr>
    </w:p>
    <w:p>
      <w:pPr>
        <w:ind w:right="40" w:firstLine="656"/>
        <w:spacing w:after="0" w:line="273" w:lineRule="auto"/>
        <w:tabs>
          <w:tab w:leader="none" w:pos="129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 xml:space="preserve">cause any such Person that becomes a Guarantor Subsidiary, (i) to become a Guarantor by executing and delivering to the Administrative Agent a joinder to the Guaranty or such other document as the Administrative Agent shall deem appropriate for such purpose and (ii) to deliver to the Administrative Agent (1) documents of the types referred to in </w:t>
      </w:r>
      <w:r>
        <w:rPr>
          <w:rFonts w:ascii="Arial" w:cs="Arial" w:eastAsia="Arial" w:hAnsi="Arial"/>
          <w:sz w:val="17"/>
          <w:szCs w:val="17"/>
          <w:u w:val="single" w:color="auto"/>
          <w:color w:val="auto"/>
        </w:rPr>
        <w:t>clauses (iii) and (iv)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and (2) with respect to any such Person which has assets or operating income that represents fifteen percent (15.0%) or more of the assets or operating income of the Borrower, favorable opinions of counsel to such Person (which opinions shall cover, among other things, the legality, validity, binding effect and enforceability of the documentation referred to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all in form, content and scope reasonably satisfactory to Administrative Agent; and/or</w:t>
      </w:r>
    </w:p>
    <w:p>
      <w:pPr>
        <w:sectPr>
          <w:pgSz w:w="11900" w:h="16838" w:orient="portrait"/>
          <w:cols w:equalWidth="0" w:num="1">
            <w:col w:w="11400"/>
          </w:cols>
          <w:pgMar w:left="240" w:top="125" w:right="259" w:bottom="0" w:gutter="0" w:footer="0" w:header="0"/>
        </w:sectPr>
      </w:pPr>
    </w:p>
    <w:bookmarkStart w:id="66" w:name="page67"/>
    <w:bookmarkEnd w:id="66"/>
    <w:p>
      <w:pPr>
        <w:ind w:right="40" w:firstLine="656"/>
        <w:spacing w:after="0" w:line="264" w:lineRule="auto"/>
        <w:tabs>
          <w:tab w:leader="none" w:pos="130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take such action, and cause the appropriate Subsidiaries to take such action, from time to time as shall be necessary to ensure that sixty-five percent (65%) of the Equity Interests in any such Person that becomes a Pledged Subsidiary shall be pledged to the Administrative Agent, for the benefit of the Lenders, (i) by executing and delivering to the Administrative Agent a pledge agreement, or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other document as Administrative Agent shall deem appropriate for such purpose, and (ii) by delivering to the Administrative Agent (1) documents of the types referred to in </w:t>
      </w:r>
      <w:r>
        <w:rPr>
          <w:rFonts w:ascii="Arial" w:cs="Arial" w:eastAsia="Arial" w:hAnsi="Arial"/>
          <w:sz w:val="18"/>
          <w:szCs w:val="18"/>
          <w:u w:val="single" w:color="auto"/>
          <w:color w:val="auto"/>
        </w:rPr>
        <w:t>clauses (iii) and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 respect to such Pledged Subsidiary and (2) with respect to any such Pledged Subsidiary which has assets or operating income that represents fifteen percent (15.0%) or more of the assets or operating income of the Borrower, favorable opinions of counsel to such Pledged Subsidiary and to such pledging Borrower or Subsidiary (which shall cover, among other things, the legality, validity, binding effect and enforceability of the documentation referred to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all in form, content and scope reasonably satisfactory to the Administrative Agent.</w:t>
      </w:r>
    </w:p>
    <w:p>
      <w:pPr>
        <w:spacing w:after="0" w:line="189"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6.14 </w:t>
      </w:r>
      <w:r>
        <w:rPr>
          <w:rFonts w:ascii="Arial" w:cs="Arial" w:eastAsia="Arial" w:hAnsi="Arial"/>
          <w:sz w:val="18"/>
          <w:szCs w:val="18"/>
          <w:b w:val="1"/>
          <w:bCs w:val="1"/>
          <w:u w:val="single" w:color="auto"/>
          <w:color w:val="auto"/>
        </w:rPr>
        <w:t>Collateral Records</w:t>
      </w:r>
      <w:r>
        <w:rPr>
          <w:rFonts w:ascii="Arial" w:cs="Arial" w:eastAsia="Arial" w:hAnsi="Arial"/>
          <w:sz w:val="18"/>
          <w:szCs w:val="18"/>
          <w:color w:val="auto"/>
        </w:rPr>
        <w:t>. To execute and deliver promptly, and to cause each other Loan Party to execute and deliver promptly, to</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from time to time, solely for Administrative Agent’s convenience in maintaining a record of the Collateral, such written statements and schedules as Administrative Agent may reasonably require designating, identifying or describing the Collateral. The failure by Borrower or any other Loan Party, however, to promptly give Administrative Agent such statements or schedules shall not affect, diminish, modify or otherwise limit the Liens on the Collateral granted pursuant to the Collateral Documents.</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6.15 </w:t>
      </w:r>
      <w:r>
        <w:rPr>
          <w:rFonts w:ascii="Arial" w:cs="Arial" w:eastAsia="Arial" w:hAnsi="Arial"/>
          <w:sz w:val="16"/>
          <w:szCs w:val="16"/>
          <w:b w:val="1"/>
          <w:bCs w:val="1"/>
          <w:u w:val="single" w:color="auto"/>
          <w:color w:val="auto"/>
        </w:rPr>
        <w:t>Security Interests</w:t>
      </w:r>
      <w:r>
        <w:rPr>
          <w:rFonts w:ascii="Arial" w:cs="Arial" w:eastAsia="Arial" w:hAnsi="Arial"/>
          <w:sz w:val="16"/>
          <w:szCs w:val="16"/>
          <w:color w:val="auto"/>
        </w:rPr>
        <w:t>. To, and to cause each other Loan Party to, (a) defend the Collateral against all claims and demands of all Persons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claiming the same or any interest therein, (b) comply with the requirements of all United States state and federal laws in order to grant to Administrative Agent and Lenders valid and perfected security interests in the Collateral subject only to Liens set forth on </w:t>
      </w:r>
      <w:r>
        <w:rPr>
          <w:rFonts w:ascii="Arial" w:cs="Arial" w:eastAsia="Arial" w:hAnsi="Arial"/>
          <w:sz w:val="16"/>
          <w:szCs w:val="16"/>
          <w:u w:val="single" w:color="auto"/>
          <w:color w:val="auto"/>
        </w:rPr>
        <w:t>Schedule 7.01</w:t>
      </w:r>
      <w:r>
        <w:rPr>
          <w:rFonts w:ascii="Arial" w:cs="Arial" w:eastAsia="Arial" w:hAnsi="Arial"/>
          <w:sz w:val="16"/>
          <w:szCs w:val="16"/>
          <w:color w:val="auto"/>
        </w:rPr>
        <w:t>, with perfection, in the case of any investment property, deposit account or letter of credit, being effected by giving Administrative Agent control of such investment property or deposit account or letter of credit, rather than by the filing of a Uniform Commercial Code (“</w:t>
      </w:r>
      <w:r>
        <w:rPr>
          <w:rFonts w:ascii="Arial" w:cs="Arial" w:eastAsia="Arial" w:hAnsi="Arial"/>
          <w:sz w:val="16"/>
          <w:szCs w:val="16"/>
          <w:u w:val="single" w:color="auto"/>
          <w:color w:val="auto"/>
        </w:rPr>
        <w:t>UCC</w:t>
      </w:r>
      <w:r>
        <w:rPr>
          <w:rFonts w:ascii="Arial" w:cs="Arial" w:eastAsia="Arial" w:hAnsi="Arial"/>
          <w:sz w:val="16"/>
          <w:szCs w:val="16"/>
          <w:color w:val="auto"/>
        </w:rPr>
        <w:t>”) financing statement with respect to such investment property, and (c) do whatever Administrative Agent may reasonably request, from time to time, to effect the purposes of this Agreement and other Loan Documents, including filing notices of liens, UCC financing statements, fixture filings and amendments, renewals and continuations thereof; cooperating with Administrative Agent’s representatives; keeping stock records; using reasonable efforts to obtain waivers from landlords and mortgagees and from warehousemen and their landlords and mortgagees; and paying claims which might, if unpaid, become a lien on the Collateral, Administrative Agent is hereby authorized by Borrower to file any UCC financing statements covering the Collateral whether or not Borrower’s signatures appear thereon.</w:t>
      </w:r>
    </w:p>
    <w:p>
      <w:pPr>
        <w:spacing w:after="0" w:line="161" w:lineRule="exact"/>
        <w:rPr>
          <w:sz w:val="20"/>
          <w:szCs w:val="20"/>
          <w:color w:val="auto"/>
        </w:rPr>
      </w:pPr>
    </w:p>
    <w:p>
      <w:pPr>
        <w:jc w:val="both"/>
        <w:ind w:right="500" w:firstLine="648"/>
        <w:spacing w:after="0" w:line="266" w:lineRule="auto"/>
        <w:rPr>
          <w:sz w:val="20"/>
          <w:szCs w:val="20"/>
          <w:color w:val="auto"/>
        </w:rPr>
      </w:pPr>
      <w:r>
        <w:rPr>
          <w:rFonts w:ascii="Arial" w:cs="Arial" w:eastAsia="Arial" w:hAnsi="Arial"/>
          <w:sz w:val="18"/>
          <w:szCs w:val="18"/>
          <w:b w:val="1"/>
          <w:bCs w:val="1"/>
          <w:color w:val="auto"/>
        </w:rPr>
        <w:t xml:space="preserve">6.16 </w:t>
      </w:r>
      <w:r>
        <w:rPr>
          <w:rFonts w:ascii="Arial" w:cs="Arial" w:eastAsia="Arial" w:hAnsi="Arial"/>
          <w:sz w:val="18"/>
          <w:szCs w:val="18"/>
          <w:b w:val="1"/>
          <w:bCs w:val="1"/>
          <w:u w:val="single" w:color="auto"/>
          <w:color w:val="auto"/>
        </w:rPr>
        <w:t>Deposits</w:t>
      </w:r>
      <w:r>
        <w:rPr>
          <w:rFonts w:ascii="Arial" w:cs="Arial" w:eastAsia="Arial" w:hAnsi="Arial"/>
          <w:sz w:val="18"/>
          <w:szCs w:val="18"/>
          <w:color w:val="auto"/>
        </w:rPr>
        <w:t>. Maintain its primary deposit relationship, including, without limitation, operating accounts bearing interest at competitive,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rates and cash management services, with the Administrative Agent, such services to be provided at reasonable, competitive market costs to the Borrower and its Subsidiaries.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 long as any Lender shall have any Commitment hereunder, any Loan or other Obligation hereunder shall remain unpaid or unsatisfied, or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 shall remain outstanding, Borrower shall not, nor shall it permit any Subsidiary to, directly or indirectly:</w:t>
      </w:r>
    </w:p>
    <w:p>
      <w:pPr>
        <w:spacing w:after="0" w:line="207"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b w:val="1"/>
          <w:bCs w:val="1"/>
          <w:color w:val="auto"/>
        </w:rPr>
        <w:t xml:space="preserve">7.01 </w:t>
      </w:r>
      <w:r>
        <w:rPr>
          <w:rFonts w:ascii="Arial" w:cs="Arial" w:eastAsia="Arial" w:hAnsi="Arial"/>
          <w:sz w:val="18"/>
          <w:szCs w:val="18"/>
          <w:b w:val="1"/>
          <w:bCs w:val="1"/>
          <w:u w:val="single" w:color="auto"/>
          <w:color w:val="auto"/>
        </w:rPr>
        <w:t>Liens</w:t>
      </w:r>
      <w:r>
        <w:rPr>
          <w:rFonts w:ascii="Arial" w:cs="Arial" w:eastAsia="Arial" w:hAnsi="Arial"/>
          <w:sz w:val="18"/>
          <w:szCs w:val="18"/>
          <w:color w:val="auto"/>
        </w:rPr>
        <w:t>. Create, incur, assume or suffer to exist any Lien upon any of its property, assets or revenues, whether now owned or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other than the following:</w:t>
      </w:r>
    </w:p>
    <w:p>
      <w:pPr>
        <w:spacing w:after="0" w:line="166"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225" w:lineRule="exact"/>
        <w:rPr>
          <w:rFonts w:ascii="Arial" w:cs="Arial" w:eastAsia="Arial" w:hAnsi="Arial"/>
          <w:sz w:val="18"/>
          <w:szCs w:val="18"/>
          <w:color w:val="auto"/>
        </w:rPr>
      </w:pPr>
    </w:p>
    <w:p>
      <w:pPr>
        <w:ind w:left="5620" w:right="4220" w:hanging="4964"/>
        <w:spacing w:after="0" w:line="528" w:lineRule="auto"/>
        <w:tabs>
          <w:tab w:leader="none" w:pos="130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any renewals or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extensions thereof,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the property covered thereby is not changed, (ii) the amount secured or benefited thereby is not increased except as expressly contemplated by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(iii) the direct or any contingent obligor with respect thereto is not changed, and (iv) and any renewal or extension of the obligations secured or benefited thereby is permitted by </w:t>
      </w:r>
      <w:r>
        <w:rPr>
          <w:rFonts w:ascii="Arial" w:cs="Arial" w:eastAsia="Arial" w:hAnsi="Arial"/>
          <w:sz w:val="18"/>
          <w:szCs w:val="18"/>
          <w:u w:val="single" w:color="auto"/>
          <w:color w:val="auto"/>
        </w:rPr>
        <w:t>Section 7.03(b)</w:t>
      </w:r>
      <w:r>
        <w:rPr>
          <w:rFonts w:ascii="Arial" w:cs="Arial" w:eastAsia="Arial" w:hAnsi="Arial"/>
          <w:sz w:val="18"/>
          <w:szCs w:val="18"/>
          <w:color w:val="auto"/>
        </w:rPr>
        <w:t>;</w:t>
      </w:r>
    </w:p>
    <w:p>
      <w:pPr>
        <w:spacing w:after="0" w:line="181" w:lineRule="exact"/>
        <w:rPr>
          <w:sz w:val="20"/>
          <w:szCs w:val="20"/>
          <w:color w:val="auto"/>
        </w:rPr>
      </w:pPr>
    </w:p>
    <w:p>
      <w:pPr>
        <w:ind w:right="380" w:firstLine="656"/>
        <w:spacing w:after="0" w:line="277" w:lineRule="auto"/>
        <w:tabs>
          <w:tab w:leader="none" w:pos="13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70" w:lineRule="exact"/>
        <w:rPr>
          <w:rFonts w:ascii="Arial" w:cs="Arial" w:eastAsia="Arial" w:hAnsi="Arial"/>
          <w:sz w:val="18"/>
          <w:szCs w:val="18"/>
          <w:color w:val="auto"/>
        </w:rPr>
      </w:pPr>
    </w:p>
    <w:p>
      <w:pPr>
        <w:ind w:right="120" w:firstLine="656"/>
        <w:spacing w:after="0" w:line="264" w:lineRule="auto"/>
        <w:tabs>
          <w:tab w:leader="none" w:pos="130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181" w:lineRule="exact"/>
        <w:rPr>
          <w:rFonts w:ascii="Arial" w:cs="Arial" w:eastAsia="Arial" w:hAnsi="Arial"/>
          <w:sz w:val="18"/>
          <w:szCs w:val="18"/>
          <w:color w:val="auto"/>
        </w:rPr>
      </w:pPr>
    </w:p>
    <w:p>
      <w:pPr>
        <w:ind w:right="40" w:firstLine="656"/>
        <w:spacing w:after="0" w:line="277" w:lineRule="auto"/>
        <w:tabs>
          <w:tab w:leader="none" w:pos="13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170" w:lineRule="exact"/>
        <w:rPr>
          <w:rFonts w:ascii="Arial" w:cs="Arial" w:eastAsia="Arial" w:hAnsi="Arial"/>
          <w:sz w:val="18"/>
          <w:szCs w:val="18"/>
          <w:color w:val="auto"/>
        </w:rPr>
      </w:pPr>
    </w:p>
    <w:p>
      <w:pPr>
        <w:ind w:right="340" w:firstLine="656"/>
        <w:spacing w:after="0" w:line="277" w:lineRule="auto"/>
        <w:tabs>
          <w:tab w:leader="none" w:pos="130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70" w:lineRule="exact"/>
        <w:rPr>
          <w:rFonts w:ascii="Arial" w:cs="Arial" w:eastAsia="Arial" w:hAnsi="Arial"/>
          <w:sz w:val="18"/>
          <w:szCs w:val="18"/>
          <w:color w:val="auto"/>
        </w:rPr>
      </w:pPr>
    </w:p>
    <w:p>
      <w:pPr>
        <w:jc w:val="both"/>
        <w:ind w:right="80" w:firstLine="656"/>
        <w:spacing w:after="0" w:line="264" w:lineRule="auto"/>
        <w:tabs>
          <w:tab w:leader="none" w:pos="13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ectPr>
          <w:pgSz w:w="11900" w:h="16838" w:orient="portrait"/>
          <w:cols w:equalWidth="0" w:num="1">
            <w:col w:w="11400"/>
          </w:cols>
          <w:pgMar w:left="240" w:top="125" w:right="259" w:bottom="0" w:gutter="0" w:footer="0" w:header="0"/>
        </w:sectPr>
      </w:pPr>
    </w:p>
    <w:bookmarkStart w:id="67" w:name="page68"/>
    <w:bookmarkEnd w:id="67"/>
    <w:p>
      <w:pPr>
        <w:jc w:val="both"/>
        <w:ind w:right="160" w:firstLine="656"/>
        <w:spacing w:after="0" w:line="264" w:lineRule="auto"/>
        <w:tabs>
          <w:tab w:leader="none" w:pos="13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81" w:lineRule="exact"/>
        <w:rPr>
          <w:rFonts w:ascii="Arial" w:cs="Arial" w:eastAsia="Arial" w:hAnsi="Arial"/>
          <w:sz w:val="18"/>
          <w:szCs w:val="18"/>
          <w:color w:val="auto"/>
        </w:rPr>
      </w:pPr>
    </w:p>
    <w:p>
      <w:pPr>
        <w:ind w:right="180" w:firstLine="656"/>
        <w:spacing w:after="0" w:line="277" w:lineRule="auto"/>
        <w:tabs>
          <w:tab w:leader="none" w:pos="13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existing solely with respect to cash or deposit account balances used to Cash Collateralize obligations of a Lender to the L/C Issuer, in accordance with the terms, conditions, and provisions of </w:t>
      </w:r>
      <w:r>
        <w:rPr>
          <w:rFonts w:ascii="Arial" w:cs="Arial" w:eastAsia="Arial" w:hAnsi="Arial"/>
          <w:sz w:val="18"/>
          <w:szCs w:val="18"/>
          <w:u w:val="single" w:color="auto"/>
          <w:color w:val="auto"/>
        </w:rPr>
        <w:t>Section 2.03(a)(iii)(E)</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7.03(g)</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u w:val="single" w:color="auto"/>
          <w:color w:val="auto"/>
        </w:rPr>
        <w:t xml:space="preserve">Investments </w:t>
      </w:r>
      <w:r>
        <w:rPr>
          <w:rFonts w:ascii="Arial" w:cs="Arial" w:eastAsia="Arial" w:hAnsi="Arial"/>
          <w:sz w:val="16"/>
          <w:szCs w:val="16"/>
          <w:color w:val="auto"/>
        </w:rPr>
        <w:t>Make any Investments, except:</w:t>
      </w:r>
    </w:p>
    <w:p>
      <w:pPr>
        <w:spacing w:after="0" w:line="229"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held by Borrower or such Subsidiary in the form of cash equivalents or short-term marketable debt securities;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loans to officers, directors and employees of Borrower and Subsidiaries in an aggregate amount not to exceed $500,000.00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outstanding;</w:t>
      </w:r>
    </w:p>
    <w:p>
      <w:pPr>
        <w:spacing w:after="0" w:line="210" w:lineRule="exact"/>
        <w:rPr>
          <w:rFonts w:ascii="Arial" w:cs="Arial" w:eastAsia="Arial" w:hAnsi="Arial"/>
          <w:sz w:val="16"/>
          <w:szCs w:val="16"/>
          <w:color w:val="auto"/>
        </w:rPr>
      </w:pPr>
    </w:p>
    <w:p>
      <w:pPr>
        <w:ind w:right="60" w:firstLine="656"/>
        <w:spacing w:after="0" w:line="277" w:lineRule="auto"/>
        <w:tabs>
          <w:tab w:leader="none" w:pos="130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Investments (i) of Borrower in any Wholly-Owned Subsidiary, (ii) of Borrower or any Wholly-Owned Subsidiary in other Subsidiaries, not to exceed $4,000,000.00 in the aggregate in any 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month period, and (iii) of any Wholly-Owned Subsidiary in Borrower or in another Wholly-Owned Subsidiary;</w:t>
      </w:r>
    </w:p>
    <w:p>
      <w:pPr>
        <w:spacing w:after="0" w:line="225" w:lineRule="exact"/>
        <w:rPr>
          <w:sz w:val="20"/>
          <w:szCs w:val="20"/>
          <w:color w:val="auto"/>
        </w:rPr>
      </w:pPr>
    </w:p>
    <w:p>
      <w:pPr>
        <w:ind w:right="880" w:firstLine="656"/>
        <w:spacing w:after="0" w:line="277" w:lineRule="auto"/>
        <w:tabs>
          <w:tab w:leader="none" w:pos="13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of Borrower or its Subsidiaries for strategic purposes in non-Subsidiary joint ventures, not to exceed $4,000,000.00 individually in any 12-month period;</w:t>
      </w:r>
    </w:p>
    <w:p>
      <w:pPr>
        <w:spacing w:after="0" w:line="170" w:lineRule="exact"/>
        <w:rPr>
          <w:rFonts w:ascii="Arial" w:cs="Arial" w:eastAsia="Arial" w:hAnsi="Arial"/>
          <w:sz w:val="18"/>
          <w:szCs w:val="18"/>
          <w:color w:val="auto"/>
        </w:rPr>
      </w:pPr>
    </w:p>
    <w:p>
      <w:pPr>
        <w:ind w:right="140" w:firstLine="656"/>
        <w:spacing w:after="0" w:line="264" w:lineRule="auto"/>
        <w:tabs>
          <w:tab w:leader="none" w:pos="130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1" w:lineRule="exact"/>
        <w:rPr>
          <w:rFonts w:ascii="Arial" w:cs="Arial" w:eastAsia="Arial" w:hAnsi="Arial"/>
          <w:sz w:val="18"/>
          <w:szCs w:val="18"/>
          <w:color w:val="auto"/>
        </w:rPr>
      </w:pPr>
    </w:p>
    <w:p>
      <w:pPr>
        <w:ind w:right="120" w:firstLine="656"/>
        <w:spacing w:after="0" w:line="312" w:lineRule="auto"/>
        <w:tabs>
          <w:tab w:leader="none" w:pos="13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purchase or other acquisition of all or substantially all of the Equity Interests in, or all or substantially all of the assets of, any Person that, upon the consummation thereof, will be wholly-owned directly by the Borrower or one or more of its Wholly-Owned Subsidiaries (including as a result of a merger or consolidation);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with respect to each purchase or other acquisition made pursuant to this </w:t>
      </w:r>
      <w:r>
        <w:rPr>
          <w:rFonts w:ascii="Arial" w:cs="Arial" w:eastAsia="Arial" w:hAnsi="Arial"/>
          <w:sz w:val="16"/>
          <w:szCs w:val="16"/>
          <w:u w:val="single" w:color="auto"/>
          <w:color w:val="auto"/>
        </w:rPr>
        <w:t>Section 7.02(f)</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1980" w:hanging="675"/>
        <w:spacing w:after="0"/>
        <w:tabs>
          <w:tab w:leader="none" w:pos="1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any such newly-created or acquired Subsidiary shall comply with the requirements of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580" w:firstLine="645"/>
        <w:spacing w:after="0" w:line="342" w:lineRule="auto"/>
        <w:tabs>
          <w:tab w:leader="none" w:pos="198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lines of business of the Person to be (or the property of which is to be) so purchased or otherwise acquired shall be substantially the same lines of business as one or more of the principal businesses of the Borrower and its Subsidiaries in the ordinary course;</w:t>
      </w:r>
    </w:p>
    <w:p>
      <w:pPr>
        <w:spacing w:after="0" w:line="123" w:lineRule="exact"/>
        <w:rPr>
          <w:rFonts w:ascii="Arial" w:cs="Arial" w:eastAsia="Arial" w:hAnsi="Arial"/>
          <w:sz w:val="16"/>
          <w:szCs w:val="16"/>
          <w:color w:val="auto"/>
        </w:rPr>
      </w:pPr>
    </w:p>
    <w:p>
      <w:pPr>
        <w:ind w:left="660" w:right="60" w:firstLine="645"/>
        <w:spacing w:after="0" w:line="255" w:lineRule="auto"/>
        <w:tabs>
          <w:tab w:leader="none" w:pos="199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 immediately before and immediately after giving pro forma effect to any such purchase or other acquisition, no Default shall have occurred and be continuing and (B) immediately after giving effect to such purchase or other acquisition, the Borrower and its Subsidiaries shall be in pro forma compliance with all of the covenants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such compliance to be evidenced by the Borrower to the reasonable satisfaction of the Administrative Agent and the Required Lenders on the basis of the financial information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though such purchase or other acquisition had been consummated as of the first day of the fiscal period covered thereby; and</w:t>
      </w:r>
    </w:p>
    <w:p>
      <w:pPr>
        <w:spacing w:after="0" w:line="193" w:lineRule="exact"/>
        <w:rPr>
          <w:rFonts w:ascii="Arial" w:cs="Arial" w:eastAsia="Arial" w:hAnsi="Arial"/>
          <w:sz w:val="18"/>
          <w:szCs w:val="18"/>
          <w:color w:val="auto"/>
        </w:rPr>
      </w:pPr>
    </w:p>
    <w:p>
      <w:pPr>
        <w:ind w:left="660" w:right="160" w:firstLine="645"/>
        <w:spacing w:after="0" w:line="279" w:lineRule="auto"/>
        <w:tabs>
          <w:tab w:leader="none" w:pos="197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 the event the total cash and noncash consideration paid by or on behalf of the Borrower and its Subsidiaries for any such purchase or other acquisition exceeds $10,000,000.00, the Borrower shall have delivered to the Administrative Agent, at least five Business Days prior to the date on which any such purchase or other acquisition is to be consummated, written notice of such purchase or other acquisition, and, if requested by the Administrative Agent, all material purchase or acquisition documents related thereto; and</w:t>
      </w:r>
    </w:p>
    <w:p>
      <w:pPr>
        <w:spacing w:after="0" w:line="171" w:lineRule="exact"/>
        <w:rPr>
          <w:rFonts w:ascii="Arial" w:cs="Arial" w:eastAsia="Arial" w:hAnsi="Arial"/>
          <w:sz w:val="17"/>
          <w:szCs w:val="17"/>
          <w:color w:val="auto"/>
        </w:rPr>
      </w:pPr>
    </w:p>
    <w:p>
      <w:pPr>
        <w:ind w:left="1320" w:hanging="664"/>
        <w:spacing w:after="0"/>
        <w:tabs>
          <w:tab w:leader="none" w:pos="13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6"/>
          <w:szCs w:val="16"/>
          <w:b w:val="1"/>
          <w:bCs w:val="1"/>
          <w:u w:val="single" w:color="auto"/>
          <w:color w:val="auto"/>
        </w:rPr>
        <w:t>Indebtedness</w:t>
      </w:r>
      <w:r>
        <w:rPr>
          <w:rFonts w:ascii="Arial" w:cs="Arial" w:eastAsia="Arial" w:hAnsi="Arial"/>
          <w:sz w:val="16"/>
          <w:szCs w:val="16"/>
          <w:color w:val="auto"/>
        </w:rPr>
        <w:t>. Create, incur, assume or suffer to exist any indebtedness, except the following:</w:t>
      </w:r>
    </w:p>
    <w:p>
      <w:pPr>
        <w:spacing w:after="0" w:line="229"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225" w:lineRule="exact"/>
        <w:rPr>
          <w:rFonts w:ascii="Arial" w:cs="Arial" w:eastAsia="Arial" w:hAnsi="Arial"/>
          <w:sz w:val="18"/>
          <w:szCs w:val="18"/>
          <w:color w:val="auto"/>
        </w:rPr>
      </w:pPr>
    </w:p>
    <w:p>
      <w:pPr>
        <w:ind w:right="80" w:firstLine="656"/>
        <w:spacing w:after="0" w:line="259" w:lineRule="auto"/>
        <w:tabs>
          <w:tab w:leader="none" w:pos="130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Indebtedness outstanding on the date hereof and listed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and any refinancings, refundings, renewals or extensions thereof;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commitments unutilized thereunder and (ii) the terms relating to principal amount, amortization, maturity, collateral (if any) and subordination (if any), and other material terms taken as a whole, of any such refinancing, refunding, renewing or extending of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73" w:lineRule="exact"/>
        <w:rPr>
          <w:sz w:val="20"/>
          <w:szCs w:val="20"/>
          <w:color w:val="auto"/>
        </w:rPr>
      </w:pPr>
    </w:p>
    <w:p>
      <w:pPr>
        <w:ind w:left="1320" w:hanging="664"/>
        <w:spacing w:after="0"/>
        <w:tabs>
          <w:tab w:leader="none" w:pos="13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Guarantees of Borrower or any Subsidiary in respect of Indebtedness otherwise permitted hereunder of Borrower or any Subsidiary;</w:t>
      </w:r>
    </w:p>
    <w:p>
      <w:pPr>
        <w:sectPr>
          <w:pgSz w:w="11900" w:h="16838" w:orient="portrait"/>
          <w:cols w:equalWidth="0" w:num="1">
            <w:col w:w="11420"/>
          </w:cols>
          <w:pgMar w:left="240" w:top="125" w:right="239" w:bottom="0" w:gutter="0" w:footer="0" w:header="0"/>
        </w:sectPr>
      </w:pPr>
    </w:p>
    <w:bookmarkStart w:id="68" w:name="page69"/>
    <w:bookmarkEnd w:id="68"/>
    <w:p>
      <w:pPr>
        <w:ind w:right="20" w:firstLine="656"/>
        <w:spacing w:after="0" w:line="276" w:lineRule="auto"/>
        <w:tabs>
          <w:tab w:leader="none" w:pos="130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obligations (contingent or otherwise) of Borrower or any Subsidiary existing or arising under any Swap Contract,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72" w:lineRule="exact"/>
        <w:rPr>
          <w:rFonts w:ascii="Arial" w:cs="Arial" w:eastAsia="Arial" w:hAnsi="Arial"/>
          <w:sz w:val="17"/>
          <w:szCs w:val="17"/>
          <w:color w:val="auto"/>
        </w:rPr>
      </w:pPr>
    </w:p>
    <w:p>
      <w:pPr>
        <w:ind w:right="60" w:firstLine="656"/>
        <w:spacing w:after="0" w:line="264" w:lineRule="auto"/>
        <w:tabs>
          <w:tab w:leader="none" w:pos="130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Indebtedness in respect of capital leases, Synthetic Lease Obligations and purchase money obligations for fixed or capital assets within the limitations set forth in </w:t>
      </w:r>
      <w:r>
        <w:rPr>
          <w:rFonts w:ascii="Arial" w:cs="Arial" w:eastAsia="Arial" w:hAnsi="Arial"/>
          <w:sz w:val="18"/>
          <w:szCs w:val="18"/>
          <w:u w:val="single" w:color="auto"/>
          <w:color w:val="auto"/>
        </w:rPr>
        <w:t>Section 7.01(i)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amount of all such Indebtedness at any one time outstanding shall not exceed $35,000,000.00;</w:t>
      </w:r>
    </w:p>
    <w:p>
      <w:pPr>
        <w:spacing w:after="0" w:line="181" w:lineRule="exact"/>
        <w:rPr>
          <w:rFonts w:ascii="Arial" w:cs="Arial" w:eastAsia="Arial" w:hAnsi="Arial"/>
          <w:sz w:val="18"/>
          <w:szCs w:val="18"/>
          <w:color w:val="auto"/>
        </w:rPr>
      </w:pPr>
    </w:p>
    <w:p>
      <w:pPr>
        <w:ind w:firstLine="656"/>
        <w:spacing w:after="0" w:line="270" w:lineRule="auto"/>
        <w:tabs>
          <w:tab w:leader="none" w:pos="130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 Indebtedness assumed in connection with acquisitions permitted under this Agreement or (ii) Indebtedness incurred in connection with the payment of the purchase price for acquisitions permitted under this Agreement, which Indebtedness is unsecured and has been subordinated to the payment of the Obligations on terms approved by the Administrative Agent in writing, or is otherwise approved by the Administrative Agent in writing;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case of each of the foregoing </w:t>
      </w:r>
      <w:r>
        <w:rPr>
          <w:rFonts w:ascii="Arial" w:cs="Arial" w:eastAsia="Arial" w:hAnsi="Arial"/>
          <w:sz w:val="17"/>
          <w:szCs w:val="17"/>
          <w:u w:val="single" w:color="auto"/>
          <w:color w:val="auto"/>
        </w:rPr>
        <w:t>clauses (i) and (ii)</w:t>
      </w:r>
      <w:r>
        <w:rPr>
          <w:rFonts w:ascii="Arial" w:cs="Arial" w:eastAsia="Arial" w:hAnsi="Arial"/>
          <w:sz w:val="17"/>
          <w:szCs w:val="17"/>
          <w:color w:val="auto"/>
        </w:rPr>
        <w:t xml:space="preserve">, (A) immediately before and immediately after giving pro forma effect to any such incurrence of Indebtedness, no Default shall have occurred and be continuing and (B) immediately after giving effect to such incurrence of Indebtedness, the Borrower and its Subsidiaries shall be in pro forma compliance with all of the covenants set forth in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such compliance to be evidenced by the Borrower to the reasonable satisfaction of the Administrative Agent and the Required Lenders on the basis of the financial information most recently delivered to the Administrative Agent and the Lenders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though such purchase or other acquisition had been consummated as of the first day of the fiscal period covered thereby; and</w:t>
      </w:r>
    </w:p>
    <w:p>
      <w:pPr>
        <w:spacing w:after="0" w:line="181" w:lineRule="exact"/>
        <w:rPr>
          <w:rFonts w:ascii="Arial" w:cs="Arial" w:eastAsia="Arial" w:hAnsi="Arial"/>
          <w:sz w:val="17"/>
          <w:szCs w:val="17"/>
          <w:color w:val="auto"/>
        </w:rPr>
      </w:pPr>
    </w:p>
    <w:p>
      <w:pPr>
        <w:ind w:right="140" w:firstLine="656"/>
        <w:spacing w:after="0" w:line="277" w:lineRule="auto"/>
        <w:tabs>
          <w:tab w:leader="none" w:pos="13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Indebtedness in respect of mortgages and other Indebtedness not otherwise permitted under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amount of all such Indebtedness at any one time outstanding shall not exceed $5,000,000.00.</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7.04 </w:t>
      </w:r>
      <w:r>
        <w:rPr>
          <w:rFonts w:ascii="Arial" w:cs="Arial" w:eastAsia="Arial" w:hAnsi="Arial"/>
          <w:sz w:val="18"/>
          <w:szCs w:val="18"/>
          <w:b w:val="1"/>
          <w:bCs w:val="1"/>
          <w:u w:val="single" w:color="auto"/>
          <w:color w:val="auto"/>
        </w:rPr>
        <w:t>Fundamental Changes</w:t>
      </w:r>
      <w:r>
        <w:rPr>
          <w:rFonts w:ascii="Arial" w:cs="Arial" w:eastAsia="Arial" w:hAnsi="Arial"/>
          <w:sz w:val="18"/>
          <w:szCs w:val="18"/>
          <w:color w:val="auto"/>
        </w:rPr>
        <w:t>. Merge, dissolve, liquidate, consolidate with or into another Person, or Dispose of (whether in one transaction or in</w:t>
      </w:r>
      <w:r>
        <w:rPr>
          <w:rFonts w:ascii="Arial" w:cs="Arial" w:eastAsia="Arial" w:hAnsi="Arial"/>
          <w:sz w:val="18"/>
          <w:szCs w:val="18"/>
          <w:b w:val="1"/>
          <w:bCs w:val="1"/>
          <w:color w:val="auto"/>
        </w:rPr>
        <w:t xml:space="preserve"> </w:t>
      </w:r>
      <w:r>
        <w:rPr>
          <w:rFonts w:ascii="Arial" w:cs="Arial" w:eastAsia="Arial" w:hAnsi="Arial"/>
          <w:sz w:val="18"/>
          <w:szCs w:val="18"/>
          <w:color w:val="auto"/>
        </w:rPr>
        <w:t>a series of transactions) all or substantially all of its assets (whether now owned or hereafter acquired) to or in favor of any Person, except that, so long as no Default exists or would result therefrom:</w:t>
      </w:r>
    </w:p>
    <w:p>
      <w:pPr>
        <w:spacing w:after="0" w:line="180" w:lineRule="exact"/>
        <w:rPr>
          <w:sz w:val="20"/>
          <w:szCs w:val="20"/>
          <w:color w:val="auto"/>
        </w:rPr>
      </w:pPr>
    </w:p>
    <w:p>
      <w:pPr>
        <w:ind w:right="200" w:firstLine="656"/>
        <w:spacing w:after="0" w:line="264" w:lineRule="auto"/>
        <w:tabs>
          <w:tab w:leader="none" w:pos="129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any Subsidiary may merge with (i) Borrower,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Borrower shall be the continuing or surviving Person, or (ii) any one or more other Subsidiaries,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when any Majority-Owned Subsidiary is merging with another Subsidiary, the Majority-Owned Subsidiary shall be the continuing or surviving Person, and </w:t>
      </w:r>
      <w:r>
        <w:rPr>
          <w:rFonts w:ascii="Arial" w:cs="Arial" w:eastAsia="Arial" w:hAnsi="Arial"/>
          <w:sz w:val="18"/>
          <w:szCs w:val="18"/>
          <w:u w:val="single" w:color="auto"/>
          <w:color w:val="auto"/>
        </w:rPr>
        <w:t>provided further that</w:t>
      </w:r>
      <w:r>
        <w:rPr>
          <w:rFonts w:ascii="Arial" w:cs="Arial" w:eastAsia="Arial" w:hAnsi="Arial"/>
          <w:sz w:val="18"/>
          <w:szCs w:val="18"/>
          <w:color w:val="auto"/>
        </w:rPr>
        <w:t xml:space="preserve"> if a Guarantor is merging with another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Subsidiary, the Guarantor shall be the surviving Person; and</w:t>
      </w:r>
    </w:p>
    <w:p>
      <w:pPr>
        <w:spacing w:after="0" w:line="225" w:lineRule="exact"/>
        <w:rPr>
          <w:sz w:val="20"/>
          <w:szCs w:val="20"/>
          <w:color w:val="auto"/>
        </w:rPr>
      </w:pPr>
    </w:p>
    <w:p>
      <w:pPr>
        <w:ind w:right="220" w:firstLine="656"/>
        <w:spacing w:after="0" w:line="312" w:lineRule="auto"/>
        <w:tabs>
          <w:tab w:leader="none" w:pos="130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any Subsidiary may Dispose of all or substantially all of its assets (upon voluntary liquidation or otherwise) to Borrower or to another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the transferor in such a transaction is a Majority-Owned Subsidiary, then the transferee must either be Borrower or a Majority-Owned Subsidiary and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if the transferor of such assets is a Guarantor, the transferee must either be Borrower or a Guarantor.</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6"/>
          <w:szCs w:val="16"/>
          <w:b w:val="1"/>
          <w:bCs w:val="1"/>
          <w:u w:val="single" w:color="auto"/>
          <w:color w:val="auto"/>
        </w:rPr>
        <w:t>Dispositions</w:t>
      </w:r>
      <w:r>
        <w:rPr>
          <w:rFonts w:ascii="Arial" w:cs="Arial" w:eastAsia="Arial" w:hAnsi="Arial"/>
          <w:sz w:val="16"/>
          <w:szCs w:val="16"/>
          <w:color w:val="auto"/>
        </w:rPr>
        <w:t>. Make any Disposition or enter into any agreement to make any Disposition, except:</w:t>
      </w:r>
    </w:p>
    <w:p>
      <w:pPr>
        <w:spacing w:after="0" w:line="229"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Dispositions of obsolete or worn out property or equipment, whether now owned or hereafter acquired, in the ordinary course of business;</w:t>
      </w:r>
    </w:p>
    <w:p>
      <w:pPr>
        <w:spacing w:after="0" w:line="248" w:lineRule="exact"/>
        <w:rPr>
          <w:rFonts w:ascii="Arial" w:cs="Arial" w:eastAsia="Arial" w:hAnsi="Arial"/>
          <w:sz w:val="16"/>
          <w:szCs w:val="16"/>
          <w:color w:val="auto"/>
        </w:rPr>
      </w:pPr>
    </w:p>
    <w:p>
      <w:pPr>
        <w:ind w:left="1320" w:hanging="664"/>
        <w:spacing w:after="0"/>
        <w:tabs>
          <w:tab w:leader="none" w:pos="1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225" w:lineRule="exact"/>
        <w:rPr>
          <w:rFonts w:ascii="Arial" w:cs="Arial" w:eastAsia="Arial" w:hAnsi="Arial"/>
          <w:sz w:val="18"/>
          <w:szCs w:val="18"/>
          <w:color w:val="auto"/>
        </w:rPr>
      </w:pPr>
    </w:p>
    <w:p>
      <w:pPr>
        <w:ind w:right="240" w:firstLine="656"/>
        <w:spacing w:after="0" w:line="342" w:lineRule="auto"/>
        <w:tabs>
          <w:tab w:leader="none" w:pos="130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spacing w:after="0" w:line="123" w:lineRule="exact"/>
        <w:rPr>
          <w:rFonts w:ascii="Arial" w:cs="Arial" w:eastAsia="Arial" w:hAnsi="Arial"/>
          <w:sz w:val="16"/>
          <w:szCs w:val="16"/>
          <w:color w:val="auto"/>
        </w:rPr>
      </w:pPr>
    </w:p>
    <w:p>
      <w:pPr>
        <w:ind w:right="20" w:firstLine="656"/>
        <w:spacing w:after="0" w:line="277" w:lineRule="auto"/>
        <w:tabs>
          <w:tab w:leader="none" w:pos="130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Dispositions of property by any Subsidiary to Borrower or to a Majority-Owned Subsidiary; provided that if the transferor of such property is a Guarantor, the transferee thereof must either be Borrower or a Guarantor;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Dispositions of up to $500,000.00 individually or in a series of related Dispositions;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Disposition pursuant to </w:t>
      </w:r>
      <w:r>
        <w:rPr>
          <w:rFonts w:ascii="Arial" w:cs="Arial" w:eastAsia="Arial" w:hAnsi="Arial"/>
          <w:sz w:val="18"/>
          <w:szCs w:val="18"/>
          <w:u w:val="single" w:color="auto"/>
          <w:color w:val="auto"/>
        </w:rPr>
        <w:t>clauses (a) through (e)</w:t>
      </w:r>
      <w:r>
        <w:rPr>
          <w:rFonts w:ascii="Arial" w:cs="Arial" w:eastAsia="Arial" w:hAnsi="Arial"/>
          <w:sz w:val="18"/>
          <w:szCs w:val="18"/>
          <w:color w:val="auto"/>
        </w:rPr>
        <w:t xml:space="preserve"> shall be for fair market value.</w:t>
      </w:r>
    </w:p>
    <w:p>
      <w:pPr>
        <w:spacing w:after="0" w:line="221"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7.06 </w:t>
      </w:r>
      <w:r>
        <w:rPr>
          <w:rFonts w:ascii="Arial" w:cs="Arial" w:eastAsia="Arial" w:hAnsi="Arial"/>
          <w:sz w:val="16"/>
          <w:szCs w:val="16"/>
          <w:b w:val="1"/>
          <w:bCs w:val="1"/>
          <w:u w:val="single" w:color="auto"/>
          <w:color w:val="auto"/>
        </w:rPr>
        <w:t>Restricted Payments</w:t>
      </w:r>
      <w:r>
        <w:rPr>
          <w:rFonts w:ascii="Arial" w:cs="Arial" w:eastAsia="Arial" w:hAnsi="Arial"/>
          <w:sz w:val="16"/>
          <w:szCs w:val="16"/>
          <w:color w:val="auto"/>
        </w:rPr>
        <w:t>. Declare or make, directly or indirectly, any Restricted Payment, or incur any obligation (contingent or otherwise) to</w:t>
      </w:r>
      <w:r>
        <w:rPr>
          <w:rFonts w:ascii="Arial" w:cs="Arial" w:eastAsia="Arial" w:hAnsi="Arial"/>
          <w:sz w:val="16"/>
          <w:szCs w:val="16"/>
          <w:b w:val="1"/>
          <w:bCs w:val="1"/>
          <w:color w:val="auto"/>
        </w:rPr>
        <w:t xml:space="preserve"> </w:t>
      </w:r>
      <w:r>
        <w:rPr>
          <w:rFonts w:ascii="Arial" w:cs="Arial" w:eastAsia="Arial" w:hAnsi="Arial"/>
          <w:sz w:val="16"/>
          <w:szCs w:val="16"/>
          <w:color w:val="auto"/>
        </w:rPr>
        <w:t>do so, or issue or sell any Equity Interests (other than Equity Interests in the Borrower, which may be issued or sold without restriction hereunder), except that, so long as no Default shall exist at the time of any action described below or would result therefrom, the Borrower and its Subsidiaries may declare or make any Restricted Payment so long as the Funded Debt Leverage Ratio, calculated on a pro forma basis to include said Restricted Payment, does not exceed 2.5 -to- 1.0, such calculation to be evidenced by the Borrower to the reasonable satisfaction of the Administrative Agent and the Required Lenders.</w:t>
      </w:r>
    </w:p>
    <w:p>
      <w:pPr>
        <w:spacing w:after="0" w:line="154"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7.07 </w:t>
      </w:r>
      <w:r>
        <w:rPr>
          <w:rFonts w:ascii="Arial" w:cs="Arial" w:eastAsia="Arial" w:hAnsi="Arial"/>
          <w:sz w:val="18"/>
          <w:szCs w:val="18"/>
          <w:b w:val="1"/>
          <w:bCs w:val="1"/>
          <w:u w:val="single" w:color="auto"/>
          <w:color w:val="auto"/>
        </w:rPr>
        <w:t>Change in Nature of Business</w:t>
      </w:r>
      <w:r>
        <w:rPr>
          <w:rFonts w:ascii="Arial" w:cs="Arial" w:eastAsia="Arial" w:hAnsi="Arial"/>
          <w:sz w:val="18"/>
          <w:szCs w:val="18"/>
          <w:color w:val="auto"/>
        </w:rPr>
        <w:t>. Engage in any material line of business substantially different from those lines of business conducted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its Subsidiaries on the date hereof or any business substantially related or incidental thereto.</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7.08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 Enter into any transaction of any kind with any Affiliate of Borrower, whether or not in the ordinary course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business, other than on fair and reasonable terms substantially as favorable to Borrower or such Subsidiary as would be obtainable by Borrower or such Subsidiary at the time in a comparable arm’s length transaction with a Person other than an Affiliate,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foregoing restriction shall not apply to transactions between or among Borrower and any Guarantor or between and among Guarantors, so long as the effect of such transactions is not to circumvent the limitations contained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ectPr>
          <w:pgSz w:w="11900" w:h="16838" w:orient="portrait"/>
          <w:cols w:equalWidth="0" w:num="1">
            <w:col w:w="11360"/>
          </w:cols>
          <w:pgMar w:left="240" w:top="125" w:right="299" w:bottom="0" w:gutter="0" w:footer="0" w:header="0"/>
        </w:sectPr>
      </w:pP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69" w:name="page70"/>
    <w:bookmarkEnd w:id="69"/>
    <w:p>
      <w:pPr>
        <w:spacing w:after="0" w:line="73" w:lineRule="exact"/>
        <w:rPr>
          <w:sz w:val="20"/>
          <w:szCs w:val="20"/>
          <w:color w:val="auto"/>
        </w:rPr>
      </w:pPr>
    </w:p>
    <w:p>
      <w:pPr>
        <w:jc w:val="both"/>
        <w:ind w:right="140" w:firstLine="648"/>
        <w:spacing w:after="0" w:line="293" w:lineRule="auto"/>
        <w:rPr>
          <w:sz w:val="20"/>
          <w:szCs w:val="20"/>
          <w:color w:val="auto"/>
        </w:rPr>
      </w:pPr>
      <w:r>
        <w:rPr>
          <w:rFonts w:ascii="Arial" w:cs="Arial" w:eastAsia="Arial" w:hAnsi="Arial"/>
          <w:sz w:val="16"/>
          <w:szCs w:val="16"/>
          <w:b w:val="1"/>
          <w:bCs w:val="1"/>
          <w:color w:val="auto"/>
        </w:rPr>
        <w:t xml:space="preserve">7.09 </w:t>
      </w:r>
      <w:r>
        <w:rPr>
          <w:rFonts w:ascii="Arial" w:cs="Arial" w:eastAsia="Arial" w:hAnsi="Arial"/>
          <w:sz w:val="16"/>
          <w:szCs w:val="16"/>
          <w:b w:val="1"/>
          <w:bCs w:val="1"/>
          <w:u w:val="single" w:color="auto"/>
          <w:color w:val="auto"/>
        </w:rPr>
        <w:t>Burdensome Agreements</w:t>
      </w:r>
      <w:r>
        <w:rPr>
          <w:rFonts w:ascii="Arial" w:cs="Arial" w:eastAsia="Arial" w:hAnsi="Arial"/>
          <w:sz w:val="16"/>
          <w:szCs w:val="16"/>
          <w:color w:val="auto"/>
        </w:rPr>
        <w:t>. Enter into any Contractual Obligation (other than this Agreement or any other Loan Document) that (a) limits</w:t>
      </w:r>
      <w:r>
        <w:rPr>
          <w:rFonts w:ascii="Arial" w:cs="Arial" w:eastAsia="Arial" w:hAnsi="Arial"/>
          <w:sz w:val="16"/>
          <w:szCs w:val="16"/>
          <w:b w:val="1"/>
          <w:bCs w:val="1"/>
          <w:color w:val="auto"/>
        </w:rPr>
        <w:t xml:space="preserve"> </w:t>
      </w:r>
      <w:r>
        <w:rPr>
          <w:rFonts w:ascii="Arial" w:cs="Arial" w:eastAsia="Arial" w:hAnsi="Arial"/>
          <w:sz w:val="16"/>
          <w:szCs w:val="16"/>
          <w:color w:val="auto"/>
        </w:rPr>
        <w:t>the ability (i) of any Subsidiary to make Restricted Payments to Borrower or any Guarantor or to otherwise transfer property to Borrower or any Guarantor,</w:t>
      </w:r>
    </w:p>
    <w:p>
      <w:pPr>
        <w:spacing w:after="0" w:line="1" w:lineRule="exact"/>
        <w:rPr>
          <w:sz w:val="20"/>
          <w:szCs w:val="20"/>
          <w:color w:val="auto"/>
        </w:rPr>
      </w:pPr>
    </w:p>
    <w:p>
      <w:pPr>
        <w:ind w:right="320" w:firstLine="8"/>
        <w:spacing w:after="0" w:line="295" w:lineRule="auto"/>
        <w:tabs>
          <w:tab w:leader="none" w:pos="26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of any Subsidiary to Guarantee the Indebtedness of Borrower or (iii) of Borrower or any Subsidiary to create, incur, assume or suffer to exist Liens on property of such Person; provided, however, that this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shall not prohibit any negative pledge incurred or provided in favor of any holder of Indebtedness permitted under </w:t>
      </w:r>
      <w:r>
        <w:rPr>
          <w:rFonts w:ascii="Arial" w:cs="Arial" w:eastAsia="Arial" w:hAnsi="Arial"/>
          <w:sz w:val="16"/>
          <w:szCs w:val="16"/>
          <w:u w:val="single" w:color="auto"/>
          <w:color w:val="auto"/>
        </w:rPr>
        <w:t>Section 7.03(e)</w:t>
      </w:r>
      <w:r>
        <w:rPr>
          <w:rFonts w:ascii="Arial" w:cs="Arial" w:eastAsia="Arial" w:hAnsi="Arial"/>
          <w:sz w:val="16"/>
          <w:szCs w:val="16"/>
          <w:color w:val="auto"/>
        </w:rPr>
        <w:t xml:space="preserve">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158"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b w:val="1"/>
          <w:bCs w:val="1"/>
          <w:color w:val="auto"/>
        </w:rPr>
        <w:t xml:space="preserve">7.10 </w:t>
      </w:r>
      <w:r>
        <w:rPr>
          <w:rFonts w:ascii="Arial" w:cs="Arial" w:eastAsia="Arial" w:hAnsi="Arial"/>
          <w:sz w:val="18"/>
          <w:szCs w:val="18"/>
          <w:b w:val="1"/>
          <w:bCs w:val="1"/>
          <w:u w:val="single" w:color="auto"/>
          <w:color w:val="auto"/>
        </w:rPr>
        <w:t>Use of Proceeds</w:t>
      </w:r>
      <w:r>
        <w:rPr>
          <w:rFonts w:ascii="Arial" w:cs="Arial" w:eastAsia="Arial" w:hAnsi="Arial"/>
          <w:sz w:val="18"/>
          <w:szCs w:val="18"/>
          <w:color w:val="auto"/>
        </w:rPr>
        <w:t>. Use the proceeds of any Credit Extension, whether directly or indirectly, and whether immediately, incidentally or</w:t>
      </w:r>
      <w:r>
        <w:rPr>
          <w:rFonts w:ascii="Arial" w:cs="Arial" w:eastAsia="Arial" w:hAnsi="Arial"/>
          <w:sz w:val="18"/>
          <w:szCs w:val="18"/>
          <w:b w:val="1"/>
          <w:bCs w:val="1"/>
          <w:color w:val="auto"/>
        </w:rPr>
        <w:t xml:space="preserve"> </w:t>
      </w:r>
      <w:r>
        <w:rPr>
          <w:rFonts w:ascii="Arial" w:cs="Arial" w:eastAsia="Arial" w:hAnsi="Arial"/>
          <w:sz w:val="18"/>
          <w:szCs w:val="18"/>
          <w:color w:val="auto"/>
        </w:rPr>
        <w:t>ultimately, to purchase or carry margin stock (within the meaning of Regulation U of the FRB) or to extend credit to others for the purpose of purchasing or carrying margin stock or to refund indebtedness originally incurred for such purpose.</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 xml:space="preserve">7.11 </w:t>
      </w:r>
      <w:r>
        <w:rPr>
          <w:rFonts w:ascii="Arial" w:cs="Arial" w:eastAsia="Arial" w:hAnsi="Arial"/>
          <w:sz w:val="18"/>
          <w:szCs w:val="18"/>
          <w:b w:val="1"/>
          <w:bCs w:val="1"/>
          <w:u w:val="single" w:color="auto"/>
          <w:color w:val="auto"/>
        </w:rPr>
        <w:t>Prepayment of Subordinated Notes</w:t>
      </w:r>
      <w:r>
        <w:rPr>
          <w:rFonts w:ascii="Arial" w:cs="Arial" w:eastAsia="Arial" w:hAnsi="Arial"/>
          <w:sz w:val="18"/>
          <w:szCs w:val="18"/>
          <w:color w:val="auto"/>
        </w:rPr>
        <w:t>. Prepay any Subordinated Notes;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so long as no Default then exists or would</w:t>
      </w:r>
      <w:r>
        <w:rPr>
          <w:rFonts w:ascii="Arial" w:cs="Arial" w:eastAsia="Arial" w:hAnsi="Arial"/>
          <w:sz w:val="18"/>
          <w:szCs w:val="18"/>
          <w:b w:val="1"/>
          <w:bCs w:val="1"/>
          <w:color w:val="auto"/>
        </w:rPr>
        <w:t xml:space="preserve"> </w:t>
      </w:r>
      <w:r>
        <w:rPr>
          <w:rFonts w:ascii="Arial" w:cs="Arial" w:eastAsia="Arial" w:hAnsi="Arial"/>
          <w:sz w:val="18"/>
          <w:szCs w:val="18"/>
          <w:color w:val="auto"/>
        </w:rPr>
        <w:t>result from any such prepayment, the Borrower may make any prepayment of any Subordinated Notes at any time when the Funded Debt Leverage Ratio is less than 2.5 -to- 1.0.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EVENTS OF DEFAULT AND REMEDIES</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Any of the following shall constitute an Event of Default:</w:t>
      </w:r>
    </w:p>
    <w:p>
      <w:pPr>
        <w:spacing w:after="0" w:line="229" w:lineRule="exact"/>
        <w:rPr>
          <w:sz w:val="20"/>
          <w:szCs w:val="20"/>
          <w:color w:val="auto"/>
        </w:rPr>
      </w:pPr>
    </w:p>
    <w:p>
      <w:pPr>
        <w:ind w:right="200" w:firstLine="656"/>
        <w:spacing w:after="0" w:line="259" w:lineRule="auto"/>
        <w:tabs>
          <w:tab w:leader="none" w:pos="1294"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Borrower or any other Loan Party fails to pay (i) when and as required to be paid herein, and in the currency required hereunder, any amount of principal of any Loan or any L/C Obligation, or (ii) within three days after the same becomes due, any interest on any Loan or on any L/C Obligation, or any fee due hereunder, or (iii) within five days after the same becomes due, any other amount payable hereunder or under any other Loan Document; or</w:t>
      </w:r>
    </w:p>
    <w:p>
      <w:pPr>
        <w:spacing w:after="0" w:line="186" w:lineRule="exact"/>
        <w:rPr>
          <w:rFonts w:ascii="Arial" w:cs="Arial" w:eastAsia="Arial" w:hAnsi="Arial"/>
          <w:sz w:val="18"/>
          <w:szCs w:val="18"/>
          <w:color w:val="auto"/>
        </w:rPr>
      </w:pPr>
    </w:p>
    <w:p>
      <w:pPr>
        <w:jc w:val="both"/>
        <w:ind w:right="240" w:firstLine="656"/>
        <w:spacing w:after="0" w:line="279" w:lineRule="auto"/>
        <w:tabs>
          <w:tab w:leader="none" w:pos="1304"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Specific Covenants</w:t>
      </w:r>
      <w:r>
        <w:rPr>
          <w:rFonts w:ascii="Arial" w:cs="Arial" w:eastAsia="Arial" w:hAnsi="Arial"/>
          <w:sz w:val="17"/>
          <w:szCs w:val="17"/>
          <w:color w:val="auto"/>
        </w:rPr>
        <w:t xml:space="preserve">. Borrower fails to perform or observe any term, covenant or agreement contained in any of </w:t>
      </w:r>
      <w:r>
        <w:rPr>
          <w:rFonts w:ascii="Arial" w:cs="Arial" w:eastAsia="Arial" w:hAnsi="Arial"/>
          <w:sz w:val="17"/>
          <w:szCs w:val="17"/>
          <w:u w:val="single" w:color="auto"/>
          <w:color w:val="auto"/>
        </w:rPr>
        <w:t>Sections 6.01, 6.02, 6.03,</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6.05, 6.07, 6.08, 6.10, 6.11, 6.12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6.13</w:t>
      </w:r>
      <w:r>
        <w:rPr>
          <w:rFonts w:ascii="Arial" w:cs="Arial" w:eastAsia="Arial" w:hAnsi="Arial"/>
          <w:sz w:val="17"/>
          <w:szCs w:val="17"/>
          <w:color w:val="auto"/>
        </w:rPr>
        <w:t xml:space="preserve">; or Borrower fails to perform or observe any term, covenant or agreement contained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any Guarantor fails to perform or observe any term, covenant or agreement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the Guaranty, or the Non-Recourse Guarantor fails to perform or observe any term, covenant or agreement contained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of the Non-Recourse Guaranty; or</w:t>
      </w:r>
    </w:p>
    <w:p>
      <w:pPr>
        <w:spacing w:after="0" w:line="171" w:lineRule="exact"/>
        <w:rPr>
          <w:rFonts w:ascii="Arial" w:cs="Arial" w:eastAsia="Arial" w:hAnsi="Arial"/>
          <w:sz w:val="17"/>
          <w:szCs w:val="17"/>
          <w:color w:val="auto"/>
        </w:rPr>
      </w:pPr>
    </w:p>
    <w:p>
      <w:pPr>
        <w:ind w:firstLine="656"/>
        <w:spacing w:after="0" w:line="293" w:lineRule="auto"/>
        <w:tabs>
          <w:tab w:leader="none" w:pos="130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xml:space="preserve">. Any Loan Party fails to perform or observe any other covenant or agreement (not specified in </w:t>
      </w:r>
      <w:r>
        <w:rPr>
          <w:rFonts w:ascii="Arial" w:cs="Arial" w:eastAsia="Arial" w:hAnsi="Arial"/>
          <w:sz w:val="16"/>
          <w:szCs w:val="16"/>
          <w:u w:val="single" w:color="auto"/>
          <w:color w:val="auto"/>
        </w:rPr>
        <w:t>subsection (a) or (b)</w:t>
      </w:r>
      <w:r>
        <w:rPr>
          <w:rFonts w:ascii="Arial" w:cs="Arial" w:eastAsia="Arial" w:hAnsi="Arial"/>
          <w:sz w:val="16"/>
          <w:szCs w:val="16"/>
          <w:color w:val="auto"/>
        </w:rPr>
        <w:t xml:space="preserve"> above) contained in this Agreement or any other Loan Document on its part to be performed or observed and such failure continues for 30 days after written notice thereof from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failure is susceptible of cure but cannot reasonably be cured within such 30 day period and provided further that the applicable Loan Party shall have commenced to cure such failure within such 30 day period and thereafter diligently and expeditiously proceeds to cure the same, such 30 day period shall be extended for such time as is reasonably necessary for such Loan Party, in the exercise of due diligence, to cure such failure (but in any event not more than 90 days total from receipt of such written notice); or</w:t>
      </w:r>
    </w:p>
    <w:p>
      <w:pPr>
        <w:spacing w:after="0" w:line="164" w:lineRule="exact"/>
        <w:rPr>
          <w:rFonts w:ascii="Arial" w:cs="Arial" w:eastAsia="Arial" w:hAnsi="Arial"/>
          <w:sz w:val="16"/>
          <w:szCs w:val="16"/>
          <w:color w:val="auto"/>
        </w:rPr>
      </w:pPr>
    </w:p>
    <w:p>
      <w:pPr>
        <w:ind w:firstLine="656"/>
        <w:spacing w:after="0" w:line="342" w:lineRule="auto"/>
        <w:tabs>
          <w:tab w:leader="none" w:pos="1304"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Any representation, warranty, certification or statement of fact made or deemed made by or on behalf of Borrower or any other Loan Party herein, in any other Loan Document, or in any document delivered in connection herewith or therewith shall be incorrect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misleading in any material respect when made; or</w:t>
      </w:r>
    </w:p>
    <w:p>
      <w:pPr>
        <w:spacing w:after="0" w:line="225" w:lineRule="exact"/>
        <w:rPr>
          <w:sz w:val="20"/>
          <w:szCs w:val="20"/>
          <w:color w:val="auto"/>
        </w:rPr>
      </w:pPr>
    </w:p>
    <w:p>
      <w:pPr>
        <w:ind w:right="20" w:firstLine="656"/>
        <w:spacing w:after="0" w:line="286" w:lineRule="auto"/>
        <w:tabs>
          <w:tab w:leader="none" w:pos="130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Borrower or any Subsidiary (A) fails to make any payment when due (whether by scheduled maturity, required prepayment, acceleration, demand, or otherwise) in respect of any Indebtedness or Guarantee (other than Indebtedness hereunder and Indebtedness under Swap Contracts), such failed payment having an aggregate principal amount (including any payments owing due to acceleration caused by such failed payment)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Administrative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Borrower or any Subsidiary is the Defaulting Party (as defined in such Swap Contract) or (B) any Termination Event (as so defined) under such Swap Contract as to which Borrower or any Subsidiary is an Affected Party (as so defined) and, in either event, the Swap Termination Value owed by Borrower or such Subsidiary as a result thereof is greater than the Threshold Amount; or</w:t>
      </w:r>
    </w:p>
    <w:p>
      <w:pPr>
        <w:spacing w:after="0" w:line="174" w:lineRule="exact"/>
        <w:rPr>
          <w:rFonts w:ascii="Arial" w:cs="Arial" w:eastAsia="Arial" w:hAnsi="Arial"/>
          <w:sz w:val="16"/>
          <w:szCs w:val="16"/>
          <w:color w:val="auto"/>
        </w:rPr>
      </w:pPr>
    </w:p>
    <w:p>
      <w:pPr>
        <w:ind w:right="160" w:firstLine="656"/>
        <w:spacing w:after="0" w:line="293" w:lineRule="auto"/>
        <w:tabs>
          <w:tab w:leader="none" w:pos="1301"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Insolvency Proceedings, Etc</w:t>
      </w:r>
      <w:r>
        <w:rPr>
          <w:rFonts w:ascii="Arial" w:cs="Arial" w:eastAsia="Arial" w:hAnsi="Arial"/>
          <w:sz w:val="16"/>
          <w:szCs w:val="16"/>
          <w:color w:val="auto"/>
        </w:rPr>
        <w:t>.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64" w:lineRule="exact"/>
        <w:rPr>
          <w:rFonts w:ascii="Arial" w:cs="Arial" w:eastAsia="Arial" w:hAnsi="Arial"/>
          <w:sz w:val="16"/>
          <w:szCs w:val="16"/>
          <w:color w:val="auto"/>
        </w:rPr>
      </w:pPr>
    </w:p>
    <w:p>
      <w:pPr>
        <w:ind w:right="40" w:firstLine="656"/>
        <w:spacing w:after="0" w:line="286" w:lineRule="auto"/>
        <w:tabs>
          <w:tab w:leader="none" w:pos="131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65" w:lineRule="exact"/>
        <w:rPr>
          <w:rFonts w:ascii="Arial" w:cs="Arial" w:eastAsia="Arial" w:hAnsi="Arial"/>
          <w:sz w:val="17"/>
          <w:szCs w:val="17"/>
          <w:color w:val="auto"/>
        </w:rPr>
      </w:pPr>
    </w:p>
    <w:p>
      <w:pPr>
        <w:jc w:val="both"/>
        <w:ind w:right="120" w:firstLine="656"/>
        <w:spacing w:after="0" w:line="312" w:lineRule="auto"/>
        <w:tabs>
          <w:tab w:leader="none" w:pos="130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Borrower or any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w:t>
      </w:r>
    </w:p>
    <w:p>
      <w:pPr>
        <w:sectPr>
          <w:pgSz w:w="11900" w:h="16912" w:orient="portrait"/>
          <w:cols w:equalWidth="0" w:num="1">
            <w:col w:w="11400"/>
          </w:cols>
          <w:pgMar w:left="240" w:top="580" w:right="259" w:bottom="0" w:gutter="0" w:footer="0" w:header="0"/>
        </w:sectPr>
      </w:pPr>
    </w:p>
    <w:bookmarkStart w:id="70" w:name="page71"/>
    <w:bookmarkEnd w:id="70"/>
    <w:p>
      <w:pPr>
        <w:spacing w:after="0" w:line="13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individually or in the aggregate, a Material Adverse Effect and, in either case, (A) 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81" w:lineRule="exact"/>
        <w:rPr>
          <w:sz w:val="20"/>
          <w:szCs w:val="20"/>
          <w:color w:val="auto"/>
        </w:rPr>
      </w:pPr>
    </w:p>
    <w:p>
      <w:pPr>
        <w:ind w:right="100" w:firstLine="656"/>
        <w:spacing w:after="0" w:line="264" w:lineRule="auto"/>
        <w:tabs>
          <w:tab w:leader="none" w:pos="1318"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Borrower under Title IV of ERISA to the Pension Plan, Multiemployer Plan or the PBGC which, either individually or in the aggregate, could reasonably be expected to have a Material Adverse Effect, or (ii) Borrower or 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47" w:lineRule="exact"/>
        <w:rPr>
          <w:sz w:val="20"/>
          <w:szCs w:val="20"/>
          <w:color w:val="auto"/>
        </w:rPr>
      </w:pPr>
    </w:p>
    <w:p>
      <w:pPr>
        <w:ind w:firstLine="656"/>
        <w:spacing w:after="0" w:line="257" w:lineRule="auto"/>
        <w:tabs>
          <w:tab w:leader="none" w:pos="1304"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This Agreement, any Collateral Document, the Guaranty, or the Non-Recourse Guaranty or any provision thereof,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provision thereof; or any Loan Party denies that it has any or further liability or obligation under any Loan Document, or purports to revoke, terminate or rescind any Loan Document or any provision thereof; or</w:t>
      </w:r>
    </w:p>
    <w:p>
      <w:pPr>
        <w:spacing w:after="0" w:line="188" w:lineRule="exact"/>
        <w:rPr>
          <w:rFonts w:ascii="Arial" w:cs="Arial" w:eastAsia="Arial" w:hAnsi="Arial"/>
          <w:sz w:val="18"/>
          <w:szCs w:val="18"/>
          <w:color w:val="auto"/>
        </w:rPr>
      </w:pPr>
    </w:p>
    <w:p>
      <w:pPr>
        <w:ind w:right="180" w:firstLine="656"/>
        <w:spacing w:after="0" w:line="277" w:lineRule="auto"/>
        <w:tabs>
          <w:tab w:leader="none" w:pos="1304"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There occurs any Change of Control with respect to Borrower and/or any Guarantor except as expressly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166"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8.02 </w:t>
      </w:r>
      <w:r>
        <w:rPr>
          <w:rFonts w:ascii="Arial" w:cs="Arial" w:eastAsia="Arial" w:hAnsi="Arial"/>
          <w:sz w:val="18"/>
          <w:szCs w:val="18"/>
          <w:b w:val="1"/>
          <w:bCs w:val="1"/>
          <w:u w:val="single" w:color="auto"/>
          <w:color w:val="auto"/>
        </w:rPr>
        <w:t>Remedies Upon Event of Default</w:t>
      </w:r>
      <w:r>
        <w:rPr>
          <w:rFonts w:ascii="Arial" w:cs="Arial" w:eastAsia="Arial" w:hAnsi="Arial"/>
          <w:sz w:val="18"/>
          <w:szCs w:val="18"/>
          <w:color w:val="auto"/>
        </w:rPr>
        <w:t>. If any Event of Default occurs and is continuing, Administrative Agent shall, at the request of, or may,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consent of, the Required Lenders, take any or all of the following actions:</w:t>
      </w:r>
    </w:p>
    <w:p>
      <w:pPr>
        <w:spacing w:after="0" w:line="166" w:lineRule="exact"/>
        <w:rPr>
          <w:sz w:val="20"/>
          <w:szCs w:val="20"/>
          <w:color w:val="auto"/>
        </w:rPr>
      </w:pPr>
    </w:p>
    <w:p>
      <w:pPr>
        <w:ind w:right="820" w:firstLine="656"/>
        <w:spacing w:after="0" w:line="277" w:lineRule="auto"/>
        <w:tabs>
          <w:tab w:leader="none" w:pos="129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170" w:lineRule="exact"/>
        <w:rPr>
          <w:rFonts w:ascii="Arial" w:cs="Arial" w:eastAsia="Arial" w:hAnsi="Arial"/>
          <w:sz w:val="18"/>
          <w:szCs w:val="18"/>
          <w:color w:val="auto"/>
        </w:rPr>
      </w:pPr>
    </w:p>
    <w:p>
      <w:pPr>
        <w:ind w:right="120" w:firstLine="656"/>
        <w:spacing w:after="0" w:line="264" w:lineRule="auto"/>
        <w:tabs>
          <w:tab w:leader="none" w:pos="130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Borrower;</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require that Borrower Cash Collateralize the L/C Obligations (in an amount equal to the Minimum Collateral Amount with respect thereto);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20" w:hanging="664"/>
        <w:spacing w:after="0"/>
        <w:tabs>
          <w:tab w:leader="none" w:pos="1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exercise on behalf of itself, the Lenders and the L/C Issuer all rights and remedies available to it, the Lenders and the L/C Issuer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 Documents;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entry of an order for relief with respect to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Borrower to Cash Collateralize the L/C Obligations as aforesaid shall automatically become effective, in each case without further act of Administrative Agent or any Lender.</w:t>
      </w:r>
    </w:p>
    <w:p>
      <w:pPr>
        <w:spacing w:after="0" w:line="150"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u w:val="single" w:color="auto"/>
          <w:color w:val="auto"/>
        </w:rPr>
        <w:t>Application of Funds</w:t>
      </w:r>
      <w:r>
        <w:rPr>
          <w:rFonts w:ascii="Arial" w:cs="Arial" w:eastAsia="Arial" w:hAnsi="Arial"/>
          <w:sz w:val="18"/>
          <w:szCs w:val="18"/>
          <w:color w:val="auto"/>
        </w:rPr>
        <w:t>. 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amounts received on account of the Obligations shall be applied by Administrative Agent in the following order:</w:t>
      </w:r>
    </w:p>
    <w:p>
      <w:pPr>
        <w:spacing w:after="0" w:line="180" w:lineRule="exact"/>
        <w:rPr>
          <w:sz w:val="20"/>
          <w:szCs w:val="20"/>
          <w:color w:val="auto"/>
        </w:rPr>
      </w:pPr>
    </w:p>
    <w:p>
      <w:pPr>
        <w:ind w:right="340" w:firstLine="972"/>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reasonable fees, charges and disbursements of counsel to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Administrative Agent in its capacity as such;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972"/>
        <w:spacing w:after="0" w:line="27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constituting fees, indemnities and other amounts (other than principal, interest and L/C Fees) payable to Lenders and the L/C Issuer (including fees, charges and disbursements of counsel to the respective Lenders and the L/C Issuer (including fees and time charges for attorneys who may be employees of any Lender or the L/C Issuer)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ratably among them in proportion to the respective amounts described in this clause Second payable to them;</w:t>
      </w:r>
    </w:p>
    <w:p>
      <w:pPr>
        <w:spacing w:after="0" w:line="171" w:lineRule="exact"/>
        <w:rPr>
          <w:sz w:val="20"/>
          <w:szCs w:val="20"/>
          <w:color w:val="auto"/>
        </w:rPr>
      </w:pPr>
    </w:p>
    <w:p>
      <w:pPr>
        <w:jc w:val="both"/>
        <w:ind w:right="240" w:firstLine="972"/>
        <w:spacing w:after="0" w:line="342"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payment of that portion of the Obligations constituting accrued and unpaid L/C Fees and interest on the Loans, L/C Borrowings and other Obligations, ratably among Lenders and the L/C Issuer in proportion to the respective amounts described in this clause Third payable to them;</w:t>
      </w:r>
    </w:p>
    <w:p>
      <w:pPr>
        <w:spacing w:after="0" w:line="124" w:lineRule="exact"/>
        <w:rPr>
          <w:sz w:val="20"/>
          <w:szCs w:val="20"/>
          <w:color w:val="auto"/>
        </w:rPr>
      </w:pPr>
    </w:p>
    <w:p>
      <w:pPr>
        <w:jc w:val="both"/>
        <w:ind w:right="260" w:firstLine="972"/>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w:t>
      </w:r>
    </w:p>
    <w:p>
      <w:pPr>
        <w:spacing w:after="0" w:line="181" w:lineRule="exact"/>
        <w:rPr>
          <w:sz w:val="20"/>
          <w:szCs w:val="20"/>
          <w:color w:val="auto"/>
        </w:rPr>
      </w:pPr>
    </w:p>
    <w:p>
      <w:pPr>
        <w:ind w:right="480" w:firstLine="972"/>
        <w:spacing w:after="0" w:line="34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Administrative Agent for the account of the L/C Issuer, to Cash Collateralize that portion of L/C Obligations comprised of the aggregate undrawn amount of Letters of Credit to the extent not otherwise Cash Collateralized by the Borrower pursuant to </w:t>
      </w:r>
      <w:r>
        <w:rPr>
          <w:rFonts w:ascii="Arial" w:cs="Arial" w:eastAsia="Arial" w:hAnsi="Arial"/>
          <w:sz w:val="16"/>
          <w:szCs w:val="16"/>
          <w:u w:val="single" w:color="auto"/>
          <w:color w:val="auto"/>
        </w:rPr>
        <w:t>Sections 2.03 and 2.14</w:t>
      </w:r>
      <w:r>
        <w:rPr>
          <w:rFonts w:ascii="Arial" w:cs="Arial" w:eastAsia="Arial" w:hAnsi="Arial"/>
          <w:sz w:val="16"/>
          <w:szCs w:val="16"/>
          <w:color w:val="auto"/>
        </w:rPr>
        <w:t>; and</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Borrower or as otherwise required by applicable Law.</w:t>
      </w:r>
    </w:p>
    <w:p>
      <w:pPr>
        <w:spacing w:after="0" w:line="248" w:lineRule="exact"/>
        <w:rPr>
          <w:sz w:val="20"/>
          <w:szCs w:val="20"/>
          <w:color w:val="auto"/>
        </w:rPr>
      </w:pPr>
    </w:p>
    <w:p>
      <w:pPr>
        <w:ind w:firstLine="972"/>
        <w:spacing w:after="0" w:line="342"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w:t>
      </w:r>
    </w:p>
    <w:p>
      <w:pPr>
        <w:sectPr>
          <w:pgSz w:w="11900" w:h="16975" w:orient="portrait"/>
          <w:cols w:equalWidth="0" w:num="1">
            <w:col w:w="11400"/>
          </w:cols>
          <w:pgMar w:left="240" w:top="125" w:right="259" w:bottom="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have either been fully drawn or expired, such remaining amount shall be applied to the other Obligations, if any, in the order set forth above.</w:t>
      </w:r>
    </w:p>
    <w:p>
      <w:pPr>
        <w:spacing w:after="0" w:line="225" w:lineRule="exact"/>
        <w:rPr>
          <w:sz w:val="20"/>
          <w:szCs w:val="20"/>
          <w:color w:val="auto"/>
        </w:rPr>
      </w:pPr>
    </w:p>
    <w:p>
      <w:pPr>
        <w:ind w:right="60" w:firstLine="972"/>
        <w:spacing w:after="0" w:line="255" w:lineRule="auto"/>
        <w:rPr>
          <w:sz w:val="20"/>
          <w:szCs w:val="20"/>
          <w:color w:val="auto"/>
        </w:rPr>
      </w:pPr>
      <w:r>
        <w:rPr>
          <w:rFonts w:ascii="Arial" w:cs="Arial" w:eastAsia="Arial" w:hAnsi="Arial"/>
          <w:sz w:val="18"/>
          <w:szCs w:val="18"/>
          <w:color w:val="auto"/>
        </w:rPr>
        <w:t xml:space="preserve">Notwithstanding the foregoing to the contrary,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6"/>
          <w:szCs w:val="16"/>
          <w:b w:val="1"/>
          <w:bCs w:val="1"/>
          <w:u w:val="single" w:color="auto"/>
          <w:color w:val="auto"/>
        </w:rPr>
        <w:t>Appointment and Authorization of Administrative Agent</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1" w:lineRule="auto"/>
        <w:tabs>
          <w:tab w:leader="none" w:pos="129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Each of the Lenders and the L/C Issuer hereby irrevocably appoints Bank of America to act on its behalf as Administrative Agent hereunder and under the other Loan Documents and authorizes Administrative Agent to take such actions on its behalf and to exercise such powers as are delegated to Administrative Agent by the terms hereof and thereof, together with such actions and powers as are reasonably incidental thereto.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are solely for the benefit of Administrative Agent, the Lenders and the L/C Issuer, and neither Borrower nor any other Loan Party shall have rights as a third party beneficiary of any of such provisions. It is understood and agreed that the use of the term “Administrative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8" w:lineRule="exact"/>
        <w:rPr>
          <w:rFonts w:ascii="Arial" w:cs="Arial" w:eastAsia="Arial" w:hAnsi="Arial"/>
          <w:sz w:val="17"/>
          <w:szCs w:val="17"/>
          <w:color w:val="auto"/>
        </w:rPr>
      </w:pPr>
    </w:p>
    <w:p>
      <w:pPr>
        <w:ind w:firstLine="656"/>
        <w:spacing w:after="0" w:line="289" w:lineRule="auto"/>
        <w:tabs>
          <w:tab w:leader="none" w:pos="130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Administrative Agent shall also act as the “collateral Administrative Agent” under the Loan Documents, and each of the Lenders (including in its capacities as a potential Hedge Bank and a potential Cash Management Bank) and the L/C Issuer hereby irrevocably appoints and authorizes Administrative Agent to act as the Administrative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Administrative Agent, as “collateral Administrative Agent” and any co-Administrative Agents, sub-Administrative Agents and attorneys-in-fact appointed by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or otherwise for purposes of holding or enforcing any Lien on the Collateral (or any portion thereof) granted under the Collateral Documents, or for exercising any rights and remedies thereunder at the direction of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as though such co-Administrative Agents, sub-Administrative Agents and attorneys-in-fact were the “collateral Administrative Agent” under the Loan Documents as if set forth in full herein with respect thereto.</w:t>
      </w:r>
    </w:p>
    <w:p>
      <w:pPr>
        <w:spacing w:after="0" w:line="163" w:lineRule="exact"/>
        <w:rPr>
          <w:sz w:val="20"/>
          <w:szCs w:val="20"/>
          <w:color w:val="auto"/>
        </w:rPr>
      </w:pPr>
    </w:p>
    <w:p>
      <w:pPr>
        <w:ind w:right="420" w:firstLine="648"/>
        <w:spacing w:after="0" w:line="256" w:lineRule="auto"/>
        <w:rPr>
          <w:sz w:val="20"/>
          <w:szCs w:val="20"/>
          <w:color w:val="auto"/>
        </w:rPr>
      </w:pPr>
      <w:r>
        <w:rPr>
          <w:rFonts w:ascii="Arial" w:cs="Arial" w:eastAsia="Arial" w:hAnsi="Arial"/>
          <w:sz w:val="18"/>
          <w:szCs w:val="18"/>
          <w:b w:val="1"/>
          <w:bCs w:val="1"/>
          <w:color w:val="auto"/>
        </w:rPr>
        <w:t xml:space="preserve">9.02 </w:t>
      </w:r>
      <w:r>
        <w:rPr>
          <w:rFonts w:ascii="Arial" w:cs="Arial" w:eastAsia="Arial" w:hAnsi="Arial"/>
          <w:sz w:val="18"/>
          <w:szCs w:val="18"/>
          <w:b w:val="1"/>
          <w:bCs w:val="1"/>
          <w:u w:val="single" w:color="auto"/>
          <w:color w:val="auto"/>
        </w:rPr>
        <w:t>Rights as a Lender</w:t>
      </w:r>
      <w:r>
        <w:rPr>
          <w:rFonts w:ascii="Arial" w:cs="Arial" w:eastAsia="Arial" w:hAnsi="Arial"/>
          <w:sz w:val="18"/>
          <w:szCs w:val="18"/>
          <w:color w:val="auto"/>
        </w:rPr>
        <w:t>. The Person serving as Administrative Agent hereunder shall have the same rights and powers in its capacity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lend money to, act as the financial advisor or in any other advisory capacity for and generally engage in any kind of business with Borrower or any Subsidiary or other Affiliate thereof as if such Person were not Administrative Agent hereunder and without any duty to account therefor to Lenders.</w:t>
      </w:r>
    </w:p>
    <w:p>
      <w:pPr>
        <w:spacing w:after="0" w:line="188" w:lineRule="exact"/>
        <w:rPr>
          <w:sz w:val="20"/>
          <w:szCs w:val="20"/>
          <w:color w:val="auto"/>
        </w:rPr>
      </w:pPr>
    </w:p>
    <w:p>
      <w:pPr>
        <w:ind w:right="240" w:firstLine="648"/>
        <w:spacing w:after="0" w:line="347" w:lineRule="auto"/>
        <w:rPr>
          <w:sz w:val="20"/>
          <w:szCs w:val="20"/>
          <w:color w:val="auto"/>
        </w:rPr>
      </w:pPr>
      <w:r>
        <w:rPr>
          <w:rFonts w:ascii="Arial" w:cs="Arial" w:eastAsia="Arial" w:hAnsi="Arial"/>
          <w:sz w:val="16"/>
          <w:szCs w:val="16"/>
          <w:b w:val="1"/>
          <w:bCs w:val="1"/>
          <w:color w:val="auto"/>
        </w:rPr>
        <w:t xml:space="preserve">9.03 </w:t>
      </w:r>
      <w:r>
        <w:rPr>
          <w:rFonts w:ascii="Arial" w:cs="Arial" w:eastAsia="Arial" w:hAnsi="Arial"/>
          <w:sz w:val="16"/>
          <w:szCs w:val="16"/>
          <w:b w:val="1"/>
          <w:bCs w:val="1"/>
          <w:u w:val="single" w:color="auto"/>
          <w:color w:val="auto"/>
        </w:rPr>
        <w:t>Exculpatory Provisions</w:t>
      </w:r>
      <w:r>
        <w:rPr>
          <w:rFonts w:ascii="Arial" w:cs="Arial" w:eastAsia="Arial" w:hAnsi="Arial"/>
          <w:sz w:val="16"/>
          <w:szCs w:val="16"/>
          <w:color w:val="auto"/>
        </w:rPr>
        <w:t>. Administrative Agent shall not have any duties or obligations except those expressly set forth herein and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Documents, and its duties hereunder shall be administrative in nature. Without limiting the generality of the foregoing, Administrative Agent:</w:t>
      </w:r>
    </w:p>
    <w:p>
      <w:pPr>
        <w:spacing w:after="0" w:line="120" w:lineRule="exact"/>
        <w:rPr>
          <w:sz w:val="20"/>
          <w:szCs w:val="20"/>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225" w:lineRule="exact"/>
        <w:rPr>
          <w:rFonts w:ascii="Arial" w:cs="Arial" w:eastAsia="Arial" w:hAnsi="Arial"/>
          <w:sz w:val="18"/>
          <w:szCs w:val="18"/>
          <w:color w:val="auto"/>
        </w:rPr>
      </w:pPr>
    </w:p>
    <w:p>
      <w:pPr>
        <w:ind w:right="560" w:firstLine="656"/>
        <w:spacing w:after="0" w:line="277" w:lineRule="auto"/>
        <w:tabs>
          <w:tab w:leader="none" w:pos="130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shall not have any duty to take any discretionary action or exercise any discretionary powers, except discretionary rights and powers expressly contemplated hereby or by the other Loan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Documents that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Administrative Agent shall not be required to take any action that, in its opinion or the opinion of its counsel, may expose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3" w:lineRule="exact"/>
        <w:rPr>
          <w:sz w:val="20"/>
          <w:szCs w:val="20"/>
          <w:color w:val="auto"/>
        </w:rPr>
      </w:pPr>
    </w:p>
    <w:p>
      <w:pPr>
        <w:ind w:right="180" w:firstLine="656"/>
        <w:spacing w:after="0" w:line="264" w:lineRule="auto"/>
        <w:tabs>
          <w:tab w:leader="none" w:pos="130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Borrower or any of its Affiliates that is communicated to or obtained by the Person serving as Administrative Agent or any of its Affiliates in any capacity.</w:t>
      </w:r>
    </w:p>
    <w:p>
      <w:pPr>
        <w:spacing w:after="0" w:line="181" w:lineRule="exact"/>
        <w:rPr>
          <w:rFonts w:ascii="Arial" w:cs="Arial" w:eastAsia="Arial" w:hAnsi="Arial"/>
          <w:sz w:val="18"/>
          <w:szCs w:val="18"/>
          <w:color w:val="auto"/>
        </w:rPr>
      </w:pPr>
    </w:p>
    <w:p>
      <w:pPr>
        <w:ind w:right="20" w:firstLine="656"/>
        <w:spacing w:after="0" w:line="289" w:lineRule="auto"/>
        <w:tabs>
          <w:tab w:leader="none" w:pos="130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Administrative Agent shall not be liable for any action taken or not taken by it (i) with the consent or at the request of the Required Lenders (or such other number or percentage of the Lenders as shall be necessary, or as Administrative Agent shall believe in good faith shall be necessary, under the circumstances as provided in </w:t>
      </w:r>
      <w:r>
        <w:rPr>
          <w:rFonts w:ascii="Arial" w:cs="Arial" w:eastAsia="Arial" w:hAnsi="Arial"/>
          <w:sz w:val="16"/>
          <w:szCs w:val="16"/>
          <w:u w:val="single" w:color="auto"/>
          <w:color w:val="auto"/>
        </w:rPr>
        <w:t>Sections 8.02 and 10.01</w:t>
      </w:r>
      <w:r>
        <w:rPr>
          <w:rFonts w:ascii="Arial" w:cs="Arial" w:eastAsia="Arial" w:hAnsi="Arial"/>
          <w:sz w:val="16"/>
          <w:szCs w:val="16"/>
          <w:color w:val="auto"/>
        </w:rPr>
        <w:t>) or (ii) in the absence of its own gross negligence or willful misconduct as determined by a court of competent jurisdiction by final and nonappealable judgment. Administrative Agent shall be deemed not to have knowledge of any Default unless and until written notice describing such Default is given to Administrative Agent by Borrower, a Lender or the L/C Issuer. Administrative Agent shall not be responsible for or have any duty to ascertain or inquire into (A) any statement, warranty or representation made in or in connection with this Agreement or any other Loan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(D) the validity, enforceability, effectiveness or genuineness of this Agreement, any other Loan Document or any other agreement, instrument or</w:t>
      </w:r>
    </w:p>
    <w:p>
      <w:pPr>
        <w:sectPr>
          <w:pgSz w:w="11900" w:h="16838" w:orient="portrait"/>
          <w:cols w:equalWidth="0" w:num="1">
            <w:col w:w="11400"/>
          </w:cols>
          <w:pgMar w:left="240" w:top="125" w:right="259" w:bottom="0" w:gutter="0" w:footer="0" w:header="0"/>
        </w:sectPr>
      </w:pPr>
    </w:p>
    <w:bookmarkStart w:id="72" w:name="page73"/>
    <w:bookmarkEnd w:id="72"/>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document or (E)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Administrative Agent.</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9.04 </w:t>
      </w:r>
      <w:r>
        <w:rPr>
          <w:rFonts w:ascii="Arial" w:cs="Arial" w:eastAsia="Arial" w:hAnsi="Arial"/>
          <w:sz w:val="18"/>
          <w:szCs w:val="18"/>
          <w:b w:val="1"/>
          <w:bCs w:val="1"/>
          <w:u w:val="single" w:color="auto"/>
          <w:color w:val="auto"/>
        </w:rPr>
        <w:t>Reliance by Administrative Agent</w:t>
      </w:r>
      <w:r>
        <w:rPr>
          <w:rFonts w:ascii="Arial" w:cs="Arial" w:eastAsia="Arial" w:hAnsi="Arial"/>
          <w:sz w:val="18"/>
          <w:szCs w:val="18"/>
          <w:color w:val="auto"/>
        </w:rPr>
        <w:t>. Administrative Agent shall be entitled to rely upon, and shall not incur any liability for relying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Administrative Agent may presume that such condition is satisfactory to such Lender or the L/C Issuer unless Administrative Agent shall have received notice to the contrary from such Lender or the L/C Issuer prior to the making of such Loan or the issuance of such Letter of Credit. Administrative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8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9.05 </w:t>
      </w:r>
      <w:r>
        <w:rPr>
          <w:rFonts w:ascii="Arial" w:cs="Arial" w:eastAsia="Arial" w:hAnsi="Arial"/>
          <w:sz w:val="18"/>
          <w:szCs w:val="18"/>
          <w:b w:val="1"/>
          <w:bCs w:val="1"/>
          <w:u w:val="single" w:color="auto"/>
          <w:color w:val="auto"/>
        </w:rPr>
        <w:t>Delegation of Duties</w:t>
      </w:r>
      <w:r>
        <w:rPr>
          <w:rFonts w:ascii="Arial" w:cs="Arial" w:eastAsia="Arial" w:hAnsi="Arial"/>
          <w:sz w:val="18"/>
          <w:szCs w:val="18"/>
          <w:color w:val="auto"/>
        </w:rPr>
        <w:t>. Administrative Agent may perform any and all of its duties and exercise its rights and powers hereunder or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other Loan Document by or through any one or more sub Administrative Agents appointed by Administrative Agent. Administrative Agent and any such sub Administrative Agent may perform any and all of its duties and exercise its rights and powers by or through their respective Related Parties. The exculpatory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apply to any such sub Administrative Agent and to the Related Parties of Administrative Agent and any such sub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Administrative Agent, and shall apply to their respective activities in connection with the syndication of the credit facilities provided for herein as well as activities as Administrative Agent. The Administrative Agent shall not be responsible for the negligence or misconduct of any sub-Administrative Agents except to the extent that a court of competent jurisdiction determines in a final and non appealable judgment that the Administrative Agent acted with gross negligence or willful misconduct in the selection of such sub-Administrative Agents.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u w:val="single" w:color="auto"/>
          <w:color w:val="auto"/>
        </w:rPr>
        <w:t>Resignation of Administrative Agent</w:t>
      </w:r>
      <w:r>
        <w:rPr>
          <w:rFonts w:ascii="Arial" w:cs="Arial" w:eastAsia="Arial" w:hAnsi="Arial"/>
          <w:sz w:val="16"/>
          <w:szCs w:val="16"/>
          <w:color w:val="auto"/>
        </w:rPr>
        <w:t>.</w:t>
      </w:r>
    </w:p>
    <w:p>
      <w:pPr>
        <w:spacing w:after="0" w:line="229" w:lineRule="exact"/>
        <w:rPr>
          <w:sz w:val="20"/>
          <w:szCs w:val="20"/>
          <w:color w:val="auto"/>
        </w:rPr>
      </w:pPr>
    </w:p>
    <w:p>
      <w:pPr>
        <w:ind w:right="200" w:firstLine="656"/>
        <w:spacing w:after="0" w:line="290" w:lineRule="auto"/>
        <w:tabs>
          <w:tab w:leader="none" w:pos="129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either be a Lender or another bank with an office in the United States (or an Affiliate of any such bank with an office in the United States) acceptable to the Required Lenders and the Borrower. If no such successor shall have been so appointed by the Required Lenders and shall have accepted such appointment within 30 days after the retiring Administrative Agent gives notice of its resignation (or such earlier day as shall be agreed by the Required Lenders) (hereinafter referred to as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66" w:lineRule="exact"/>
        <w:rPr>
          <w:rFonts w:ascii="Arial" w:cs="Arial" w:eastAsia="Arial" w:hAnsi="Arial"/>
          <w:sz w:val="16"/>
          <w:szCs w:val="16"/>
          <w:color w:val="auto"/>
        </w:rPr>
      </w:pPr>
    </w:p>
    <w:p>
      <w:pPr>
        <w:ind w:right="100" w:firstLine="656"/>
        <w:spacing w:after="0" w:line="276" w:lineRule="auto"/>
        <w:tabs>
          <w:tab w:leader="none" w:pos="130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If the Person serving as Administrative Agent is a Defaulting Lender pursuant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(hereinafter referred to as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ind w:firstLine="656"/>
        <w:spacing w:after="0" w:line="268" w:lineRule="auto"/>
        <w:tabs>
          <w:tab w:leader="none" w:pos="130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or removed Administrative Agent, its sub-Administrative Agents and their respective Related Parties in respect of any actions taken or omitted to be taken by any of them while the retiring or removed Administrative Agent was acting as Administrative Agent.</w:t>
      </w:r>
    </w:p>
    <w:p>
      <w:pPr>
        <w:spacing w:after="0" w:line="181" w:lineRule="exact"/>
        <w:rPr>
          <w:sz w:val="20"/>
          <w:szCs w:val="20"/>
          <w:color w:val="auto"/>
        </w:rPr>
      </w:pPr>
    </w:p>
    <w:p>
      <w:pPr>
        <w:ind w:right="120" w:firstLine="656"/>
        <w:spacing w:after="0" w:line="291" w:lineRule="auto"/>
        <w:tabs>
          <w:tab w:leader="none" w:pos="130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Any resignation by Bank of America as Administrative Agent pursuant to this Section shall also constitute its resignation as L/C Issuer.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Upon the appointment by the Borrower of a successor L/C Issuer hereunder (which successor shall in all cases be a Lender other than a Defaulting Lender), (i) such successor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shall issue letters of credit in substitution</w:t>
      </w:r>
    </w:p>
    <w:p>
      <w:pPr>
        <w:sectPr>
          <w:pgSz w:w="11900" w:h="16932" w:orient="portrait"/>
          <w:cols w:equalWidth="0" w:num="1">
            <w:col w:w="11420"/>
          </w:cols>
          <w:pgMar w:left="240" w:top="125" w:right="239" w:bottom="0" w:gutter="0" w:footer="0" w:header="0"/>
        </w:sectPr>
      </w:pPr>
    </w:p>
    <w:bookmarkStart w:id="73" w:name="page74"/>
    <w:bookmarkEnd w:id="73"/>
    <w:p>
      <w:pPr>
        <w:ind w:right="120"/>
        <w:spacing w:after="0" w:line="277" w:lineRule="auto"/>
        <w:rPr>
          <w:sz w:val="20"/>
          <w:szCs w:val="20"/>
          <w:color w:val="auto"/>
        </w:rPr>
      </w:pPr>
      <w:r>
        <w:rPr>
          <w:rFonts w:ascii="Arial" w:cs="Arial" w:eastAsia="Arial" w:hAnsi="Arial"/>
          <w:sz w:val="18"/>
          <w:szCs w:val="18"/>
          <w:color w:val="auto"/>
        </w:rPr>
        <w:t>for the Letters of Credit, if any, outstanding at the time of such succession or make other arrangements satisfactory to Bank of America to effectively assume the obligations of Bank of America with respect to such Letters of Credit.</w:t>
      </w:r>
    </w:p>
    <w:p>
      <w:pPr>
        <w:spacing w:after="0" w:line="166" w:lineRule="exact"/>
        <w:rPr>
          <w:sz w:val="20"/>
          <w:szCs w:val="20"/>
          <w:color w:val="auto"/>
        </w:rPr>
      </w:pPr>
    </w:p>
    <w:p>
      <w:pPr>
        <w:ind w:right="200" w:firstLine="648"/>
        <w:spacing w:after="0" w:line="295" w:lineRule="auto"/>
        <w:rPr>
          <w:sz w:val="20"/>
          <w:szCs w:val="20"/>
          <w:color w:val="auto"/>
        </w:rPr>
      </w:pPr>
      <w:r>
        <w:rPr>
          <w:rFonts w:ascii="Arial" w:cs="Arial" w:eastAsia="Arial" w:hAnsi="Arial"/>
          <w:sz w:val="16"/>
          <w:szCs w:val="16"/>
          <w:b w:val="1"/>
          <w:bCs w:val="1"/>
          <w:color w:val="auto"/>
        </w:rPr>
        <w:t xml:space="preserve">9.07 </w:t>
      </w:r>
      <w:r>
        <w:rPr>
          <w:rFonts w:ascii="Arial" w:cs="Arial" w:eastAsia="Arial" w:hAnsi="Arial"/>
          <w:sz w:val="16"/>
          <w:szCs w:val="16"/>
          <w:b w:val="1"/>
          <w:bCs w:val="1"/>
          <w:u w:val="single" w:color="auto"/>
          <w:color w:val="auto"/>
        </w:rPr>
        <w:t>Non-Reliance on Administrative Agent and Other Lenders</w:t>
      </w:r>
      <w:r>
        <w:rPr>
          <w:rFonts w:ascii="Arial" w:cs="Arial" w:eastAsia="Arial" w:hAnsi="Arial"/>
          <w:sz w:val="16"/>
          <w:szCs w:val="16"/>
          <w:color w:val="auto"/>
        </w:rPr>
        <w:t>. Each Lender and the L/C Issuer acknowledges that it has, independently</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reliance upon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6"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 xml:space="preserve">9.08 </w:t>
      </w:r>
      <w:r>
        <w:rPr>
          <w:rFonts w:ascii="Arial" w:cs="Arial" w:eastAsia="Arial" w:hAnsi="Arial"/>
          <w:sz w:val="18"/>
          <w:szCs w:val="18"/>
          <w:b w:val="1"/>
          <w:bCs w:val="1"/>
          <w:u w:val="single" w:color="auto"/>
          <w:color w:val="auto"/>
        </w:rPr>
        <w:t>No Other Duties, Etc</w:t>
      </w:r>
      <w:r>
        <w:rPr>
          <w:rFonts w:ascii="Arial" w:cs="Arial" w:eastAsia="Arial" w:hAnsi="Arial"/>
          <w:sz w:val="18"/>
          <w:szCs w:val="18"/>
          <w:color w:val="auto"/>
        </w:rPr>
        <w:t>. Anything herein to the contrary notwithstanding, none of the bookrunners or arrangers listed on the cover page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shall have any powers, duties or responsibilities under this Agreement or any of the other Loan Documents, except in its capacity, as applicable, as Administrative Agent, a Lender or the L/C Issuer hereunder.</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9.09 </w:t>
      </w:r>
      <w:r>
        <w:rPr>
          <w:rFonts w:ascii="Arial" w:cs="Arial" w:eastAsia="Arial" w:hAnsi="Arial"/>
          <w:sz w:val="18"/>
          <w:szCs w:val="18"/>
          <w:b w:val="1"/>
          <w:bCs w:val="1"/>
          <w:u w:val="single" w:color="auto"/>
          <w:color w:val="auto"/>
        </w:rPr>
        <w:t>Administrative Agent May File Proofs of Claim</w:t>
      </w:r>
      <w:r>
        <w:rPr>
          <w:rFonts w:ascii="Arial" w:cs="Arial" w:eastAsia="Arial" w:hAnsi="Arial"/>
          <w:sz w:val="18"/>
          <w:szCs w:val="18"/>
          <w:color w:val="auto"/>
        </w:rPr>
        <w:t>. In case of the pendency of any proceeding under any Debtor Relief Law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judicial proceeding relative to any Loan Party, Administrative Agent (irrespective of whether the principal of any Loan or L/C Obligation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184" w:lineRule="exact"/>
        <w:rPr>
          <w:sz w:val="20"/>
          <w:szCs w:val="20"/>
          <w:color w:val="auto"/>
        </w:rPr>
      </w:pPr>
    </w:p>
    <w:p>
      <w:pPr>
        <w:ind w:right="40" w:firstLine="656"/>
        <w:spacing w:after="0" w:line="276" w:lineRule="auto"/>
        <w:tabs>
          <w:tab w:leader="none" w:pos="129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Administrative Agent (including any claim for the reasonable compensation, expenses, disbursements and advances of Lenders, the L/C Issuer and Administrative Agent and their respective Administrative Agents and counsel and all other amounts due Lenders, the L/C Issuer and Administrative Agent under </w:t>
      </w:r>
      <w:r>
        <w:rPr>
          <w:rFonts w:ascii="Arial" w:cs="Arial" w:eastAsia="Arial" w:hAnsi="Arial"/>
          <w:sz w:val="17"/>
          <w:szCs w:val="17"/>
          <w:u w:val="single" w:color="auto"/>
          <w:color w:val="auto"/>
        </w:rPr>
        <w:t>Sections 2.03(i) and (j), 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allowed in such judicial proceeding; and</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and any custodian, receiver, assignee, trustee, liquidator, sequestrator or other similar official in any such judicial proceeding is hereby authorized by each Lender and the L/C Issuer to make such payments to Administrative Agent and, in the event that Administrative Agent shall consent to the making of such payments directly to Lenders and the L/C Issuer, to pay to Administrative Agent any amount due for the reasonable compensation, expenses, disbursements and advances of Administrative Agent and its Administrative Agents and counsel, and any other amounts due Administrative Agent under </w:t>
      </w:r>
      <w:r>
        <w:rPr>
          <w:rFonts w:ascii="Arial" w:cs="Arial" w:eastAsia="Arial" w:hAnsi="Arial"/>
          <w:sz w:val="16"/>
          <w:szCs w:val="16"/>
          <w:u w:val="single" w:color="auto"/>
          <w:color w:val="auto"/>
        </w:rPr>
        <w:t>Sections 2.08, 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10.04</w:t>
      </w:r>
      <w:r>
        <w:rPr>
          <w:rFonts w:ascii="Arial" w:cs="Arial" w:eastAsia="Arial" w:hAnsi="Arial"/>
          <w:sz w:val="16"/>
          <w:szCs w:val="16"/>
          <w:color w:val="auto"/>
        </w:rPr>
        <w:t>. Nothing contained herein shall be deemed to authorize Administrative Agent to authorize or consent to or accept or adopt on behalf of any Lender or the L/C Issuer any plan of reorganization, arrangement, adjustment or composition affecting the Obligations or the rights of any Lender or the L/C Issuer or to authorize Administrative Agent to vote in respect of the claim of any Lender or the L/C Issuer in any such proceeding.</w:t>
      </w:r>
    </w:p>
    <w:p>
      <w:pPr>
        <w:spacing w:after="0" w:line="163"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9.10 </w:t>
      </w:r>
      <w:r>
        <w:rPr>
          <w:rFonts w:ascii="Arial" w:cs="Arial" w:eastAsia="Arial" w:hAnsi="Arial"/>
          <w:sz w:val="18"/>
          <w:szCs w:val="18"/>
          <w:b w:val="1"/>
          <w:bCs w:val="1"/>
          <w:u w:val="single" w:color="auto"/>
          <w:color w:val="auto"/>
        </w:rPr>
        <w:t>Guaranty Matters</w:t>
      </w:r>
      <w:r>
        <w:rPr>
          <w:rFonts w:ascii="Arial" w:cs="Arial" w:eastAsia="Arial" w:hAnsi="Arial"/>
          <w:sz w:val="18"/>
          <w:szCs w:val="18"/>
          <w:color w:val="auto"/>
        </w:rPr>
        <w:t>. Each Lender (including in its capacities as a potential Hedge Bank and a potential Cash Management Bank)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L/C Issuer hereby irrevocably authorizes Administrative Agent, at its option and in its discretion, to release any Guarantor from its obligations under the Guaranty if such Person ceases to be a Subsidiary as a result of a transaction permitted hereunder. Upon request by Administrative Agent at any time, each Lender and the L/C Issuer will confirm in writing Administrative Agent’s authority to release any Guarantor from its obligations under the Guaranty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b w:val="1"/>
          <w:bCs w:val="1"/>
          <w:u w:val="single" w:color="auto"/>
          <w:color w:val="auto"/>
        </w:rPr>
        <w:t>Collateral Matters</w:t>
      </w:r>
      <w:r>
        <w:rPr>
          <w:rFonts w:ascii="Arial" w:cs="Arial" w:eastAsia="Arial" w:hAnsi="Arial"/>
          <w:sz w:val="17"/>
          <w:szCs w:val="17"/>
          <w:color w:val="auto"/>
        </w:rPr>
        <w:t>.</w:t>
      </w:r>
    </w:p>
    <w:p>
      <w:pPr>
        <w:spacing w:after="0" w:line="229" w:lineRule="exact"/>
        <w:rPr>
          <w:sz w:val="20"/>
          <w:szCs w:val="20"/>
          <w:color w:val="auto"/>
        </w:rPr>
      </w:pPr>
    </w:p>
    <w:p>
      <w:pPr>
        <w:ind w:firstLine="656"/>
        <w:spacing w:after="0" w:line="270" w:lineRule="auto"/>
        <w:tabs>
          <w:tab w:leader="none" w:pos="1294"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Each Lender (including in its capacities as a potential Hedge Bank and a potential Cash Management Bank) and the L/C Issuer hereby irrevocably authorizes and directs Administrative Agent to enter into the Collateral Documents for the benefit of such Lender and the L/C Issuer. Each Lender and the L/C Issuer hereby agrees, and each holder of any Note by the acceptance thereof will be deemed to agree, that, except as otherwise set forth in </w:t>
      </w:r>
      <w:r>
        <w:rPr>
          <w:rFonts w:ascii="Arial" w:cs="Arial" w:eastAsia="Arial" w:hAnsi="Arial"/>
          <w:sz w:val="17"/>
          <w:szCs w:val="17"/>
          <w:u w:val="single" w:color="auto"/>
          <w:color w:val="auto"/>
        </w:rPr>
        <w:t>Section 10.01</w:t>
      </w:r>
      <w:r>
        <w:rPr>
          <w:rFonts w:ascii="Arial" w:cs="Arial" w:eastAsia="Arial" w:hAnsi="Arial"/>
          <w:sz w:val="17"/>
          <w:szCs w:val="17"/>
          <w:color w:val="auto"/>
        </w:rPr>
        <w:t>, any action taken by the Required Lenders, in accordance with the provisions of this Agreement or the Collateral Documents, and the exercise by the Required Lenders of the powers set forth herein or therein, together with such other powers as are reasonably incidental thereto, shall be authorized and binding upon all of Lenders and the L/C Issuer. Administrative Agent is hereby authorized (but not obligated) on behalf of all of Lenders and the L/C Issuer, without the necessity of any notice to or further consent from any Lender or the L/C Issuer from time to time prior to, an Event of Default, to take any action with respect to any Collateral or Collateral Documents which may be necessary to perfect and maintain perfected the Liens upon the Collateral granted pursuant to the Collateral Documents.</w:t>
      </w:r>
    </w:p>
    <w:p>
      <w:pPr>
        <w:spacing w:after="0" w:line="181" w:lineRule="exact"/>
        <w:rPr>
          <w:rFonts w:ascii="Arial" w:cs="Arial" w:eastAsia="Arial" w:hAnsi="Arial"/>
          <w:sz w:val="17"/>
          <w:szCs w:val="17"/>
          <w:color w:val="auto"/>
        </w:rPr>
      </w:pPr>
    </w:p>
    <w:p>
      <w:pPr>
        <w:ind w:left="1320" w:hanging="664"/>
        <w:spacing w:after="0"/>
        <w:tabs>
          <w:tab w:leader="none" w:pos="13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Lender and the L/C Issuer hereby irrevocably authorize Administrative Agent, at its option and in its discretion,</w:t>
      </w:r>
    </w:p>
    <w:p>
      <w:pPr>
        <w:spacing w:after="0" w:line="225" w:lineRule="exact"/>
        <w:rPr>
          <w:rFonts w:ascii="Arial" w:cs="Arial" w:eastAsia="Arial" w:hAnsi="Arial"/>
          <w:sz w:val="18"/>
          <w:szCs w:val="18"/>
          <w:color w:val="auto"/>
        </w:rPr>
      </w:pPr>
    </w:p>
    <w:p>
      <w:pPr>
        <w:ind w:firstLine="1305"/>
        <w:spacing w:after="0" w:line="293" w:lineRule="auto"/>
        <w:tabs>
          <w:tab w:leader="none" w:pos="1966"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to release any Lien on any property granted to or held by Administrative Agent under any Loan Document (A) upon termination of the Aggregate Commitments and payment in full of all Obligations (other than (1) contingent indemnification obligations and (2) obligations and liabilities under Secured Cash Management Agreements and Secured Hedge Agreements as to which arrangements satisfactory to the applicable Cash Management Bank or Hedge Bank shall have been made) and the expiration or termination of all Letters of Credit, (B) that is sold or to be sold as part of or in connection with any sale permitted hereunder or under any other Loan Document, (C) subject to </w:t>
      </w:r>
      <w:r>
        <w:rPr>
          <w:rFonts w:ascii="Arial" w:cs="Arial" w:eastAsia="Arial" w:hAnsi="Arial"/>
          <w:sz w:val="16"/>
          <w:szCs w:val="16"/>
          <w:u w:val="single" w:color="auto"/>
          <w:color w:val="auto"/>
        </w:rPr>
        <w:t>Section 10.01</w:t>
      </w:r>
      <w:r>
        <w:rPr>
          <w:rFonts w:ascii="Arial" w:cs="Arial" w:eastAsia="Arial" w:hAnsi="Arial"/>
          <w:sz w:val="16"/>
          <w:szCs w:val="16"/>
          <w:color w:val="auto"/>
        </w:rPr>
        <w:t>, if approved, authorized or ratified in writing by the Required Lenders, or (D) in connection with any foreclosure sale or other disposition of Collateral after the occurrence of an Event of Default; and</w:t>
      </w:r>
    </w:p>
    <w:p>
      <w:pPr>
        <w:spacing w:after="0" w:line="164" w:lineRule="exact"/>
        <w:rPr>
          <w:rFonts w:ascii="Arial" w:cs="Arial" w:eastAsia="Arial" w:hAnsi="Arial"/>
          <w:sz w:val="16"/>
          <w:szCs w:val="16"/>
          <w:color w:val="auto"/>
        </w:rPr>
      </w:pPr>
    </w:p>
    <w:p>
      <w:pPr>
        <w:ind w:right="280" w:firstLine="1305"/>
        <w:spacing w:after="0" w:line="277" w:lineRule="auto"/>
        <w:tabs>
          <w:tab w:leader="none" w:pos="1976"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subordinate any Lien on any property granted to or held by Administrative Agent under any Loan Document to the holder of any Lien on such property that is permitted by this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or any other Loan Document.</w:t>
      </w:r>
    </w:p>
    <w:p>
      <w:pPr>
        <w:sectPr>
          <w:pgSz w:w="11900" w:h="16838" w:orient="portrait"/>
          <w:cols w:equalWidth="0" w:num="1">
            <w:col w:w="11420"/>
          </w:cols>
          <w:pgMar w:left="240" w:top="125" w:right="239" w:bottom="32" w:gutter="0" w:footer="0" w:header="0"/>
        </w:sectPr>
      </w:pPr>
    </w:p>
    <w:bookmarkStart w:id="74" w:name="page75"/>
    <w:bookmarkEnd w:id="74"/>
    <w:p>
      <w:pPr>
        <w:ind w:right="380"/>
        <w:spacing w:after="0" w:line="277" w:lineRule="auto"/>
        <w:rPr>
          <w:sz w:val="20"/>
          <w:szCs w:val="20"/>
          <w:color w:val="auto"/>
        </w:rPr>
      </w:pPr>
      <w:r>
        <w:rPr>
          <w:rFonts w:ascii="Arial" w:cs="Arial" w:eastAsia="Arial" w:hAnsi="Arial"/>
          <w:sz w:val="18"/>
          <w:szCs w:val="18"/>
          <w:color w:val="auto"/>
        </w:rPr>
        <w:t xml:space="preserve">Upon request by Administrative Agent at any time, each Lender and the L/C Issuer will confirm in writing Administrative Agent’s authority to release or subordinate its interest in particular types or items of Collateral pursuant to this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170" w:lineRule="exact"/>
        <w:rPr>
          <w:sz w:val="20"/>
          <w:szCs w:val="20"/>
          <w:color w:val="auto"/>
        </w:rPr>
      </w:pPr>
    </w:p>
    <w:p>
      <w:pPr>
        <w:ind w:right="180" w:firstLine="656"/>
        <w:spacing w:after="0" w:line="289" w:lineRule="auto"/>
        <w:tabs>
          <w:tab w:leader="none" w:pos="130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Administrative Agent shall (and is hereby irrevocably authorized by each Lender and the L/C Issuer to) execute such documents as may be necessary to evidence the release or subordination of the Liens granted to Administrative Agent for the benefit of Administrative Agent and Lenders and the L/C Issuer herein or pursuant hereto upon the applicable Collateral;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Administrative Agent shall not be required to execute any such document on terms which, in Administrative Agent’s opinion, would expose Administrative Agent to or create any liability or entail any consequence other than the release or subordination of such Liens without recourse or warranty and (ii) such release or subordination shall not in any manner discharge, affect or impair the Obligations or any Liens upon (or obligations of Borrower or any other Loan Party in respect of) all interests retained by Borrower or any other Loan Party, including the proceeds of the sale, all of which shall continue to constitute part of the Collateral. In the event of any sale or transfer of Collateral, or any foreclosure with respect to any of the Collateral, Administrative Agent shall be authorized to deduct all expenses reasonably incurred by Administrative Agent from the proceeds of any such sale, transfer or foreclosure.</w:t>
      </w:r>
    </w:p>
    <w:p>
      <w:pPr>
        <w:spacing w:after="0" w:line="166" w:lineRule="exact"/>
        <w:rPr>
          <w:rFonts w:ascii="Arial" w:cs="Arial" w:eastAsia="Arial" w:hAnsi="Arial"/>
          <w:sz w:val="16"/>
          <w:szCs w:val="16"/>
          <w:color w:val="auto"/>
        </w:rPr>
      </w:pPr>
    </w:p>
    <w:p>
      <w:pPr>
        <w:ind w:right="40" w:firstLine="656"/>
        <w:spacing w:after="0" w:line="271" w:lineRule="auto"/>
        <w:tabs>
          <w:tab w:leader="none" w:pos="130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Administrative Agent shall have no obligation whatsoever to any Lender, the L/C Issuer or any other Person to assure that the Collateral exists or is owned by Borrower or any other Loan Party or is cared for, protected or insured or that the Liens granted to Administrative Agent herein or in any of the Collateral Documents or pursuant hereto or thereto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Administrative Agent in this </w:t>
      </w:r>
      <w:r>
        <w:rPr>
          <w:rFonts w:ascii="Arial" w:cs="Arial" w:eastAsia="Arial" w:hAnsi="Arial"/>
          <w:sz w:val="17"/>
          <w:szCs w:val="17"/>
          <w:u w:val="single" w:color="auto"/>
          <w:color w:val="auto"/>
        </w:rPr>
        <w:t>Section 9.11</w:t>
      </w:r>
      <w:r>
        <w:rPr>
          <w:rFonts w:ascii="Arial" w:cs="Arial" w:eastAsia="Arial" w:hAnsi="Arial"/>
          <w:sz w:val="17"/>
          <w:szCs w:val="17"/>
          <w:color w:val="auto"/>
        </w:rPr>
        <w:t xml:space="preserve"> or in any of the Collateral Documents, it being understood and agreed that in respect of the Collateral, or any act, omission or event related thereto, Administrative Agent may act in any manner it may deem appropriate, in its sole discretion, given Administrative Agent’s own interest in the Collateral as one of Lenders and that Administrative Agent shall have no duty or liability whatsoever to Lenders or the L/C Issuer.</w:t>
      </w:r>
    </w:p>
    <w:p>
      <w:pPr>
        <w:spacing w:after="0" w:line="178" w:lineRule="exact"/>
        <w:rPr>
          <w:rFonts w:ascii="Arial" w:cs="Arial" w:eastAsia="Arial" w:hAnsi="Arial"/>
          <w:sz w:val="17"/>
          <w:szCs w:val="17"/>
          <w:color w:val="auto"/>
        </w:rPr>
      </w:pPr>
    </w:p>
    <w:p>
      <w:pPr>
        <w:ind w:right="120" w:firstLine="656"/>
        <w:spacing w:after="0" w:line="257" w:lineRule="auto"/>
        <w:tabs>
          <w:tab w:leader="none" w:pos="130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Each Lender and the L/C Issuer hereby appoints each other Lender as Administrative Agent for the purpose of perfecting Lenders’ and the L/C Issuer’s security interest in assets which, in accordance with Article 9 of the UCC can be perfected only by possession. Should any Lender or the L/C Issuer (other than Administrative Agent) obtain possession of any such Collateral, such Lender or the L/C Issuer shall notify Administrative Agent thereof, and, promptly upon Administrative Agent’s request therefor shall deliver such Collateral to Administrative Agent or in accordance with Administrative Agent’s instructions.</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9.12 </w:t>
      </w:r>
      <w:r>
        <w:rPr>
          <w:rFonts w:ascii="Arial" w:cs="Arial" w:eastAsia="Arial" w:hAnsi="Arial"/>
          <w:sz w:val="17"/>
          <w:szCs w:val="17"/>
          <w:b w:val="1"/>
          <w:bCs w:val="1"/>
          <w:u w:val="single" w:color="auto"/>
          <w:color w:val="auto"/>
        </w:rPr>
        <w:t>Secured Cash Management Agreements and Secured Hedge Agreements</w:t>
      </w:r>
      <w:r>
        <w:rPr>
          <w:rFonts w:ascii="Arial" w:cs="Arial" w:eastAsia="Arial" w:hAnsi="Arial"/>
          <w:sz w:val="17"/>
          <w:szCs w:val="17"/>
          <w:color w:val="auto"/>
        </w:rPr>
        <w:t>. No Cash Management Bank or Hedge Bank that obtains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benefits of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of such Obligations, together with such supporting documentation as the Administrative Agent may request, from the applicable Cash Management Bank or Hedge Bank, as the case may be.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right="80" w:firstLine="756"/>
        <w:spacing w:after="0" w:line="258" w:lineRule="auto"/>
        <w:rPr>
          <w:sz w:val="20"/>
          <w:szCs w:val="20"/>
          <w:color w:val="auto"/>
        </w:rPr>
      </w:pPr>
      <w:r>
        <w:rPr>
          <w:rFonts w:ascii="Arial" w:cs="Arial" w:eastAsia="Arial" w:hAnsi="Arial"/>
          <w:sz w:val="18"/>
          <w:szCs w:val="18"/>
          <w:b w:val="1"/>
          <w:bCs w:val="1"/>
          <w:color w:val="auto"/>
        </w:rPr>
        <w:t xml:space="preserve">10.01 </w:t>
      </w:r>
      <w:r>
        <w:rPr>
          <w:rFonts w:ascii="Arial" w:cs="Arial" w:eastAsia="Arial" w:hAnsi="Arial"/>
          <w:sz w:val="18"/>
          <w:szCs w:val="18"/>
          <w:b w:val="1"/>
          <w:bCs w:val="1"/>
          <w:u w:val="single" w:color="auto"/>
          <w:color w:val="auto"/>
        </w:rPr>
        <w:t>Amendments, Etc</w:t>
      </w:r>
      <w:r>
        <w:rPr>
          <w:rFonts w:ascii="Arial" w:cs="Arial" w:eastAsia="Arial" w:hAnsi="Arial"/>
          <w:sz w:val="18"/>
          <w:szCs w:val="18"/>
          <w:color w:val="auto"/>
        </w:rPr>
        <w:t>. Except as otherwise expressly set forth in this Agreement, no amendment or waiver of any provision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any other Loan Document, and no consent to any departure by Borrower or any other Loan Party therefrom, shall be effective unless in writing signed by the Required Lenders and Borrower or the applicable Loan Party, as the case may be, and acknowledged by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w:t>
      </w:r>
    </w:p>
    <w:p>
      <w:pPr>
        <w:spacing w:after="0" w:line="188" w:lineRule="exact"/>
        <w:rPr>
          <w:sz w:val="20"/>
          <w:szCs w:val="20"/>
          <w:color w:val="auto"/>
        </w:rPr>
      </w:pPr>
    </w:p>
    <w:p>
      <w:pPr>
        <w:ind w:right="80" w:firstLine="656"/>
        <w:spacing w:after="0" w:line="259" w:lineRule="auto"/>
        <w:tabs>
          <w:tab w:leader="none" w:pos="129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in the sole and absolute discretion of Administrative Agent, only a waiver by Administrative Agent shall be required with respect to immaterial matters or items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4.01(a)(iii) or (iv)</w:t>
      </w:r>
      <w:r>
        <w:rPr>
          <w:rFonts w:ascii="Arial" w:cs="Arial" w:eastAsia="Arial" w:hAnsi="Arial"/>
          <w:sz w:val="18"/>
          <w:szCs w:val="18"/>
          <w:color w:val="auto"/>
        </w:rPr>
        <w:t xml:space="preserve"> with respect to which Borrower has given assurances satisfactory to Administrative Agent that such items shall be delivered promptly following the Closing Date;</w:t>
      </w:r>
    </w:p>
    <w:p>
      <w:pPr>
        <w:spacing w:after="0" w:line="186" w:lineRule="exact"/>
        <w:rPr>
          <w:rFonts w:ascii="Arial" w:cs="Arial" w:eastAsia="Arial" w:hAnsi="Arial"/>
          <w:sz w:val="18"/>
          <w:szCs w:val="18"/>
          <w:color w:val="auto"/>
        </w:rPr>
      </w:pPr>
    </w:p>
    <w:p>
      <w:pPr>
        <w:ind w:right="200" w:firstLine="656"/>
        <w:spacing w:after="0" w:line="277" w:lineRule="auto"/>
        <w:tabs>
          <w:tab w:leader="none" w:pos="130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170" w:lineRule="exact"/>
        <w:rPr>
          <w:rFonts w:ascii="Arial" w:cs="Arial" w:eastAsia="Arial" w:hAnsi="Arial"/>
          <w:sz w:val="18"/>
          <w:szCs w:val="18"/>
          <w:color w:val="auto"/>
        </w:rPr>
      </w:pPr>
    </w:p>
    <w:p>
      <w:pPr>
        <w:ind w:right="80" w:firstLine="656"/>
        <w:spacing w:after="0" w:line="264" w:lineRule="auto"/>
        <w:tabs>
          <w:tab w:leader="none" w:pos="130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Lenders (or any of them) hereunder or under any other Loan Document without the written consent of each Lender directly affected thereby;</w:t>
      </w:r>
    </w:p>
    <w:p>
      <w:pPr>
        <w:spacing w:after="0" w:line="181" w:lineRule="exact"/>
        <w:rPr>
          <w:rFonts w:ascii="Arial" w:cs="Arial" w:eastAsia="Arial" w:hAnsi="Arial"/>
          <w:sz w:val="18"/>
          <w:szCs w:val="18"/>
          <w:color w:val="auto"/>
        </w:rPr>
      </w:pPr>
    </w:p>
    <w:p>
      <w:pPr>
        <w:ind w:right="60" w:firstLine="656"/>
        <w:spacing w:after="0" w:line="255" w:lineRule="auto"/>
        <w:tabs>
          <w:tab w:leader="none" w:pos="130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any fees or other amounts payable hereunder or under any other Loan Document, without the written consent of each Lender directly affected thereby; provided, however, that only the consent of the Required Lenders shall be necessary (i) to amend the definition of “Default Rate” or to waive any obligation of Borrower to pay interest or L/C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93" w:lineRule="exact"/>
        <w:rPr>
          <w:rFonts w:ascii="Arial" w:cs="Arial" w:eastAsia="Arial" w:hAnsi="Arial"/>
          <w:sz w:val="18"/>
          <w:szCs w:val="18"/>
          <w:color w:val="auto"/>
        </w:rPr>
      </w:pPr>
    </w:p>
    <w:p>
      <w:pPr>
        <w:ind w:right="420" w:firstLine="656"/>
        <w:spacing w:after="0" w:line="277" w:lineRule="auto"/>
        <w:tabs>
          <w:tab w:leader="none" w:pos="130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without the written consent of each Lender;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of the definition of “Alternative Currency” without the written consent of each Lender;</w:t>
      </w:r>
    </w:p>
    <w:p>
      <w:pPr>
        <w:sectPr>
          <w:pgSz w:w="11900" w:h="16838" w:orient="portrait"/>
          <w:cols w:equalWidth="0" w:num="1">
            <w:col w:w="11420"/>
          </w:cols>
          <w:pgMar w:left="240" w:top="125" w:right="239" w:bottom="0" w:gutter="0" w:footer="0" w:header="0"/>
        </w:sectPr>
      </w:pPr>
    </w:p>
    <w:bookmarkStart w:id="75" w:name="page76"/>
    <w:bookmarkEnd w:id="75"/>
    <w:p>
      <w:pPr>
        <w:spacing w:after="0" w:line="103" w:lineRule="exact"/>
        <w:rPr>
          <w:sz w:val="20"/>
          <w:szCs w:val="20"/>
          <w:color w:val="auto"/>
        </w:rPr>
      </w:pPr>
    </w:p>
    <w:p>
      <w:pPr>
        <w:ind w:right="20" w:firstLine="656"/>
        <w:spacing w:after="0" w:line="264" w:lineRule="auto"/>
        <w:tabs>
          <w:tab w:leader="none" w:pos="131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181" w:lineRule="exact"/>
        <w:rPr>
          <w:rFonts w:ascii="Arial" w:cs="Arial" w:eastAsia="Arial" w:hAnsi="Arial"/>
          <w:sz w:val="18"/>
          <w:szCs w:val="18"/>
          <w:color w:val="auto"/>
        </w:rPr>
      </w:pPr>
    </w:p>
    <w:p>
      <w:pPr>
        <w:ind w:right="20" w:firstLine="656"/>
        <w:spacing w:after="0" w:line="342" w:lineRule="auto"/>
        <w:tabs>
          <w:tab w:leader="none" w:pos="130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release any Guarantor from the Guaranty, release the Non-Recourse Guarantor from the Non-Recourse Guaranty or release the Liens on all or substantially all of the Collateral in any transaction or series of related transactions except in accordance with the terms of any Loan Document, without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written consent of each Lender;</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provided further that</w:t>
      </w:r>
      <w:r>
        <w:rPr>
          <w:rFonts w:ascii="Arial" w:cs="Arial" w:eastAsia="Arial" w:hAnsi="Arial"/>
          <w:sz w:val="17"/>
          <w:szCs w:val="17"/>
          <w:color w:val="auto"/>
        </w:rPr>
        <w:t xml:space="preserve">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Administrative Agent in addition to the Lenders required above, affect the rights or duties of Administrative Agent under this Agreement or any other Loan Document, and (iii) the Administrative Agent Fee Letter may be amended, or rights or privileges thereunder waived, in a writing executed only by the parties thereto. Notwithstanding anything contained herein to the contrary, no Defaulting Lender shall have any right to approve or disapprove any amendment, waiver or consent hereunder, except that the Commitment of such Lender may not be increased or extended without the consent of such Lender.</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5"/>
          <w:szCs w:val="15"/>
          <w:b w:val="1"/>
          <w:bCs w:val="1"/>
          <w:u w:val="single" w:color="auto"/>
          <w:color w:val="auto"/>
        </w:rPr>
        <w:t>Notices; Effectiveness; Electronic Communications</w:t>
      </w:r>
      <w:r>
        <w:rPr>
          <w:rFonts w:ascii="Arial" w:cs="Arial" w:eastAsia="Arial" w:hAnsi="Arial"/>
          <w:sz w:val="15"/>
          <w:szCs w:val="15"/>
          <w:color w:val="auto"/>
        </w:rPr>
        <w:t>.</w:t>
      </w:r>
    </w:p>
    <w:p>
      <w:pPr>
        <w:spacing w:after="0" w:line="229" w:lineRule="exact"/>
        <w:rPr>
          <w:sz w:val="20"/>
          <w:szCs w:val="20"/>
          <w:color w:val="auto"/>
        </w:rPr>
      </w:pPr>
    </w:p>
    <w:p>
      <w:pPr>
        <w:ind w:right="60" w:firstLine="656"/>
        <w:spacing w:after="0" w:line="255" w:lineRule="auto"/>
        <w:tabs>
          <w:tab w:leader="none" w:pos="1294"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Except (x) in the case of notices and other communications expressly permitted to be given by telephone (and except as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and (y) in the case of notice of the occurrence of a Default or an Event of Default or the acceleration of the Obligations hereunder, which such notices shall only be given in writing and by hand-delivery, overnight courier service or certified mail, all notices and other communications provided for herein shall be in writing and shall be delivered by hand or overnight courier service, mailed by certified mail or sent by facsimile as follows, and all notices and other communications expressly permitted hereunder to be given by telephone shall be made to the applicable telephone number, as follows:</w:t>
      </w:r>
    </w:p>
    <w:p>
      <w:pPr>
        <w:spacing w:after="0" w:line="193" w:lineRule="exact"/>
        <w:rPr>
          <w:rFonts w:ascii="Arial" w:cs="Arial" w:eastAsia="Arial" w:hAnsi="Arial"/>
          <w:sz w:val="18"/>
          <w:szCs w:val="18"/>
          <w:color w:val="auto"/>
        </w:rPr>
      </w:pPr>
    </w:p>
    <w:p>
      <w:pPr>
        <w:ind w:left="660" w:right="20" w:firstLine="645"/>
        <w:spacing w:after="0" w:line="277" w:lineRule="auto"/>
        <w:tabs>
          <w:tab w:leader="none" w:pos="197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if to the Borrower or any other Loan Party, the Administrative Agent or the L/C Issuer,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right="680" w:firstLine="645"/>
        <w:spacing w:after="0" w:line="312" w:lineRule="auto"/>
        <w:tabs>
          <w:tab w:leader="none" w:pos="198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Notices and other communications sent by hand or overnight courier service, or mailed by certified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shall be effective as provided in such </w:t>
      </w:r>
      <w:r>
        <w:rPr>
          <w:rFonts w:ascii="Arial" w:cs="Arial" w:eastAsia="Arial" w:hAnsi="Arial"/>
          <w:sz w:val="16"/>
          <w:szCs w:val="16"/>
          <w:u w:val="single" w:color="auto"/>
          <w:color w:val="auto"/>
        </w:rPr>
        <w:t>subsection (b)</w:t>
      </w:r>
      <w:r>
        <w:rPr>
          <w:rFonts w:ascii="Arial" w:cs="Arial" w:eastAsia="Arial" w:hAnsi="Arial"/>
          <w:sz w:val="16"/>
          <w:szCs w:val="16"/>
          <w:color w:val="auto"/>
        </w:rPr>
        <w:t>.</w:t>
      </w:r>
    </w:p>
    <w:p>
      <w:pPr>
        <w:spacing w:after="0" w:line="154" w:lineRule="exact"/>
        <w:rPr>
          <w:sz w:val="20"/>
          <w:szCs w:val="20"/>
          <w:color w:val="auto"/>
        </w:rPr>
      </w:pPr>
    </w:p>
    <w:p>
      <w:pPr>
        <w:ind w:right="40" w:firstLine="656"/>
        <w:spacing w:after="0" w:line="293" w:lineRule="auto"/>
        <w:tabs>
          <w:tab w:leader="none" w:pos="1304"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the L/C Issuer or the Borrower may each,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approval of such procedures may be limited to particular notices or communications.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ind w:left="1320" w:hanging="664"/>
        <w:spacing w:after="0"/>
        <w:tabs>
          <w:tab w:leader="none" w:pos="132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The Platform</w:t>
      </w:r>
      <w:r>
        <w:rPr>
          <w:rFonts w:ascii="Arial" w:cs="Arial" w:eastAsia="Arial" w:hAnsi="Arial"/>
          <w:sz w:val="17"/>
          <w:szCs w:val="17"/>
          <w:color w:val="auto"/>
        </w:rPr>
        <w:t>. THE PLATFORM IS PROVIDED “AS IS” AND “AS AVAILABLE.” THE “ADMINISTRATIVE AGENT PARTIES” (AS</w:t>
      </w:r>
    </w:p>
    <w:p>
      <w:pPr>
        <w:spacing w:after="0" w:line="34" w:lineRule="exact"/>
        <w:rPr>
          <w:rFonts w:ascii="Arial" w:cs="Arial" w:eastAsia="Arial" w:hAnsi="Arial"/>
          <w:sz w:val="17"/>
          <w:szCs w:val="17"/>
          <w:color w:val="auto"/>
        </w:rPr>
      </w:pPr>
    </w:p>
    <w:p>
      <w:pPr>
        <w:ind w:right="40"/>
        <w:spacing w:after="0" w:line="287" w:lineRule="auto"/>
        <w:rPr>
          <w:rFonts w:ascii="Arial" w:cs="Arial" w:eastAsia="Arial" w:hAnsi="Arial"/>
          <w:sz w:val="17"/>
          <w:szCs w:val="17"/>
          <w:color w:val="auto"/>
        </w:rPr>
      </w:pPr>
      <w:r>
        <w:rPr>
          <w:rFonts w:ascii="Arial" w:cs="Arial" w:eastAsia="Arial" w:hAnsi="Arial"/>
          <w:sz w:val="16"/>
          <w:szCs w:val="16"/>
          <w:color w:val="auto"/>
        </w:rPr>
        <w:t>SUCH TERM IS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ADMINISTRATIVE AGENT PARTY IN CONNECTION WITH THE BORROWER MATERIALS OR THE PLATFORM. In no event shall the Administrative Agent or any of its Related Parties (hereinafter collectively referred to as the “</w:t>
      </w:r>
      <w:r>
        <w:rPr>
          <w:rFonts w:ascii="Arial" w:cs="Arial" w:eastAsia="Arial" w:hAnsi="Arial"/>
          <w:sz w:val="16"/>
          <w:szCs w:val="16"/>
          <w:u w:val="single" w:color="auto"/>
          <w:color w:val="auto"/>
        </w:rPr>
        <w:t>Administrative Agent Parties</w:t>
      </w:r>
      <w:r>
        <w:rPr>
          <w:rFonts w:ascii="Arial" w:cs="Arial" w:eastAsia="Arial" w:hAnsi="Arial"/>
          <w:sz w:val="16"/>
          <w:szCs w:val="16"/>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through the Internet.</w:t>
      </w:r>
    </w:p>
    <w:p>
      <w:pPr>
        <w:spacing w:after="0" w:line="170" w:lineRule="exact"/>
        <w:rPr>
          <w:rFonts w:ascii="Arial" w:cs="Arial" w:eastAsia="Arial" w:hAnsi="Arial"/>
          <w:sz w:val="17"/>
          <w:szCs w:val="17"/>
          <w:color w:val="auto"/>
        </w:rPr>
      </w:pPr>
    </w:p>
    <w:p>
      <w:pPr>
        <w:ind w:right="20" w:firstLine="656"/>
        <w:spacing w:after="0" w:line="297" w:lineRule="auto"/>
        <w:tabs>
          <w:tab w:leader="none" w:pos="1304"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the Administrative Agent and the L/C Issuer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and the L/C Issuer.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w:t>
      </w:r>
    </w:p>
    <w:p>
      <w:pPr>
        <w:sectPr>
          <w:pgSz w:w="11900" w:h="16941" w:orient="portrait"/>
          <w:cols w:equalWidth="0" w:num="1">
            <w:col w:w="11420"/>
          </w:cols>
          <w:pgMar w:left="240" w:top="125" w:right="239" w:bottom="0" w:gutter="0" w:footer="0" w:header="0"/>
        </w:sectPr>
      </w:pPr>
    </w:p>
    <w:bookmarkStart w:id="76" w:name="page77"/>
    <w:bookmarkEnd w:id="76"/>
    <w:p>
      <w:pPr>
        <w:spacing w:after="0" w:line="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58" w:lineRule="exact"/>
        <w:rPr>
          <w:sz w:val="20"/>
          <w:szCs w:val="20"/>
          <w:color w:val="auto"/>
        </w:rPr>
      </w:pPr>
    </w:p>
    <w:p>
      <w:pPr>
        <w:ind w:right="20" w:firstLine="656"/>
        <w:spacing w:after="0" w:line="293" w:lineRule="auto"/>
        <w:tabs>
          <w:tab w:leader="none" w:pos="1307"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xml:space="preserve">. The Administrative Agent, the L/C Issuer and the Lenders shall be entitled to rely and act upon any notices (including telephonic or electronic Committed Loan Notices and L/C Applications) purportedly given by or on behalf of the Borrower even if (i) such notices were not made in a manner specified herein, were incomplete or were not preceded or followed by any other form of notice specified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notices are made consistent with past practices among the parties,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behalf of the Borrower. All telephonic notices to and other telephonic communications with the Administrative Agent may be recorded by either party, and each of the parties hereto hereby consents to such recording.</w:t>
      </w:r>
    </w:p>
    <w:p>
      <w:pPr>
        <w:spacing w:after="0" w:line="16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10.03 </w:t>
      </w:r>
      <w:r>
        <w:rPr>
          <w:rFonts w:ascii="Arial" w:cs="Arial" w:eastAsia="Arial" w:hAnsi="Arial"/>
          <w:sz w:val="18"/>
          <w:szCs w:val="18"/>
          <w:b w:val="1"/>
          <w:bCs w:val="1"/>
          <w:u w:val="single" w:color="auto"/>
          <w:color w:val="auto"/>
        </w:rPr>
        <w:t>No Waiver; Cumulative Remedies</w:t>
      </w:r>
      <w:r>
        <w:rPr>
          <w:rFonts w:ascii="Arial" w:cs="Arial" w:eastAsia="Arial" w:hAnsi="Arial"/>
          <w:sz w:val="18"/>
          <w:szCs w:val="18"/>
          <w:color w:val="auto"/>
        </w:rPr>
        <w:t>. No failure by any Lender, the L/C Issuer or Administrative Agent to exercise, and no delay by 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8"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from exercising the rights and remedies that inure to its benefit (solely in its capacity as L/C Issuer) hereunder and under the other Loan Documents, (c) any Lender from exercising setoff rights in accordance with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and (ii) in addition to the matters set forth in </w:t>
      </w:r>
      <w:r>
        <w:rPr>
          <w:rFonts w:ascii="Arial" w:cs="Arial" w:eastAsia="Arial" w:hAnsi="Arial"/>
          <w:sz w:val="16"/>
          <w:szCs w:val="16"/>
          <w:u w:val="single" w:color="auto"/>
          <w:color w:val="auto"/>
        </w:rPr>
        <w:t>clauses</w:t>
      </w:r>
    </w:p>
    <w:p>
      <w:pPr>
        <w:spacing w:after="0" w:line="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10.04</w:t>
      </w:r>
      <w:r>
        <w:rPr>
          <w:sz w:val="20"/>
          <w:szCs w:val="20"/>
          <w:color w:val="auto"/>
        </w:rPr>
        <w:tab/>
      </w:r>
      <w:r>
        <w:rPr>
          <w:rFonts w:ascii="Arial" w:cs="Arial" w:eastAsia="Arial" w:hAnsi="Arial"/>
          <w:sz w:val="16"/>
          <w:szCs w:val="16"/>
          <w:b w:val="1"/>
          <w:bCs w:val="1"/>
          <w:u w:val="single" w:color="auto"/>
          <w:color w:val="auto"/>
        </w:rPr>
        <w:t>Expenses; Indemnity; Damage Waiver</w:t>
      </w:r>
      <w:r>
        <w:rPr>
          <w:rFonts w:ascii="Arial" w:cs="Arial" w:eastAsia="Arial" w:hAnsi="Arial"/>
          <w:sz w:val="16"/>
          <w:szCs w:val="16"/>
          <w:color w:val="auto"/>
        </w:rPr>
        <w:t>.</w:t>
      </w:r>
    </w:p>
    <w:p>
      <w:pPr>
        <w:spacing w:after="0" w:line="229" w:lineRule="exact"/>
        <w:rPr>
          <w:sz w:val="20"/>
          <w:szCs w:val="20"/>
          <w:color w:val="auto"/>
        </w:rPr>
      </w:pPr>
    </w:p>
    <w:p>
      <w:pPr>
        <w:ind w:right="100" w:firstLine="656"/>
        <w:spacing w:after="0" w:line="270" w:lineRule="auto"/>
        <w:tabs>
          <w:tab w:leader="none" w:pos="1294"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xml:space="preserve">. Borrower shall pay (i) all reasonable out of pocket expenses incurred by Administrative Agent and its Affiliates (including the reasonable fees, charges and disbursements of counsel for Administrative Agent set forth in </w:t>
      </w:r>
      <w:r>
        <w:rPr>
          <w:rFonts w:ascii="Arial" w:cs="Arial" w:eastAsia="Arial" w:hAnsi="Arial"/>
          <w:sz w:val="17"/>
          <w:szCs w:val="17"/>
          <w:u w:val="single" w:color="auto"/>
          <w:color w:val="auto"/>
        </w:rPr>
        <w:t>Section 4.01(c)</w:t>
      </w:r>
      <w:r>
        <w:rPr>
          <w:rFonts w:ascii="Arial" w:cs="Arial" w:eastAsia="Arial" w:hAnsi="Arial"/>
          <w:sz w:val="17"/>
          <w:szCs w:val="17"/>
          <w:color w:val="auto"/>
        </w:rPr>
        <w:t xml:space="preserve"> hereof),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Administrative Agent, any Lender or the L/C Issuer (including the reasonable fees, charges and disbursements of any counsel for Administrative Agent, any Lender or the L/C Issuer), in connection with the enforcement or protection of its rights (A) in connection with this Agreement and the other Loan Documents, including its rights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or (B) in connection with the Loans made or Letters of Credit issued hereunder, including all such out of pocket expenses incurred during any workout, restructuring or negotiations in respect of such Loans or Letters of Credit.</w:t>
      </w:r>
    </w:p>
    <w:p>
      <w:pPr>
        <w:spacing w:after="0" w:line="177" w:lineRule="exact"/>
        <w:rPr>
          <w:rFonts w:ascii="Arial" w:cs="Arial" w:eastAsia="Arial" w:hAnsi="Arial"/>
          <w:sz w:val="17"/>
          <w:szCs w:val="17"/>
          <w:color w:val="auto"/>
        </w:rPr>
      </w:pPr>
    </w:p>
    <w:p>
      <w:pPr>
        <w:ind w:right="220" w:firstLine="656"/>
        <w:spacing w:after="0" w:line="277" w:lineRule="auto"/>
        <w:tabs>
          <w:tab w:leader="none" w:pos="1304"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Indemnification by Borrower</w:t>
      </w:r>
      <w:r>
        <w:rPr>
          <w:rFonts w:ascii="Arial" w:cs="Arial" w:eastAsia="Arial" w:hAnsi="Arial"/>
          <w:sz w:val="18"/>
          <w:szCs w:val="18"/>
          <w:color w:val="auto"/>
        </w:rPr>
        <w:t>. Borrower shall indemnify Administrative Agent (and any sub-Administrative Agent thereof), each Lender and the L/C Issuer, and each Related Party of any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and all such Persons being collectively called “</w:t>
      </w:r>
      <w:r>
        <w:rPr>
          <w:rFonts w:ascii="Arial" w:cs="Arial" w:eastAsia="Arial" w:hAnsi="Arial"/>
          <w:sz w:val="16"/>
          <w:szCs w:val="16"/>
          <w:u w:val="single" w:color="auto"/>
          <w:color w:val="auto"/>
        </w:rPr>
        <w:t>Indemnitees</w:t>
      </w:r>
      <w:r>
        <w:rPr>
          <w:rFonts w:ascii="Arial" w:cs="Arial" w:eastAsia="Arial" w:hAnsi="Arial"/>
          <w:sz w:val="16"/>
          <w:szCs w:val="16"/>
          <w:color w:val="auto"/>
        </w:rPr>
        <w:t xml:space="preserve">”)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Administrative Agent (and any sub-Administrative 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or any other Loan Party, and regardless of whether any Indemnitee is a party thereto; provided that such indemnity shall not, as to any Indemnitee, be available to the extent that such losses, claims, damages, liabilities or related expenses (A) are determined by a court of competent jurisdiction by final and nonappealable judgment to have resulted from the gross negligence or willful misconduct of such Indemnitee, or (B) result from a claim brought by Borrower or any other Loan Party against an Indemnitee for breach in bad faith of such Indemnitee’s obligations hereunder or under any other Loan Document, if Borrower or such Loan Party has obtained a final and nonappealable judgment in its favor on such claim as determined by a court of competent</w:t>
      </w:r>
    </w:p>
    <w:p>
      <w:pPr>
        <w:sectPr>
          <w:pgSz w:w="11900" w:h="16924" w:orient="portrait"/>
          <w:cols w:equalWidth="0" w:num="1">
            <w:col w:w="11420"/>
          </w:cols>
          <w:pgMar w:left="240" w:top="125" w:right="239" w:bottom="0" w:gutter="0" w:footer="0" w:header="0"/>
        </w:sectPr>
      </w:pPr>
    </w:p>
    <w:bookmarkStart w:id="77" w:name="page78"/>
    <w:bookmarkEnd w:id="77"/>
    <w:p>
      <w:pPr>
        <w:spacing w:after="0" w:line="1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jurisdiction.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170" w:lineRule="exact"/>
        <w:rPr>
          <w:sz w:val="20"/>
          <w:szCs w:val="20"/>
          <w:color w:val="auto"/>
        </w:rPr>
      </w:pPr>
    </w:p>
    <w:p>
      <w:pPr>
        <w:ind w:right="40" w:firstLine="656"/>
        <w:spacing w:after="0" w:line="288" w:lineRule="auto"/>
        <w:tabs>
          <w:tab w:leader="none" w:pos="1307"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Borrower for any reason fails to indefeasibly pay any amount required under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to be paid by it to Administrative Agent (or any sub-Administrative Agent thereof), the L/C Issuer or any Related Party of any of the foregoing, each Lender severally agrees to pay to Administrative Agent (or any such sub-Administrative Agent), the L/C Issuer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unreimbursed expense or indemnified loss, claim, damage, liability or related expense, as the case may be, was incurred by or asserted against Administrative Agent (or any such sub-Administrative Agent) or the L/C Issuer in its capacity as such, or against any Related Party of any of the foregoing acting for Administrative Agent (or any such sub-Administrative Agent) or L/C Issuer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2.11(d)</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firstLine="656"/>
        <w:spacing w:after="0" w:line="259" w:lineRule="auto"/>
        <w:tabs>
          <w:tab w:leader="none" w:pos="130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transactions contemplated hereby or thereby, any Loan or Letter of Credit or the use of the proceeds thereof. No Indemnitee referred to in </w:t>
      </w:r>
      <w:r>
        <w:rPr>
          <w:rFonts w:ascii="Arial" w:cs="Arial" w:eastAsia="Arial" w:hAnsi="Arial"/>
          <w:sz w:val="17"/>
          <w:szCs w:val="17"/>
          <w:u w:val="single" w:color="auto"/>
          <w:color w:val="auto"/>
        </w:rPr>
        <w:t>subsection</w:t>
      </w:r>
    </w:p>
    <w:p>
      <w:pPr>
        <w:spacing w:after="0" w:line="35" w:lineRule="exact"/>
        <w:rPr>
          <w:sz w:val="20"/>
          <w:szCs w:val="20"/>
          <w:color w:val="auto"/>
        </w:rPr>
      </w:pPr>
    </w:p>
    <w:p>
      <w:pPr>
        <w:ind w:right="220" w:firstLine="8"/>
        <w:spacing w:after="0" w:line="295" w:lineRule="auto"/>
        <w:tabs>
          <w:tab w:leader="none" w:pos="255" w:val="left"/>
        </w:tabs>
        <w:numPr>
          <w:ilvl w:val="0"/>
          <w:numId w:val="154"/>
        </w:numPr>
        <w:rPr>
          <w:rFonts w:ascii="Arial" w:cs="Arial" w:eastAsia="Arial" w:hAnsi="Arial"/>
          <w:sz w:val="16"/>
          <w:szCs w:val="16"/>
          <w:u w:val="single" w:color="auto"/>
          <w:color w:val="auto"/>
        </w:rPr>
      </w:pPr>
      <w:r>
        <w:rPr>
          <w:rFonts w:ascii="Arial" w:cs="Arial" w:eastAsia="Arial" w:hAnsi="Arial"/>
          <w:sz w:val="16"/>
          <w:szCs w:val="16"/>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1" w:lineRule="exact"/>
        <w:rPr>
          <w:rFonts w:ascii="Arial" w:cs="Arial" w:eastAsia="Arial" w:hAnsi="Arial"/>
          <w:sz w:val="16"/>
          <w:szCs w:val="16"/>
          <w:u w:val="single" w:color="auto"/>
          <w:color w:val="auto"/>
        </w:rPr>
      </w:pPr>
    </w:p>
    <w:p>
      <w:pPr>
        <w:ind w:left="1320" w:hanging="664"/>
        <w:spacing w:after="0"/>
        <w:tabs>
          <w:tab w:leader="none" w:pos="132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All amounts due under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be payable not later than ten Business Days after demand therefor.</w:t>
      </w:r>
    </w:p>
    <w:p>
      <w:pPr>
        <w:spacing w:after="0" w:line="225" w:lineRule="exact"/>
        <w:rPr>
          <w:rFonts w:ascii="Arial" w:cs="Arial" w:eastAsia="Arial" w:hAnsi="Arial"/>
          <w:sz w:val="18"/>
          <w:szCs w:val="18"/>
          <w:color w:val="auto"/>
        </w:rPr>
      </w:pPr>
    </w:p>
    <w:p>
      <w:pPr>
        <w:ind w:right="220" w:firstLine="656"/>
        <w:spacing w:after="0" w:line="264" w:lineRule="auto"/>
        <w:tabs>
          <w:tab w:leader="none" w:pos="130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the indemnity provisions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Administrative Agent and the L/C Issuer, the replacement of any Lender, the termination of the Aggregate Commitments and the repayment, satisfaction or discharge of all the other Obligations.</w:t>
      </w:r>
    </w:p>
    <w:p>
      <w:pPr>
        <w:spacing w:after="0" w:line="17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10.05 </w:t>
      </w:r>
      <w:r>
        <w:rPr>
          <w:rFonts w:ascii="Arial" w:cs="Arial" w:eastAsia="Arial" w:hAnsi="Arial"/>
          <w:sz w:val="16"/>
          <w:szCs w:val="16"/>
          <w:b w:val="1"/>
          <w:bCs w:val="1"/>
          <w:u w:val="single" w:color="auto"/>
          <w:color w:val="auto"/>
        </w:rPr>
        <w:t>Payments Set Aside</w:t>
      </w:r>
      <w:r>
        <w:rPr>
          <w:rFonts w:ascii="Arial" w:cs="Arial" w:eastAsia="Arial" w:hAnsi="Arial"/>
          <w:sz w:val="16"/>
          <w:szCs w:val="16"/>
          <w:color w:val="auto"/>
        </w:rPr>
        <w:t>. To the extent that any payment by or on behalf of Borrower is made to Administrative Agent, the L/C Issuer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 or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10.06</w:t>
      </w:r>
      <w:r>
        <w:rPr>
          <w:sz w:val="20"/>
          <w:szCs w:val="20"/>
          <w:color w:val="auto"/>
        </w:rPr>
        <w:tab/>
      </w:r>
      <w:r>
        <w:rPr>
          <w:rFonts w:ascii="Arial" w:cs="Arial" w:eastAsia="Arial" w:hAnsi="Arial"/>
          <w:sz w:val="15"/>
          <w:szCs w:val="15"/>
          <w:b w:val="1"/>
          <w:bCs w:val="1"/>
          <w:u w:val="single" w:color="auto"/>
          <w:color w:val="auto"/>
        </w:rPr>
        <w:t>Successors and Assigns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86" w:lineRule="auto"/>
        <w:tabs>
          <w:tab w:leader="none" w:pos="1294"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neither Borrower nor any other Loan Party may assign or otherwise transfer any of its rights or obligations hereunder without the prior written consent of Administrative Agent, the L/C Issuer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by way of participation in accordance with the provisions of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or (iii) by way of pledge or assignment of a security</w:t>
      </w:r>
    </w:p>
    <w:p>
      <w:pPr>
        <w:spacing w:after="0" w:line="20" w:lineRule="exact"/>
        <w:rPr>
          <w:rFonts w:ascii="Arial" w:cs="Arial" w:eastAsia="Arial" w:hAnsi="Arial"/>
          <w:sz w:val="17"/>
          <w:szCs w:val="17"/>
          <w:color w:val="auto"/>
        </w:rPr>
      </w:pPr>
    </w:p>
    <w:p>
      <w:pPr>
        <w:ind w:right="12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interest subject to the restrictions of </w:t>
      </w: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to the extent expressly contemplated hereby, the Related Parties of each of Administrative Agent, the L/C Issuer and the Lenders) any legal or equitable right, remedy or claim under or by reason of this Agreement</w:t>
      </w:r>
    </w:p>
    <w:p>
      <w:pPr>
        <w:spacing w:after="0" w:line="191" w:lineRule="exact"/>
        <w:rPr>
          <w:rFonts w:ascii="Arial" w:cs="Arial" w:eastAsia="Arial" w:hAnsi="Arial"/>
          <w:sz w:val="17"/>
          <w:szCs w:val="17"/>
          <w:color w:val="auto"/>
        </w:rPr>
      </w:pPr>
    </w:p>
    <w:p>
      <w:pPr>
        <w:ind w:left="1320" w:hanging="664"/>
        <w:spacing w:after="0"/>
        <w:tabs>
          <w:tab w:leader="none" w:pos="132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Assignments by Lender</w:t>
      </w:r>
      <w:r>
        <w:rPr>
          <w:rFonts w:ascii="Arial" w:cs="Arial" w:eastAsia="Arial" w:hAnsi="Arial"/>
          <w:sz w:val="18"/>
          <w:szCs w:val="18"/>
          <w:color w:val="auto"/>
        </w:rPr>
        <w:t>s. Any Lender may at any time assign to one or more assignees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 xml:space="preserve">all or a portion of its rights and obligations under this Agreement (including all or a portion of its Commitment and the Loans (including for purposes of this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participations in L/C Obligations) at the time owing to it);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such assignment shall be subject to the following conditions:</w:t>
      </w:r>
    </w:p>
    <w:p>
      <w:pPr>
        <w:spacing w:after="0" w:line="124" w:lineRule="exact"/>
        <w:rPr>
          <w:sz w:val="20"/>
          <w:szCs w:val="20"/>
          <w:color w:val="auto"/>
        </w:rPr>
      </w:pPr>
    </w:p>
    <w:p>
      <w:pPr>
        <w:ind w:left="1980" w:hanging="675"/>
        <w:spacing w:after="0"/>
        <w:tabs>
          <w:tab w:leader="none" w:pos="198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Minimum Amount</w:t>
      </w:r>
      <w:r>
        <w:rPr>
          <w:rFonts w:ascii="Arial" w:cs="Arial" w:eastAsia="Arial" w:hAnsi="Arial"/>
          <w:sz w:val="18"/>
          <w:szCs w:val="18"/>
          <w:color w:val="auto"/>
        </w:rPr>
        <w:t>s.</w:t>
      </w:r>
    </w:p>
    <w:p>
      <w:pPr>
        <w:spacing w:after="0" w:line="225" w:lineRule="exact"/>
        <w:rPr>
          <w:rFonts w:ascii="Arial" w:cs="Arial" w:eastAsia="Arial" w:hAnsi="Arial"/>
          <w:sz w:val="18"/>
          <w:szCs w:val="18"/>
          <w:color w:val="auto"/>
        </w:rPr>
      </w:pPr>
    </w:p>
    <w:p>
      <w:pPr>
        <w:ind w:right="140" w:firstLine="1953"/>
        <w:spacing w:after="0" w:line="308" w:lineRule="auto"/>
        <w:tabs>
          <w:tab w:leader="none" w:pos="2613" w:val="left"/>
        </w:tabs>
        <w:numPr>
          <w:ilvl w:val="1"/>
          <w:numId w:val="157"/>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and the Loans at the time owing to it or in the case of an assignment to a Lender or an Affiliate of a Lender no minimum amount need be assigned; and</w:t>
      </w:r>
    </w:p>
    <w:p>
      <w:pPr>
        <w:spacing w:after="0" w:line="146" w:lineRule="exact"/>
        <w:rPr>
          <w:rFonts w:ascii="Arial" w:cs="Arial" w:eastAsia="Arial" w:hAnsi="Arial"/>
          <w:sz w:val="17"/>
          <w:szCs w:val="17"/>
          <w:color w:val="auto"/>
        </w:rPr>
      </w:pPr>
    </w:p>
    <w:p>
      <w:pPr>
        <w:ind w:right="140" w:firstLine="1953"/>
        <w:spacing w:after="0" w:line="312" w:lineRule="auto"/>
        <w:tabs>
          <w:tab w:leader="none" w:pos="260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10.06</w:t>
      </w:r>
      <w:r>
        <w:rPr>
          <w:rFonts w:ascii="Arial" w:cs="Arial" w:eastAsia="Arial" w:hAnsi="Arial"/>
          <w:sz w:val="16"/>
          <w:szCs w:val="16"/>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w:t>
      </w:r>
    </w:p>
    <w:p>
      <w:pPr>
        <w:sectPr>
          <w:pgSz w:w="11900" w:h="16952" w:orient="portrait"/>
          <w:cols w:equalWidth="0" w:num="1">
            <w:col w:w="11420"/>
          </w:cols>
          <w:pgMar w:left="240" w:top="125" w:right="239" w:bottom="0" w:gutter="0" w:footer="0" w:header="0"/>
        </w:sectPr>
      </w:pPr>
    </w:p>
    <w:bookmarkStart w:id="78" w:name="page79"/>
    <w:bookmarkEnd w:id="78"/>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Administrative Agent or, if a “Trade Date” is specified in the Assignment and Assumption, as of the Trade Date, shall not be less than $5,000,000.00 unless each of Administrative Agent and, so long as no Event of Default has occurred and is continuing, Borrower otherwise consents (each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concurrent assignments to members of an Assignee Group and concurrent assignments from members of an Assignee Group to a single assignee (or to an assignee and members of its Assignee Group) will be treated as a single assignment for purposes of determining whether such minimum amount has been met.</w:t>
      </w:r>
    </w:p>
    <w:p>
      <w:pPr>
        <w:spacing w:after="0" w:line="188" w:lineRule="exact"/>
        <w:rPr>
          <w:sz w:val="20"/>
          <w:szCs w:val="20"/>
          <w:color w:val="auto"/>
        </w:rPr>
      </w:pPr>
    </w:p>
    <w:p>
      <w:pPr>
        <w:ind w:right="500" w:firstLine="1305"/>
        <w:spacing w:after="0" w:line="277" w:lineRule="auto"/>
        <w:tabs>
          <w:tab w:leader="none" w:pos="197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Loans or the Commitment assigned.</w:t>
      </w:r>
    </w:p>
    <w:p>
      <w:pPr>
        <w:spacing w:after="0" w:line="170" w:lineRule="exact"/>
        <w:rPr>
          <w:rFonts w:ascii="Arial" w:cs="Arial" w:eastAsia="Arial" w:hAnsi="Arial"/>
          <w:sz w:val="18"/>
          <w:szCs w:val="18"/>
          <w:color w:val="auto"/>
        </w:rPr>
      </w:pPr>
    </w:p>
    <w:p>
      <w:pPr>
        <w:ind w:right="140" w:firstLine="1305"/>
        <w:spacing w:after="0" w:line="277" w:lineRule="auto"/>
        <w:tabs>
          <w:tab w:leader="none" w:pos="1985"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and, in addition:</w:t>
      </w:r>
    </w:p>
    <w:p>
      <w:pPr>
        <w:spacing w:after="0" w:line="170" w:lineRule="exact"/>
        <w:rPr>
          <w:rFonts w:ascii="Arial" w:cs="Arial" w:eastAsia="Arial" w:hAnsi="Arial"/>
          <w:sz w:val="18"/>
          <w:szCs w:val="18"/>
          <w:color w:val="auto"/>
        </w:rPr>
      </w:pPr>
    </w:p>
    <w:p>
      <w:pPr>
        <w:ind w:right="120" w:firstLine="1953"/>
        <w:spacing w:after="0" w:line="308" w:lineRule="auto"/>
        <w:tabs>
          <w:tab w:leader="none" w:pos="2613"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consent of Borrower (such consent not to be unreasonably withheld or delayed) shall be required unless (1) an Event of Default has occurred and is continuing at the time of such assignment or (2) such assignment is to a Lender or an Affiliate of a Lender;</w:t>
      </w:r>
    </w:p>
    <w:p>
      <w:pPr>
        <w:spacing w:after="0" w:line="146" w:lineRule="exact"/>
        <w:rPr>
          <w:rFonts w:ascii="Arial" w:cs="Arial" w:eastAsia="Arial" w:hAnsi="Arial"/>
          <w:sz w:val="17"/>
          <w:szCs w:val="17"/>
          <w:color w:val="auto"/>
        </w:rPr>
      </w:pPr>
    </w:p>
    <w:p>
      <w:pPr>
        <w:ind w:right="160" w:firstLine="1953"/>
        <w:spacing w:after="0" w:line="277" w:lineRule="auto"/>
        <w:tabs>
          <w:tab w:leader="none" w:pos="260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consent of Administrative Agent (such consent not to be unreasonably withheld or delayed) shall be required if such assignment is to a Person that is not a Lender or an Affiliate of such Lender with respect to such Lender; and</w:t>
      </w:r>
    </w:p>
    <w:p>
      <w:pPr>
        <w:spacing w:after="0" w:line="170" w:lineRule="exact"/>
        <w:rPr>
          <w:rFonts w:ascii="Arial" w:cs="Arial" w:eastAsia="Arial" w:hAnsi="Arial"/>
          <w:sz w:val="18"/>
          <w:szCs w:val="18"/>
          <w:color w:val="auto"/>
        </w:rPr>
      </w:pPr>
    </w:p>
    <w:p>
      <w:pPr>
        <w:ind w:right="440" w:firstLine="1953"/>
        <w:spacing w:after="0" w:line="342" w:lineRule="auto"/>
        <w:tabs>
          <w:tab w:leader="none" w:pos="2603"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w:t>
      </w:r>
    </w:p>
    <w:p>
      <w:pPr>
        <w:spacing w:after="0" w:line="123" w:lineRule="exact"/>
        <w:rPr>
          <w:rFonts w:ascii="Arial" w:cs="Arial" w:eastAsia="Arial" w:hAnsi="Arial"/>
          <w:sz w:val="16"/>
          <w:szCs w:val="16"/>
          <w:color w:val="auto"/>
        </w:rPr>
      </w:pPr>
    </w:p>
    <w:p>
      <w:pPr>
        <w:ind w:firstLine="1305"/>
        <w:spacing w:after="0" w:line="257" w:lineRule="auto"/>
        <w:tabs>
          <w:tab w:leader="none" w:pos="196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Administrative Agent an Assignment and Assumption, together with a processing and recordation fee in the amount, if any, required as set forth in </w:t>
      </w:r>
      <w:r>
        <w:rPr>
          <w:rFonts w:ascii="Arial" w:cs="Arial" w:eastAsia="Arial" w:hAnsi="Arial"/>
          <w:sz w:val="18"/>
          <w:szCs w:val="18"/>
          <w:u w:val="single" w:color="auto"/>
          <w:color w:val="auto"/>
        </w:rPr>
        <w:t>Schedule 10.06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Administrative Agent may, in its sole and absolute discretion, elect to waive such processing and recordation fee in the case of any assignment. The assignee, if it is not a Lender, shall deliver to Administrative Agent an Administrative Questionnaire. The Administrative Agent shall deliver a copy of such Assignment and Assumption to the Borrower, in accordance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64" w:lineRule="auto"/>
        <w:tabs>
          <w:tab w:leader="none" w:pos="195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181" w:lineRule="exact"/>
        <w:rPr>
          <w:rFonts w:ascii="Arial" w:cs="Arial" w:eastAsia="Arial" w:hAnsi="Arial"/>
          <w:sz w:val="18"/>
          <w:szCs w:val="18"/>
          <w:color w:val="auto"/>
        </w:rPr>
      </w:pPr>
    </w:p>
    <w:p>
      <w:pPr>
        <w:ind w:firstLine="1305"/>
        <w:spacing w:after="0" w:line="269" w:lineRule="auto"/>
        <w:tabs>
          <w:tab w:leader="none" w:pos="1961"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in accordance with its Applicable Percentage. Notwithstanding the foregoing to the contrary,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Subject to acceptance and recording thereof by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 3.04, 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except 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10.06</w:t>
      </w:r>
      <w:r>
        <w:rPr>
          <w:rFonts w:ascii="Arial" w:cs="Arial" w:eastAsia="Arial" w:hAnsi="Arial"/>
          <w:sz w:val="17"/>
          <w:szCs w:val="17"/>
          <w:color w:val="auto"/>
        </w:rPr>
        <w:t>.</w:t>
      </w:r>
    </w:p>
    <w:p>
      <w:pPr>
        <w:spacing w:after="0" w:line="183" w:lineRule="exact"/>
        <w:rPr>
          <w:sz w:val="20"/>
          <w:szCs w:val="20"/>
          <w:color w:val="auto"/>
        </w:rPr>
      </w:pPr>
    </w:p>
    <w:p>
      <w:pPr>
        <w:ind w:firstLine="656"/>
        <w:spacing w:after="0" w:line="291" w:lineRule="auto"/>
        <w:tabs>
          <w:tab w:leader="none" w:pos="1307"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acting solely for this purpose as an Administrative Agent of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(hereinafter referred to as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Borrower, Administrative Agent and the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spacing w:after="0" w:line="167" w:lineRule="exact"/>
        <w:rPr>
          <w:rFonts w:ascii="Arial" w:cs="Arial" w:eastAsia="Arial" w:hAnsi="Arial"/>
          <w:sz w:val="16"/>
          <w:szCs w:val="16"/>
          <w:color w:val="auto"/>
        </w:rPr>
      </w:pPr>
    </w:p>
    <w:p>
      <w:pPr>
        <w:ind w:left="1320" w:hanging="664"/>
        <w:spacing w:after="0"/>
        <w:tabs>
          <w:tab w:leader="none" w:pos="1320"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Borrower or the Administrative Agent, sell participations to any Person (other than a natural Person, a Defaulting Lender or the Borrower or any of the Borrower’s Affiliates or Subsidiaries) (hereinafter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w:t>
      </w:r>
    </w:p>
    <w:p>
      <w:pPr>
        <w:sectPr>
          <w:pgSz w:w="11900" w:h="16952" w:orient="portrait"/>
          <w:cols w:equalWidth="0" w:num="1">
            <w:col w:w="11400"/>
          </w:cols>
          <w:pgMar w:left="240" w:top="125" w:right="259" w:bottom="0" w:gutter="0" w:footer="0" w:header="0"/>
        </w:sectPr>
      </w:pPr>
    </w:p>
    <w:bookmarkStart w:id="79" w:name="page80"/>
    <w:bookmarkEnd w:id="79"/>
    <w:p>
      <w:pPr>
        <w:ind w:right="300"/>
        <w:spacing w:after="0" w:line="279" w:lineRule="auto"/>
        <w:rPr>
          <w:sz w:val="20"/>
          <w:szCs w:val="20"/>
          <w:color w:val="auto"/>
        </w:rPr>
      </w:pPr>
      <w:r>
        <w:rPr>
          <w:rFonts w:ascii="Arial" w:cs="Arial" w:eastAsia="Arial" w:hAnsi="Arial"/>
          <w:sz w:val="17"/>
          <w:szCs w:val="17"/>
          <w:color w:val="auto"/>
        </w:rPr>
        <w:t xml:space="preserve">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without regard to the existence of any participation.</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as though it were a Lender. Each Lender that sells a participation shall, acting solely for this purpose as an Administrative Agent of the Borrower, maintain a register on which it enters the name and address of each Participant and the principal amounts (and stated interest) of each Participant’s interest in the Loans or other obligations under the Loan Documents (hereinafter referred to as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0" w:lineRule="exact"/>
        <w:rPr>
          <w:sz w:val="20"/>
          <w:szCs w:val="20"/>
          <w:color w:val="auto"/>
        </w:rPr>
      </w:pPr>
    </w:p>
    <w:p>
      <w:pPr>
        <w:ind w:right="180" w:firstLine="656"/>
        <w:spacing w:after="0" w:line="264" w:lineRule="auto"/>
        <w:tabs>
          <w:tab w:leader="none" w:pos="130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xml:space="preserve">. 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Borrower’s prior written consent.</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Any Lender may at any time pledge or assign a security interest in all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any portion of its rights under this Agreement (including under its Note,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81" w:lineRule="exact"/>
        <w:rPr>
          <w:sz w:val="20"/>
          <w:szCs w:val="20"/>
          <w:color w:val="auto"/>
        </w:rPr>
      </w:pPr>
    </w:p>
    <w:p>
      <w:pPr>
        <w:ind w:firstLine="656"/>
        <w:spacing w:after="0" w:line="276" w:lineRule="auto"/>
        <w:tabs>
          <w:tab w:leader="none" w:pos="1317"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Electronic Execution of Assignments</w:t>
      </w:r>
      <w:r>
        <w:rPr>
          <w:rFonts w:ascii="Arial" w:cs="Arial" w:eastAsia="Arial" w:hAnsi="Arial"/>
          <w:sz w:val="17"/>
          <w:szCs w:val="17"/>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slate laws based on the Uniform Electronic Transactions Act.</w:t>
      </w:r>
    </w:p>
    <w:p>
      <w:pPr>
        <w:spacing w:after="0" w:line="172" w:lineRule="exact"/>
        <w:rPr>
          <w:rFonts w:ascii="Arial" w:cs="Arial" w:eastAsia="Arial" w:hAnsi="Arial"/>
          <w:sz w:val="17"/>
          <w:szCs w:val="17"/>
          <w:color w:val="auto"/>
        </w:rPr>
      </w:pPr>
    </w:p>
    <w:p>
      <w:pPr>
        <w:ind w:right="340" w:firstLine="656"/>
        <w:spacing w:after="0" w:line="259" w:lineRule="auto"/>
        <w:tabs>
          <w:tab w:leader="none" w:pos="130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Deemed Consent of Borrower</w:t>
      </w:r>
      <w:r>
        <w:rPr>
          <w:rFonts w:ascii="Arial" w:cs="Arial" w:eastAsia="Arial" w:hAnsi="Arial"/>
          <w:sz w:val="18"/>
          <w:szCs w:val="18"/>
          <w:color w:val="auto"/>
        </w:rPr>
        <w:t xml:space="preserve">. If the consent of Borrower to an assignment to an Eligible Assignee is required hereunder (including a consent to an assignment which does not meet the minimum assignment threshold specified in </w:t>
      </w:r>
      <w:r>
        <w:rPr>
          <w:rFonts w:ascii="Arial" w:cs="Arial" w:eastAsia="Arial" w:hAnsi="Arial"/>
          <w:sz w:val="18"/>
          <w:szCs w:val="18"/>
          <w:u w:val="single" w:color="auto"/>
          <w:color w:val="auto"/>
        </w:rPr>
        <w:t>Section 10.06(b)(i)(B)</w:t>
      </w:r>
      <w:r>
        <w:rPr>
          <w:rFonts w:ascii="Arial" w:cs="Arial" w:eastAsia="Arial" w:hAnsi="Arial"/>
          <w:sz w:val="18"/>
          <w:szCs w:val="18"/>
          <w:color w:val="auto"/>
        </w:rPr>
        <w:t>), Borrower shall be deemed to have given its consent five Business Days after the date notice thereof has been delivered to Borrower by the assigning Lender (through Administrative Agent) unless such consent is expressly refused by Borrower prior to such fifth Business Day.</w:t>
      </w:r>
    </w:p>
    <w:p>
      <w:pPr>
        <w:spacing w:after="0" w:line="186" w:lineRule="exact"/>
        <w:rPr>
          <w:rFonts w:ascii="Arial" w:cs="Arial" w:eastAsia="Arial" w:hAnsi="Arial"/>
          <w:sz w:val="18"/>
          <w:szCs w:val="18"/>
          <w:color w:val="auto"/>
        </w:rPr>
      </w:pPr>
    </w:p>
    <w:p>
      <w:pPr>
        <w:ind w:right="40" w:firstLine="656"/>
        <w:spacing w:after="0" w:line="288" w:lineRule="auto"/>
        <w:tabs>
          <w:tab w:leader="none" w:pos="131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Resignation as L/C Issuer</w:t>
      </w:r>
      <w:r>
        <w:rPr>
          <w:rFonts w:ascii="Arial" w:cs="Arial" w:eastAsia="Arial" w:hAnsi="Arial"/>
          <w:sz w:val="16"/>
          <w:szCs w:val="16"/>
          <w:color w:val="auto"/>
        </w:rPr>
        <w:t xml:space="preserve">. Notwithstanding anything to the contrary contained herein, if at any time Bank of America assigns all of its Commitment and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Bank of America may, upon 30 days’ notice to Borrower and the Lenders, resign as L/C Issuer, in the event of any such resignation as L/C Issuer, Borrower shall be entitled to appoint from among Lenders a successor L/C Issuer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Borrower to appoint any such successor shall affect the resignation of Bank of America as L/C Issuer.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Upon the appointment of a successor L/C Issuer, (i) such successor shall succeed to and become vested with all of the rights, powers, privileges and duties of the retiring L/C Issuer, as the case may be, and (ii)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6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b w:val="1"/>
          <w:bCs w:val="1"/>
          <w:color w:val="auto"/>
        </w:rPr>
        <w:t xml:space="preserve">10.07 </w:t>
      </w:r>
      <w:r>
        <w:rPr>
          <w:rFonts w:ascii="Arial" w:cs="Arial" w:eastAsia="Arial" w:hAnsi="Arial"/>
          <w:sz w:val="16"/>
          <w:szCs w:val="16"/>
          <w:b w:val="1"/>
          <w:bCs w:val="1"/>
          <w:u w:val="single" w:color="auto"/>
          <w:color w:val="auto"/>
        </w:rPr>
        <w:t>Treatment of Certain Information; Confidentiality</w:t>
      </w:r>
      <w:r>
        <w:rPr>
          <w:rFonts w:ascii="Arial" w:cs="Arial" w:eastAsia="Arial" w:hAnsi="Arial"/>
          <w:sz w:val="16"/>
          <w:szCs w:val="16"/>
          <w:color w:val="auto"/>
        </w:rPr>
        <w:t>. Each of Administrative Agent, Lenders and the L/C Issuer agrees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confidentiality of the “Information” (as such term is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and that the party disclosing Information to such Person shall remain liable for any direct damages arising out of any such unauthorized disclosure by any such Person),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(after prior notice to Borrower to the extent reasonably practicable and not prohibited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Arial" w:cs="Arial" w:eastAsia="Arial" w:hAnsi="Arial"/>
          <w:sz w:val="16"/>
          <w:szCs w:val="16"/>
          <w:u w:val="single" w:color="auto"/>
          <w:color w:val="auto"/>
        </w:rPr>
        <w:t>Section 10.07</w:t>
      </w:r>
      <w:r>
        <w:rPr>
          <w:rFonts w:ascii="Arial" w:cs="Arial" w:eastAsia="Arial" w:hAnsi="Arial"/>
          <w:sz w:val="16"/>
          <w:szCs w:val="16"/>
          <w:color w:val="auto"/>
        </w:rPr>
        <w:t>, to (i) any assignee of or Participant in, or any</w:t>
      </w:r>
    </w:p>
    <w:p>
      <w:pPr>
        <w:sectPr>
          <w:pgSz w:w="11900" w:h="16838" w:orient="portrait"/>
          <w:cols w:equalWidth="0" w:num="1">
            <w:col w:w="11420"/>
          </w:cols>
          <w:pgMar w:left="240" w:top="125" w:right="239" w:bottom="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125" w:right="239" w:bottom="0" w:gutter="0" w:footer="0" w:header="0"/>
          <w:type w:val="continuous"/>
        </w:sectPr>
      </w:pPr>
    </w:p>
    <w:bookmarkStart w:id="80" w:name="page81"/>
    <w:bookmarkEnd w:id="80"/>
    <w:p>
      <w:pPr>
        <w:ind w:right="1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w:t>
      </w:r>
    </w:p>
    <w:p>
      <w:pPr>
        <w:spacing w:after="0" w:line="2" w:lineRule="exact"/>
        <w:rPr>
          <w:sz w:val="20"/>
          <w:szCs w:val="20"/>
          <w:color w:val="auto"/>
        </w:rPr>
      </w:pPr>
    </w:p>
    <w:p>
      <w:pPr>
        <w:ind w:right="60" w:firstLine="8"/>
        <w:spacing w:after="0" w:line="267" w:lineRule="auto"/>
        <w:tabs>
          <w:tab w:leader="none" w:pos="25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becomes publicly available other than as a result of a breach of this Section or (y) becomes available to the Administrative Agent, any Lender, the L/C Issuer or any of their respective Affiliates on a nonconfidential basis from a source other than the Borrower. For purposes of this </w:t>
      </w:r>
      <w:r>
        <w:rPr>
          <w:rFonts w:ascii="Arial" w:cs="Arial" w:eastAsia="Arial" w:hAnsi="Arial"/>
          <w:sz w:val="17"/>
          <w:szCs w:val="17"/>
          <w:u w:val="single" w:color="auto"/>
          <w:color w:val="auto"/>
        </w:rPr>
        <w:t>Section 10.07</w:t>
      </w:r>
      <w:r>
        <w:rPr>
          <w:rFonts w:ascii="Arial" w:cs="Arial" w:eastAsia="Arial" w:hAnsi="Arial"/>
          <w:sz w:val="17"/>
          <w:szCs w:val="17"/>
          <w:color w:val="auto"/>
        </w:rPr>
        <w:t>, “</w:t>
      </w: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means all information received from Borrower or any Subsidiary relating to Borrower or any Subsidiary or any of their respective businesses, other than any such information that is available to Administrative Agent, any Lender or the L/C Issuer on a nonconfidential basis prior to disclosure by Borrower or any Subsidiary;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case of information received from the Borrower or any Subsidiary after the date hereof, such information is clearly identified at the time of delivery as confidential or such information is confidential by the apparent nature of the submitted information. Any Person required to maintain the confidentiality of Information as provided in this </w:t>
      </w:r>
      <w:r>
        <w:rPr>
          <w:rFonts w:ascii="Arial" w:cs="Arial" w:eastAsia="Arial" w:hAnsi="Arial"/>
          <w:sz w:val="17"/>
          <w:szCs w:val="17"/>
          <w:u w:val="single" w:color="auto"/>
          <w:color w:val="auto"/>
        </w:rPr>
        <w:t>Section 10.07</w:t>
      </w:r>
      <w:r>
        <w:rPr>
          <w:rFonts w:ascii="Arial" w:cs="Arial" w:eastAsia="Arial" w:hAnsi="Arial"/>
          <w:sz w:val="17"/>
          <w:szCs w:val="17"/>
          <w:color w:val="auto"/>
        </w:rPr>
        <w:t xml:space="preserve"> shall be considered to have complied with its obligation to do so if such Person has exercised reasonable care consistent with industry standards to maintain the confidentiality of such Information as such Person would accord to its own confidential information. Each of Administrative Agent, the Lenders and the L/C Issuer acknowledges that (A) the Information may include material non-public information concerning Borrower or a Subsidiary, as the case may be, (B) it has developed compliance procedures regarding the use of material non-public information and (C) it will handle such material non-public information in accordance with applicable Law, including applicable Federal and state securities Laws.</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10.08 </w:t>
      </w:r>
      <w:r>
        <w:rPr>
          <w:rFonts w:ascii="Arial" w:cs="Arial" w:eastAsia="Arial" w:hAnsi="Arial"/>
          <w:sz w:val="17"/>
          <w:szCs w:val="17"/>
          <w:b w:val="1"/>
          <w:bCs w:val="1"/>
          <w:u w:val="single" w:color="auto"/>
          <w:color w:val="auto"/>
        </w:rPr>
        <w:t>Right of Setoff</w:t>
      </w:r>
      <w:r>
        <w:rPr>
          <w:rFonts w:ascii="Arial" w:cs="Arial" w:eastAsia="Arial" w:hAnsi="Arial"/>
          <w:sz w:val="17"/>
          <w:szCs w:val="17"/>
          <w:color w:val="auto"/>
        </w:rPr>
        <w:t>. If an Event of Default shall have occurred and be continuing, each Lender, the L/C Issuer and each of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Borrower or any other Loan Party against any and all of the obligations of Borrower or such Loan Party now or hereafter existing under this Agreement or any other Loan Document to such Lender or the L/C Issuer or any such Affiliate, irrespective of whether or not such Lender or the L/C Issuer shall have made any demand under this Agreement or any other Loan Document and although such obligations of Borrower or such Loan Party may be contingent or unmatured or are owed to a branch or office of such Lender or the L/C Issuer different from the branch or office holding such deposit or obligated on such indebtedness;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are in addition to other rights and remedies (including other rights of setoff) that such Lender, the L/C Issuer or their respective Affiliates may have. Each Lender and the L/C Issuer agrees to notify Borrower and Administrative Agent promptly after any such setoff and application,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failure to give such notice shall not affect the validity of such setoff and application.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10.09</w:t>
      </w:r>
      <w:r>
        <w:rPr>
          <w:sz w:val="20"/>
          <w:szCs w:val="20"/>
          <w:color w:val="auto"/>
        </w:rPr>
        <w:tab/>
      </w:r>
      <w:r>
        <w:rPr>
          <w:rFonts w:ascii="Arial" w:cs="Arial" w:eastAsia="Arial" w:hAnsi="Arial"/>
          <w:sz w:val="16"/>
          <w:szCs w:val="16"/>
          <w:b w:val="1"/>
          <w:bCs w:val="1"/>
          <w:u w:val="single" w:color="auto"/>
          <w:color w:val="auto"/>
        </w:rPr>
        <w:t>Interest Rate Limitation</w:t>
      </w:r>
      <w:r>
        <w:rPr>
          <w:rFonts w:ascii="Arial" w:cs="Arial" w:eastAsia="Arial" w:hAnsi="Arial"/>
          <w:sz w:val="16"/>
          <w:szCs w:val="16"/>
          <w:color w:val="auto"/>
        </w:rPr>
        <w:t>. Notwithstanding anything to the contrary contained in 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Loan Document, the interest paid or agreed to be paid under the Loan Documents shall not exceed the maximum rate of non-usurious interest permitted by applicable Law (the “</w:t>
      </w:r>
      <w:r>
        <w:rPr>
          <w:rFonts w:ascii="Arial" w:cs="Arial" w:eastAsia="Arial" w:hAnsi="Arial"/>
          <w:sz w:val="18"/>
          <w:szCs w:val="18"/>
          <w:u w:val="single" w:color="auto"/>
          <w:color w:val="auto"/>
        </w:rPr>
        <w:t>Maximum Rate</w:t>
      </w:r>
      <w:r>
        <w:rPr>
          <w:rFonts w:ascii="Arial" w:cs="Arial" w:eastAsia="Arial" w:hAnsi="Arial"/>
          <w:sz w:val="18"/>
          <w:szCs w:val="18"/>
          <w:color w:val="auto"/>
        </w:rPr>
        <w:t>”). If Administrative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10.10 </w:t>
      </w:r>
      <w:r>
        <w:rPr>
          <w:rFonts w:ascii="Arial" w:cs="Arial" w:eastAsia="Arial" w:hAnsi="Arial"/>
          <w:sz w:val="17"/>
          <w:szCs w:val="17"/>
          <w:b w:val="1"/>
          <w:bCs w:val="1"/>
          <w:u w:val="single" w:color="auto"/>
          <w:color w:val="auto"/>
        </w:rPr>
        <w:t>Counterparts; Integration; Effectiveness</w:t>
      </w:r>
      <w:r>
        <w:rPr>
          <w:rFonts w:ascii="Arial" w:cs="Arial" w:eastAsia="Arial" w:hAnsi="Arial"/>
          <w:sz w:val="17"/>
          <w:szCs w:val="17"/>
          <w:color w:val="auto"/>
        </w:rPr>
        <w:t>. This Agreement may be executed in counterparts (and by different parties hereto in different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expressly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Borrower and Administrative Agent and when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72"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b w:val="1"/>
          <w:bCs w:val="1"/>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8" w:lineRule="exact"/>
        <w:rPr>
          <w:sz w:val="20"/>
          <w:szCs w:val="20"/>
          <w:color w:val="auto"/>
        </w:rPr>
      </w:pPr>
    </w:p>
    <w:p>
      <w:pPr>
        <w:ind w:right="40" w:firstLine="648"/>
        <w:spacing w:after="0" w:line="292" w:lineRule="auto"/>
        <w:rPr>
          <w:sz w:val="20"/>
          <w:szCs w:val="20"/>
          <w:color w:val="auto"/>
        </w:rPr>
      </w:pPr>
      <w:r>
        <w:rPr>
          <w:rFonts w:ascii="Arial" w:cs="Arial" w:eastAsia="Arial" w:hAnsi="Arial"/>
          <w:sz w:val="16"/>
          <w:szCs w:val="16"/>
          <w:b w:val="1"/>
          <w:bCs w:val="1"/>
          <w:color w:val="auto"/>
        </w:rPr>
        <w:t xml:space="preserve">10.12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of this Agreement or the other Loan Documents is held to be illegal, invalid or unenforceable, (a)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10.12</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or the L/C Issuer, as applicable, then such provisions shall be deemed to be in effect only to the extent not so limited.</w:t>
      </w:r>
    </w:p>
    <w:p>
      <w:pPr>
        <w:sectPr>
          <w:pgSz w:w="11900" w:h="16838" w:orient="portrait"/>
          <w:cols w:equalWidth="0" w:num="1">
            <w:col w:w="11420"/>
          </w:cols>
          <w:pgMar w:left="240" w:top="733" w:right="239" w:bottom="0" w:gutter="0" w:footer="0" w:header="0"/>
        </w:sectPr>
      </w:pPr>
    </w:p>
    <w:bookmarkStart w:id="81" w:name="page82"/>
    <w:bookmarkEnd w:id="81"/>
    <w:p>
      <w:pPr>
        <w:spacing w:after="0" w:line="9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b w:val="1"/>
          <w:bCs w:val="1"/>
          <w:u w:val="single" w:color="auto"/>
          <w:color w:val="auto"/>
        </w:rPr>
        <w:t>Replacement of Lenders</w:t>
      </w:r>
      <w:r>
        <w:rPr>
          <w:rFonts w:ascii="Arial" w:cs="Arial" w:eastAsia="Arial" w:hAnsi="Arial"/>
          <w:sz w:val="18"/>
          <w:szCs w:val="18"/>
          <w:color w:val="auto"/>
        </w:rPr>
        <w:t>. If the Borrower is entitled to replace a Lender pursuant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3.06</w:t>
      </w:r>
      <w:r>
        <w:rPr>
          <w:rFonts w:ascii="Arial" w:cs="Arial" w:eastAsia="Arial" w:hAnsi="Arial"/>
          <w:sz w:val="18"/>
          <w:szCs w:val="18"/>
          <w:color w:val="auto"/>
        </w:rPr>
        <w:t>, or if any Lender is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all of its interests, rights (other than its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existing rights to payments pursuant to </w:t>
      </w:r>
      <w:r>
        <w:rPr>
          <w:rFonts w:ascii="Arial" w:cs="Arial" w:eastAsia="Arial" w:hAnsi="Arial"/>
          <w:sz w:val="17"/>
          <w:szCs w:val="17"/>
          <w:u w:val="single" w:color="auto"/>
          <w:color w:val="auto"/>
        </w:rPr>
        <w:t>Sections 3.01 and 3.04</w:t>
      </w:r>
      <w:r>
        <w:rPr>
          <w:rFonts w:ascii="Arial" w:cs="Arial" w:eastAsia="Arial" w:hAnsi="Arial"/>
          <w:sz w:val="17"/>
          <w:szCs w:val="17"/>
          <w:color w:val="auto"/>
        </w:rPr>
        <w:t>) and obligations under this Agreement and the related Loan Documents to an Eligible Assignee that shall assume such obligations (which assignee may be another Lender, if a Lender accepts such assignment), provided that:</w:t>
      </w:r>
    </w:p>
    <w:p>
      <w:pPr>
        <w:spacing w:after="0" w:line="147" w:lineRule="exact"/>
        <w:rPr>
          <w:sz w:val="20"/>
          <w:szCs w:val="20"/>
          <w:color w:val="auto"/>
        </w:rPr>
      </w:pPr>
    </w:p>
    <w:p>
      <w:pPr>
        <w:ind w:right="80" w:firstLine="656"/>
        <w:spacing w:after="0" w:line="277" w:lineRule="auto"/>
        <w:tabs>
          <w:tab w:leader="none" w:pos="129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assignment fee shall be due and owing by the Borrower in connection with the replacement of a Defaulting Lender;</w:t>
      </w:r>
    </w:p>
    <w:p>
      <w:pPr>
        <w:spacing w:after="0" w:line="170" w:lineRule="exact"/>
        <w:rPr>
          <w:rFonts w:ascii="Arial" w:cs="Arial" w:eastAsia="Arial" w:hAnsi="Arial"/>
          <w:sz w:val="18"/>
          <w:szCs w:val="18"/>
          <w:color w:val="auto"/>
        </w:rPr>
      </w:pPr>
    </w:p>
    <w:p>
      <w:pPr>
        <w:ind w:firstLine="656"/>
        <w:spacing w:after="0" w:line="312" w:lineRule="auto"/>
        <w:tabs>
          <w:tab w:leader="none" w:pos="130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46" w:lineRule="exact"/>
        <w:rPr>
          <w:rFonts w:ascii="Arial" w:cs="Arial" w:eastAsia="Arial" w:hAnsi="Arial"/>
          <w:sz w:val="16"/>
          <w:szCs w:val="16"/>
          <w:color w:val="auto"/>
        </w:rPr>
      </w:pPr>
    </w:p>
    <w:p>
      <w:pPr>
        <w:ind w:right="20" w:firstLine="656"/>
        <w:spacing w:after="0" w:line="277" w:lineRule="auto"/>
        <w:tabs>
          <w:tab w:leader="none" w:pos="130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225" w:lineRule="exact"/>
        <w:rPr>
          <w:rFonts w:ascii="Arial" w:cs="Arial" w:eastAsia="Arial" w:hAnsi="Arial"/>
          <w:sz w:val="18"/>
          <w:szCs w:val="18"/>
          <w:color w:val="auto"/>
        </w:rPr>
      </w:pPr>
    </w:p>
    <w:p>
      <w:pPr>
        <w:ind w:right="200" w:firstLine="656"/>
        <w:spacing w:after="0" w:line="277" w:lineRule="auto"/>
        <w:tabs>
          <w:tab w:leader="none" w:pos="130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10.14</w:t>
      </w:r>
      <w:r>
        <w:rPr>
          <w:sz w:val="20"/>
          <w:szCs w:val="20"/>
          <w:color w:val="auto"/>
        </w:rPr>
        <w:tab/>
      </w:r>
      <w:r>
        <w:rPr>
          <w:rFonts w:ascii="Arial" w:cs="Arial" w:eastAsia="Arial" w:hAnsi="Arial"/>
          <w:sz w:val="16"/>
          <w:szCs w:val="16"/>
          <w:b w:val="1"/>
          <w:bCs w:val="1"/>
          <w:u w:val="single" w:color="auto"/>
          <w:color w:val="auto"/>
        </w:rPr>
        <w:t>Governing Law; Jurisdiction; Etc</w:t>
      </w:r>
      <w:r>
        <w:rPr>
          <w:rFonts w:ascii="Arial" w:cs="Arial" w:eastAsia="Arial" w:hAnsi="Arial"/>
          <w:sz w:val="16"/>
          <w:szCs w:val="16"/>
          <w:color w:val="auto"/>
        </w:rPr>
        <w:t>.</w:t>
      </w:r>
    </w:p>
    <w:p>
      <w:pPr>
        <w:spacing w:after="0" w:line="229" w:lineRule="exact"/>
        <w:rPr>
          <w:sz w:val="20"/>
          <w:szCs w:val="20"/>
          <w:color w:val="auto"/>
        </w:rPr>
      </w:pPr>
    </w:p>
    <w:p>
      <w:pPr>
        <w:ind w:right="100" w:firstLine="656"/>
        <w:spacing w:after="0" w:line="255" w:lineRule="auto"/>
        <w:tabs>
          <w:tab w:leader="none" w:pos="1294"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 WITHOUT REGARD TO CONFLICTS OF LAW PRINCIPLES OF NEW YORK STATE LAW OTHER THAN §5-1401 OF THE NEW YORK GENERAL OBLIGATIONS LAW.</w:t>
      </w:r>
    </w:p>
    <w:p>
      <w:pPr>
        <w:spacing w:after="0" w:line="193" w:lineRule="exact"/>
        <w:rPr>
          <w:rFonts w:ascii="Arial" w:cs="Arial" w:eastAsia="Arial" w:hAnsi="Arial"/>
          <w:sz w:val="18"/>
          <w:szCs w:val="18"/>
          <w:color w:val="auto"/>
        </w:rPr>
      </w:pPr>
    </w:p>
    <w:p>
      <w:pPr>
        <w:ind w:right="40" w:firstLine="656"/>
        <w:spacing w:after="0" w:line="271" w:lineRule="auto"/>
        <w:tabs>
          <w:tab w:leader="none" w:pos="1304"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THE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w:t>
      </w:r>
    </w:p>
    <w:p>
      <w:pPr>
        <w:spacing w:after="0" w:line="189" w:lineRule="exact"/>
        <w:rPr>
          <w:sz w:val="20"/>
          <w:szCs w:val="20"/>
          <w:color w:val="auto"/>
        </w:rPr>
      </w:pPr>
    </w:p>
    <w:p>
      <w:pPr>
        <w:ind w:right="20" w:firstLine="656"/>
        <w:spacing w:after="0" w:line="255" w:lineRule="auto"/>
        <w:tabs>
          <w:tab w:leader="none" w:pos="1307"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10.13</w:t>
      </w:r>
      <w:r>
        <w:rPr>
          <w:rFonts w:ascii="Arial" w:cs="Arial" w:eastAsia="Arial" w:hAnsi="Arial"/>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ind w:right="140" w:firstLine="656"/>
        <w:spacing w:after="0" w:line="259" w:lineRule="auto"/>
        <w:tabs>
          <w:tab w:leader="none" w:pos="1304"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NOTHING IN THIS AGREEMENT WILL AFFECT THE RIGHT OF ANY PARTY HERETO TO SERVE PROCESS IN ANY MANNER PERMITTED BY APPLICABLE LAW. SERVICE OF PROCESS HEREUNDER SHALL BE MADE UPON EACH PARTY’S REGISTERED AGENT IN ITS STATE OF INCORPORATION AND EACH PARTY HEREBY AUTHORIZES ITS AGENT TO RECEIVE OF SUCH PROCESS.</w:t>
      </w:r>
    </w:p>
    <w:p>
      <w:pPr>
        <w:spacing w:after="0" w:line="183"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10.15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color w:val="auto"/>
        </w:rPr>
        <w:t>. 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w:t>
      </w:r>
    </w:p>
    <w:p>
      <w:pPr>
        <w:sectPr>
          <w:pgSz w:w="11900" w:h="16930" w:orient="portrait"/>
          <w:cols w:equalWidth="0" w:num="1">
            <w:col w:w="11420"/>
          </w:cols>
          <w:pgMar w:left="240" w:top="121" w:right="239" w:bottom="0" w:gutter="0" w:footer="0" w:header="0"/>
        </w:sectPr>
      </w:pPr>
    </w:p>
    <w:bookmarkStart w:id="82" w:name="page83"/>
    <w:bookmarkEnd w:id="82"/>
    <w:p>
      <w:pPr>
        <w:ind w:right="40"/>
        <w:spacing w:after="0" w:line="274" w:lineRule="auto"/>
        <w:rPr>
          <w:sz w:val="20"/>
          <w:szCs w:val="20"/>
          <w:color w:val="auto"/>
        </w:rPr>
      </w:pPr>
      <w:r>
        <w:rPr>
          <w:rFonts w:ascii="Arial" w:cs="Arial" w:eastAsia="Arial" w:hAnsi="Arial"/>
          <w:sz w:val="17"/>
          <w:szCs w:val="17"/>
          <w:color w:val="auto"/>
        </w:rPr>
        <w:t>REPRESENTATIVE, ADMINISTRATIVE AGENT OR ATTORNEY OF ANY OTHER PERSON HAS REPRESENTED, EXPRESSLY OR OTHERWISE, THAT SUCH OTHER PERSON WOULD NOT, IN THE EVENT OF LITIGATION, SEEK TO ENFORCE THE FOREGOING WAIVER AND</w:t>
      </w:r>
    </w:p>
    <w:p>
      <w:pPr>
        <w:ind w:right="220" w:firstLine="8"/>
        <w:spacing w:after="0" w:line="290" w:lineRule="auto"/>
        <w:tabs>
          <w:tab w:leader="none" w:pos="27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ACKNOWLEDGES THAT IT AND THE OTHER PARTIES HERETO HAVE BEEN INDUCED TO ENTER INTO THIS AGREEMENT AND THE OTHER LOAN DOCUMENTS BY, AMONG OTHER THINGS, THE MUTUAL WAIVERS AND CERTIFICATIONS IN THIS </w:t>
      </w:r>
      <w:r>
        <w:rPr>
          <w:rFonts w:ascii="Arial" w:cs="Arial" w:eastAsia="Arial" w:hAnsi="Arial"/>
          <w:sz w:val="17"/>
          <w:szCs w:val="17"/>
          <w:u w:val="single" w:color="auto"/>
          <w:color w:val="auto"/>
        </w:rPr>
        <w:t>SECTION 10.14</w:t>
      </w:r>
      <w:r>
        <w:rPr>
          <w:rFonts w:ascii="Arial" w:cs="Arial" w:eastAsia="Arial" w:hAnsi="Arial"/>
          <w:sz w:val="17"/>
          <w:szCs w:val="17"/>
          <w:color w:val="auto"/>
        </w:rPr>
        <w:t>.</w:t>
      </w:r>
    </w:p>
    <w:p>
      <w:pPr>
        <w:spacing w:after="0" w:line="158" w:lineRule="exact"/>
        <w:rPr>
          <w:sz w:val="20"/>
          <w:szCs w:val="20"/>
          <w:color w:val="auto"/>
        </w:rPr>
      </w:pPr>
    </w:p>
    <w:p>
      <w:pPr>
        <w:ind w:right="720" w:firstLine="648"/>
        <w:spacing w:after="0" w:line="293" w:lineRule="auto"/>
        <w:rPr>
          <w:sz w:val="20"/>
          <w:szCs w:val="20"/>
          <w:color w:val="auto"/>
        </w:rPr>
      </w:pPr>
      <w:r>
        <w:rPr>
          <w:rFonts w:ascii="Arial" w:cs="Arial" w:eastAsia="Arial" w:hAnsi="Arial"/>
          <w:sz w:val="16"/>
          <w:szCs w:val="16"/>
          <w:b w:val="1"/>
          <w:bCs w:val="1"/>
          <w:color w:val="auto"/>
        </w:rPr>
        <w:t xml:space="preserve">10.16 </w:t>
      </w:r>
      <w:r>
        <w:rPr>
          <w:rFonts w:ascii="Arial" w:cs="Arial" w:eastAsia="Arial" w:hAnsi="Arial"/>
          <w:sz w:val="16"/>
          <w:szCs w:val="16"/>
          <w:b w:val="1"/>
          <w:bCs w:val="1"/>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Loan Document), the Borrower acknowledges and agrees that:</w:t>
      </w:r>
    </w:p>
    <w:p>
      <w:pPr>
        <w:spacing w:after="0" w:line="1" w:lineRule="exact"/>
        <w:rPr>
          <w:sz w:val="20"/>
          <w:szCs w:val="20"/>
          <w:color w:val="auto"/>
        </w:rPr>
      </w:pPr>
    </w:p>
    <w:p>
      <w:pPr>
        <w:ind w:firstLine="8"/>
        <w:spacing w:after="0" w:line="252" w:lineRule="auto"/>
        <w:tabs>
          <w:tab w:leader="none" w:pos="21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the arranging and other services regarding this Agreement provided by the Administrative Agent, the Lead Arranger and the Lenders are arm’s-length commercial transactions between the Borrower and its Affiliates, on the one hand, and the Administrative Agent, the Lead Arranger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the Lead Arranger and each Lender is and has been acting solely as a principal and, except as expressly agreed in writing by the relevant parties, has not been, is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will not be acting as an advisor, Administrative Agent or fiduciary for the Borrower or any of its Affiliates, or any other Person and (B) neither the Administrative Agent, the Lead Arranger nor any Lender has any obligation to the Borrower or any of its Affiliates with respect to the transactions contemplated hereby except those obligations expressly set forth herein and in the other Loan Documents; and (iii) the Administrative Agent, the Lead Arranger and the Lenders and their respective Affiliates may be engaged in a broad range of transactions that involve interests that differ from those of the Borrower and its Affiliates, and neither the Administrative Agent, the Lead Arranger nor any Lender has any obligation to disclose any of such interests to the Borrower or its Affiliates. To the fullest extent permitted by law, the Borrower hereby waives and releases any claims that it may have against the Administrative Agent, the Lead Arranger or any Lender with respect to any breach or alleged breach of fiduciary duty in connection with any aspect of any transaction contemplated hereby.</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b w:val="1"/>
          <w:bCs w:val="1"/>
          <w:u w:val="single" w:color="auto"/>
          <w:color w:val="auto"/>
        </w:rPr>
        <w:t>Electronic Execution of Assignments and Certain Other Documents</w:t>
      </w:r>
      <w:r>
        <w:rPr>
          <w:rFonts w:ascii="Arial" w:cs="Arial" w:eastAsia="Arial" w:hAnsi="Arial"/>
          <w:sz w:val="18"/>
          <w:szCs w:val="18"/>
          <w:color w:val="auto"/>
        </w:rPr>
        <w:t>. The words “execute,” “execution,” “signed,” “signature,”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10.18 </w:t>
      </w:r>
      <w:r>
        <w:rPr>
          <w:rFonts w:ascii="Arial" w:cs="Arial" w:eastAsia="Arial" w:hAnsi="Arial"/>
          <w:sz w:val="17"/>
          <w:szCs w:val="17"/>
          <w:b w:val="1"/>
          <w:bCs w:val="1"/>
          <w:u w:val="single" w:color="auto"/>
          <w:color w:val="auto"/>
        </w:rPr>
        <w:t>USA PATRIOT Act Notice</w:t>
      </w:r>
      <w:r>
        <w:rPr>
          <w:rFonts w:ascii="Arial" w:cs="Arial" w:eastAsia="Arial" w:hAnsi="Arial"/>
          <w:sz w:val="17"/>
          <w:szCs w:val="17"/>
          <w:color w:val="auto"/>
        </w:rPr>
        <w:t>. Each Lender that is subject to the “Act” (as such term is hereinafter defined) and Administrative Agent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itself alone and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on behalf of any Lender) hereby notifies Borrower that pursuant to the requirements of the USA PATRIOT Act (Title III of Pub. L. 107-56 (signed into law October 26, 2001)) (as amended or modified,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Borrower, which information includes the name and address of Borrower and other information that will allow such Lender or Administrative Agent, as applicable, to identify Borrower in accordance with the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10.19</w:t>
      </w:r>
      <w:r>
        <w:rPr>
          <w:sz w:val="20"/>
          <w:szCs w:val="20"/>
          <w:color w:val="auto"/>
        </w:rPr>
        <w:tab/>
      </w:r>
      <w:r>
        <w:rPr>
          <w:rFonts w:ascii="Arial" w:cs="Arial" w:eastAsia="Arial" w:hAnsi="Arial"/>
          <w:sz w:val="15"/>
          <w:szCs w:val="15"/>
          <w:b w:val="1"/>
          <w:bCs w:val="1"/>
          <w:u w:val="single" w:color="auto"/>
          <w:color w:val="auto"/>
        </w:rPr>
        <w:t>Time of the Essence</w:t>
      </w:r>
      <w:r>
        <w:rPr>
          <w:rFonts w:ascii="Arial" w:cs="Arial" w:eastAsia="Arial" w:hAnsi="Arial"/>
          <w:sz w:val="15"/>
          <w:szCs w:val="15"/>
          <w:color w:val="auto"/>
        </w:rPr>
        <w:t>. Time is of the essence of the Loan Documents.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10.20 </w:t>
      </w:r>
      <w:r>
        <w:rPr>
          <w:rFonts w:ascii="Arial" w:cs="Arial" w:eastAsia="Arial" w:hAnsi="Arial"/>
          <w:sz w:val="16"/>
          <w:szCs w:val="16"/>
          <w:b w:val="1"/>
          <w:bCs w:val="1"/>
          <w:u w:val="single" w:color="auto"/>
          <w:color w:val="auto"/>
        </w:rPr>
        <w:t>Judgment Currency</w:t>
      </w:r>
      <w:r>
        <w:rPr>
          <w:rFonts w:ascii="Arial" w:cs="Arial" w:eastAsia="Arial" w:hAnsi="Arial"/>
          <w:sz w:val="16"/>
          <w:szCs w:val="16"/>
          <w:color w:val="auto"/>
        </w:rPr>
        <w:t>. If, for the purposes of obtaining judgment in any court, it is necessary to convert a sum due hereunder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in one currency into another currency, the rate of exchange used shall be that at which in accordance with normal and customary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(hereinafter referred to as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(hereinafter referred to as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hereby covenants and agrees, as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duly executed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MISTRAS GROUP, INC.</w:t>
      </w:r>
      <w:r>
        <w:rPr>
          <w:rFonts w:ascii="Arial" w:cs="Arial" w:eastAsia="Arial" w:hAnsi="Arial"/>
          <w:sz w:val="18"/>
          <w:szCs w:val="18"/>
          <w:color w:val="auto"/>
        </w:rPr>
        <w:t>, as Borrower</w:t>
      </w:r>
    </w:p>
    <w:p>
      <w:pPr>
        <w:sectPr>
          <w:pgSz w:w="11900" w:h="16838" w:orient="portrait"/>
          <w:cols w:equalWidth="0" w:num="1">
            <w:col w:w="11400"/>
          </w:cols>
          <w:pgMar w:left="240" w:top="125" w:right="259" w:bottom="0" w:gutter="0" w:footer="0" w:header="0"/>
        </w:sectPr>
      </w:pPr>
    </w:p>
    <w:bookmarkStart w:id="83" w:name="page84"/>
    <w:bookmarkEnd w:id="83"/>
    <w:p>
      <w:pPr>
        <w:spacing w:after="0" w:line="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-130810</wp:posOffset>
            </wp:positionV>
            <wp:extent cx="33191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-130810</wp:posOffset>
            </wp:positionV>
            <wp:extent cx="329311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 and as the L/C Issuer</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William T. Franey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-130810</wp:posOffset>
            </wp:positionV>
            <wp:extent cx="33020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Susan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-130810</wp:posOffset>
            </wp:positionV>
            <wp:extent cx="33020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KEYBANK NATIONAL ASSOCIATION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James Gelle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-130810</wp:posOffset>
            </wp:positionV>
            <wp:extent cx="33020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3920490</wp:posOffset>
            </wp:positionH>
            <wp:positionV relativeFrom="paragraph">
              <wp:posOffset>-130810</wp:posOffset>
            </wp:positionV>
            <wp:extent cx="32931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218440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0"/>
        <w:spacing w:after="0"/>
        <w:rPr>
          <w:sz w:val="20"/>
          <w:szCs w:val="20"/>
          <w:color w:val="auto"/>
        </w:rPr>
      </w:pPr>
      <w:r>
        <w:rPr>
          <w:rFonts w:ascii="Arial" w:cs="Arial" w:eastAsia="Arial" w:hAnsi="Arial"/>
          <w:sz w:val="17"/>
          <w:szCs w:val="17"/>
          <w:b w:val="1"/>
          <w:bCs w:val="1"/>
          <w:i w:val="1"/>
          <w:iCs w:val="1"/>
          <w:color w:val="auto"/>
        </w:rPr>
        <w:t>SCHEDULE 1.01(E)</w:t>
      </w:r>
    </w:p>
    <w:p>
      <w:pPr>
        <w:spacing w:after="0" w:line="233" w:lineRule="exact"/>
        <w:rPr>
          <w:sz w:val="20"/>
          <w:szCs w:val="20"/>
          <w:color w:val="auto"/>
        </w:rPr>
      </w:pPr>
    </w:p>
    <w:p>
      <w:pPr>
        <w:ind w:right="60" w:firstLine="26"/>
        <w:spacing w:after="0" w:line="313" w:lineRule="auto"/>
        <w:rPr>
          <w:sz w:val="20"/>
          <w:szCs w:val="20"/>
          <w:color w:val="auto"/>
        </w:rPr>
      </w:pPr>
      <w:r>
        <w:rPr>
          <w:rFonts w:ascii="Arial" w:cs="Arial" w:eastAsia="Arial" w:hAnsi="Arial"/>
          <w:sz w:val="17"/>
          <w:szCs w:val="17"/>
          <w:b w:val="1"/>
          <w:bCs w:val="1"/>
          <w:color w:val="auto"/>
        </w:rPr>
        <w:t>ATTACHED TO AND MADE A PART OF THAT CERTAIN THIRD AMENDED AND RESTATED CREDIT AGREEMENT BY AND AMONG, AMONGST OTHERS, MISTRAS GROUP, INC., AS BORROWER, AND BANK OF AMERICA, N.A., AS ADMINISTRATIVE AGENT, DATED</w:t>
      </w:r>
    </w:p>
    <w:p>
      <w:pPr>
        <w:sectPr>
          <w:pgSz w:w="11900" w:h="16876" w:orient="portrait"/>
          <w:cols w:equalWidth="0" w:num="1">
            <w:col w:w="11360"/>
          </w:cols>
          <w:pgMar w:left="300" w:top="341" w:right="239" w:bottom="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t>DECEMBER 21, 2011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EXISTING LETTERS OF CREDIT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Letters of Credit</w:t>
            </w:r>
          </w:p>
        </w:tc>
        <w:tc>
          <w:tcPr>
            <w:tcW w:w="260" w:type="dxa"/>
            <w:vAlign w:val="bottom"/>
          </w:tcPr>
          <w:p>
            <w:pPr>
              <w:spacing w:after="0"/>
              <w:rPr>
                <w:sz w:val="14"/>
                <w:szCs w:val="14"/>
                <w:color w:val="auto"/>
              </w:rPr>
            </w:pPr>
          </w:p>
        </w:tc>
        <w:tc>
          <w:tcPr>
            <w:tcW w:w="29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Beneficiary</w:t>
            </w:r>
          </w:p>
        </w:tc>
        <w:tc>
          <w:tcPr>
            <w:tcW w:w="260" w:type="dxa"/>
            <w:vAlign w:val="bottom"/>
          </w:tcPr>
          <w:p>
            <w:pPr>
              <w:spacing w:after="0"/>
              <w:rPr>
                <w:sz w:val="14"/>
                <w:szCs w:val="14"/>
                <w:color w:val="auto"/>
              </w:rPr>
            </w:pPr>
          </w:p>
        </w:tc>
        <w:tc>
          <w:tcPr>
            <w:tcW w:w="1860" w:type="dxa"/>
            <w:vAlign w:val="bottom"/>
          </w:tcPr>
          <w:p>
            <w:pPr>
              <w:ind w:left="680"/>
              <w:spacing w:after="0"/>
              <w:rPr>
                <w:sz w:val="20"/>
                <w:szCs w:val="20"/>
                <w:color w:val="auto"/>
              </w:rPr>
            </w:pPr>
            <w:r>
              <w:rPr>
                <w:rFonts w:ascii="Arial" w:cs="Arial" w:eastAsia="Arial" w:hAnsi="Arial"/>
                <w:sz w:val="14"/>
                <w:szCs w:val="14"/>
                <w:b w:val="1"/>
                <w:bCs w:val="1"/>
                <w:color w:val="auto"/>
              </w:rPr>
              <w:t>Date of</w:t>
            </w:r>
          </w:p>
        </w:tc>
        <w:tc>
          <w:tcPr>
            <w:tcW w:w="2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40" w:type="dxa"/>
            <w:vAlign w:val="bottom"/>
          </w:tcPr>
          <w:p>
            <w:pPr>
              <w:spacing w:after="0"/>
              <w:rPr>
                <w:sz w:val="14"/>
                <w:szCs w:val="14"/>
                <w:color w:val="auto"/>
              </w:rPr>
            </w:pPr>
          </w:p>
        </w:tc>
        <w:tc>
          <w:tcPr>
            <w:tcW w:w="19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Amount/Currency</w:t>
            </w:r>
          </w:p>
        </w:tc>
        <w:tc>
          <w:tcPr>
            <w:tcW w:w="0" w:type="dxa"/>
            <w:vAlign w:val="bottom"/>
          </w:tcPr>
          <w:p>
            <w:pPr>
              <w:spacing w:after="0"/>
              <w:rPr>
                <w:sz w:val="1"/>
                <w:szCs w:val="1"/>
                <w:color w:val="auto"/>
              </w:rPr>
            </w:pPr>
          </w:p>
        </w:tc>
      </w:tr>
      <w:tr>
        <w:trPr>
          <w:trHeight w:val="171"/>
        </w:trPr>
        <w:tc>
          <w:tcPr>
            <w:tcW w:w="18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Issuance</w:t>
            </w:r>
          </w:p>
        </w:tc>
        <w:tc>
          <w:tcPr>
            <w:tcW w:w="24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4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68059769</w:t>
            </w:r>
          </w:p>
        </w:tc>
        <w:tc>
          <w:tcPr>
            <w:tcW w:w="2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THE TRAVELERS INDEMN</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6/22/11</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5/31/12</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US$900,000.00</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68061584</w:t>
            </w:r>
          </w:p>
        </w:tc>
        <w:tc>
          <w:tcPr>
            <w:tcW w:w="3160" w:type="dxa"/>
            <w:vAlign w:val="bottom"/>
            <w:gridSpan w:val="2"/>
          </w:tcPr>
          <w:p>
            <w:pPr>
              <w:ind w:left="260"/>
              <w:spacing w:after="0"/>
              <w:rPr>
                <w:sz w:val="20"/>
                <w:szCs w:val="20"/>
                <w:color w:val="auto"/>
              </w:rPr>
            </w:pPr>
            <w:r>
              <w:rPr>
                <w:rFonts w:ascii="Arial" w:cs="Arial" w:eastAsia="Arial" w:hAnsi="Arial"/>
                <w:sz w:val="18"/>
                <w:szCs w:val="18"/>
                <w:color w:val="auto"/>
              </w:rPr>
              <w:t>STONE AND WEBSTER CO</w:t>
            </w: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9/13/11</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9/09/12</w:t>
            </w: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68062041</w:t>
            </w:r>
          </w:p>
        </w:tc>
        <w:tc>
          <w:tcPr>
            <w:tcW w:w="3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OOO TECNIMONT RUSSIA</w:t>
            </w:r>
          </w:p>
        </w:tc>
        <w:tc>
          <w:tcPr>
            <w:tcW w:w="2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10/17/11</w:t>
            </w:r>
          </w:p>
        </w:tc>
        <w:tc>
          <w:tcPr>
            <w:tcW w:w="20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4/02/12</w:t>
            </w:r>
          </w:p>
        </w:tc>
        <w:tc>
          <w:tcPr>
            <w:tcW w:w="22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EUR1,942,255.65</w:t>
            </w: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68062541</w:t>
            </w:r>
          </w:p>
        </w:tc>
        <w:tc>
          <w:tcPr>
            <w:tcW w:w="3160" w:type="dxa"/>
            <w:vAlign w:val="bottom"/>
            <w:gridSpan w:val="2"/>
          </w:tcPr>
          <w:p>
            <w:pPr>
              <w:ind w:left="260"/>
              <w:spacing w:after="0"/>
              <w:rPr>
                <w:sz w:val="20"/>
                <w:szCs w:val="20"/>
                <w:color w:val="auto"/>
              </w:rPr>
            </w:pPr>
            <w:r>
              <w:rPr>
                <w:rFonts w:ascii="Arial" w:cs="Arial" w:eastAsia="Arial" w:hAnsi="Arial"/>
                <w:sz w:val="18"/>
                <w:szCs w:val="18"/>
                <w:color w:val="auto"/>
              </w:rPr>
              <w:t>CHINA SHIP BUILDING</w:t>
            </w:r>
          </w:p>
        </w:tc>
        <w:tc>
          <w:tcPr>
            <w:tcW w:w="2120" w:type="dxa"/>
            <w:vAlign w:val="bottom"/>
            <w:gridSpan w:val="2"/>
          </w:tcPr>
          <w:p>
            <w:pPr>
              <w:ind w:left="260"/>
              <w:spacing w:after="0"/>
              <w:rPr>
                <w:sz w:val="20"/>
                <w:szCs w:val="20"/>
                <w:color w:val="auto"/>
              </w:rPr>
            </w:pPr>
            <w:r>
              <w:rPr>
                <w:rFonts w:ascii="Arial" w:cs="Arial" w:eastAsia="Arial" w:hAnsi="Arial"/>
                <w:sz w:val="18"/>
                <w:szCs w:val="18"/>
                <w:color w:val="auto"/>
              </w:rPr>
              <w:t>10/25/11</w:t>
            </w:r>
          </w:p>
        </w:tc>
        <w:tc>
          <w:tcPr>
            <w:tcW w:w="2060" w:type="dxa"/>
            <w:vAlign w:val="bottom"/>
            <w:gridSpan w:val="2"/>
          </w:tcPr>
          <w:p>
            <w:pPr>
              <w:ind w:left="240"/>
              <w:spacing w:after="0"/>
              <w:rPr>
                <w:sz w:val="20"/>
                <w:szCs w:val="20"/>
                <w:color w:val="auto"/>
              </w:rPr>
            </w:pPr>
            <w:r>
              <w:rPr>
                <w:rFonts w:ascii="Arial" w:cs="Arial" w:eastAsia="Arial" w:hAnsi="Arial"/>
                <w:sz w:val="18"/>
                <w:szCs w:val="18"/>
                <w:color w:val="auto"/>
              </w:rPr>
              <w:t>10/21/12</w:t>
            </w:r>
          </w:p>
        </w:tc>
        <w:tc>
          <w:tcPr>
            <w:tcW w:w="2220" w:type="dxa"/>
            <w:vAlign w:val="bottom"/>
            <w:gridSpan w:val="2"/>
          </w:tcPr>
          <w:p>
            <w:pPr>
              <w:ind w:left="240"/>
              <w:spacing w:after="0"/>
              <w:rPr>
                <w:sz w:val="20"/>
                <w:szCs w:val="20"/>
                <w:color w:val="auto"/>
              </w:rPr>
            </w:pPr>
            <w:r>
              <w:rPr>
                <w:rFonts w:ascii="Arial" w:cs="Arial" w:eastAsia="Arial" w:hAnsi="Arial"/>
                <w:sz w:val="18"/>
                <w:szCs w:val="18"/>
                <w:color w:val="auto"/>
              </w:rPr>
              <w:t>US$26,200.00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Third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00"/>
        <w:spacing w:after="0"/>
        <w:rPr>
          <w:sz w:val="20"/>
          <w:szCs w:val="20"/>
          <w:color w:val="auto"/>
        </w:rPr>
      </w:pPr>
      <w:r>
        <w:rPr>
          <w:rFonts w:ascii="Arial" w:cs="Arial" w:eastAsia="Arial" w:hAnsi="Arial"/>
          <w:sz w:val="17"/>
          <w:szCs w:val="17"/>
          <w:b w:val="1"/>
          <w:bCs w:val="1"/>
          <w:i w:val="1"/>
          <w:iCs w:val="1"/>
          <w:color w:val="auto"/>
        </w:rPr>
        <w:t>SCHEDULE 1.01(M)</w:t>
      </w:r>
    </w:p>
    <w:p>
      <w:pPr>
        <w:spacing w:after="0" w:line="23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MANDATORY COST FORMULAE</w:t>
      </w:r>
    </w:p>
    <w:p>
      <w:pPr>
        <w:spacing w:after="0" w:line="229"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Mandatory Cost (to the extent applicable) is an addition to the interest rate to compensate Lenders for the cost of compliance with:</w:t>
      </w:r>
    </w:p>
    <w:p>
      <w:pPr>
        <w:spacing w:after="0" w:line="225" w:lineRule="exact"/>
        <w:rPr>
          <w:rFonts w:ascii="Arial" w:cs="Arial" w:eastAsia="Arial" w:hAnsi="Arial"/>
          <w:sz w:val="18"/>
          <w:szCs w:val="18"/>
          <w:color w:val="auto"/>
        </w:rPr>
      </w:pPr>
    </w:p>
    <w:p>
      <w:pPr>
        <w:ind w:left="1300" w:right="60" w:hanging="644"/>
        <w:spacing w:after="0" w:line="277" w:lineRule="auto"/>
        <w:tabs>
          <w:tab w:leader="none" w:pos="129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requirements of the Bank of England and/or the Financial Services Authority (or, in either case, any other authority which replaces all or any of its functions);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requirements of the European Central Bank.</w:t>
      </w:r>
    </w:p>
    <w:p>
      <w:pPr>
        <w:spacing w:after="0" w:line="225" w:lineRule="exact"/>
        <w:rPr>
          <w:rFonts w:ascii="Arial" w:cs="Arial" w:eastAsia="Arial" w:hAnsi="Arial"/>
          <w:sz w:val="18"/>
          <w:szCs w:val="18"/>
          <w:color w:val="auto"/>
        </w:rPr>
      </w:pPr>
    </w:p>
    <w:p>
      <w:pPr>
        <w:ind w:left="660" w:right="80" w:hanging="652"/>
        <w:spacing w:after="0" w:line="297" w:lineRule="auto"/>
        <w:tabs>
          <w:tab w:leader="none" w:pos="6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On the first day of each Interest Period (or as soon as possible thereafter) the Administrative Agent shall calculate, as a percentage rate, a rate (the “</w:t>
      </w:r>
      <w:r>
        <w:rPr>
          <w:rFonts w:ascii="Arial" w:cs="Arial" w:eastAsia="Arial" w:hAnsi="Arial"/>
          <w:sz w:val="16"/>
          <w:szCs w:val="16"/>
          <w:u w:val="single" w:color="auto"/>
          <w:color w:val="auto"/>
        </w:rPr>
        <w:t>Additional Cost Rate</w:t>
      </w:r>
      <w:r>
        <w:rPr>
          <w:rFonts w:ascii="Arial" w:cs="Arial" w:eastAsia="Arial" w:hAnsi="Arial"/>
          <w:sz w:val="16"/>
          <w:szCs w:val="16"/>
          <w:color w:val="auto"/>
        </w:rPr>
        <w:t>”) for each Lender, in accordance with the paragraphs set out below. The Mandatory Cost will be calculated by the Administrative Agent as a weighted average of the Lenders’ Additional Cost Rates (weighted in proportion to the percentage participation of each Lender in the relevant Loan) and will be expressed as a percentage rate per annum. The Administrative Agent will, at the request of the Borrower or any Lender, deliver to the Borrower or such Lender as the case may be, a statement setting forth the calculation of any Mandatory Cost.</w:t>
      </w:r>
    </w:p>
    <w:p>
      <w:pPr>
        <w:spacing w:after="0" w:line="158" w:lineRule="exact"/>
        <w:rPr>
          <w:rFonts w:ascii="Arial" w:cs="Arial" w:eastAsia="Arial" w:hAnsi="Arial"/>
          <w:sz w:val="16"/>
          <w:szCs w:val="16"/>
          <w:color w:val="auto"/>
        </w:rPr>
      </w:pPr>
    </w:p>
    <w:p>
      <w:pPr>
        <w:ind w:left="660" w:right="160" w:hanging="652"/>
        <w:spacing w:after="0" w:line="279"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Additional Cost Rate for any Lender lending from a Lending Office in a Participating Member State will be the percentage notified by that Lender to the Administrative Agent. This percentage will be certified by such Lender in its notice to the Administrative Agent to be its reasonable determination of the cost (expressed as a percentage of such Lender’s participation in all Loans made from such Lending Office) of complying with the minimum reserve requirements of the European Central Bank in respect of Loans made from that Lending Office.</w:t>
      </w:r>
    </w:p>
    <w:p>
      <w:pPr>
        <w:spacing w:after="0" w:line="171" w:lineRule="exact"/>
        <w:rPr>
          <w:rFonts w:ascii="Arial" w:cs="Arial" w:eastAsia="Arial" w:hAnsi="Arial"/>
          <w:sz w:val="17"/>
          <w:szCs w:val="17"/>
          <w:color w:val="auto"/>
        </w:rPr>
      </w:pPr>
    </w:p>
    <w:p>
      <w:pPr>
        <w:ind w:left="660" w:right="280" w:hanging="652"/>
        <w:spacing w:after="0" w:line="277"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Additional Cost Rate for any Lender lending from a Lending Office in the United Kingdom will be calculated by the Administrative Agent as follows: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relation to any Loan in Sterling:</w:t>
      </w:r>
    </w:p>
    <w:p>
      <w:pPr>
        <w:spacing w:after="0" w:line="225" w:lineRule="exact"/>
        <w:rPr>
          <w:sz w:val="20"/>
          <w:szCs w:val="20"/>
          <w:color w:val="auto"/>
        </w:rPr>
      </w:pPr>
    </w:p>
    <w:tbl>
      <w:tblPr>
        <w:tblLayout w:type="fixed"/>
        <w:tblInd w:w="2320" w:type="dxa"/>
        <w:tblCellMar>
          <w:top w:w="0" w:type="dxa"/>
          <w:left w:w="0" w:type="dxa"/>
          <w:bottom w:w="0" w:type="dxa"/>
          <w:right w:w="0" w:type="dxa"/>
        </w:tblCellMar>
      </w:tblPr>
      <w:tr>
        <w:trPr>
          <w:trHeight w:val="230"/>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AB+C(B-D)+E x</w:t>
            </w: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1"/>
              </w:rPr>
              <w:t>0.01</w:t>
            </w:r>
          </w:p>
        </w:tc>
        <w:tc>
          <w:tcPr>
            <w:tcW w:w="1480" w:type="dxa"/>
            <w:vAlign w:val="bottom"/>
            <w:vMerge w:val="restart"/>
          </w:tcPr>
          <w:p>
            <w:pPr>
              <w:ind w:left="80"/>
              <w:spacing w:after="0"/>
              <w:rPr>
                <w:sz w:val="20"/>
                <w:szCs w:val="20"/>
                <w:color w:val="auto"/>
              </w:rPr>
            </w:pPr>
            <w:r>
              <w:rPr>
                <w:rFonts w:ascii="Arial" w:cs="Arial" w:eastAsia="Arial" w:hAnsi="Arial"/>
                <w:sz w:val="18"/>
                <w:szCs w:val="18"/>
                <w:color w:val="auto"/>
                <w:w w:val="88"/>
              </w:rPr>
              <w:t>per cent per annum</w:t>
            </w:r>
          </w:p>
        </w:tc>
        <w:tc>
          <w:tcPr>
            <w:tcW w:w="0" w:type="dxa"/>
            <w:vAlign w:val="bottom"/>
          </w:tcPr>
          <w:p>
            <w:pPr>
              <w:spacing w:after="0"/>
              <w:rPr>
                <w:sz w:val="1"/>
                <w:szCs w:val="1"/>
                <w:color w:val="auto"/>
              </w:rPr>
            </w:pPr>
          </w:p>
        </w:tc>
      </w:tr>
      <w:tr>
        <w:trPr>
          <w:trHeight w:val="88"/>
        </w:trPr>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100 - (A+C)</w:t>
            </w:r>
          </w:p>
        </w:tc>
        <w:tc>
          <w:tcPr>
            <w:tcW w:w="9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2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320" w:hanging="664"/>
        <w:spacing w:after="0"/>
        <w:tabs>
          <w:tab w:leader="none" w:pos="13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relation to any Loan in any currency other than Sterling: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 x 0.01</w:t>
            </w:r>
          </w:p>
        </w:tc>
        <w:tc>
          <w:tcPr>
            <w:tcW w:w="6460" w:type="dxa"/>
            <w:vAlign w:val="bottom"/>
            <w:vMerge w:val="restart"/>
          </w:tcPr>
          <w:p>
            <w:pPr>
              <w:ind w:left="80"/>
              <w:spacing w:after="0"/>
              <w:rPr>
                <w:sz w:val="20"/>
                <w:szCs w:val="20"/>
                <w:color w:val="auto"/>
              </w:rPr>
            </w:pPr>
            <w:r>
              <w:rPr>
                <w:rFonts w:ascii="Arial" w:cs="Arial" w:eastAsia="Arial" w:hAnsi="Arial"/>
                <w:sz w:val="18"/>
                <w:szCs w:val="18"/>
                <w:color w:val="auto"/>
              </w:rPr>
              <w:t>per cent per annum</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3840" w:type="dxa"/>
            <w:vAlign w:val="bottom"/>
            <w:gridSpan w:val="2"/>
            <w:vMerge w:val="restart"/>
          </w:tcPr>
          <w:p>
            <w:pPr>
              <w:jc w:val="right"/>
              <w:ind w:right="1130"/>
              <w:spacing w:after="0"/>
              <w:rPr>
                <w:sz w:val="20"/>
                <w:szCs w:val="20"/>
                <w:color w:val="auto"/>
              </w:rPr>
            </w:pPr>
            <w:r>
              <w:rPr>
                <w:rFonts w:ascii="Arial" w:cs="Arial" w:eastAsia="Arial" w:hAnsi="Arial"/>
                <w:sz w:val="18"/>
                <w:szCs w:val="18"/>
                <w:color w:val="auto"/>
              </w:rPr>
              <w:t>300</w:t>
            </w:r>
          </w:p>
        </w:tc>
        <w:tc>
          <w:tcPr>
            <w:tcW w:w="6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160" w:type="dxa"/>
            <w:vAlign w:val="bottom"/>
          </w:tcPr>
          <w:p>
            <w:pPr>
              <w:spacing w:after="0"/>
              <w:rPr>
                <w:sz w:val="11"/>
                <w:szCs w:val="11"/>
                <w:color w:val="auto"/>
              </w:rPr>
            </w:pPr>
          </w:p>
        </w:tc>
        <w:tc>
          <w:tcPr>
            <w:tcW w:w="3840" w:type="dxa"/>
            <w:vAlign w:val="bottom"/>
            <w:gridSpan w:val="2"/>
            <w:vMerge w:val="continue"/>
          </w:tcPr>
          <w:p>
            <w:pPr>
              <w:spacing w:after="0"/>
              <w:rPr>
                <w:sz w:val="11"/>
                <w:szCs w:val="11"/>
                <w:color w:val="auto"/>
              </w:rPr>
            </w:pPr>
          </w:p>
        </w:tc>
        <w:tc>
          <w:tcPr>
            <w:tcW w:w="6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Where:</w:t>
            </w:r>
          </w:p>
        </w:tc>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ind w:left="660"/>
              <w:spacing w:after="0"/>
              <w:rPr>
                <w:sz w:val="20"/>
                <w:szCs w:val="20"/>
                <w:color w:val="auto"/>
              </w:rPr>
            </w:pPr>
            <w:r>
              <w:rPr>
                <w:rFonts w:ascii="Arial" w:cs="Arial" w:eastAsia="Arial" w:hAnsi="Arial"/>
                <w:sz w:val="18"/>
                <w:szCs w:val="18"/>
                <w:color w:val="auto"/>
              </w:rPr>
              <w:t>“A”</w:t>
            </w:r>
          </w:p>
        </w:tc>
        <w:tc>
          <w:tcPr>
            <w:tcW w:w="10300" w:type="dxa"/>
            <w:vAlign w:val="bottom"/>
            <w:gridSpan w:val="3"/>
          </w:tcPr>
          <w:p>
            <w:pPr>
              <w:ind w:left="240"/>
              <w:spacing w:after="0"/>
              <w:rPr>
                <w:sz w:val="20"/>
                <w:szCs w:val="20"/>
                <w:color w:val="auto"/>
              </w:rPr>
            </w:pPr>
            <w:r>
              <w:rPr>
                <w:rFonts w:ascii="Arial" w:cs="Arial" w:eastAsia="Arial" w:hAnsi="Arial"/>
                <w:sz w:val="18"/>
                <w:szCs w:val="18"/>
                <w:color w:val="auto"/>
              </w:rPr>
              <w:t>is the percentage of Eligible Liabilities (assuming these to be in excess of any stated</w:t>
            </w:r>
          </w:p>
        </w:tc>
        <w:tc>
          <w:tcPr>
            <w:tcW w:w="0" w:type="dxa"/>
            <w:vAlign w:val="bottom"/>
          </w:tcPr>
          <w:p>
            <w:pPr>
              <w:spacing w:after="0"/>
              <w:rPr>
                <w:sz w:val="1"/>
                <w:szCs w:val="1"/>
                <w:color w:val="auto"/>
              </w:rPr>
            </w:pPr>
          </w:p>
        </w:tc>
      </w:tr>
      <w:tr>
        <w:trPr>
          <w:trHeight w:val="348"/>
        </w:trPr>
        <w:tc>
          <w:tcPr>
            <w:tcW w:w="116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64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2"/>
              </w:rPr>
              <w:t>minimum) which that Lender is from time to time required to maintain as an interest free cash ratio deposit with the Bank of England to</w:t>
            </w:r>
          </w:p>
        </w:tc>
      </w:tr>
      <w:tr>
        <w:trPr>
          <w:trHeight w:val="230"/>
        </w:trPr>
        <w:tc>
          <w:tcPr>
            <w:tcW w:w="500" w:type="dxa"/>
            <w:vAlign w:val="bottom"/>
          </w:tcPr>
          <w:p>
            <w:pPr>
              <w:spacing w:after="0"/>
              <w:rPr>
                <w:sz w:val="20"/>
                <w:szCs w:val="20"/>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rPr>
              <w:t>comply with cash ratio requirements.</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4"/>
              </w:rPr>
              <w:t>is the percentage rate of interest (excluding the Applicable Rate, the Mandatory Cost and any interest charged on overdue amounts</w:t>
            </w:r>
          </w:p>
        </w:tc>
      </w:tr>
      <w:tr>
        <w:trPr>
          <w:trHeight w:val="190"/>
        </w:trPr>
        <w:tc>
          <w:tcPr>
            <w:tcW w:w="500" w:type="dxa"/>
            <w:vAlign w:val="bottom"/>
          </w:tcPr>
          <w:p>
            <w:pPr>
              <w:spacing w:after="0"/>
              <w:rPr>
                <w:sz w:val="16"/>
                <w:szCs w:val="16"/>
                <w:color w:val="auto"/>
              </w:rPr>
            </w:pPr>
          </w:p>
        </w:tc>
        <w:tc>
          <w:tcPr>
            <w:tcW w:w="1014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0"/>
              </w:rPr>
              <w:t>pursuant to the first sentence of Section 2.08(b) and, in the case of interest (other than on overdue amounts) charged at the Default Rate,</w:t>
            </w:r>
          </w:p>
        </w:tc>
      </w:tr>
      <w:tr>
        <w:trPr>
          <w:trHeight w:val="20"/>
        </w:trPr>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0"/>
              </w:rPr>
              <w:t>without counting any increase in interest rate effected by the charging of the Default Rate) payable for the relevant Interest Period of such</w:t>
            </w:r>
          </w:p>
        </w:tc>
      </w:tr>
      <w:tr>
        <w:trPr>
          <w:trHeight w:val="230"/>
        </w:trPr>
        <w:tc>
          <w:tcPr>
            <w:tcW w:w="500" w:type="dxa"/>
            <w:vAlign w:val="bottom"/>
          </w:tcPr>
          <w:p>
            <w:pPr>
              <w:spacing w:after="0"/>
              <w:rPr>
                <w:sz w:val="20"/>
                <w:szCs w:val="20"/>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rPr>
              <w:t>Loan.</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w w:val="94"/>
              </w:rPr>
              <w:t>is the percentage (if any) of Eligible Liabilities which that Lender is required from time to time to maintain as interest bearing Special</w:t>
            </w:r>
          </w:p>
        </w:tc>
      </w:tr>
      <w:tr>
        <w:trPr>
          <w:trHeight w:val="230"/>
        </w:trPr>
        <w:tc>
          <w:tcPr>
            <w:tcW w:w="500" w:type="dxa"/>
            <w:vAlign w:val="bottom"/>
          </w:tcPr>
          <w:p>
            <w:pPr>
              <w:spacing w:after="0"/>
              <w:rPr>
                <w:sz w:val="20"/>
                <w:szCs w:val="20"/>
                <w:color w:val="auto"/>
              </w:rPr>
            </w:pPr>
          </w:p>
        </w:tc>
        <w:tc>
          <w:tcPr>
            <w:tcW w:w="10140" w:type="dxa"/>
            <w:vAlign w:val="bottom"/>
            <w:gridSpan w:val="3"/>
          </w:tcPr>
          <w:p>
            <w:pPr>
              <w:ind w:left="220"/>
              <w:spacing w:after="0"/>
              <w:rPr>
                <w:sz w:val="20"/>
                <w:szCs w:val="20"/>
                <w:color w:val="auto"/>
              </w:rPr>
            </w:pPr>
            <w:r>
              <w:rPr>
                <w:rFonts w:ascii="Arial" w:cs="Arial" w:eastAsia="Arial" w:hAnsi="Arial"/>
                <w:sz w:val="18"/>
                <w:szCs w:val="18"/>
                <w:color w:val="auto"/>
              </w:rPr>
              <w:t>Deposits with the Bank of England.</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10140" w:type="dxa"/>
            <w:vAlign w:val="bottom"/>
            <w:gridSpan w:val="3"/>
          </w:tcPr>
          <w:p>
            <w:pPr>
              <w:ind w:left="240"/>
              <w:spacing w:after="0"/>
              <w:rPr>
                <w:sz w:val="20"/>
                <w:szCs w:val="20"/>
                <w:color w:val="auto"/>
              </w:rPr>
            </w:pPr>
            <w:r>
              <w:rPr>
                <w:rFonts w:ascii="Arial" w:cs="Arial" w:eastAsia="Arial" w:hAnsi="Arial"/>
                <w:sz w:val="18"/>
                <w:szCs w:val="18"/>
                <w:color w:val="auto"/>
                <w:w w:val="94"/>
              </w:rPr>
              <w:t>is the percentage rate per annum payable by the Bank of England to the Administrative Agent on interest bearing Special Deposits.</w:t>
            </w:r>
          </w:p>
        </w:tc>
      </w:tr>
    </w:tbl>
    <w:p>
      <w:pPr>
        <w:sectPr>
          <w:pgSz w:w="11900" w:h="16838" w:orient="portrait"/>
          <w:cols w:equalWidth="0" w:num="1">
            <w:col w:w="11460"/>
          </w:cols>
          <w:pgMar w:left="240" w:top="121" w:right="199" w:bottom="103" w:gutter="0" w:footer="0" w:header="0"/>
        </w:sectPr>
      </w:pPr>
    </w:p>
    <w:bookmarkStart w:id="85" w:name="page86"/>
    <w:bookmarkEnd w:id="85"/>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10040" w:type="dxa"/>
            <w:vAlign w:val="bottom"/>
            <w:gridSpan w:val="3"/>
          </w:tcPr>
          <w:p>
            <w:pPr>
              <w:ind w:left="220"/>
              <w:spacing w:after="0"/>
              <w:rPr>
                <w:sz w:val="20"/>
                <w:szCs w:val="20"/>
                <w:color w:val="auto"/>
              </w:rPr>
            </w:pPr>
            <w:r>
              <w:rPr>
                <w:rFonts w:ascii="Arial" w:cs="Arial" w:eastAsia="Arial" w:hAnsi="Arial"/>
                <w:sz w:val="18"/>
                <w:szCs w:val="18"/>
                <w:color w:val="auto"/>
                <w:w w:val="89"/>
              </w:rPr>
              <w:t>is designed to compensate Lenders for amounts payable under the Fees Rules and is calculated by the Administrative Agent as being the</w:t>
            </w:r>
          </w:p>
        </w:tc>
      </w:tr>
      <w:tr>
        <w:trPr>
          <w:trHeight w:val="190"/>
        </w:trPr>
        <w:tc>
          <w:tcPr>
            <w:tcW w:w="500" w:type="dxa"/>
            <w:vAlign w:val="bottom"/>
          </w:tcPr>
          <w:p>
            <w:pPr>
              <w:spacing w:after="0"/>
              <w:rPr>
                <w:sz w:val="16"/>
                <w:szCs w:val="16"/>
                <w:color w:val="auto"/>
              </w:rPr>
            </w:pPr>
          </w:p>
        </w:tc>
        <w:tc>
          <w:tcPr>
            <w:tcW w:w="1004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4"/>
              </w:rPr>
              <w:t>average of the most recent rates of charge supplied by the Lenders to the Administrative Agent pursuant to paragraph 7 below and</w:t>
            </w:r>
          </w:p>
        </w:tc>
      </w:tr>
      <w:tr>
        <w:trPr>
          <w:trHeight w:val="237"/>
        </w:trPr>
        <w:tc>
          <w:tcPr>
            <w:tcW w:w="500" w:type="dxa"/>
            <w:vAlign w:val="bottom"/>
          </w:tcPr>
          <w:p>
            <w:pPr>
              <w:spacing w:after="0"/>
              <w:rPr>
                <w:sz w:val="20"/>
                <w:szCs w:val="20"/>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expressed in pounds per £1,000,000.</w:t>
            </w:r>
          </w:p>
        </w:tc>
        <w:tc>
          <w:tcPr>
            <w:tcW w:w="860" w:type="dxa"/>
            <w:vAlign w:val="bottom"/>
            <w:tcBorders>
              <w:top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bl>
    <w:p>
      <w:pPr>
        <w:spacing w:after="0" w:line="202"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purposes of this Schedule:</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29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Liabilities</w:t>
      </w:r>
      <w:r>
        <w:rPr>
          <w:rFonts w:ascii="Arial" w:cs="Arial" w:eastAsia="Arial" w:hAnsi="Arial"/>
          <w:sz w:val="18"/>
          <w:szCs w:val="18"/>
          <w:color w:val="auto"/>
        </w:rPr>
        <w:t>” and “</w:t>
      </w:r>
      <w:r>
        <w:rPr>
          <w:rFonts w:ascii="Arial" w:cs="Arial" w:eastAsia="Arial" w:hAnsi="Arial"/>
          <w:sz w:val="18"/>
          <w:szCs w:val="18"/>
          <w:u w:val="single" w:color="auto"/>
          <w:color w:val="auto"/>
        </w:rPr>
        <w:t>Special Deposits</w:t>
      </w:r>
      <w:r>
        <w:rPr>
          <w:rFonts w:ascii="Arial" w:cs="Arial" w:eastAsia="Arial" w:hAnsi="Arial"/>
          <w:sz w:val="18"/>
          <w:szCs w:val="18"/>
          <w:color w:val="auto"/>
        </w:rPr>
        <w:t>” have the meanings given to them from time to time under or pursuant to the Bank of England Act 1998 or (as may be appropriate) by the Bank of England;</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 Rules</w:t>
      </w:r>
      <w:r>
        <w:rPr>
          <w:rFonts w:ascii="Arial" w:cs="Arial" w:eastAsia="Arial" w:hAnsi="Arial"/>
          <w:sz w:val="18"/>
          <w:szCs w:val="18"/>
          <w:color w:val="auto"/>
        </w:rPr>
        <w:t>” means the rules on periodic fees contained in the FSA Supervision Manual or such other law or regulation as may be in force from time to time in respect of the payment of fees for the acceptance of deposits;</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1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Tariffs</w:t>
      </w:r>
      <w:r>
        <w:rPr>
          <w:rFonts w:ascii="Arial" w:cs="Arial" w:eastAsia="Arial" w:hAnsi="Arial"/>
          <w:sz w:val="18"/>
          <w:szCs w:val="18"/>
          <w:color w:val="auto"/>
        </w:rPr>
        <w:t>” means the fee tariffs specified in the Fees Rules under the activity group A.1 Deposit acceptors (ignoring any minimum fee or zero rated fee required pursuant to the Fees Rules but taking into account any applicable discount rate); and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Tariff Base</w:t>
      </w:r>
      <w:r>
        <w:rPr>
          <w:rFonts w:ascii="Arial" w:cs="Arial" w:eastAsia="Arial" w:hAnsi="Arial"/>
          <w:sz w:val="18"/>
          <w:szCs w:val="18"/>
          <w:color w:val="auto"/>
        </w:rPr>
        <w:t>” has the meaning given to it in, and will be calculated in accordance with, the Fees Rules.</w:t>
      </w:r>
    </w:p>
    <w:p>
      <w:pPr>
        <w:spacing w:after="0" w:line="225"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application of the above formulae, A, B, C and D will be included in the formulae as percentages (</w:t>
      </w:r>
      <w:r>
        <w:rPr>
          <w:rFonts w:ascii="Arial" w:cs="Arial" w:eastAsia="Arial" w:hAnsi="Arial"/>
          <w:sz w:val="18"/>
          <w:szCs w:val="18"/>
          <w:i w:val="1"/>
          <w:iCs w:val="1"/>
          <w:color w:val="auto"/>
        </w:rPr>
        <w:t>i.e.</w:t>
      </w:r>
      <w:r>
        <w:rPr>
          <w:rFonts w:ascii="Arial" w:cs="Arial" w:eastAsia="Arial" w:hAnsi="Arial"/>
          <w:sz w:val="18"/>
          <w:szCs w:val="18"/>
          <w:color w:val="auto"/>
        </w:rPr>
        <w:t xml:space="preserve"> 5% will be included in the formula as 5 and not as 0.05). A negative result obtained by subtracting D from B shall be taken as zero. The resulting figures shall be rounded to four decimal places.</w:t>
      </w:r>
    </w:p>
    <w:p>
      <w:pPr>
        <w:spacing w:after="0" w:line="181" w:lineRule="exact"/>
        <w:rPr>
          <w:rFonts w:ascii="Arial" w:cs="Arial" w:eastAsia="Arial" w:hAnsi="Arial"/>
          <w:sz w:val="18"/>
          <w:szCs w:val="18"/>
          <w:color w:val="auto"/>
        </w:rPr>
      </w:pPr>
    </w:p>
    <w:p>
      <w:pPr>
        <w:ind w:left="660" w:right="200" w:hanging="652"/>
        <w:spacing w:after="0" w:line="276" w:lineRule="auto"/>
        <w:tabs>
          <w:tab w:leader="none" w:pos="6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requested by the Administrative Agent or the Borrower, each Lender with a Lending Office in the United Kingdom or a Participating Member State shall, as soon as practicable after publication by the Financial Services Authority, supply to the Administrative Agent and the Borrower, the rate of charge payable by such Lender to the Financial Services Authority pursuant to the Fees Rules in respect of the relevant financial year of the Financial Services Authority (calculated for this purpose by such Lender as being the average of the Fee Tariffs applicable to such Lender for that financial year) and expressed in pounds per £1,000,000 of the Tariff Base of such Lender.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4" w:lineRule="exact"/>
        <w:rPr>
          <w:rFonts w:ascii="Arial" w:cs="Arial" w:eastAsia="Arial" w:hAnsi="Arial"/>
          <w:sz w:val="17"/>
          <w:szCs w:val="17"/>
          <w:color w:val="auto"/>
        </w:rPr>
      </w:pPr>
    </w:p>
    <w:p>
      <w:pPr>
        <w:ind w:left="660" w:right="20" w:hanging="652"/>
        <w:spacing w:after="0" w:line="342" w:lineRule="auto"/>
        <w:tabs>
          <w:tab w:leader="none" w:pos="6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Lender shall supply any information required by the Administrative Agent for the purpose of calculating its Additional Cost Rate. In particular, but without limitation, each Lender shall supply the following information in writing on or prior to the date on which it becomes a Lender:</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jurisdiction of the Lending Office out of which it is making available its participation in the relevant Loan;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other information that the Administrative Agent may reasonably require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-1332865</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Each Lender shall promptly notify the Administrative Agent in writing of any change to the information provided by it pursuant to this paragraph.</w:t>
      </w:r>
    </w:p>
    <w:p>
      <w:pPr>
        <w:spacing w:after="0" w:line="225" w:lineRule="exact"/>
        <w:rPr>
          <w:sz w:val="20"/>
          <w:szCs w:val="20"/>
          <w:color w:val="auto"/>
        </w:rPr>
      </w:pPr>
    </w:p>
    <w:p>
      <w:pPr>
        <w:ind w:left="660" w:right="100" w:hanging="652"/>
        <w:spacing w:after="0" w:line="302" w:lineRule="auto"/>
        <w:tabs>
          <w:tab w:leader="none" w:pos="6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percentages of each Lender for the purpose of A and C above and the rates of charge of each Lender for the purpose of E above shall be determined by the Administrative Agent based upon the information supplied to it pursuant to </w:t>
      </w:r>
      <w:r>
        <w:rPr>
          <w:rFonts w:ascii="Arial" w:cs="Arial" w:eastAsia="Arial" w:hAnsi="Arial"/>
          <w:sz w:val="16"/>
          <w:szCs w:val="16"/>
          <w:u w:val="single" w:color="auto"/>
          <w:color w:val="auto"/>
        </w:rPr>
        <w:t>paragraphs 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above and on the assumption that, unless a Lender notifies the Administrative Agent to the contrary, each Lender’s obligations in relation to cash ratio deposits and Special Deposits are the same as those of a typical bank from its jurisdiction of incorporation with a lending office in the same jurisdiction as its Lending Office.</w:t>
      </w:r>
    </w:p>
    <w:p>
      <w:pPr>
        <w:spacing w:after="0" w:line="154" w:lineRule="exact"/>
        <w:rPr>
          <w:rFonts w:ascii="Arial" w:cs="Arial" w:eastAsia="Arial" w:hAnsi="Arial"/>
          <w:sz w:val="16"/>
          <w:szCs w:val="16"/>
          <w:color w:val="auto"/>
        </w:rPr>
      </w:pPr>
    </w:p>
    <w:p>
      <w:pPr>
        <w:ind w:left="660" w:right="80" w:hanging="652"/>
        <w:spacing w:after="0" w:line="264"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no liability to any Person if such determination results in an Additional Cost Rate which over- or under-compensates any Lender and shall be entitled to assume that the information provided by any Lender pursuant to </w:t>
      </w:r>
      <w:r>
        <w:rPr>
          <w:rFonts w:ascii="Arial" w:cs="Arial" w:eastAsia="Arial" w:hAnsi="Arial"/>
          <w:sz w:val="18"/>
          <w:szCs w:val="18"/>
          <w:u w:val="single" w:color="auto"/>
          <w:color w:val="auto"/>
        </w:rPr>
        <w:t>paragraphs 3</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above is true and correct in all respects.</w:t>
      </w:r>
    </w:p>
    <w:p>
      <w:pPr>
        <w:spacing w:after="0" w:line="181" w:lineRule="exact"/>
        <w:rPr>
          <w:rFonts w:ascii="Arial" w:cs="Arial" w:eastAsia="Arial" w:hAnsi="Arial"/>
          <w:sz w:val="18"/>
          <w:szCs w:val="18"/>
          <w:color w:val="auto"/>
        </w:rPr>
      </w:pPr>
    </w:p>
    <w:p>
      <w:pPr>
        <w:ind w:left="660" w:right="580" w:hanging="652"/>
        <w:spacing w:after="0" w:line="342" w:lineRule="auto"/>
        <w:tabs>
          <w:tab w:leader="none" w:pos="64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Administrative Agent shall distribute the additional amounts received as a result of the Mandatory Cost to the Lenders on the basis of the Additional Cost Rate for each Lender based on the information provided by each Lender pursuant to </w:t>
      </w:r>
      <w:r>
        <w:rPr>
          <w:rFonts w:ascii="Arial" w:cs="Arial" w:eastAsia="Arial" w:hAnsi="Arial"/>
          <w:sz w:val="16"/>
          <w:szCs w:val="16"/>
          <w:u w:val="single" w:color="auto"/>
          <w:color w:val="auto"/>
        </w:rPr>
        <w:t>paragraphs 3</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above.</w:t>
      </w:r>
    </w:p>
    <w:p>
      <w:pPr>
        <w:spacing w:after="0" w:line="123" w:lineRule="exact"/>
        <w:rPr>
          <w:rFonts w:ascii="Arial" w:cs="Arial" w:eastAsia="Arial" w:hAnsi="Arial"/>
          <w:sz w:val="16"/>
          <w:szCs w:val="16"/>
          <w:color w:val="auto"/>
        </w:rPr>
      </w:pPr>
    </w:p>
    <w:p>
      <w:pPr>
        <w:ind w:left="660" w:right="220" w:hanging="652"/>
        <w:spacing w:after="0" w:line="308" w:lineRule="auto"/>
        <w:tabs>
          <w:tab w:leader="none" w:pos="655"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Any determination by the Administrative Agent pursuant to this Schedule in relation to a formula, the Mandatory Cost, an Additional Cost Rate or any amount payable to a Lender shall, in the absence of manifest error, be conclusive and binding on all parties hereto.</w:t>
      </w:r>
    </w:p>
    <w:p>
      <w:pPr>
        <w:spacing w:after="0" w:line="146" w:lineRule="exact"/>
        <w:rPr>
          <w:rFonts w:ascii="Arial" w:cs="Arial" w:eastAsia="Arial" w:hAnsi="Arial"/>
          <w:sz w:val="17"/>
          <w:szCs w:val="17"/>
          <w:color w:val="auto"/>
        </w:rPr>
      </w:pPr>
    </w:p>
    <w:p>
      <w:pPr>
        <w:ind w:left="660" w:hanging="652"/>
        <w:spacing w:after="0" w:line="302" w:lineRule="auto"/>
        <w:tabs>
          <w:tab w:leader="none" w:pos="65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Administrative Agent may from time to time, after consultation with the Borrower and the Lenders, determine and notify to all parties any amendments which are required to be made to this Schedule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2.01</w:t>
      </w:r>
    </w:p>
    <w:p>
      <w:pPr>
        <w:spacing w:after="0" w:line="2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 APPLICABLE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16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Committed Loan Commitment</w:t>
            </w: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rPr>
              <w:t>Applicable Percentage</w:t>
            </w:r>
          </w:p>
        </w:tc>
      </w:tr>
      <w:tr>
        <w:trPr>
          <w:trHeight w:val="210"/>
        </w:trPr>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42,500,000.00</w:t>
            </w:r>
          </w:p>
        </w:tc>
        <w:tc>
          <w:tcPr>
            <w:tcW w:w="2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77"/>
              </w:rPr>
              <w:t>34.000000000%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2500" w:type="dxa"/>
            <w:vAlign w:val="bottom"/>
            <w:gridSpan w:val="2"/>
          </w:tcPr>
          <w:p>
            <w:pPr>
              <w:jc w:val="right"/>
              <w:ind w:right="280"/>
              <w:spacing w:after="0"/>
              <w:rPr>
                <w:sz w:val="20"/>
                <w:szCs w:val="20"/>
                <w:color w:val="auto"/>
              </w:rPr>
            </w:pPr>
            <w:r>
              <w:rPr>
                <w:rFonts w:ascii="Arial" w:cs="Arial" w:eastAsia="Arial" w:hAnsi="Arial"/>
                <w:sz w:val="18"/>
                <w:szCs w:val="18"/>
                <w:color w:val="auto"/>
              </w:rPr>
              <w:t>42,500,000.00</w:t>
            </w:r>
          </w:p>
        </w:tc>
        <w:tc>
          <w:tcPr>
            <w:tcW w:w="1980" w:type="dxa"/>
            <w:vAlign w:val="bottom"/>
            <w:gridSpan w:val="2"/>
          </w:tcPr>
          <w:p>
            <w:pPr>
              <w:ind w:left="780"/>
              <w:spacing w:after="0"/>
              <w:rPr>
                <w:sz w:val="20"/>
                <w:szCs w:val="20"/>
                <w:color w:val="auto"/>
              </w:rPr>
            </w:pPr>
            <w:r>
              <w:rPr>
                <w:rFonts w:ascii="Arial" w:cs="Arial" w:eastAsia="Arial" w:hAnsi="Arial"/>
                <w:sz w:val="18"/>
                <w:szCs w:val="18"/>
                <w:color w:val="auto"/>
                <w:w w:val="89"/>
              </w:rPr>
              <w:t>34.000000000%</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KeyBank National Association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25,000,000.00</w:t>
            </w:r>
          </w:p>
        </w:tc>
        <w:tc>
          <w:tcPr>
            <w:tcW w:w="1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89"/>
              </w:rPr>
              <w:t>20.000000000%</w:t>
            </w:r>
          </w:p>
        </w:tc>
      </w:tr>
    </w:tbl>
    <w:p>
      <w:pPr>
        <w:sectPr>
          <w:pgSz w:w="11900" w:h="16843" w:orient="portrait"/>
          <w:cols w:equalWidth="0" w:num="1">
            <w:col w:w="11420"/>
          </w:cols>
          <w:pgMar w:left="240" w:top="125" w:right="239"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TD Bank, N.A.</w:t>
            </w:r>
          </w:p>
        </w:tc>
        <w:tc>
          <w:tcPr>
            <w:tcW w:w="35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390"/>
              <w:spacing w:after="0"/>
              <w:rPr>
                <w:sz w:val="20"/>
                <w:szCs w:val="20"/>
                <w:color w:val="auto"/>
              </w:rPr>
            </w:pPr>
            <w:r>
              <w:rPr>
                <w:rFonts w:ascii="Arial" w:cs="Arial" w:eastAsia="Arial" w:hAnsi="Arial"/>
                <w:sz w:val="18"/>
                <w:szCs w:val="18"/>
                <w:color w:val="auto"/>
              </w:rPr>
              <w:t>15,000,000.00</w:t>
            </w:r>
          </w:p>
        </w:tc>
        <w:tc>
          <w:tcPr>
            <w:tcW w:w="1780" w:type="dxa"/>
            <w:vAlign w:val="bottom"/>
          </w:tcPr>
          <w:p>
            <w:pPr>
              <w:jc w:val="right"/>
              <w:spacing w:after="0"/>
              <w:rPr>
                <w:sz w:val="20"/>
                <w:szCs w:val="20"/>
                <w:color w:val="auto"/>
              </w:rPr>
            </w:pPr>
            <w:r>
              <w:rPr>
                <w:rFonts w:ascii="Arial" w:cs="Arial" w:eastAsia="Arial" w:hAnsi="Arial"/>
                <w:sz w:val="18"/>
                <w:szCs w:val="18"/>
                <w:color w:val="auto"/>
              </w:rPr>
              <w:t>12.000000000%</w:t>
            </w:r>
          </w:p>
        </w:tc>
        <w:tc>
          <w:tcPr>
            <w:tcW w:w="40" w:type="dxa"/>
            <w:vAlign w:val="bottom"/>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125,000,000.00</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100.000000000%</w:t>
            </w:r>
          </w:p>
        </w:tc>
        <w:tc>
          <w:tcPr>
            <w:tcW w:w="40" w:type="dxa"/>
            <w:vAlign w:val="bottom"/>
          </w:tcPr>
          <w:p>
            <w:pPr>
              <w:spacing w:after="0"/>
              <w:rPr>
                <w:sz w:val="18"/>
                <w:szCs w:val="18"/>
                <w:color w:val="auto"/>
              </w:rPr>
            </w:pPr>
          </w:p>
        </w:tc>
      </w:tr>
      <w:tr>
        <w:trPr>
          <w:trHeight w:val="348"/>
        </w:trPr>
        <w:tc>
          <w:tcPr>
            <w:tcW w:w="3940" w:type="dxa"/>
            <w:vAlign w:val="bottom"/>
            <w:tcBorders>
              <w:bottom w:val="single" w:sz="8" w:color="010101"/>
            </w:tcBorders>
          </w:tcPr>
          <w:p>
            <w:pPr>
              <w:spacing w:after="0"/>
              <w:rPr>
                <w:sz w:val="24"/>
                <w:szCs w:val="24"/>
                <w:color w:val="auto"/>
              </w:rPr>
            </w:pPr>
          </w:p>
        </w:tc>
        <w:tc>
          <w:tcPr>
            <w:tcW w:w="350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1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5.06</w:t>
      </w:r>
    </w:p>
    <w:p>
      <w:pPr>
        <w:spacing w:after="0" w:line="23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LITIGATION</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None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5.09</w:t>
      </w:r>
    </w:p>
    <w:p>
      <w:pPr>
        <w:spacing w:after="0" w:line="23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None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880"/>
        <w:spacing w:after="0"/>
        <w:rPr>
          <w:sz w:val="20"/>
          <w:szCs w:val="20"/>
          <w:color w:val="auto"/>
        </w:rPr>
      </w:pPr>
      <w:r>
        <w:rPr>
          <w:rFonts w:ascii="Arial" w:cs="Arial" w:eastAsia="Arial" w:hAnsi="Arial"/>
          <w:sz w:val="17"/>
          <w:szCs w:val="17"/>
          <w:b w:val="1"/>
          <w:bCs w:val="1"/>
          <w:i w:val="1"/>
          <w:iCs w:val="1"/>
          <w:color w:val="auto"/>
        </w:rPr>
        <w:t>SCHEDULE 5.12(d)</w:t>
      </w:r>
    </w:p>
    <w:p>
      <w:pPr>
        <w:spacing w:after="0" w:line="23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PENSION PLANS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Quality Services Laboratories, Inc. (“QSL”) contributes, through Quality Control Council of the United States Non-Destructive Testing Agreement (its collective bargaining agreement) with the International Brotherhood of Boilermakers, Iron Ship Builders, Blacksmiths, Forgers and Helpers and the United Association of Journeymen and Apprentices of the Plumbing and Pipefitter Industry if the United States and Canada, to the Plumbers and Pipefitters National Pension Fund and the Boilermaker-Blacksmith National Pension Fund at a set rate per hour for each hour worked by an eligible member of the respective union with QSL.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Borrower contributes to a 401(k) savings plan for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5.13</w:t>
      </w:r>
    </w:p>
    <w:p>
      <w:pPr>
        <w:spacing w:after="0" w:line="23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OTHER EQUITY INVESTMENTS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AND EQUITY INTERESTS IN BORROWER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Part (a).</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Virtual Media Integration, Ltd., f/k/a SJVMI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Quality Services Laboratories,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ThermTech Services,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Physical Acoustics Corporation (inactive)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CISMIS Springfield Corp.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QSL NDT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Conam Inspection and Engineering Services,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Quebec Holdings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Métaltec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Métaltec Estrie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Métaltec Saguenay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Canada, Inc.</w:t>
      </w:r>
    </w:p>
    <w:p>
      <w:pPr>
        <w:sectPr>
          <w:pgSz w:w="11900" w:h="16838" w:orient="portrait"/>
          <w:cols w:equalWidth="0" w:num="1">
            <w:col w:w="11460"/>
          </w:cols>
          <w:pgMar w:left="240" w:top="125" w:right="199" w:bottom="0" w:gutter="0" w:footer="0" w:header="0"/>
        </w:sectPr>
      </w:pPr>
    </w:p>
    <w:bookmarkStart w:id="87" w:name="page88"/>
    <w:bookmarkEnd w:id="87"/>
    <w:p>
      <w:pPr>
        <w:ind w:left="1300"/>
        <w:spacing w:after="0"/>
        <w:rPr>
          <w:sz w:val="20"/>
          <w:szCs w:val="20"/>
          <w:color w:val="auto"/>
        </w:rPr>
      </w:pPr>
      <w:r>
        <w:rPr>
          <w:rFonts w:ascii="Arial" w:cs="Arial" w:eastAsia="Arial" w:hAnsi="Arial"/>
          <w:sz w:val="18"/>
          <w:szCs w:val="18"/>
          <w:color w:val="auto"/>
        </w:rPr>
        <w:t>QSL NDT ALBERTA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Group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ETS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Properties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Group BV (f/k/a Anru Physical ALC TLP Beheer B.V.)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Physical Acoustics India Private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AEUT INSTRUMENTS TRADING &amp; SERVICES PRIVATE LIMITED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Envirocoustics ABEE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Diapac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Nippon Physical Acoustics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Physical Acoustics South America Ltda.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S.A (formerly Euro Physical Acoustics 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IPS Sarl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ASSISTANCES CONTROLES TECHNOLOGIES (a/k/a Ascott)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Méditerranéenne Contrôle Industriel (a/k/a MCI)</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Eurosonic</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Material Domestic Subsidiaries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Virtual Media Integration, Ltd.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Material Foreign Subsidiaries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Mistras Group Limited (f/k/a Physical Acoustics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Part (b).</w:t>
      </w:r>
      <w:r>
        <w:rPr>
          <w:sz w:val="20"/>
          <w:szCs w:val="20"/>
          <w:color w:val="auto"/>
        </w:rPr>
        <w:tab/>
      </w:r>
      <w:r>
        <w:rPr>
          <w:rFonts w:ascii="Arial" w:cs="Arial" w:eastAsia="Arial" w:hAnsi="Arial"/>
          <w:sz w:val="16"/>
          <w:szCs w:val="16"/>
          <w:u w:val="single" w:color="auto"/>
          <w:color w:val="auto"/>
        </w:rPr>
        <w:t>Other Equity Investments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7.01</w:t>
      </w:r>
    </w:p>
    <w:p>
      <w:pPr>
        <w:spacing w:after="0" w:line="2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29" w:lineRule="exact"/>
        <w:rPr>
          <w:sz w:val="20"/>
          <w:szCs w:val="20"/>
          <w:color w:val="auto"/>
        </w:rPr>
      </w:pPr>
    </w:p>
    <w:p>
      <w:pPr>
        <w:ind w:left="660" w:right="380" w:hanging="652"/>
        <w:spacing w:after="0" w:line="308" w:lineRule="auto"/>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UCC Financing Statement filed in the Office of the Clerk of Mercer County, New Jersey on September 5, 2008 in Book 187, Page 233 - Mistras Group, Inc. and Physical Acoustics Corporation, as Debtors and Bank of the West, Trinity Division, as Secured Party.</w:t>
      </w:r>
    </w:p>
    <w:p>
      <w:pPr>
        <w:spacing w:after="0" w:line="146" w:lineRule="exact"/>
        <w:rPr>
          <w:rFonts w:ascii="Arial" w:cs="Arial" w:eastAsia="Arial" w:hAnsi="Arial"/>
          <w:sz w:val="17"/>
          <w:szCs w:val="17"/>
          <w:color w:val="auto"/>
        </w:rPr>
      </w:pPr>
    </w:p>
    <w:p>
      <w:pPr>
        <w:ind w:left="660" w:right="920" w:hanging="652"/>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UCC Financing Statement filed in the Office of the Delaware Department of State on June 5, 2006 as No. 61898840 — Quality Services Laboratories, Inc., as Debtor and California First Leasing Corporation, as Secured Party.</w:t>
      </w:r>
    </w:p>
    <w:p>
      <w:pPr>
        <w:spacing w:after="0" w:line="170" w:lineRule="exact"/>
        <w:rPr>
          <w:rFonts w:ascii="Arial" w:cs="Arial" w:eastAsia="Arial" w:hAnsi="Arial"/>
          <w:sz w:val="18"/>
          <w:szCs w:val="18"/>
          <w:color w:val="auto"/>
        </w:rPr>
      </w:pPr>
    </w:p>
    <w:p>
      <w:pPr>
        <w:ind w:left="660" w:right="940" w:hanging="652"/>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UCC Financing Statement filed in the Office of the Delaware Department of State on May 5, 2007 as No. 72023611 — Quality Services Laboratories, Inc., as Debtor and Dell Financial Services, L.P., as Secured Party.</w:t>
      </w:r>
    </w:p>
    <w:p>
      <w:pPr>
        <w:spacing w:after="0" w:line="170"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UCC Financing Statement filed in the Office of the Delaware Department of State on August 27, 2008 as No. 82999249 - Mistras Group, Inc. and Physical Acoustics Corporation, as Debtors and Bank of the West, Trinity Division, as Secured Party.</w:t>
      </w:r>
    </w:p>
    <w:p>
      <w:pPr>
        <w:spacing w:after="0" w:line="170" w:lineRule="exact"/>
        <w:rPr>
          <w:rFonts w:ascii="Arial" w:cs="Arial" w:eastAsia="Arial" w:hAnsi="Arial"/>
          <w:sz w:val="18"/>
          <w:szCs w:val="18"/>
          <w:color w:val="auto"/>
        </w:rPr>
      </w:pPr>
    </w:p>
    <w:p>
      <w:pPr>
        <w:ind w:left="660" w:right="940" w:hanging="652"/>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UCC Financing Statement filed in the Office of the Delaware Department of State on July 18, 2007 as No. 72703865 — Quality Service Laboratories, Inc., as Debtor and Banc of America Leasing &amp; Capital, LLC, as Secured Party.</w:t>
      </w:r>
    </w:p>
    <w:p>
      <w:pPr>
        <w:spacing w:after="0" w:line="170"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UCC Financing Statement filed in the Office of the Delaware Department of State on October 31, 2007 as No. 74133806 — Quality Service Laboratories, Inc., as Debtor and Banc of America Leasing &amp; Capital, LLC, as Secured Party.</w:t>
      </w:r>
    </w:p>
    <w:p>
      <w:pPr>
        <w:spacing w:after="0" w:line="170"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UCC Financing Statement filed in the Office of the Delaware Department of State on November 26, 2007 as No. 74456066 — Quality Service Laboratories, Inc., as Debtor and Banc of America Leasing &amp; Capital, LLC, as Secured Party.</w:t>
      </w:r>
    </w:p>
    <w:p>
      <w:pPr>
        <w:spacing w:after="0" w:line="170"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UCC Financing Statement filed in the Office of the Delaware Department of State on December 10, 2007 as No. 74641154 — Quality Service Laboratories, Inc., as Debtor and Banc of America Leasing &amp; Capital, LLC, as Secured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100"/>
        <w:spacing w:after="0"/>
        <w:rPr>
          <w:sz w:val="20"/>
          <w:szCs w:val="20"/>
          <w:color w:val="auto"/>
        </w:rPr>
      </w:pPr>
      <w:r>
        <w:rPr>
          <w:rFonts w:ascii="Arial" w:cs="Arial" w:eastAsia="Arial" w:hAnsi="Arial"/>
          <w:sz w:val="17"/>
          <w:szCs w:val="17"/>
          <w:b w:val="1"/>
          <w:bCs w:val="1"/>
          <w:i w:val="1"/>
          <w:iCs w:val="1"/>
          <w:color w:val="auto"/>
        </w:rPr>
        <w:t>SCHEDULE 7.03</w:t>
      </w:r>
    </w:p>
    <w:p>
      <w:pPr>
        <w:spacing w:after="0" w:line="233" w:lineRule="exact"/>
        <w:rPr>
          <w:sz w:val="20"/>
          <w:szCs w:val="20"/>
          <w:color w:val="auto"/>
        </w:rPr>
      </w:pPr>
    </w:p>
    <w:p>
      <w:pPr>
        <w:ind w:left="60" w:right="60" w:firstLine="26"/>
        <w:spacing w:after="0" w:line="313" w:lineRule="auto"/>
        <w:rPr>
          <w:sz w:val="20"/>
          <w:szCs w:val="20"/>
          <w:color w:val="auto"/>
        </w:rPr>
      </w:pPr>
      <w:r>
        <w:rPr>
          <w:rFonts w:ascii="Arial" w:cs="Arial" w:eastAsia="Arial" w:hAnsi="Arial"/>
          <w:sz w:val="17"/>
          <w:szCs w:val="17"/>
          <w:b w:val="1"/>
          <w:bCs w:val="1"/>
          <w:color w:val="auto"/>
        </w:rPr>
        <w:t>ATTACHED TO AND MADE A PART OF THAT CERTAIN THIRD AMENDED AND RESTATED CREDIT AGREEMENT BY AND AMONG, AMONGST OTHERS, MISTRAS GROUP, INC., AS BORROWER, AND BANK OF AMERICA, N.A., AS ADMINISTRATIVE AGENT, DATED</w:t>
      </w:r>
    </w:p>
    <w:p>
      <w:pPr>
        <w:sectPr>
          <w:pgSz w:w="11900" w:h="16838" w:orient="portrait"/>
          <w:cols w:equalWidth="0" w:num="1">
            <w:col w:w="11420"/>
          </w:cols>
          <w:pgMar w:left="240" w:top="125" w:right="239" w:bottom="0" w:gutter="0" w:footer="0" w:header="0"/>
        </w:sectPr>
      </w:pPr>
    </w:p>
    <w:bookmarkStart w:id="88" w:name="page89"/>
    <w:bookmarkEnd w:id="88"/>
    <w:p>
      <w:pPr>
        <w:jc w:val="center"/>
        <w:ind w:right="40"/>
        <w:spacing w:after="0"/>
        <w:rPr>
          <w:sz w:val="20"/>
          <w:szCs w:val="20"/>
          <w:color w:val="auto"/>
        </w:rPr>
      </w:pPr>
      <w:r>
        <w:rPr>
          <w:rFonts w:ascii="Arial" w:cs="Arial" w:eastAsia="Arial" w:hAnsi="Arial"/>
          <w:sz w:val="18"/>
          <w:szCs w:val="18"/>
          <w:b w:val="1"/>
          <w:bCs w:val="1"/>
          <w:color w:val="auto"/>
        </w:rPr>
        <w:t>DECEMBER 21, 2011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at 11/30/2011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1)</w:t>
            </w: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 balance</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2)</w:t>
            </w: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Seller notes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12,517,640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3)</w:t>
            </w: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seller notes (issued in 12/2011 for Metaltec acquisition, f(x) translated at 12/15/2011)</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2,412,725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4)</w:t>
            </w: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5)</w:t>
            </w: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liabilities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18,622,067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6)</w:t>
            </w: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7)</w:t>
            </w: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(acquired in MCI/Eurosonic transaction (7/2011))</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Existing Indebtedness</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62,057,679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7980" w:type="dxa"/>
            <w:vAlign w:val="bottom"/>
            <w:tcBorders>
              <w:bottom w:val="single" w:sz="8" w:color="010101"/>
            </w:tcBorders>
          </w:tcPr>
          <w:p>
            <w:pPr>
              <w:spacing w:after="0"/>
              <w:rPr>
                <w:sz w:val="24"/>
                <w:szCs w:val="24"/>
                <w:color w:val="auto"/>
              </w:rPr>
            </w:pPr>
          </w:p>
        </w:tc>
        <w:tc>
          <w:tcPr>
            <w:tcW w:w="13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6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000"/>
        <w:spacing w:after="0"/>
        <w:rPr>
          <w:sz w:val="20"/>
          <w:szCs w:val="20"/>
          <w:color w:val="auto"/>
        </w:rPr>
      </w:pPr>
      <w:r>
        <w:rPr>
          <w:rFonts w:ascii="Arial" w:cs="Arial" w:eastAsia="Arial" w:hAnsi="Arial"/>
          <w:sz w:val="17"/>
          <w:szCs w:val="17"/>
          <w:b w:val="1"/>
          <w:bCs w:val="1"/>
          <w:i w:val="1"/>
          <w:iCs w:val="1"/>
          <w:color w:val="auto"/>
        </w:rPr>
        <w:t>SCHEDULE 10.02</w:t>
      </w:r>
    </w:p>
    <w:p>
      <w:pPr>
        <w:spacing w:after="0" w:line="23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ADMINISTRATIVE AGENT’S OFFICE,</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195 Clarksville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Junction, New Jersey 08550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Frank Joyce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609.716.4103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609.716.4179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Frank.Joyce@mistrasgroup.com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Taxpayer Identification Number: 22-3341267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195 Clarksville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Junction, New Jersey 08550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Mr. Michael Keefe, Executive Vice President and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609.716.4128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609.716.4145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Michael.Keefe@mistrasgroup.com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Kakoyiannis,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Eiseman, Levine, Lehrhaupt &amp; Kakoyiannis, P.C.</w:t>
      </w:r>
    </w:p>
    <w:p>
      <w:pPr>
        <w:spacing w:after="0" w:line="205" w:lineRule="auto"/>
        <w:rPr>
          <w:sz w:val="20"/>
          <w:szCs w:val="20"/>
          <w:color w:val="auto"/>
        </w:rPr>
      </w:pPr>
      <w:r>
        <w:rPr>
          <w:rFonts w:ascii="Arial" w:cs="Arial" w:eastAsia="Arial" w:hAnsi="Arial"/>
          <w:sz w:val="18"/>
          <w:szCs w:val="18"/>
          <w:color w:val="auto"/>
        </w:rPr>
        <w:t>805 Third Avenue,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212.752.1000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212.355.4608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peterk@eisemanlevine.com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Administrative Agent’s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payments and Requests for Credit Extensions):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 N.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NC1-001-04-39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302"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Charlotte, NC 28255-0001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Sandra McEachern, Assistant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(980) 388-1524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(704) 409-0857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Mall: sandra.a.mceachern@baml.com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No.: 136-621-225-0600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Mistras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026009593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USD PAYMENT INSTRUCTIONS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026009593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 1366212250600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Name: Corporate Credit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Mistras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 PAYMENT INSTRUCTIONS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London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SWIFT: BOFAGB22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IBAN #: GB80BOFA16505065280019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 65280019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Credit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Mistras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GBP PAYMENT INSTRUCTIONS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London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SWIFT: BOFAGB22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SORT CODE: 16-50-50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IBAN GB58 BOFA 1650 5065 2800 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 65280027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Credit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Mistras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YEN PAYMENT INSTRUCTIONS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Tokyo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SWIFT: BOFAJPJX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 606490661046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Credit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 Mistras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CANADIAN DOLLAR PAYMENT INSTRUCTIONS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Toronto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SWIFT: BOFACATT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 711465003220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Credit Services</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Ref: Mistras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NOTICES AS ADMINISTRATIVE AGENT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Agency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S. LaSalle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IL4-135-05-41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Ms. Angela Larkin</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Agency Management Officer</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(312) 828-3882</w:t>
      </w:r>
    </w:p>
    <w:p>
      <w:pPr>
        <w:spacing w:after="0" w:line="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Telecopier:</w:t>
      </w:r>
      <w:r>
        <w:rPr>
          <w:sz w:val="20"/>
          <w:szCs w:val="20"/>
          <w:color w:val="auto"/>
        </w:rPr>
        <w:tab/>
      </w:r>
      <w:r>
        <w:rPr>
          <w:rFonts w:ascii="Arial" w:cs="Arial" w:eastAsia="Arial" w:hAnsi="Arial"/>
          <w:sz w:val="18"/>
          <w:szCs w:val="18"/>
          <w:color w:val="auto"/>
        </w:rPr>
        <w:t>(877) 206-8409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angela.larkin@baml.com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L/C ISSUER</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Letters of Credit: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ectPr>
          <w:pgSz w:w="11900" w:h="16838" w:orient="portrait"/>
          <w:cols w:equalWidth="0" w:num="1">
            <w:col w:w="10219"/>
          </w:cols>
          <w:pgMar w:left="240" w:top="341" w:right="1440" w:bottom="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Trade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Mail Code:PA6-580-02-30</w:t>
      </w:r>
    </w:p>
    <w:p>
      <w:pPr>
        <w:sectPr>
          <w:pgSz w:w="11900" w:h="16838" w:orient="portrait"/>
          <w:cols w:equalWidth="0" w:num="1">
            <w:col w:w="11460"/>
          </w:cols>
          <w:pgMar w:left="240" w:top="125" w:right="199" w:bottom="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Scranton, PA 18507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Mary Cooper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AVP, Trade Finance Service Center Coordinator</w:t>
      </w:r>
    </w:p>
    <w:p>
      <w:pPr>
        <w:spacing w:after="0" w:line="32" w:lineRule="exact"/>
        <w:rPr>
          <w:sz w:val="20"/>
          <w:szCs w:val="20"/>
          <w:color w:val="auto"/>
        </w:rPr>
      </w:pPr>
    </w:p>
    <w:p>
      <w:pPr>
        <w:sectPr>
          <w:pgSz w:w="11900" w:h="16838" w:orient="portrait"/>
          <w:cols w:equalWidth="0" w:num="2">
            <w:col w:w="1440" w:space="60"/>
            <w:col w:w="9960"/>
          </w:cols>
          <w:pgMar w:left="240" w:top="125" w:right="199" w:bottom="0" w:gutter="0" w:footer="0" w:header="0"/>
          <w:type w:val="continuous"/>
        </w:sectPr>
      </w:pPr>
    </w:p>
    <w:p>
      <w:pPr>
        <w:spacing w:after="0"/>
        <w:rPr>
          <w:sz w:val="20"/>
          <w:szCs w:val="20"/>
          <w:color w:val="auto"/>
        </w:rPr>
      </w:pPr>
      <w:r>
        <w:rPr>
          <w:rFonts w:ascii="Arial" w:cs="Arial" w:eastAsia="Arial" w:hAnsi="Arial"/>
          <w:sz w:val="18"/>
          <w:szCs w:val="18"/>
          <w:color w:val="auto"/>
        </w:rPr>
        <w:t>Telephone: (570) 330.4235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(570) 330.4186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mary.j.cooper@baml.com</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0"/>
        <w:spacing w:after="0"/>
        <w:rPr>
          <w:sz w:val="20"/>
          <w:szCs w:val="20"/>
          <w:color w:val="auto"/>
        </w:rPr>
      </w:pPr>
      <w:r>
        <w:rPr>
          <w:rFonts w:ascii="Arial" w:cs="Arial" w:eastAsia="Arial" w:hAnsi="Arial"/>
          <w:sz w:val="17"/>
          <w:szCs w:val="17"/>
          <w:b w:val="1"/>
          <w:bCs w:val="1"/>
          <w:i w:val="1"/>
          <w:iCs w:val="1"/>
          <w:color w:val="auto"/>
        </w:rPr>
        <w:t>SCHEDULE 10.06</w:t>
      </w:r>
    </w:p>
    <w:p>
      <w:pPr>
        <w:spacing w:after="0" w:line="233"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PROCESSING AND RECORDATION FEES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Administrative Agent will charge assigning Lender a processing and recordation fee (an “</w:t>
      </w:r>
      <w:r>
        <w:rPr>
          <w:rFonts w:ascii="Arial" w:cs="Arial" w:eastAsia="Arial" w:hAnsi="Arial"/>
          <w:sz w:val="18"/>
          <w:szCs w:val="18"/>
          <w:u w:val="single" w:color="auto"/>
          <w:color w:val="auto"/>
        </w:rPr>
        <w:t>Assignment Fee</w:t>
      </w:r>
      <w:r>
        <w:rPr>
          <w:rFonts w:ascii="Arial" w:cs="Arial" w:eastAsia="Arial" w:hAnsi="Arial"/>
          <w:sz w:val="18"/>
          <w:szCs w:val="18"/>
          <w:color w:val="auto"/>
        </w:rPr>
        <w:t xml:space="preserve">”) in the amount of $3,500.00 for each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two or more concurrent assignments to members of the same Assignee Group (which may be effected by a suballocation of an assigned amount among members of such Assignee Group) or two or more concurrent assignments by members of the same Assignee Group to a single Eligible Assignee (or to an Eligible Assignee and members of its Assignee Group), the Assignment Fee will be $3,500.00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set forth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Transaction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Assignment Fee</w:t>
            </w: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First four concurrent assignments or suballocations to members of an Assignee Group (or from</w:t>
            </w: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members of an Assignee Group, as applicable)</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Each additional concurrent assignment or suballocation to a member of such Assignee Group (or</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a member of such Assignee Group, as applicable)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69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320"/>
        <w:spacing w:after="0"/>
        <w:rPr>
          <w:sz w:val="20"/>
          <w:szCs w:val="20"/>
          <w:color w:val="auto"/>
        </w:rPr>
      </w:pPr>
      <w:r>
        <w:rPr>
          <w:rFonts w:ascii="Arial" w:cs="Arial" w:eastAsia="Arial" w:hAnsi="Arial"/>
          <w:sz w:val="18"/>
          <w:szCs w:val="18"/>
          <w:b w:val="1"/>
          <w:bCs w:val="1"/>
          <w:i w:val="1"/>
          <w:iCs w:val="1"/>
          <w:color w:val="auto"/>
        </w:rPr>
        <w:t>EXHIBIT “A”</w:t>
      </w:r>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COMMITTED LOAN NOTICE</w:t>
      </w:r>
    </w:p>
    <w:p>
      <w:pPr>
        <w:spacing w:after="0" w:line="229" w:lineRule="exact"/>
        <w:rPr>
          <w:sz w:val="20"/>
          <w:szCs w:val="20"/>
          <w:color w:val="auto"/>
        </w:rPr>
      </w:pPr>
    </w:p>
    <w:p>
      <w:pPr>
        <w:ind w:left="9180"/>
        <w:spacing w:after="0"/>
        <w:tabs>
          <w:tab w:leader="none" w:pos="110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Reference is made to that certain Third Amended and Restated Credit Agreement, dated December 21, 2011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Mistras Group,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and L/C Issuer.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requests (select one):</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Borrowing of Committed Loans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Conversion or continuation of Committed Loans</w:t>
      </w:r>
    </w:p>
    <w:p>
      <w:pPr>
        <w:spacing w:after="0" w:line="211" w:lineRule="exact"/>
        <w:rPr>
          <w:sz w:val="20"/>
          <w:szCs w:val="20"/>
          <w:color w:val="auto"/>
        </w:rPr>
      </w:pPr>
    </w:p>
    <w:p>
      <w:pPr>
        <w:ind w:left="660"/>
        <w:spacing w:after="0"/>
        <w:tabs>
          <w:tab w:leader="none" w:pos="1360" w:val="left"/>
          <w:tab w:leader="none" w:pos="3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6"/>
          <w:szCs w:val="16"/>
          <w:color w:val="auto"/>
        </w:rPr>
        <w:t>(a Business Day).</w:t>
      </w:r>
    </w:p>
    <w:p>
      <w:pPr>
        <w:spacing w:after="0" w:line="225" w:lineRule="exact"/>
        <w:rPr>
          <w:sz w:val="20"/>
          <w:szCs w:val="20"/>
          <w:color w:val="auto"/>
        </w:rPr>
      </w:pPr>
    </w:p>
    <w:p>
      <w:pPr>
        <w:ind w:left="1380" w:hanging="724"/>
        <w:spacing w:after="0"/>
        <w:tabs>
          <w:tab w:leader="none" w:pos="1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amount of $</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Comprised of</w:t>
      </w:r>
    </w:p>
    <w:p>
      <w:pPr>
        <w:spacing w:after="0" w:line="2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[Type of Loan requested]</w:t>
      </w:r>
    </w:p>
    <w:p>
      <w:pPr>
        <w:spacing w:after="0" w:line="211" w:lineRule="exact"/>
        <w:rPr>
          <w:sz w:val="20"/>
          <w:szCs w:val="20"/>
          <w:color w:val="auto"/>
        </w:rPr>
      </w:pPr>
    </w:p>
    <w:p>
      <w:pPr>
        <w:ind w:left="1380" w:hanging="724"/>
        <w:spacing w:after="0"/>
        <w:tabs>
          <w:tab w:leader="none" w:pos="13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following currency:</w:t>
      </w:r>
    </w:p>
    <w:p>
      <w:pPr>
        <w:spacing w:after="0" w:line="225" w:lineRule="exact"/>
        <w:rPr>
          <w:sz w:val="20"/>
          <w:szCs w:val="20"/>
          <w:color w:val="auto"/>
        </w:rPr>
      </w:pPr>
    </w:p>
    <w:p>
      <w:pPr>
        <w:ind w:left="660"/>
        <w:spacing w:after="0"/>
        <w:tabs>
          <w:tab w:leader="none" w:pos="1360" w:val="left"/>
          <w:tab w:leader="none" w:pos="59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For Eurocurrency Rate Loans: with an Interest Period of</w:t>
      </w:r>
      <w:r>
        <w:rPr>
          <w:sz w:val="20"/>
          <w:szCs w:val="20"/>
          <w:color w:val="auto"/>
        </w:rPr>
        <w:tab/>
      </w:r>
      <w:r>
        <w:rPr>
          <w:rFonts w:ascii="Arial" w:cs="Arial" w:eastAsia="Arial" w:hAnsi="Arial"/>
          <w:sz w:val="16"/>
          <w:szCs w:val="16"/>
          <w:color w:val="auto"/>
        </w:rPr>
        <w:t>months.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Committed Borrowing requested herein complies with the provisions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of the Agreement.</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MISTRAS GROUP, INC.</w:t>
      </w:r>
    </w:p>
    <w:p>
      <w:pPr>
        <w:sectPr>
          <w:pgSz w:w="11900" w:h="16838" w:orient="portrait"/>
          <w:cols w:equalWidth="0" w:num="1">
            <w:col w:w="11460"/>
          </w:cols>
          <w:pgMar w:left="240" w:top="125" w:right="199" w:bottom="0" w:gutter="0" w:footer="0" w:header="0"/>
          <w:type w:val="continuous"/>
        </w:sectPr>
      </w:pPr>
    </w:p>
    <w:bookmarkStart w:id="91" w:name="page92"/>
    <w:bookmarkEnd w:id="91"/>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5715</wp:posOffset>
            </wp:positionV>
            <wp:extent cx="28555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-130810</wp:posOffset>
            </wp:positionV>
            <wp:extent cx="28555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320"/>
        <w:spacing w:after="0"/>
        <w:rPr>
          <w:sz w:val="20"/>
          <w:szCs w:val="20"/>
          <w:color w:val="auto"/>
        </w:rPr>
      </w:pPr>
      <w:r>
        <w:rPr>
          <w:rFonts w:ascii="Arial" w:cs="Arial" w:eastAsia="Arial" w:hAnsi="Arial"/>
          <w:sz w:val="18"/>
          <w:szCs w:val="18"/>
          <w:b w:val="1"/>
          <w:bCs w:val="1"/>
          <w:i w:val="1"/>
          <w:iCs w:val="1"/>
          <w:color w:val="auto"/>
        </w:rPr>
        <w:t>EXHIBIT “B”</w:t>
      </w:r>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 OF SECOND AMENDED AND RESTATED REVOLVING CREDIT LOAN NOTE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gridSpan w:val="3"/>
          </w:tcPr>
          <w:p>
            <w:pPr>
              <w:spacing w:after="0"/>
              <w:rPr>
                <w:sz w:val="20"/>
                <w:szCs w:val="20"/>
                <w:color w:val="auto"/>
              </w:rPr>
            </w:pPr>
            <w:r>
              <w:rPr>
                <w:rFonts w:ascii="Arial" w:cs="Arial" w:eastAsia="Arial" w:hAnsi="Arial"/>
                <w:sz w:val="18"/>
                <w:szCs w:val="18"/>
                <w:color w:val="auto"/>
              </w:rPr>
              <w:t>US$</w:t>
            </w:r>
          </w:p>
        </w:tc>
        <w:tc>
          <w:tcPr>
            <w:tcW w:w="3520" w:type="dxa"/>
            <w:vAlign w:val="bottom"/>
            <w:gridSpan w:val="3"/>
          </w:tcPr>
          <w:p>
            <w:pPr>
              <w:ind w:left="2120"/>
              <w:spacing w:after="0"/>
              <w:rPr>
                <w:sz w:val="20"/>
                <w:szCs w:val="20"/>
                <w:color w:val="auto"/>
              </w:rPr>
            </w:pPr>
            <w:r>
              <w:rPr>
                <w:rFonts w:ascii="Arial" w:cs="Arial" w:eastAsia="Arial" w:hAnsi="Arial"/>
                <w:sz w:val="18"/>
                <w:szCs w:val="18"/>
                <w:color w:val="auto"/>
                <w:w w:val="87"/>
              </w:rPr>
              <w:t>December 21, 2011</w:t>
            </w:r>
          </w:p>
        </w:tc>
      </w:tr>
      <w:tr>
        <w:trPr>
          <w:trHeight w:val="392"/>
        </w:trPr>
        <w:tc>
          <w:tcPr>
            <w:tcW w:w="7900" w:type="dxa"/>
            <w:vAlign w:val="bottom"/>
            <w:gridSpan w:val="3"/>
          </w:tcPr>
          <w:p>
            <w:pPr>
              <w:ind w:left="660"/>
              <w:spacing w:after="0"/>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the undersigned (“Borrower”), hereby promises to pay to</w:t>
            </w:r>
          </w:p>
        </w:tc>
        <w:tc>
          <w:tcPr>
            <w:tcW w:w="3520" w:type="dxa"/>
            <w:vAlign w:val="bottom"/>
            <w:gridSpan w:val="3"/>
          </w:tcPr>
          <w:p>
            <w:pPr>
              <w:ind w:left="1000"/>
              <w:spacing w:after="0"/>
              <w:rPr>
                <w:sz w:val="20"/>
                <w:szCs w:val="20"/>
                <w:color w:val="auto"/>
              </w:rPr>
            </w:pPr>
            <w:r>
              <w:rPr>
                <w:rFonts w:ascii="Arial" w:cs="Arial" w:eastAsia="Arial" w:hAnsi="Arial"/>
                <w:sz w:val="18"/>
                <w:szCs w:val="18"/>
                <w:color w:val="auto"/>
                <w:w w:val="97"/>
              </w:rPr>
              <w:t>or registered assigns (“Lender”),</w:t>
            </w:r>
          </w:p>
        </w:tc>
      </w:tr>
      <w:tr>
        <w:trPr>
          <w:trHeight w:val="20"/>
        </w:trPr>
        <w:tc>
          <w:tcPr>
            <w:tcW w:w="4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accordance with the provisions of the “Agreement” (as such term is hereinafter defined), the principal amount of each Committed Loan from time to time made by the Lender to Borrower under that certain Third Amended and Restated Credit Agreement, dated December 21, 2011 (as amended, restated, extended, supplemented or otherwise modified in writing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the terms defined therein being used herein as therein defined), among Borrower, the Lenders from time to time party thereto, and Bank of America, N.A., as Administrative Agent and L/C Issuer.</w:t>
      </w:r>
    </w:p>
    <w:p>
      <w:pPr>
        <w:spacing w:after="0" w:line="17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Borrower promises to pay interest on the unpaid principal amount of each Committed Loan from the date of such Loans until such principal amount is paid in full, at such interest rates and at such times as provided in the Agreement. All payments of principal and interest shall be made to the Administrative Agent for the account of the Lender in the currency in which such Committed Loan was denominated and in Same Day Funds at the Administrative Agent’s Office for such currency.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9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This Second Amended and Restated Revolving Credit Loan Note (as it may be from time to time amended, modified, extended, renewed, substituted, and/or supplemented, this “</w:t>
      </w:r>
      <w:r>
        <w:rPr>
          <w:rFonts w:ascii="Arial" w:cs="Arial" w:eastAsia="Arial" w:hAnsi="Arial"/>
          <w:sz w:val="17"/>
          <w:szCs w:val="17"/>
          <w:u w:val="single" w:color="auto"/>
          <w:color w:val="auto"/>
        </w:rPr>
        <w:t>Note</w:t>
      </w:r>
      <w:r>
        <w:rPr>
          <w:rFonts w:ascii="Arial" w:cs="Arial" w:eastAsia="Arial" w:hAnsi="Arial"/>
          <w:sz w:val="17"/>
          <w:szCs w:val="17"/>
          <w:color w:val="auto"/>
        </w:rPr>
        <w:t>”) is one of the Notes referred to in the Agreement, is entitled to the benefits thereof and may be prepaid in whole or in part subject to the terms and conditions provided therein. This Note is also entitled to the benefits of the Guaranty and is secured by the Collateral. Upon the occurrence and continuation of one or more of the Events of Default specified in the Agreement, all amounts then remaining unpaid on this Note shall become, or may be declared to be, immediately due and payable all as provided in the Agreement. Committed Loans made by the Lender shall be evidenced by one or more loan accounts or records maintained by the Lender in the ordinary course of business. The Lender may also attach schedules to this Note and endorse thereon the date, amount, currency and maturity of its Loans and payments with respect thereto.</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420" w:type="dxa"/>
            <w:vAlign w:val="bottom"/>
            <w:gridSpan w:val="5"/>
          </w:tcPr>
          <w:p>
            <w:pPr>
              <w:ind w:left="120"/>
              <w:spacing w:after="0"/>
              <w:rPr>
                <w:sz w:val="20"/>
                <w:szCs w:val="20"/>
                <w:color w:val="auto"/>
              </w:rPr>
            </w:pPr>
            <w:r>
              <w:rPr>
                <w:rFonts w:ascii="Arial" w:cs="Arial" w:eastAsia="Arial" w:hAnsi="Arial"/>
                <w:sz w:val="18"/>
                <w:szCs w:val="18"/>
                <w:color w:val="auto"/>
                <w:w w:val="94"/>
              </w:rPr>
              <w:t>This Note is given in full substitution for and in full replacement of that certain First Amended and Restated Revolving Credit Loan Note #</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dated</w:t>
            </w:r>
          </w:p>
        </w:tc>
      </w:tr>
      <w:tr>
        <w:trPr>
          <w:trHeight w:val="216"/>
        </w:trPr>
        <w:tc>
          <w:tcPr>
            <w:tcW w:w="9100" w:type="dxa"/>
            <w:vAlign w:val="bottom"/>
            <w:gridSpan w:val="5"/>
          </w:tcPr>
          <w:p>
            <w:pPr>
              <w:spacing w:after="0"/>
              <w:rPr>
                <w:sz w:val="20"/>
                <w:szCs w:val="20"/>
                <w:color w:val="auto"/>
              </w:rPr>
            </w:pPr>
            <w:r>
              <w:rPr>
                <w:rFonts w:ascii="Arial" w:cs="Arial" w:eastAsia="Arial" w:hAnsi="Arial"/>
                <w:sz w:val="18"/>
                <w:szCs w:val="18"/>
                <w:color w:val="auto"/>
                <w:w w:val="97"/>
              </w:rPr>
              <w:t>July 22, 2009 by Borrower, as maker, and delivered to Lender, as payee, in the maximum principal amount of up to $</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(hereinafter referred to</w:t>
            </w:r>
          </w:p>
        </w:tc>
      </w:tr>
      <w:tr>
        <w:trPr>
          <w:trHeight w:val="190"/>
        </w:trPr>
        <w:tc>
          <w:tcPr>
            <w:tcW w:w="10960" w:type="dxa"/>
            <w:vAlign w:val="bottom"/>
            <w:gridSpan w:val="6"/>
          </w:tcPr>
          <w:p>
            <w:pPr>
              <w:spacing w:after="0" w:line="190" w:lineRule="exact"/>
              <w:rPr>
                <w:sz w:val="20"/>
                <w:szCs w:val="20"/>
                <w:color w:val="auto"/>
              </w:rPr>
            </w:pPr>
            <w:r>
              <w:rPr>
                <w:rFonts w:ascii="Arial" w:cs="Arial" w:eastAsia="Arial" w:hAnsi="Arial"/>
                <w:sz w:val="18"/>
                <w:szCs w:val="18"/>
                <w:color w:val="auto"/>
                <w:w w:val="91"/>
              </w:rPr>
              <w:t>as the “Original Note”). The execution and delivery of this Note does not evidence a refinancing, repayment, accord and satisfaction or novation of the</w:t>
            </w:r>
          </w:p>
        </w:tc>
        <w:tc>
          <w:tcPr>
            <w:tcW w:w="420" w:type="dxa"/>
            <w:vAlign w:val="bottom"/>
          </w:tcPr>
          <w:p>
            <w:pPr>
              <w:spacing w:after="0"/>
              <w:rPr>
                <w:sz w:val="16"/>
                <w:szCs w:val="16"/>
                <w:color w:val="auto"/>
              </w:rPr>
            </w:pPr>
          </w:p>
        </w:tc>
      </w:tr>
      <w:tr>
        <w:trPr>
          <w:trHeight w:val="20"/>
        </w:trPr>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9100" w:type="dxa"/>
            <w:vAlign w:val="bottom"/>
            <w:gridSpan w:val="5"/>
          </w:tcPr>
          <w:p>
            <w:pPr>
              <w:spacing w:after="0"/>
              <w:rPr>
                <w:sz w:val="20"/>
                <w:szCs w:val="20"/>
                <w:color w:val="auto"/>
              </w:rPr>
            </w:pPr>
            <w:r>
              <w:rPr>
                <w:rFonts w:ascii="Arial" w:cs="Arial" w:eastAsia="Arial" w:hAnsi="Arial"/>
                <w:sz w:val="18"/>
                <w:szCs w:val="18"/>
                <w:color w:val="auto"/>
              </w:rPr>
              <w:t>indebtedness evidenced by the Original Note.</w:t>
            </w:r>
          </w:p>
        </w:tc>
        <w:tc>
          <w:tcPr>
            <w:tcW w:w="186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Borrower, for itself, its successors and assigns, hereby waives diligence, presentment, protest and demand and notice of protest, demand, dishonor and non-payment of this Note.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b w:val="1"/>
          <w:bCs w:val="1"/>
          <w:color w:val="auto"/>
        </w:rPr>
        <w:t>THIS NOTE SHALL BE GOVERNED BY AND CONSTRUED IN ACCORDANCE WITH THE LAWS OF THE STATE OF NEW YORK, WITHOUT REGARD TO CONFLICTS OF LAW PRINCIPLES OF NEW YORK STATE LAW OTHER THAN §5-1401 OF THE NEW YORK GENERAL OBLIGATIONS LAW.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ATTEST:</w:t>
            </w:r>
          </w:p>
        </w:tc>
        <w:tc>
          <w:tcPr>
            <w:tcW w:w="5760" w:type="dxa"/>
            <w:vAlign w:val="bottom"/>
            <w:gridSpan w:val="2"/>
          </w:tcPr>
          <w:p>
            <w:pPr>
              <w:ind w:left="300"/>
              <w:spacing w:after="0"/>
              <w:rPr>
                <w:sz w:val="20"/>
                <w:szCs w:val="20"/>
                <w:color w:val="auto"/>
              </w:rPr>
            </w:pPr>
            <w:r>
              <w:rPr>
                <w:rFonts w:ascii="Arial" w:cs="Arial" w:eastAsia="Arial" w:hAnsi="Arial"/>
                <w:sz w:val="18"/>
                <w:szCs w:val="18"/>
                <w:b w:val="1"/>
                <w:bCs w:val="1"/>
                <w:color w:val="auto"/>
              </w:rPr>
              <w:t>MISTRAS GROUP, INC.</w:t>
            </w:r>
            <w:r>
              <w:rPr>
                <w:rFonts w:ascii="Arial" w:cs="Arial" w:eastAsia="Arial" w:hAnsi="Arial"/>
                <w:sz w:val="18"/>
                <w:szCs w:val="18"/>
                <w:color w:val="auto"/>
              </w:rPr>
              <w:t>, a Delaware corporation</w:t>
            </w:r>
          </w:p>
        </w:tc>
        <w:tc>
          <w:tcPr>
            <w:tcW w:w="40" w:type="dxa"/>
            <w:vAlign w:val="bottom"/>
          </w:tcPr>
          <w:p>
            <w:pPr>
              <w:spacing w:after="0"/>
              <w:rPr>
                <w:sz w:val="20"/>
                <w:szCs w:val="20"/>
                <w:color w:val="auto"/>
              </w:rPr>
            </w:pPr>
          </w:p>
        </w:tc>
      </w:tr>
      <w:tr>
        <w:trPr>
          <w:trHeight w:val="648"/>
        </w:trPr>
        <w:tc>
          <w:tcPr>
            <w:tcW w:w="5660" w:type="dxa"/>
            <w:vAlign w:val="bottom"/>
            <w:gridSpan w:val="2"/>
          </w:tcPr>
          <w:p>
            <w:pPr>
              <w:spacing w:after="0"/>
              <w:rPr>
                <w:sz w:val="20"/>
                <w:szCs w:val="20"/>
                <w:color w:val="auto"/>
              </w:rPr>
            </w:pPr>
            <w:r>
              <w:rPr>
                <w:rFonts w:ascii="Arial" w:cs="Arial" w:eastAsia="Arial" w:hAnsi="Arial"/>
                <w:sz w:val="18"/>
                <w:szCs w:val="18"/>
                <w:color w:val="auto"/>
              </w:rPr>
              <w:t>By:</w:t>
            </w:r>
          </w:p>
        </w:tc>
        <w:tc>
          <w:tcPr>
            <w:tcW w:w="5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r>
      <w:tr>
        <w:trPr>
          <w:trHeight w:val="195"/>
        </w:trPr>
        <w:tc>
          <w:tcPr>
            <w:tcW w:w="50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760" w:type="dxa"/>
            <w:vAlign w:val="bottom"/>
          </w:tcPr>
          <w:p>
            <w:pPr>
              <w:spacing w:after="0"/>
              <w:rPr>
                <w:sz w:val="16"/>
                <w:szCs w:val="16"/>
                <w:color w:val="auto"/>
              </w:rPr>
            </w:pPr>
          </w:p>
        </w:tc>
        <w:tc>
          <w:tcPr>
            <w:tcW w:w="500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rPr>
              <w:t>Sotirios J. Vahaviolos</w:t>
            </w:r>
          </w:p>
        </w:tc>
        <w:tc>
          <w:tcPr>
            <w:tcW w:w="40" w:type="dxa"/>
            <w:vAlign w:val="bottom"/>
          </w:tcPr>
          <w:p>
            <w:pPr>
              <w:spacing w:after="0"/>
              <w:rPr>
                <w:sz w:val="16"/>
                <w:szCs w:val="16"/>
                <w:color w:val="auto"/>
              </w:rPr>
            </w:pPr>
          </w:p>
        </w:tc>
      </w:tr>
      <w:tr>
        <w:trPr>
          <w:trHeight w:val="230"/>
        </w:trPr>
        <w:tc>
          <w:tcPr>
            <w:tcW w:w="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w:t>
            </w:r>
          </w:p>
        </w:tc>
        <w:tc>
          <w:tcPr>
            <w:tcW w:w="760" w:type="dxa"/>
            <w:vAlign w:val="bottom"/>
          </w:tcPr>
          <w:p>
            <w:pPr>
              <w:spacing w:after="0"/>
              <w:rPr>
                <w:sz w:val="20"/>
                <w:szCs w:val="20"/>
                <w:color w:val="auto"/>
              </w:rPr>
            </w:pPr>
          </w:p>
        </w:tc>
        <w:tc>
          <w:tcPr>
            <w:tcW w:w="5000" w:type="dxa"/>
            <w:vAlign w:val="bottom"/>
          </w:tcPr>
          <w:p>
            <w:pPr>
              <w:ind w:left="360"/>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2</w:t>
            </w:r>
          </w:p>
        </w:tc>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 w:type="dxa"/>
            <w:vAlign w:val="bottom"/>
            <w:tcBorders>
              <w:bottom w:val="single" w:sz="8" w:color="010101"/>
            </w:tcBorders>
          </w:tcPr>
          <w:p>
            <w:pPr>
              <w:spacing w:after="0"/>
              <w:rPr>
                <w:sz w:val="11"/>
                <w:szCs w:val="11"/>
                <w:color w:val="auto"/>
              </w:rPr>
            </w:pPr>
          </w:p>
        </w:tc>
        <w:tc>
          <w:tcPr>
            <w:tcW w:w="5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5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LOANS AND PAYMENTS WITH RESPECT THERETO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Currency</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End of</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and Amount</w:t>
            </w: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Principal or</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Notation</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Loan</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of Loan</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Interest</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Interest Paid</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Balance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Made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Made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This Date</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This Date</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Made By</w:t>
            </w: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57" w:right="199" w:bottom="0" w:gutter="0" w:footer="0" w:header="0"/>
        </w:sectPr>
      </w:pPr>
    </w:p>
    <w:bookmarkStart w:id="92" w:name="page93"/>
    <w:bookmarkEnd w:id="9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567055</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left="10320"/>
        <w:spacing w:after="0"/>
        <w:rPr>
          <w:sz w:val="20"/>
          <w:szCs w:val="20"/>
          <w:color w:val="auto"/>
        </w:rPr>
      </w:pPr>
      <w:r>
        <w:rPr>
          <w:rFonts w:ascii="Arial" w:cs="Arial" w:eastAsia="Arial" w:hAnsi="Arial"/>
          <w:sz w:val="18"/>
          <w:szCs w:val="18"/>
          <w:b w:val="1"/>
          <w:bCs w:val="1"/>
          <w:i w:val="1"/>
          <w:iCs w:val="1"/>
          <w:color w:val="auto"/>
        </w:rPr>
        <w:t>EXHIBIT “C”</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22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Financial Statement Date:</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Reference is made to that certain Third Amended and Restated Credit Agreement, dated December 21, 2011 (as amended, restated, extended, supplemented or otherwise modified in writing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the terms defined therein being used herein as therein defined), among Mistras Group,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and Bank of America, N.A., as Administrative Agent and L/C Issuer.</w:t>
      </w:r>
    </w:p>
    <w:p>
      <w:pPr>
        <w:sectPr>
          <w:pgSz w:w="11900" w:h="16838" w:orient="portrait"/>
          <w:cols w:equalWidth="0" w:num="1">
            <w:col w:w="11420"/>
          </w:cols>
          <w:pgMar w:left="240" w:top="1440" w:right="239" w:bottom="36"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undersigned Responsible Officer hereby certifies as of the date hereof that he/she is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authorized to execute and deliver this Certificate to Administrative Agent on the behalf of Borrower, and that: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of Borrower, and that, as such, he/she is</w:t>
      </w:r>
    </w:p>
    <w:p>
      <w:pPr>
        <w:spacing w:after="0" w:line="441" w:lineRule="exact"/>
        <w:rPr>
          <w:sz w:val="20"/>
          <w:szCs w:val="20"/>
          <w:color w:val="auto"/>
        </w:rPr>
      </w:pPr>
    </w:p>
    <w:p>
      <w:pPr>
        <w:sectPr>
          <w:pgSz w:w="11900" w:h="16838" w:orient="portrait"/>
          <w:cols w:equalWidth="0" w:num="2">
            <w:col w:w="7920" w:space="560"/>
            <w:col w:w="2940"/>
          </w:cols>
          <w:pgMar w:left="240" w:top="1440" w:right="239" w:bottom="36" w:gutter="0" w:footer="0" w:header="0"/>
          <w:type w:val="continuous"/>
        </w:sectPr>
      </w:pPr>
    </w:p>
    <w:p>
      <w:pPr>
        <w:spacing w:after="0" w:line="3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following paragraph 1 for fiscal year-end financial statements]</w:t>
      </w:r>
    </w:p>
    <w:p>
      <w:pPr>
        <w:spacing w:after="0" w:line="229" w:lineRule="exact"/>
        <w:rPr>
          <w:sz w:val="20"/>
          <w:szCs w:val="20"/>
          <w:color w:val="auto"/>
        </w:rPr>
      </w:pPr>
    </w:p>
    <w:p>
      <w:pPr>
        <w:jc w:val="both"/>
        <w:ind w:right="340" w:firstLine="656"/>
        <w:spacing w:after="0" w:line="342" w:lineRule="auto"/>
        <w:tabs>
          <w:tab w:leader="none" w:pos="136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are the year-end audited financial statements required by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of the Agreement for the fiscal year of Borrower ended as of the above date, together with the report and opinion of an independent certified public accountant required by such section.</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[Use following paragraph 1 for fiscal quarter-end financial statements]</w:t>
      </w:r>
    </w:p>
    <w:p>
      <w:pPr>
        <w:spacing w:after="0" w:line="229" w:lineRule="exact"/>
        <w:rPr>
          <w:sz w:val="20"/>
          <w:szCs w:val="20"/>
          <w:color w:val="auto"/>
        </w:rPr>
      </w:pPr>
    </w:p>
    <w:p>
      <w:pPr>
        <w:jc w:val="both"/>
        <w:ind w:firstLine="656"/>
        <w:spacing w:after="0" w:line="259" w:lineRule="auto"/>
        <w:tabs>
          <w:tab w:leader="none" w:pos="13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the unaudited financial statements required by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of the Agreement for the fiscal quarter of Borrower ended as of the above date. Such financial statements fairly present the financial condition, results of operations and cash flows of Borrower and its Consolidated Subsidiaries in accordance with GAAP as at such date and for such period, subject only to normal year-end audit adjustments and the absence of footnotes.</w:t>
      </w:r>
    </w:p>
    <w:p>
      <w:pPr>
        <w:spacing w:after="0" w:line="186" w:lineRule="exact"/>
        <w:rPr>
          <w:rFonts w:ascii="Arial" w:cs="Arial" w:eastAsia="Arial" w:hAnsi="Arial"/>
          <w:sz w:val="18"/>
          <w:szCs w:val="18"/>
          <w:color w:val="auto"/>
        </w:rPr>
      </w:pPr>
    </w:p>
    <w:p>
      <w:pPr>
        <w:ind w:right="100" w:firstLine="656"/>
        <w:spacing w:after="0" w:line="264" w:lineRule="auto"/>
        <w:tabs>
          <w:tab w:leader="none" w:pos="13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officer executing this Certificate on behalf of the Borrower has reviewed and is familiar with the terms of the Agreement and has made, or has caused to be made under his/her supervision, a detailed review of the transactions and condition (financial or otherwise) of Borrower during the accounting period covered by the attached financial statements.</w:t>
      </w:r>
    </w:p>
    <w:p>
      <w:pPr>
        <w:spacing w:after="0" w:line="181" w:lineRule="exact"/>
        <w:rPr>
          <w:rFonts w:ascii="Arial" w:cs="Arial" w:eastAsia="Arial" w:hAnsi="Arial"/>
          <w:sz w:val="18"/>
          <w:szCs w:val="18"/>
          <w:color w:val="auto"/>
        </w:rPr>
      </w:pPr>
    </w:p>
    <w:p>
      <w:pPr>
        <w:ind w:right="440" w:firstLine="656"/>
        <w:spacing w:after="0" w:line="264" w:lineRule="auto"/>
        <w:tabs>
          <w:tab w:leader="none" w:pos="136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review of the activities of Borrower during such fiscal period has been made under the supervision of the officer executing this Certificate on behalf of the Borrower with a view to determining whether during such fiscal period Borrower performed and observed all its Obligations under the Loan Documents,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[select one:]</w:t>
      </w:r>
    </w:p>
    <w:p>
      <w:pPr>
        <w:spacing w:after="0" w:line="225" w:lineRule="exact"/>
        <w:rPr>
          <w:sz w:val="20"/>
          <w:szCs w:val="20"/>
          <w:color w:val="auto"/>
        </w:rPr>
      </w:pPr>
    </w:p>
    <w:p>
      <w:pPr>
        <w:ind w:left="660" w:right="40"/>
        <w:spacing w:after="0" w:line="347" w:lineRule="auto"/>
        <w:rPr>
          <w:sz w:val="20"/>
          <w:szCs w:val="20"/>
          <w:color w:val="auto"/>
        </w:rPr>
      </w:pPr>
      <w:r>
        <w:rPr>
          <w:rFonts w:ascii="Arial" w:cs="Arial" w:eastAsia="Arial" w:hAnsi="Arial"/>
          <w:sz w:val="16"/>
          <w:szCs w:val="16"/>
          <w:b w:val="1"/>
          <w:bCs w:val="1"/>
          <w:color w:val="auto"/>
        </w:rPr>
        <w:t>[to the best knowledge of the officer executing this Certificate on behalf of the Borrower during such fiscal period, Borrower performed and observed each covenant and condition of the Loan Documents applicable to it, and no Default has occurred and is continuing.]</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—or —</w:t>
      </w:r>
    </w:p>
    <w:p>
      <w:pPr>
        <w:spacing w:after="0" w:line="225"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b w:val="1"/>
          <w:bCs w:val="1"/>
          <w:color w:val="auto"/>
        </w:rPr>
        <w:t>[the following covenants or conditions have not been performed or observed and the following is a list of each such Default and its nature and status:]</w:t>
      </w:r>
    </w:p>
    <w:p>
      <w:pPr>
        <w:spacing w:after="0" w:line="166"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 xml:space="preserve">4, The representations and warranties of Borrower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Agreement, and/or any representations and warranties of Borrower or any other Loan Party that are contained in any document furnished at any time under or in connection with the Loan Documents, are true and correct on and as of the date hereof, except to the extent that such representations and warranties specifically refer to an earlier date, in which case they are true and correct as of such earlier date, and except that for purposes of this Compliance Certificate, the representations and warranties contained in </w:t>
      </w:r>
      <w:r>
        <w:rPr>
          <w:rFonts w:ascii="Arial" w:cs="Arial" w:eastAsia="Arial" w:hAnsi="Arial"/>
          <w:sz w:val="16"/>
          <w:szCs w:val="16"/>
          <w:u w:val="single" w:color="auto"/>
          <w:color w:val="auto"/>
        </w:rPr>
        <w:t>subsections (a) and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Agreement shall be deemed to refer to the most recent statements furnished pursuant to </w:t>
      </w:r>
      <w:r>
        <w:rPr>
          <w:rFonts w:ascii="Arial" w:cs="Arial" w:eastAsia="Arial" w:hAnsi="Arial"/>
          <w:sz w:val="16"/>
          <w:szCs w:val="16"/>
          <w:u w:val="single" w:color="auto"/>
          <w:color w:val="auto"/>
        </w:rPr>
        <w:t>clauses (a) and (b)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 Agreement, including the statements in connection with which this Compliance Certificate is delivered.</w:t>
      </w:r>
    </w:p>
    <w:p>
      <w:pPr>
        <w:spacing w:after="0" w:line="165" w:lineRule="exact"/>
        <w:rPr>
          <w:sz w:val="20"/>
          <w:szCs w:val="20"/>
          <w:color w:val="auto"/>
        </w:rPr>
      </w:pPr>
    </w:p>
    <w:p>
      <w:pPr>
        <w:ind w:left="1380" w:hanging="724"/>
        <w:spacing w:after="0"/>
        <w:tabs>
          <w:tab w:leader="none" w:pos="13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financial covenant analyses and information set forth on </w:t>
      </w:r>
      <w:r>
        <w:rPr>
          <w:rFonts w:ascii="Arial" w:cs="Arial" w:eastAsia="Arial" w:hAnsi="Arial"/>
          <w:sz w:val="16"/>
          <w:szCs w:val="16"/>
          <w:u w:val="single" w:color="auto"/>
          <w:color w:val="auto"/>
        </w:rPr>
        <w:t>Schedules 2 and 3</w:t>
      </w:r>
      <w:r>
        <w:rPr>
          <w:rFonts w:ascii="Arial" w:cs="Arial" w:eastAsia="Arial" w:hAnsi="Arial"/>
          <w:sz w:val="16"/>
          <w:szCs w:val="16"/>
          <w:color w:val="auto"/>
        </w:rPr>
        <w:t xml:space="preserve"> attached hereto are true and accurate on and as of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Certificate.</w:t>
      </w:r>
    </w:p>
    <w:p>
      <w:pPr>
        <w:spacing w:after="0" w:line="207" w:lineRule="exact"/>
        <w:rPr>
          <w:sz w:val="20"/>
          <w:szCs w:val="20"/>
          <w:color w:val="auto"/>
        </w:rPr>
      </w:pPr>
    </w:p>
    <w:p>
      <w:pPr>
        <w:ind w:left="660"/>
        <w:spacing w:after="0"/>
        <w:tabs>
          <w:tab w:leader="none" w:pos="7960" w:val="left"/>
        </w:tabs>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this Certificate as of</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MISTRAS GROUP, INC.</w:t>
      </w:r>
    </w:p>
    <w:p>
      <w:pPr>
        <w:sectPr>
          <w:pgSz w:w="11900" w:h="16838" w:orient="portrait"/>
          <w:cols w:equalWidth="0" w:num="1">
            <w:col w:w="11420"/>
          </w:cols>
          <w:pgMar w:left="240" w:top="1440" w:right="239" w:bottom="36" w:gutter="0" w:footer="0" w:header="0"/>
          <w:type w:val="continuous"/>
        </w:sectPr>
      </w:pPr>
    </w:p>
    <w:bookmarkStart w:id="93" w:name="page94"/>
    <w:bookmarkEnd w:id="93"/>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5715</wp:posOffset>
            </wp:positionV>
            <wp:extent cx="28301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-130810</wp:posOffset>
            </wp:positionV>
            <wp:extent cx="28301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ind w:right="40"/>
        <w:spacing w:after="0"/>
        <w:tabs>
          <w:tab w:leader="none" w:pos="1500" w:val="left"/>
        </w:tabs>
        <w:rPr>
          <w:sz w:val="20"/>
          <w:szCs w:val="20"/>
          <w:color w:val="auto"/>
        </w:rPr>
      </w:pPr>
      <w:r>
        <w:rPr>
          <w:rFonts w:ascii="Arial" w:cs="Arial" w:eastAsia="Arial" w:hAnsi="Arial"/>
          <w:sz w:val="18"/>
          <w:szCs w:val="18"/>
          <w:b w:val="1"/>
          <w:bCs w:val="1"/>
          <w:color w:val="auto"/>
        </w:rPr>
        <w:t>For the Quarter/Year ended</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Statement Date</w:t>
      </w:r>
      <w:r>
        <w:rPr>
          <w:rFonts w:ascii="Arial" w:cs="Arial" w:eastAsia="Arial" w:hAnsi="Arial"/>
          <w:sz w:val="16"/>
          <w:szCs w:val="16"/>
          <w:b w:val="1"/>
          <w:bCs w:val="1"/>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the Compliance Certificate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in 000’s)</w:t>
      </w:r>
    </w:p>
    <w:p>
      <w:pPr>
        <w:spacing w:after="0" w:line="207" w:lineRule="exact"/>
        <w:rPr>
          <w:sz w:val="20"/>
          <w:szCs w:val="20"/>
          <w:color w:val="auto"/>
        </w:rPr>
      </w:pPr>
    </w:p>
    <w:p>
      <w:pPr>
        <w:ind w:left="640" w:hanging="632"/>
        <w:spacing w:after="0"/>
        <w:tabs>
          <w:tab w:leader="none" w:pos="64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Section 6.12(a) - EBITDA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1.</w:t>
            </w:r>
          </w:p>
        </w:tc>
        <w:tc>
          <w:tcPr>
            <w:tcW w:w="748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2.</w:t>
            </w:r>
          </w:p>
        </w:tc>
        <w:tc>
          <w:tcPr>
            <w:tcW w:w="7480" w:type="dxa"/>
            <w:vAlign w:val="bottom"/>
          </w:tcPr>
          <w:p>
            <w:pPr>
              <w:ind w:left="240"/>
              <w:spacing w:after="0"/>
              <w:rPr>
                <w:sz w:val="20"/>
                <w:szCs w:val="20"/>
                <w:color w:val="auto"/>
              </w:rPr>
            </w:pPr>
            <w:r>
              <w:rPr>
                <w:rFonts w:ascii="Arial" w:cs="Arial" w:eastAsia="Arial" w:hAnsi="Arial"/>
                <w:sz w:val="18"/>
                <w:szCs w:val="18"/>
                <w:color w:val="auto"/>
              </w:rPr>
              <w:t>minus income or plus loss from discontinued operations and extraordinary items:</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3.</w:t>
            </w:r>
          </w:p>
        </w:tc>
        <w:tc>
          <w:tcPr>
            <w:tcW w:w="7480" w:type="dxa"/>
            <w:vAlign w:val="bottom"/>
          </w:tcPr>
          <w:p>
            <w:pPr>
              <w:ind w:left="240"/>
              <w:spacing w:after="0"/>
              <w:rPr>
                <w:sz w:val="20"/>
                <w:szCs w:val="20"/>
                <w:color w:val="auto"/>
              </w:rPr>
            </w:pPr>
            <w:r>
              <w:rPr>
                <w:rFonts w:ascii="Arial" w:cs="Arial" w:eastAsia="Arial" w:hAnsi="Arial"/>
                <w:sz w:val="18"/>
                <w:szCs w:val="18"/>
                <w:color w:val="auto"/>
              </w:rPr>
              <w:t>plus income tax expenses:</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4.</w:t>
            </w:r>
          </w:p>
        </w:tc>
        <w:tc>
          <w:tcPr>
            <w:tcW w:w="7480" w:type="dxa"/>
            <w:vAlign w:val="bottom"/>
          </w:tcPr>
          <w:p>
            <w:pPr>
              <w:ind w:left="240"/>
              <w:spacing w:after="0"/>
              <w:rPr>
                <w:sz w:val="20"/>
                <w:szCs w:val="20"/>
                <w:color w:val="auto"/>
              </w:rPr>
            </w:pPr>
            <w:r>
              <w:rPr>
                <w:rFonts w:ascii="Arial" w:cs="Arial" w:eastAsia="Arial" w:hAnsi="Arial"/>
                <w:sz w:val="18"/>
                <w:szCs w:val="18"/>
                <w:color w:val="auto"/>
              </w:rPr>
              <w:t>plus interest expense:</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5.</w:t>
            </w:r>
          </w:p>
        </w:tc>
        <w:tc>
          <w:tcPr>
            <w:tcW w:w="7480" w:type="dxa"/>
            <w:vAlign w:val="bottom"/>
          </w:tcPr>
          <w:p>
            <w:pPr>
              <w:ind w:left="240"/>
              <w:spacing w:after="0"/>
              <w:rPr>
                <w:sz w:val="20"/>
                <w:szCs w:val="20"/>
                <w:color w:val="auto"/>
              </w:rPr>
            </w:pPr>
            <w:r>
              <w:rPr>
                <w:rFonts w:ascii="Arial" w:cs="Arial" w:eastAsia="Arial" w:hAnsi="Arial"/>
                <w:sz w:val="18"/>
                <w:szCs w:val="18"/>
                <w:color w:val="auto"/>
                <w:w w:val="99"/>
              </w:rPr>
              <w:t>plus depreciation, depletion and amortization (including non-cash loss on retirement assets:</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6.</w:t>
            </w:r>
          </w:p>
        </w:tc>
        <w:tc>
          <w:tcPr>
            <w:tcW w:w="7480" w:type="dxa"/>
            <w:vAlign w:val="bottom"/>
          </w:tcPr>
          <w:p>
            <w:pPr>
              <w:ind w:left="240"/>
              <w:spacing w:after="0"/>
              <w:rPr>
                <w:sz w:val="20"/>
                <w:szCs w:val="20"/>
                <w:color w:val="auto"/>
              </w:rPr>
            </w:pPr>
            <w:r>
              <w:rPr>
                <w:rFonts w:ascii="Arial" w:cs="Arial" w:eastAsia="Arial" w:hAnsi="Arial"/>
                <w:sz w:val="18"/>
                <w:szCs w:val="18"/>
                <w:color w:val="auto"/>
              </w:rPr>
              <w:t>plus stock option expense:</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7.</w:t>
            </w:r>
          </w:p>
        </w:tc>
        <w:tc>
          <w:tcPr>
            <w:tcW w:w="7480" w:type="dxa"/>
            <w:vAlign w:val="bottom"/>
          </w:tcPr>
          <w:p>
            <w:pPr>
              <w:ind w:left="240"/>
              <w:spacing w:after="0"/>
              <w:rPr>
                <w:sz w:val="20"/>
                <w:szCs w:val="20"/>
                <w:color w:val="auto"/>
              </w:rPr>
            </w:pPr>
            <w:r>
              <w:rPr>
                <w:rFonts w:ascii="Arial" w:cs="Arial" w:eastAsia="Arial" w:hAnsi="Arial"/>
                <w:sz w:val="18"/>
                <w:szCs w:val="18"/>
                <w:color w:val="auto"/>
              </w:rPr>
              <w:t>minus cash expense related to stock options:</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Arial" w:cs="Arial" w:eastAsia="Arial" w:hAnsi="Arial"/>
                <w:sz w:val="18"/>
                <w:szCs w:val="18"/>
                <w:color w:val="auto"/>
                <w:w w:val="79"/>
              </w:rPr>
              <w:t>8.</w:t>
            </w:r>
          </w:p>
        </w:tc>
        <w:tc>
          <w:tcPr>
            <w:tcW w:w="7480" w:type="dxa"/>
            <w:vAlign w:val="bottom"/>
          </w:tcPr>
          <w:p>
            <w:pPr>
              <w:ind w:left="240"/>
              <w:spacing w:after="0"/>
              <w:rPr>
                <w:sz w:val="20"/>
                <w:szCs w:val="20"/>
                <w:color w:val="auto"/>
              </w:rPr>
            </w:pPr>
            <w:r>
              <w:rPr>
                <w:rFonts w:ascii="Arial" w:cs="Arial" w:eastAsia="Arial" w:hAnsi="Arial"/>
                <w:sz w:val="18"/>
                <w:szCs w:val="18"/>
                <w:color w:val="auto"/>
              </w:rPr>
              <w:t>plus Add Back Amounts, if applicable, not to exceed US$20,000,000.00:</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r>
    </w:tbl>
    <w:p>
      <w:pPr>
        <w:spacing w:after="0" w:line="202" w:lineRule="exact"/>
        <w:rPr>
          <w:sz w:val="20"/>
          <w:szCs w:val="20"/>
          <w:color w:val="auto"/>
        </w:rPr>
      </w:pPr>
    </w:p>
    <w:p>
      <w:pPr>
        <w:ind w:left="1260" w:right="2700" w:hanging="617"/>
        <w:spacing w:after="0" w:line="288" w:lineRule="auto"/>
        <w:tabs>
          <w:tab w:leader="none" w:pos="12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plus, for the purposes of calculating EBITDA for the fourth fiscal quarter of the 2011 fiscal year (during which fiscal quarter the Borrower completed a follow on public equity offering of its common stock pursuant to an effective registration statement under the Securities Act of 1933), an amount equal to any</w:t>
      </w:r>
    </w:p>
    <w:tbl>
      <w:tblPr>
        <w:tblLayout w:type="fixed"/>
        <w:tblInd w:w="640" w:type="dxa"/>
        <w:tblCellMar>
          <w:top w:w="0" w:type="dxa"/>
          <w:left w:w="0" w:type="dxa"/>
          <w:bottom w:w="0" w:type="dxa"/>
          <w:right w:w="0" w:type="dxa"/>
        </w:tblCellMar>
      </w:tblPr>
      <w:tr>
        <w:trPr>
          <w:trHeight w:val="202"/>
        </w:trPr>
        <w:tc>
          <w:tcPr>
            <w:tcW w:w="420" w:type="dxa"/>
            <w:vAlign w:val="bottom"/>
          </w:tcPr>
          <w:p>
            <w:pPr>
              <w:spacing w:after="0"/>
              <w:rPr>
                <w:sz w:val="17"/>
                <w:szCs w:val="17"/>
                <w:color w:val="auto"/>
              </w:rPr>
            </w:pPr>
          </w:p>
        </w:tc>
        <w:tc>
          <w:tcPr>
            <w:tcW w:w="7960" w:type="dxa"/>
            <w:vAlign w:val="bottom"/>
          </w:tcPr>
          <w:p>
            <w:pPr>
              <w:ind w:left="200"/>
              <w:spacing w:after="0" w:line="202" w:lineRule="exact"/>
              <w:rPr>
                <w:sz w:val="20"/>
                <w:szCs w:val="20"/>
                <w:color w:val="auto"/>
              </w:rPr>
            </w:pPr>
            <w:r>
              <w:rPr>
                <w:rFonts w:ascii="Arial" w:cs="Arial" w:eastAsia="Arial" w:hAnsi="Arial"/>
                <w:sz w:val="18"/>
                <w:szCs w:val="18"/>
                <w:color w:val="auto"/>
                <w:w w:val="94"/>
              </w:rPr>
              <w:t>and all one-time expenses (specifically excluding any capitalized expenses) incurred by the Borrower in</w:t>
            </w:r>
          </w:p>
        </w:tc>
        <w:tc>
          <w:tcPr>
            <w:tcW w:w="240" w:type="dxa"/>
            <w:vAlign w:val="bottom"/>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w w:val="94"/>
              </w:rPr>
              <w:t>connection with said follow on public equity offering to the extent such expenses reduce the Borrower’s</w:t>
            </w:r>
          </w:p>
        </w:tc>
        <w:tc>
          <w:tcPr>
            <w:tcW w:w="24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10.</w:t>
            </w:r>
          </w:p>
        </w:tc>
        <w:tc>
          <w:tcPr>
            <w:tcW w:w="7960" w:type="dxa"/>
            <w:vAlign w:val="bottom"/>
          </w:tcPr>
          <w:p>
            <w:pPr>
              <w:ind w:left="200"/>
              <w:spacing w:after="0"/>
              <w:rPr>
                <w:sz w:val="20"/>
                <w:szCs w:val="20"/>
                <w:color w:val="auto"/>
              </w:rPr>
            </w:pPr>
            <w:r>
              <w:rPr>
                <w:rFonts w:ascii="Arial" w:cs="Arial" w:eastAsia="Arial" w:hAnsi="Arial"/>
                <w:sz w:val="18"/>
                <w:szCs w:val="18"/>
                <w:color w:val="auto"/>
                <w:w w:val="92"/>
              </w:rPr>
              <w:t>plus amounts expended by the Borrower in connection with the closing of the credit facilities described in</w:t>
            </w:r>
          </w:p>
        </w:tc>
        <w:tc>
          <w:tcPr>
            <w:tcW w:w="24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this Agreement, if applicable: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60" w:hanging="617"/>
        <w:spacing w:after="0"/>
        <w:tabs>
          <w:tab w:leader="none" w:pos="12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plus</w:t>
      </w:r>
      <w:r>
        <w:rPr>
          <w:rFonts w:ascii="Arial" w:cs="Arial" w:eastAsia="Arial" w:hAnsi="Arial"/>
          <w:sz w:val="18"/>
          <w:szCs w:val="18"/>
          <w:color w:val="auto"/>
        </w:rPr>
        <w:t xml:space="preserve"> (l) non-cash expenses which do not (at any time now or in the future) represent a cash item</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(excluding any non-cash gains which increase net income):</w:t>
            </w:r>
          </w:p>
        </w:tc>
        <w:tc>
          <w:tcPr>
            <w:tcW w:w="3700" w:type="dxa"/>
            <w:vAlign w:val="bottom"/>
          </w:tcPr>
          <w:p>
            <w:pPr>
              <w:jc w:val="right"/>
              <w:ind w:right="2110"/>
              <w:spacing w:after="0"/>
              <w:rPr>
                <w:sz w:val="20"/>
                <w:szCs w:val="20"/>
                <w:color w:val="auto"/>
              </w:rPr>
            </w:pPr>
            <w:r>
              <w:rPr>
                <w:rFonts w:ascii="Arial" w:cs="Arial" w:eastAsia="Arial" w:hAnsi="Arial"/>
                <w:sz w:val="18"/>
                <w:szCs w:val="18"/>
                <w:color w:val="auto"/>
              </w:rPr>
              <w:t>$</w:t>
            </w:r>
          </w:p>
        </w:tc>
      </w:tr>
      <w:tr>
        <w:trPr>
          <w:trHeight w:val="418"/>
        </w:trPr>
        <w:tc>
          <w:tcPr>
            <w:tcW w:w="106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6700" w:type="dxa"/>
            <w:vAlign w:val="bottom"/>
          </w:tcPr>
          <w:p>
            <w:pPr>
              <w:ind w:left="200"/>
              <w:spacing w:after="0"/>
              <w:rPr>
                <w:sz w:val="20"/>
                <w:szCs w:val="20"/>
                <w:color w:val="auto"/>
              </w:rPr>
            </w:pPr>
            <w:r>
              <w:rPr>
                <w:rFonts w:ascii="Arial" w:cs="Arial" w:eastAsia="Arial" w:hAnsi="Arial"/>
                <w:sz w:val="18"/>
                <w:szCs w:val="18"/>
                <w:color w:val="auto"/>
              </w:rPr>
              <w:t>Total (Line I.1 - I.2 + I.3 + I.4 + I.5 + I.6 - I.7 + I.8 + I.9 + I.10 + I.11):</w:t>
            </w:r>
          </w:p>
        </w:tc>
        <w:tc>
          <w:tcPr>
            <w:tcW w:w="3700" w:type="dxa"/>
            <w:vAlign w:val="bottom"/>
          </w:tcPr>
          <w:p>
            <w:pPr>
              <w:jc w:val="right"/>
              <w:ind w:right="2110"/>
              <w:spacing w:after="0"/>
              <w:rPr>
                <w:sz w:val="20"/>
                <w:szCs w:val="20"/>
                <w:color w:val="auto"/>
              </w:rPr>
            </w:pPr>
            <w:r>
              <w:rPr>
                <w:rFonts w:ascii="Arial" w:cs="Arial" w:eastAsia="Arial" w:hAnsi="Arial"/>
                <w:sz w:val="18"/>
                <w:szCs w:val="18"/>
                <w:color w:val="auto"/>
              </w:rPr>
              <w:t>$</w:t>
            </w:r>
          </w:p>
        </w:tc>
      </w:tr>
      <w:tr>
        <w:trPr>
          <w:trHeight w:val="348"/>
        </w:trPr>
        <w:tc>
          <w:tcPr>
            <w:tcW w:w="1060" w:type="dxa"/>
            <w:vAlign w:val="bottom"/>
            <w:tcBorders>
              <w:bottom w:val="single" w:sz="8" w:color="010101"/>
            </w:tcBorders>
          </w:tcPr>
          <w:p>
            <w:pPr>
              <w:spacing w:after="0"/>
              <w:rPr>
                <w:sz w:val="24"/>
                <w:szCs w:val="24"/>
                <w:color w:val="auto"/>
              </w:rPr>
            </w:pPr>
          </w:p>
        </w:tc>
        <w:tc>
          <w:tcPr>
            <w:tcW w:w="6700" w:type="dxa"/>
            <w:vAlign w:val="bottom"/>
            <w:tcBorders>
              <w:bottom w:val="single" w:sz="8" w:color="010101"/>
            </w:tcBorders>
          </w:tcPr>
          <w:p>
            <w:pPr>
              <w:spacing w:after="0"/>
              <w:rPr>
                <w:sz w:val="24"/>
                <w:szCs w:val="24"/>
                <w:color w:val="auto"/>
              </w:rPr>
            </w:pPr>
          </w:p>
        </w:tc>
        <w:tc>
          <w:tcPr>
            <w:tcW w:w="37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40" w:hanging="632"/>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Section 6.12(a) - Minimum Interest Coverage Ratio.</w:t>
      </w:r>
    </w:p>
    <w:p>
      <w:pPr>
        <w:sectPr>
          <w:pgSz w:w="11900" w:h="16838" w:orient="portrait"/>
          <w:cols w:equalWidth="0" w:num="1">
            <w:col w:w="11460"/>
          </w:cols>
          <w:pgMar w:left="240" w:top="125" w:right="199" w:bottom="0" w:gutter="0" w:footer="0" w:header="0"/>
        </w:sectPr>
      </w:pPr>
    </w:p>
    <w:p>
      <w:pPr>
        <w:spacing w:after="0" w:line="22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EBITDA (Line I.12):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8460" w:space="720"/>
            <w:col w:w="2280"/>
          </w:cols>
          <w:pgMar w:left="240" w:top="125" w:right="199" w:bottom="0" w:gutter="0" w:footer="0" w:header="0"/>
          <w:type w:val="continuous"/>
        </w:sectPr>
      </w:pPr>
    </w:p>
    <w:p>
      <w:pPr>
        <w:spacing w:after="0" w:line="3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Cash taxes, dividends, cash distributions, withdrawals and other distributions: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8460" w:space="720"/>
            <w:col w:w="320" w:space="720"/>
            <w:col w:w="1240"/>
          </w:cols>
          <w:pgMar w:left="240" w:top="125" w:right="199" w:bottom="0" w:gutter="0" w:footer="0" w:header="0"/>
          <w:type w:val="continuous"/>
        </w:sectPr>
      </w:pPr>
    </w:p>
    <w:p>
      <w:pPr>
        <w:spacing w:after="0" w:line="25" w:lineRule="exact"/>
        <w:rPr>
          <w:sz w:val="20"/>
          <w:szCs w:val="20"/>
          <w:color w:val="auto"/>
        </w:rPr>
      </w:pPr>
    </w:p>
    <w:p>
      <w:pPr>
        <w:jc w:val="both"/>
        <w:ind w:left="1280" w:right="2760" w:hanging="637"/>
        <w:spacing w:after="0" w:line="291" w:lineRule="auto"/>
        <w:tabs>
          <w:tab w:leader="none" w:pos="12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sum of (i) all interest, premium payments, debt discount, fees, charges and related expenses of the Borrower and its Subsidiaries in connection with borrowed money (including capitalized interest) or in</w:t>
      </w:r>
    </w:p>
    <w:tbl>
      <w:tblPr>
        <w:tblLayout w:type="fixed"/>
        <w:tblInd w:w="64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7860" w:type="dxa"/>
            <w:vAlign w:val="bottom"/>
          </w:tcPr>
          <w:p>
            <w:pPr>
              <w:ind w:left="240"/>
              <w:spacing w:after="0" w:line="202" w:lineRule="exact"/>
              <w:rPr>
                <w:sz w:val="20"/>
                <w:szCs w:val="20"/>
                <w:color w:val="auto"/>
              </w:rPr>
            </w:pPr>
            <w:r>
              <w:rPr>
                <w:rFonts w:ascii="Arial" w:cs="Arial" w:eastAsia="Arial" w:hAnsi="Arial"/>
                <w:sz w:val="18"/>
                <w:szCs w:val="18"/>
                <w:color w:val="auto"/>
                <w:w w:val="93"/>
              </w:rPr>
              <w:t>connection with the deferred purchase price of assets, in each case to the extent treated as interest in</w:t>
            </w:r>
          </w:p>
        </w:tc>
        <w:tc>
          <w:tcPr>
            <w:tcW w:w="1300" w:type="dxa"/>
            <w:vAlign w:val="bottom"/>
          </w:tcPr>
          <w:p>
            <w:pPr>
              <w:spacing w:after="0"/>
              <w:rPr>
                <w:sz w:val="17"/>
                <w:szCs w:val="17"/>
                <w:color w:val="auto"/>
              </w:rPr>
            </w:pPr>
          </w:p>
        </w:tc>
      </w:tr>
      <w:tr>
        <w:trPr>
          <w:trHeight w:val="216"/>
        </w:trPr>
        <w:tc>
          <w:tcPr>
            <w:tcW w:w="40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accordance with GAAP, paid during the 12 month period immediately preceding said date of</w:t>
            </w:r>
          </w:p>
        </w:tc>
        <w:tc>
          <w:tcPr>
            <w:tcW w:w="13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w w:val="94"/>
              </w:rPr>
              <w:t>determination, and (ii) the portion of rent expense of the Borrower and its Subsidiaries with respect to</w:t>
            </w:r>
          </w:p>
        </w:tc>
        <w:tc>
          <w:tcPr>
            <w:tcW w:w="13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such period under capital leases that is treated as interest in accordance with GAAP:</w:t>
            </w:r>
          </w:p>
        </w:tc>
        <w:tc>
          <w:tcPr>
            <w:tcW w:w="13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D.</w:t>
            </w:r>
          </w:p>
        </w:tc>
        <w:tc>
          <w:tcPr>
            <w:tcW w:w="7860" w:type="dxa"/>
            <w:vAlign w:val="bottom"/>
          </w:tcPr>
          <w:p>
            <w:pPr>
              <w:ind w:left="240"/>
              <w:spacing w:after="0"/>
              <w:rPr>
                <w:sz w:val="20"/>
                <w:szCs w:val="20"/>
                <w:color w:val="auto"/>
              </w:rPr>
            </w:pPr>
            <w:r>
              <w:rPr>
                <w:rFonts w:ascii="Arial" w:cs="Arial" w:eastAsia="Arial" w:hAnsi="Arial"/>
                <w:sz w:val="18"/>
                <w:szCs w:val="18"/>
                <w:color w:val="auto"/>
              </w:rPr>
              <w:t>Interest Coverage Ratio ((Line II.A - II.B) / Line II.C):</w:t>
            </w:r>
          </w:p>
        </w:tc>
        <w:tc>
          <w:tcPr>
            <w:tcW w:w="1300" w:type="dxa"/>
            <w:vAlign w:val="bottom"/>
          </w:tcPr>
          <w:p>
            <w:pPr>
              <w:ind w:left="780"/>
              <w:spacing w:after="0"/>
              <w:rPr>
                <w:sz w:val="20"/>
                <w:szCs w:val="20"/>
                <w:color w:val="auto"/>
              </w:rPr>
            </w:pPr>
            <w:r>
              <w:rPr>
                <w:rFonts w:ascii="Arial" w:cs="Arial" w:eastAsia="Arial" w:hAnsi="Arial"/>
                <w:sz w:val="18"/>
                <w:szCs w:val="18"/>
                <w:color w:val="auto"/>
                <w:w w:val="87"/>
              </w:rPr>
              <w:t>-to- 1.0</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rPr>
              <w:t>Minimum Required:</w:t>
            </w:r>
          </w:p>
        </w:tc>
        <w:tc>
          <w:tcPr>
            <w:tcW w:w="1300" w:type="dxa"/>
            <w:vAlign w:val="bottom"/>
          </w:tcPr>
          <w:p>
            <w:pPr>
              <w:ind w:left="280"/>
              <w:spacing w:after="0"/>
              <w:rPr>
                <w:sz w:val="20"/>
                <w:szCs w:val="20"/>
                <w:color w:val="auto"/>
              </w:rPr>
            </w:pPr>
            <w:r>
              <w:rPr>
                <w:rFonts w:ascii="Arial" w:cs="Arial" w:eastAsia="Arial" w:hAnsi="Arial"/>
                <w:sz w:val="18"/>
                <w:szCs w:val="18"/>
                <w:color w:val="auto"/>
              </w:rPr>
              <w:t>3.0 -to- 1.0</w:t>
            </w:r>
          </w:p>
        </w:tc>
      </w:tr>
    </w:tbl>
    <w:p>
      <w:pPr>
        <w:spacing w:after="0" w:line="198" w:lineRule="exact"/>
        <w:rPr>
          <w:sz w:val="20"/>
          <w:szCs w:val="20"/>
          <w:color w:val="auto"/>
        </w:rPr>
      </w:pPr>
    </w:p>
    <w:p>
      <w:pPr>
        <w:ind w:left="640" w:hanging="632"/>
        <w:spacing w:after="0"/>
        <w:tabs>
          <w:tab w:leader="none" w:pos="6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Section 6.12(b) - Maximum Funded Debt Leverage Ratio.</w:t>
      </w:r>
    </w:p>
    <w:p>
      <w:pPr>
        <w:spacing w:after="0" w:line="229" w:lineRule="exact"/>
        <w:rPr>
          <w:sz w:val="20"/>
          <w:szCs w:val="20"/>
          <w:color w:val="auto"/>
        </w:rPr>
      </w:pPr>
    </w:p>
    <w:p>
      <w:pPr>
        <w:ind w:left="1280" w:right="2600" w:hanging="637"/>
        <w:spacing w:after="0" w:line="288" w:lineRule="auto"/>
        <w:tabs>
          <w:tab w:leader="none" w:pos="128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Funded Debt</w:t>
      </w:r>
      <w:r>
        <w:rPr>
          <w:rFonts w:ascii="Arial" w:cs="Arial" w:eastAsia="Arial" w:hAnsi="Arial"/>
          <w:sz w:val="16"/>
          <w:szCs w:val="16"/>
          <w:color w:val="auto"/>
        </w:rPr>
        <w:t>: all outstanding liabilities for borrowed money plus other interest-bearing liabilities, including current and long-term liabilities (but excluding the capital lease between Borrower and Sotirios Vahaviolos relating to Borrower’s occupancy of the premises located at 195 Clarksville Road, Princeton</w:t>
      </w:r>
    </w:p>
    <w:p>
      <w:pPr>
        <w:sectPr>
          <w:pgSz w:w="11900" w:h="16838" w:orient="portrait"/>
          <w:cols w:equalWidth="0" w:num="1">
            <w:col w:w="11460"/>
          </w:cols>
          <w:pgMar w:left="240" w:top="125" w:right="199" w:bottom="0" w:gutter="0" w:footer="0" w:header="0"/>
          <w:type w:val="continuous"/>
        </w:sectPr>
      </w:pPr>
    </w:p>
    <w:p>
      <w:pPr>
        <w:ind w:left="1280"/>
        <w:spacing w:after="0"/>
        <w:rPr>
          <w:sz w:val="20"/>
          <w:szCs w:val="20"/>
          <w:color w:val="auto"/>
        </w:rPr>
      </w:pPr>
      <w:r>
        <w:rPr>
          <w:rFonts w:ascii="Arial" w:cs="Arial" w:eastAsia="Arial" w:hAnsi="Arial"/>
          <w:sz w:val="16"/>
          <w:szCs w:val="16"/>
          <w:color w:val="auto"/>
        </w:rPr>
        <w:t>Junction, New Jersey):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8460" w:space="720"/>
            <w:col w:w="2280"/>
          </w:cols>
          <w:pgMar w:left="240" w:top="125" w:right="199" w:bottom="0" w:gutter="0" w:footer="0" w:header="0"/>
          <w:type w:val="continuous"/>
        </w:sectPr>
      </w:pPr>
    </w:p>
    <w:p>
      <w:pPr>
        <w:spacing w:after="0" w:line="3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7"/>
          <w:szCs w:val="17"/>
          <w:color w:val="auto"/>
        </w:rPr>
        <w:t>B.</w:t>
      </w:r>
      <w:r>
        <w:rPr>
          <w:sz w:val="20"/>
          <w:szCs w:val="20"/>
          <w:color w:val="auto"/>
        </w:rPr>
        <w:tab/>
      </w:r>
      <w:r>
        <w:rPr>
          <w:rFonts w:ascii="Arial" w:cs="Arial" w:eastAsia="Arial" w:hAnsi="Arial"/>
          <w:sz w:val="17"/>
          <w:szCs w:val="17"/>
          <w:color w:val="auto"/>
        </w:rPr>
        <w:t>EBITDA (Line I.12)</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2">
            <w:col w:w="8460" w:space="720"/>
            <w:col w:w="2280"/>
          </w:cols>
          <w:pgMar w:left="240" w:top="125" w:right="199"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1040" w:type="dxa"/>
            <w:vAlign w:val="bottom"/>
          </w:tcPr>
          <w:p>
            <w:pPr>
              <w:ind w:left="640"/>
              <w:spacing w:after="0"/>
              <w:rPr>
                <w:sz w:val="20"/>
                <w:szCs w:val="20"/>
                <w:color w:val="auto"/>
              </w:rPr>
            </w:pPr>
            <w:r>
              <w:rPr>
                <w:rFonts w:ascii="Arial" w:cs="Arial" w:eastAsia="Arial" w:hAnsi="Arial"/>
                <w:sz w:val="18"/>
                <w:szCs w:val="18"/>
                <w:color w:val="auto"/>
              </w:rPr>
              <w:t>C.</w:t>
            </w:r>
          </w:p>
        </w:tc>
        <w:tc>
          <w:tcPr>
            <w:tcW w:w="4380" w:type="dxa"/>
            <w:vAlign w:val="bottom"/>
          </w:tcPr>
          <w:p>
            <w:pPr>
              <w:ind w:left="240"/>
              <w:spacing w:after="0"/>
              <w:rPr>
                <w:sz w:val="20"/>
                <w:szCs w:val="20"/>
                <w:color w:val="auto"/>
              </w:rPr>
            </w:pPr>
            <w:r>
              <w:rPr>
                <w:rFonts w:ascii="Arial" w:cs="Arial" w:eastAsia="Arial" w:hAnsi="Arial"/>
                <w:sz w:val="18"/>
                <w:szCs w:val="18"/>
                <w:color w:val="auto"/>
              </w:rPr>
              <w:t>Funded Debt Leverage Ratio (Line III.A / Line III.B):</w:t>
            </w:r>
          </w:p>
        </w:tc>
        <w:tc>
          <w:tcPr>
            <w:tcW w:w="6040" w:type="dxa"/>
            <w:vAlign w:val="bottom"/>
          </w:tcPr>
          <w:p>
            <w:pPr>
              <w:jc w:val="right"/>
              <w:ind w:right="1170"/>
              <w:spacing w:after="0"/>
              <w:rPr>
                <w:sz w:val="20"/>
                <w:szCs w:val="20"/>
                <w:color w:val="auto"/>
              </w:rPr>
            </w:pPr>
            <w:r>
              <w:rPr>
                <w:rFonts w:ascii="Arial" w:cs="Arial" w:eastAsia="Arial" w:hAnsi="Arial"/>
                <w:sz w:val="18"/>
                <w:szCs w:val="18"/>
                <w:color w:val="auto"/>
              </w:rPr>
              <w:t>-to- 1.0</w:t>
            </w:r>
          </w:p>
        </w:tc>
      </w:tr>
      <w:tr>
        <w:trPr>
          <w:trHeight w:val="432"/>
        </w:trPr>
        <w:tc>
          <w:tcPr>
            <w:tcW w:w="5420" w:type="dxa"/>
            <w:vAlign w:val="bottom"/>
            <w:gridSpan w:val="2"/>
          </w:tcPr>
          <w:p>
            <w:pPr>
              <w:ind w:left="640"/>
              <w:spacing w:after="0"/>
              <w:rPr>
                <w:sz w:val="20"/>
                <w:szCs w:val="20"/>
                <w:color w:val="auto"/>
              </w:rPr>
            </w:pPr>
            <w:r>
              <w:rPr>
                <w:rFonts w:ascii="Arial" w:cs="Arial" w:eastAsia="Arial" w:hAnsi="Arial"/>
                <w:sz w:val="18"/>
                <w:szCs w:val="18"/>
                <w:color w:val="auto"/>
              </w:rPr>
              <w:t>Maximum Permitted:</w:t>
            </w:r>
          </w:p>
        </w:tc>
        <w:tc>
          <w:tcPr>
            <w:tcW w:w="6040" w:type="dxa"/>
            <w:vAlign w:val="bottom"/>
          </w:tcPr>
          <w:p>
            <w:pPr>
              <w:jc w:val="right"/>
              <w:ind w:right="1390"/>
              <w:spacing w:after="0"/>
              <w:rPr>
                <w:sz w:val="20"/>
                <w:szCs w:val="20"/>
                <w:color w:val="auto"/>
              </w:rPr>
            </w:pPr>
            <w:r>
              <w:rPr>
                <w:rFonts w:ascii="Arial" w:cs="Arial" w:eastAsia="Arial" w:hAnsi="Arial"/>
                <w:sz w:val="18"/>
                <w:szCs w:val="18"/>
                <w:color w:val="auto"/>
              </w:rPr>
              <w:t>3.0 -to- 1.0</w:t>
            </w:r>
          </w:p>
        </w:tc>
      </w:tr>
      <w:tr>
        <w:trPr>
          <w:trHeight w:val="432"/>
        </w:trPr>
        <w:tc>
          <w:tcPr>
            <w:tcW w:w="10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4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132"/>
        </w:trPr>
        <w:tc>
          <w:tcPr>
            <w:tcW w:w="104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60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0320"/>
        <w:spacing w:after="0"/>
        <w:rPr>
          <w:sz w:val="20"/>
          <w:szCs w:val="20"/>
          <w:color w:val="auto"/>
        </w:rPr>
      </w:pPr>
      <w:r>
        <w:rPr>
          <w:rFonts w:ascii="Arial" w:cs="Arial" w:eastAsia="Arial" w:hAnsi="Arial"/>
          <w:sz w:val="18"/>
          <w:szCs w:val="18"/>
          <w:b w:val="1"/>
          <w:bCs w:val="1"/>
          <w:i w:val="1"/>
          <w:iCs w:val="1"/>
          <w:color w:val="auto"/>
        </w:rPr>
        <w:t>EXHIBIT “D”</w:t>
      </w:r>
    </w:p>
    <w:p>
      <w:pPr>
        <w:spacing w:after="0" w:line="221"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ASSIGNMENT AND ASSUMPTION</w:t>
      </w:r>
    </w:p>
    <w:p>
      <w:pPr>
        <w:spacing w:after="0" w:line="21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is dated as of the Effective Date set forth below and is entered into by and between </w:t>
      </w:r>
      <w:r>
        <w:rPr>
          <w:rFonts w:ascii="Arial" w:cs="Arial" w:eastAsia="Arial" w:hAnsi="Arial"/>
          <w:sz w:val="16"/>
          <w:szCs w:val="16"/>
          <w:b w:val="1"/>
          <w:bCs w:val="1"/>
          <w:color w:val="auto"/>
        </w:rPr>
        <w:t>[the][each]</w:t>
      </w:r>
      <w:r>
        <w:rPr>
          <w:rFonts w:ascii="Arial" w:cs="Arial" w:eastAsia="Arial" w:hAnsi="Arial"/>
          <w:sz w:val="16"/>
          <w:szCs w:val="16"/>
          <w:color w:val="auto"/>
        </w:rPr>
        <w:t xml:space="preserve"> Assignor identified in item 1 below (</w:t>
      </w:r>
      <w:r>
        <w:rPr>
          <w:rFonts w:ascii="Arial" w:cs="Arial" w:eastAsia="Arial" w:hAnsi="Arial"/>
          <w:sz w:val="16"/>
          <w:szCs w:val="16"/>
          <w:b w:val="1"/>
          <w:bCs w:val="1"/>
          <w:color w:val="auto"/>
        </w:rPr>
        <w:t>[the][each, an]</w:t>
      </w:r>
      <w:r>
        <w:rPr>
          <w:rFonts w:ascii="Arial" w:cs="Arial" w:eastAsia="Arial" w:hAnsi="Arial"/>
          <w:sz w:val="16"/>
          <w:szCs w:val="16"/>
          <w:color w:val="auto"/>
        </w:rPr>
        <w:t xml:space="preserve"> “Assignor”) and </w:t>
      </w:r>
      <w:r>
        <w:rPr>
          <w:rFonts w:ascii="Arial" w:cs="Arial" w:eastAsia="Arial" w:hAnsi="Arial"/>
          <w:sz w:val="16"/>
          <w:szCs w:val="16"/>
          <w:b w:val="1"/>
          <w:bCs w:val="1"/>
          <w:color w:val="auto"/>
        </w:rPr>
        <w:t>[the][each]</w:t>
      </w:r>
      <w:r>
        <w:rPr>
          <w:rFonts w:ascii="Arial" w:cs="Arial" w:eastAsia="Arial" w:hAnsi="Arial"/>
          <w:sz w:val="16"/>
          <w:szCs w:val="16"/>
          <w:color w:val="auto"/>
        </w:rPr>
        <w:t xml:space="preserve"> Assignee identified in item 2 below (</w:t>
      </w:r>
      <w:r>
        <w:rPr>
          <w:rFonts w:ascii="Arial" w:cs="Arial" w:eastAsia="Arial" w:hAnsi="Arial"/>
          <w:sz w:val="16"/>
          <w:szCs w:val="16"/>
          <w:b w:val="1"/>
          <w:bCs w:val="1"/>
          <w:color w:val="auto"/>
        </w:rPr>
        <w:t>[the](each, an]</w:t>
      </w:r>
      <w:r>
        <w:rPr>
          <w:rFonts w:ascii="Arial" w:cs="Arial" w:eastAsia="Arial" w:hAnsi="Arial"/>
          <w:sz w:val="16"/>
          <w:szCs w:val="16"/>
          <w:color w:val="auto"/>
        </w:rPr>
        <w:t xml:space="preserve"> “Assignee”). </w:t>
      </w:r>
      <w:r>
        <w:rPr>
          <w:rFonts w:ascii="Arial" w:cs="Arial" w:eastAsia="Arial" w:hAnsi="Arial"/>
          <w:sz w:val="16"/>
          <w:szCs w:val="16"/>
          <w:b w:val="1"/>
          <w:bCs w:val="1"/>
          <w:color w:val="auto"/>
        </w:rPr>
        <w:t>[It is understood and agreed that the rights and obligations of [the Assignors][the Assignees] hereunder are several and not joint.]</w:t>
      </w:r>
      <w:r>
        <w:rPr>
          <w:rFonts w:ascii="Arial" w:cs="Arial" w:eastAsia="Arial" w:hAnsi="Arial"/>
          <w:sz w:val="16"/>
          <w:szCs w:val="16"/>
          <w:color w:val="auto"/>
        </w:rPr>
        <w:t xml:space="preserve"> Capitalized terms used but not defined herein shall have the meanings given to them in the Second Amended and Restated Credit Agreement identified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xml:space="preserve">”), receipt of a copy of which is hereby acknowledged by the Assignee. The Standard Terms and Conditions set forth in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attached hereto are hereby agreed to and incorporated herein by reference and made a part of this Assignment and Assumption as if set forth herein in full.</w:t>
      </w:r>
    </w:p>
    <w:p>
      <w:pPr>
        <w:spacing w:after="0" w:line="16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For an agreed consideration, </w:t>
      </w:r>
      <w:r>
        <w:rPr>
          <w:rFonts w:ascii="Arial" w:cs="Arial" w:eastAsia="Arial" w:hAnsi="Arial"/>
          <w:sz w:val="16"/>
          <w:szCs w:val="16"/>
          <w:b w:val="1"/>
          <w:bCs w:val="1"/>
          <w:color w:val="auto"/>
        </w:rPr>
        <w:t>[the][each]</w:t>
      </w:r>
      <w:r>
        <w:rPr>
          <w:rFonts w:ascii="Arial" w:cs="Arial" w:eastAsia="Arial" w:hAnsi="Arial"/>
          <w:sz w:val="16"/>
          <w:szCs w:val="16"/>
          <w:color w:val="auto"/>
        </w:rPr>
        <w:t xml:space="preserve"> Assignor hereby irrevocably sells and assigns to </w:t>
      </w:r>
      <w:r>
        <w:rPr>
          <w:rFonts w:ascii="Arial" w:cs="Arial" w:eastAsia="Arial" w:hAnsi="Arial"/>
          <w:sz w:val="16"/>
          <w:szCs w:val="16"/>
          <w:b w:val="1"/>
          <w:bCs w:val="1"/>
          <w:color w:val="auto"/>
        </w:rPr>
        <w:t>[the Assignee][the respective Assignees]</w:t>
      </w:r>
      <w:r>
        <w:rPr>
          <w:rFonts w:ascii="Arial" w:cs="Arial" w:eastAsia="Arial" w:hAnsi="Arial"/>
          <w:sz w:val="16"/>
          <w:szCs w:val="16"/>
          <w:color w:val="auto"/>
        </w:rPr>
        <w:t xml:space="preserve">, and </w:t>
      </w:r>
      <w:r>
        <w:rPr>
          <w:rFonts w:ascii="Arial" w:cs="Arial" w:eastAsia="Arial" w:hAnsi="Arial"/>
          <w:sz w:val="16"/>
          <w:szCs w:val="16"/>
          <w:b w:val="1"/>
          <w:bCs w:val="1"/>
          <w:color w:val="auto"/>
        </w:rPr>
        <w:t>[the][each]</w:t>
      </w:r>
      <w:r>
        <w:rPr>
          <w:rFonts w:ascii="Arial" w:cs="Arial" w:eastAsia="Arial" w:hAnsi="Arial"/>
          <w:sz w:val="16"/>
          <w:szCs w:val="16"/>
          <w:color w:val="auto"/>
        </w:rPr>
        <w:t xml:space="preserve"> Assignee hereby irrevocably purchases and assumes from </w:t>
      </w:r>
      <w:r>
        <w:rPr>
          <w:rFonts w:ascii="Arial" w:cs="Arial" w:eastAsia="Arial" w:hAnsi="Arial"/>
          <w:sz w:val="16"/>
          <w:szCs w:val="16"/>
          <w:b w:val="1"/>
          <w:bCs w:val="1"/>
          <w:color w:val="auto"/>
        </w:rPr>
        <w:t>[the Assignor][the respective Assignors]</w:t>
      </w:r>
      <w:r>
        <w:rPr>
          <w:rFonts w:ascii="Arial" w:cs="Arial" w:eastAsia="Arial" w:hAnsi="Arial"/>
          <w:sz w:val="16"/>
          <w:szCs w:val="16"/>
          <w:color w:val="auto"/>
        </w:rPr>
        <w:t xml:space="preserve">, subject to and in accordance with the Standard Terms and Conditions and the Credit Agreement, as of the Effective Date inserted by Administrative Agent as contemplated below (i) all of </w:t>
      </w:r>
      <w:r>
        <w:rPr>
          <w:rFonts w:ascii="Arial" w:cs="Arial" w:eastAsia="Arial" w:hAnsi="Arial"/>
          <w:sz w:val="16"/>
          <w:szCs w:val="16"/>
          <w:b w:val="1"/>
          <w:bCs w:val="1"/>
          <w:color w:val="auto"/>
        </w:rPr>
        <w:t>[the Assignor’s][the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respective Assignors] </w:t>
      </w:r>
      <w:r>
        <w:rPr>
          <w:rFonts w:ascii="Arial" w:cs="Arial" w:eastAsia="Arial" w:hAnsi="Arial"/>
          <w:sz w:val="16"/>
          <w:szCs w:val="16"/>
          <w:color w:val="auto"/>
        </w:rPr>
        <w:t>rights and obligations in</w:t>
      </w:r>
      <w:r>
        <w:rPr>
          <w:rFonts w:ascii="Arial" w:cs="Arial" w:eastAsia="Arial" w:hAnsi="Arial"/>
          <w:sz w:val="16"/>
          <w:szCs w:val="16"/>
          <w:b w:val="1"/>
          <w:bCs w:val="1"/>
          <w:color w:val="auto"/>
        </w:rPr>
        <w:t xml:space="preserve"> [its capacity as a Lender][their respective capacities as Lenders] </w:t>
      </w:r>
      <w:r>
        <w:rPr>
          <w:rFonts w:ascii="Arial" w:cs="Arial" w:eastAsia="Arial" w:hAnsi="Arial"/>
          <w:sz w:val="16"/>
          <w:szCs w:val="16"/>
          <w:color w:val="auto"/>
        </w:rPr>
        <w:t>under the Credit Agreement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documents or instruments delivered pursuant thereto to the extent related to the amount and percentage interest identified below of all of such outstanding rights and obligations of </w:t>
      </w:r>
      <w:r>
        <w:rPr>
          <w:rFonts w:ascii="Arial" w:cs="Arial" w:eastAsia="Arial" w:hAnsi="Arial"/>
          <w:sz w:val="16"/>
          <w:szCs w:val="16"/>
          <w:b w:val="1"/>
          <w:bCs w:val="1"/>
          <w:color w:val="auto"/>
        </w:rPr>
        <w:t>[the Assignor][the respective Assignors]</w:t>
      </w:r>
      <w:r>
        <w:rPr>
          <w:rFonts w:ascii="Arial" w:cs="Arial" w:eastAsia="Arial" w:hAnsi="Arial"/>
          <w:sz w:val="16"/>
          <w:szCs w:val="16"/>
          <w:color w:val="auto"/>
        </w:rPr>
        <w:t xml:space="preserve"> under the respective facilities identified below (including, without limitation, the Letters of Credit included in such facilities) and (ii) to the extent permitted to be assigned under applicable law, all claims, suits, causes of action and any other right of </w:t>
      </w:r>
      <w:r>
        <w:rPr>
          <w:rFonts w:ascii="Arial" w:cs="Arial" w:eastAsia="Arial" w:hAnsi="Arial"/>
          <w:sz w:val="16"/>
          <w:szCs w:val="16"/>
          <w:b w:val="1"/>
          <w:bCs w:val="1"/>
          <w:color w:val="auto"/>
        </w:rPr>
        <w:t>[the Assignor (in its capacity as a Lender)][the respective Assignors (in their respective capacities as Lenders)]</w:t>
      </w:r>
      <w:r>
        <w:rPr>
          <w:rFonts w:ascii="Arial" w:cs="Arial" w:eastAsia="Arial" w:hAnsi="Arial"/>
          <w:sz w:val="16"/>
          <w:szCs w:val="16"/>
          <w:color w:val="auto"/>
        </w:rPr>
        <w:t xml:space="preserve">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(the rights and obligations sold and assigned by </w:t>
      </w:r>
      <w:r>
        <w:rPr>
          <w:rFonts w:ascii="Arial" w:cs="Arial" w:eastAsia="Arial" w:hAnsi="Arial"/>
          <w:sz w:val="16"/>
          <w:szCs w:val="16"/>
          <w:b w:val="1"/>
          <w:bCs w:val="1"/>
          <w:color w:val="auto"/>
        </w:rPr>
        <w:t>[the][any]</w:t>
      </w:r>
      <w:r>
        <w:rPr>
          <w:rFonts w:ascii="Arial" w:cs="Arial" w:eastAsia="Arial" w:hAnsi="Arial"/>
          <w:sz w:val="16"/>
          <w:szCs w:val="16"/>
          <w:color w:val="auto"/>
        </w:rPr>
        <w:t xml:space="preserve"> Assignor to </w:t>
      </w:r>
      <w:r>
        <w:rPr>
          <w:rFonts w:ascii="Arial" w:cs="Arial" w:eastAsia="Arial" w:hAnsi="Arial"/>
          <w:sz w:val="16"/>
          <w:szCs w:val="16"/>
          <w:b w:val="1"/>
          <w:bCs w:val="1"/>
          <w:color w:val="auto"/>
        </w:rPr>
        <w:t>[the][any]</w:t>
      </w:r>
      <w:r>
        <w:rPr>
          <w:rFonts w:ascii="Arial" w:cs="Arial" w:eastAsia="Arial" w:hAnsi="Arial"/>
          <w:sz w:val="16"/>
          <w:szCs w:val="16"/>
          <w:color w:val="auto"/>
        </w:rPr>
        <w:t xml:space="preserve"> Assignee pursuant to </w:t>
      </w:r>
      <w:r>
        <w:rPr>
          <w:rFonts w:ascii="Arial" w:cs="Arial" w:eastAsia="Arial" w:hAnsi="Arial"/>
          <w:sz w:val="16"/>
          <w:szCs w:val="16"/>
          <w:u w:val="single" w:color="auto"/>
          <w:color w:val="auto"/>
        </w:rPr>
        <w:t>clauses (i) and (ii)</w:t>
      </w:r>
      <w:r>
        <w:rPr>
          <w:rFonts w:ascii="Arial" w:cs="Arial" w:eastAsia="Arial" w:hAnsi="Arial"/>
          <w:sz w:val="16"/>
          <w:szCs w:val="16"/>
          <w:color w:val="auto"/>
        </w:rPr>
        <w:t xml:space="preserve"> above being referred to herein collectively as, </w:t>
      </w:r>
      <w:r>
        <w:rPr>
          <w:rFonts w:ascii="Arial" w:cs="Arial" w:eastAsia="Arial" w:hAnsi="Arial"/>
          <w:sz w:val="16"/>
          <w:szCs w:val="16"/>
          <w:b w:val="1"/>
          <w:bCs w:val="1"/>
          <w:color w:val="auto"/>
        </w:rPr>
        <w:t>[the][an]</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Assigned Interest</w:t>
      </w:r>
      <w:r>
        <w:rPr>
          <w:rFonts w:ascii="Arial" w:cs="Arial" w:eastAsia="Arial" w:hAnsi="Arial"/>
          <w:sz w:val="16"/>
          <w:szCs w:val="16"/>
          <w:color w:val="auto"/>
        </w:rPr>
        <w:t xml:space="preserve">”). Each such sale and assignment is without recourse to </w:t>
      </w:r>
      <w:r>
        <w:rPr>
          <w:rFonts w:ascii="Arial" w:cs="Arial" w:eastAsia="Arial" w:hAnsi="Arial"/>
          <w:sz w:val="16"/>
          <w:szCs w:val="16"/>
          <w:b w:val="1"/>
          <w:bCs w:val="1"/>
          <w:color w:val="auto"/>
        </w:rPr>
        <w:t>[the][any]</w:t>
      </w:r>
      <w:r>
        <w:rPr>
          <w:rFonts w:ascii="Arial" w:cs="Arial" w:eastAsia="Arial" w:hAnsi="Arial"/>
          <w:sz w:val="16"/>
          <w:szCs w:val="16"/>
          <w:color w:val="auto"/>
        </w:rPr>
        <w:t xml:space="preserve"> Assignor and, except as expressly provided in this Assignment and Assumption, without representation or warranty by </w:t>
      </w:r>
      <w:r>
        <w:rPr>
          <w:rFonts w:ascii="Arial" w:cs="Arial" w:eastAsia="Arial" w:hAnsi="Arial"/>
          <w:sz w:val="16"/>
          <w:szCs w:val="16"/>
          <w:b w:val="1"/>
          <w:bCs w:val="1"/>
          <w:color w:val="auto"/>
        </w:rPr>
        <w:t>[the][any]</w:t>
      </w:r>
      <w:r>
        <w:rPr>
          <w:rFonts w:ascii="Arial" w:cs="Arial" w:eastAsia="Arial" w:hAnsi="Arial"/>
          <w:sz w:val="16"/>
          <w:szCs w:val="16"/>
          <w:color w:val="auto"/>
        </w:rPr>
        <w:t xml:space="preserve"> Assignor.</w:t>
      </w:r>
    </w:p>
    <w:p>
      <w:pPr>
        <w:spacing w:after="0" w:line="176"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Assignor[s]:</w:t>
      </w:r>
    </w:p>
    <w:p>
      <w:pPr>
        <w:spacing w:after="0" w:line="225" w:lineRule="exact"/>
        <w:rPr>
          <w:sz w:val="20"/>
          <w:szCs w:val="20"/>
          <w:color w:val="auto"/>
        </w:rPr>
      </w:pPr>
    </w:p>
    <w:p>
      <w:pPr>
        <w:spacing w:after="0"/>
        <w:tabs>
          <w:tab w:leader="none" w:pos="640" w:val="left"/>
          <w:tab w:leader="none" w:pos="35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Assignee[s]</w:t>
      </w:r>
      <w:r>
        <w:rPr>
          <w:sz w:val="20"/>
          <w:szCs w:val="20"/>
          <w:color w:val="auto"/>
        </w:rPr>
        <w:tab/>
      </w:r>
      <w:r>
        <w:rPr>
          <w:rFonts w:ascii="Arial" w:cs="Arial" w:eastAsia="Arial" w:hAnsi="Arial"/>
          <w:sz w:val="16"/>
          <w:szCs w:val="16"/>
          <w:color w:val="auto"/>
        </w:rPr>
        <w:t>for each Assignee, indicate Affiliate of [identify Lender]</w:t>
      </w:r>
    </w:p>
    <w:p>
      <w:pPr>
        <w:spacing w:after="0" w:line="225"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Borrower(s):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Administrative Agent: Bank of America, N. A., as the Administrative Agent under the Credit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60" w:right="100" w:hanging="652"/>
        <w:spacing w:after="0" w:line="277" w:lineRule="auto"/>
        <w:tabs>
          <w:tab w:leader="none" w:pos="67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Credit Agreement: Third Amended and Restated Credit Agreement, dated December 21, 2011, among Mistras Group, Inc., the Lenders from time to time party thereto, Bank of America, N.A., as Administrative Agent and L/C Issuer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Assigned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-921385</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4"/>
                <w:szCs w:val="14"/>
                <w:color w:val="auto"/>
              </w:rPr>
            </w:pPr>
          </w:p>
        </w:tc>
        <w:tc>
          <w:tcPr>
            <w:tcW w:w="1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 of</w:t>
            </w:r>
          </w:p>
        </w:tc>
        <w:tc>
          <w:tcPr>
            <w:tcW w:w="24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CUSIP</w:t>
            </w:r>
          </w:p>
        </w:tc>
        <w:tc>
          <w:tcPr>
            <w:tcW w:w="0" w:type="dxa"/>
            <w:vAlign w:val="bottom"/>
          </w:tcPr>
          <w:p>
            <w:pPr>
              <w:spacing w:after="0"/>
              <w:rPr>
                <w:sz w:val="1"/>
                <w:szCs w:val="1"/>
                <w:color w:val="auto"/>
              </w:rPr>
            </w:pPr>
          </w:p>
        </w:tc>
      </w:tr>
      <w:tr>
        <w:trPr>
          <w:trHeight w:val="14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Assignor[s]</w:t>
            </w:r>
          </w:p>
        </w:tc>
        <w:tc>
          <w:tcPr>
            <w:tcW w:w="240" w:type="dxa"/>
            <w:vAlign w:val="bottom"/>
          </w:tcPr>
          <w:p>
            <w:pPr>
              <w:spacing w:after="0"/>
              <w:rPr>
                <w:sz w:val="12"/>
                <w:szCs w:val="12"/>
                <w:color w:val="auto"/>
              </w:rPr>
            </w:pPr>
          </w:p>
        </w:tc>
        <w:tc>
          <w:tcPr>
            <w:tcW w:w="11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Assignee[s]</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Commitment/Loans</w:t>
            </w:r>
          </w:p>
        </w:tc>
        <w:tc>
          <w:tcPr>
            <w:tcW w:w="240" w:type="dxa"/>
            <w:vAlign w:val="bottom"/>
          </w:tcPr>
          <w:p>
            <w:pPr>
              <w:spacing w:after="0"/>
              <w:rPr>
                <w:sz w:val="12"/>
                <w:szCs w:val="12"/>
                <w:color w:val="auto"/>
              </w:rPr>
            </w:pPr>
          </w:p>
        </w:tc>
        <w:tc>
          <w:tcPr>
            <w:tcW w:w="1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Commitment/Loans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Assigned of</w:t>
            </w: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Assigned</w:t>
            </w:r>
          </w:p>
        </w:tc>
        <w:tc>
          <w:tcPr>
            <w:tcW w:w="24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for all Lenders</w:t>
            </w:r>
          </w:p>
        </w:tc>
        <w:tc>
          <w:tcPr>
            <w:tcW w:w="24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Assigned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Commitment/Loans</w:t>
            </w:r>
          </w:p>
        </w:tc>
        <w:tc>
          <w:tcPr>
            <w:tcW w:w="2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No.</w:t>
            </w:r>
          </w:p>
        </w:tc>
        <w:tc>
          <w:tcPr>
            <w:tcW w:w="0" w:type="dxa"/>
            <w:vAlign w:val="bottom"/>
          </w:tcPr>
          <w:p>
            <w:pPr>
              <w:spacing w:after="0"/>
              <w:rPr>
                <w:sz w:val="1"/>
                <w:szCs w:val="1"/>
                <w:color w:val="auto"/>
              </w:rPr>
            </w:pPr>
          </w:p>
        </w:tc>
      </w:tr>
      <w:tr>
        <w:trPr>
          <w:trHeight w:val="210"/>
        </w:trPr>
        <w:tc>
          <w:tcPr>
            <w:tcW w:w="4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ind w:right="150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48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00" w:type="dxa"/>
            <w:vAlign w:val="bottom"/>
            <w:gridSpan w:val="2"/>
          </w:tcPr>
          <w:p>
            <w:pPr>
              <w:jc w:val="right"/>
              <w:ind w:right="1507"/>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48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507"/>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48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[7.</w:t>
            </w:r>
          </w:p>
        </w:tc>
        <w:tc>
          <w:tcPr>
            <w:tcW w:w="1680" w:type="dxa"/>
            <w:vAlign w:val="bottom"/>
          </w:tcPr>
          <w:p>
            <w:pPr>
              <w:ind w:left="240"/>
              <w:spacing w:after="0"/>
              <w:rPr>
                <w:sz w:val="20"/>
                <w:szCs w:val="20"/>
                <w:color w:val="auto"/>
              </w:rPr>
            </w:pPr>
            <w:r>
              <w:rPr>
                <w:rFonts w:ascii="Arial" w:cs="Arial" w:eastAsia="Arial" w:hAnsi="Arial"/>
                <w:sz w:val="18"/>
                <w:szCs w:val="18"/>
                <w:color w:val="auto"/>
              </w:rPr>
              <w:t>Trade Date:</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1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9300" w:type="dxa"/>
            <w:vAlign w:val="bottom"/>
            <w:gridSpan w:val="13"/>
          </w:tcPr>
          <w:p>
            <w:pPr>
              <w:ind w:left="20"/>
              <w:spacing w:after="0"/>
              <w:rPr>
                <w:sz w:val="20"/>
                <w:szCs w:val="20"/>
                <w:color w:val="auto"/>
              </w:rPr>
            </w:pPr>
            <w:r>
              <w:rPr>
                <w:rFonts w:ascii="Arial" w:cs="Arial" w:eastAsia="Arial" w:hAnsi="Arial"/>
                <w:sz w:val="18"/>
                <w:szCs w:val="18"/>
                <w:color w:val="auto"/>
              </w:rPr>
              <w:t xml:space="preserve">, 20   </w:t>
            </w:r>
            <w:r>
              <w:rPr>
                <w:rFonts w:ascii="Arial" w:cs="Arial" w:eastAsia="Arial" w:hAnsi="Arial"/>
                <w:sz w:val="18"/>
                <w:szCs w:val="18"/>
                <w:b w:val="1"/>
                <w:bCs w:val="1"/>
                <w:color w:val="auto"/>
              </w:rPr>
              <w:t>[TO BE INSERTED BY ADMINISTRATIVE AGENT AND WHICH SHALL BE THE EFFECTIVE DATE OF</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RECORDATION OF TRANSFER IN THE REGISTER THEREFOR.]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ASSIGNOR: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OF ASSIGNOR]</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95" w:name="page96"/>
    <w:bookmarkEnd w:id="95"/>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ASSIGNEE: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OF ASSIGNEE]</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[Consented to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 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[Consented to:]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ANNEX 1 TO ASSIGNMENT AND ASSUMPTION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STANDARD TERMS AND CONDITIONS FOR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ASSIGNMENT AND ASSUMPTION</w:t>
      </w:r>
    </w:p>
    <w:p>
      <w:pPr>
        <w:spacing w:after="0" w:line="229" w:lineRule="exact"/>
        <w:rPr>
          <w:sz w:val="20"/>
          <w:szCs w:val="20"/>
          <w:color w:val="auto"/>
        </w:rPr>
      </w:pPr>
    </w:p>
    <w:p>
      <w:pPr>
        <w:ind w:left="1320" w:hanging="664"/>
        <w:spacing w:after="0"/>
        <w:tabs>
          <w:tab w:leader="none" w:pos="13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21"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xml:space="preserve">. </w:t>
      </w:r>
      <w:r>
        <w:rPr>
          <w:rFonts w:ascii="Arial" w:cs="Arial" w:eastAsia="Arial" w:hAnsi="Arial"/>
          <w:sz w:val="17"/>
          <w:szCs w:val="17"/>
          <w:b w:val="1"/>
          <w:bCs w:val="1"/>
          <w:color w:val="auto"/>
        </w:rPr>
        <w:t>[The][Each]</w:t>
      </w:r>
      <w:r>
        <w:rPr>
          <w:rFonts w:ascii="Arial" w:cs="Arial" w:eastAsia="Arial" w:hAnsi="Arial"/>
          <w:sz w:val="17"/>
          <w:szCs w:val="17"/>
          <w:color w:val="auto"/>
        </w:rPr>
        <w:t xml:space="preserve"> Assignor (a) represents and warrants that (i) it is the legal and beneficial owner of </w:t>
      </w:r>
      <w:r>
        <w:rPr>
          <w:rFonts w:ascii="Arial" w:cs="Arial" w:eastAsia="Arial" w:hAnsi="Arial"/>
          <w:sz w:val="17"/>
          <w:szCs w:val="17"/>
          <w:b w:val="1"/>
          <w:bCs w:val="1"/>
          <w:color w:val="auto"/>
        </w:rPr>
        <w:t>[the][the relevant]</w:t>
      </w:r>
      <w:r>
        <w:rPr>
          <w:rFonts w:ascii="Arial" w:cs="Arial" w:eastAsia="Arial" w:hAnsi="Arial"/>
          <w:sz w:val="17"/>
          <w:szCs w:val="17"/>
          <w:color w:val="auto"/>
        </w:rPr>
        <w:t xml:space="preserve"> Assigned interest, (ii) </w:t>
      </w:r>
      <w:r>
        <w:rPr>
          <w:rFonts w:ascii="Arial" w:cs="Arial" w:eastAsia="Arial" w:hAnsi="Arial"/>
          <w:sz w:val="17"/>
          <w:szCs w:val="17"/>
          <w:b w:val="1"/>
          <w:bCs w:val="1"/>
          <w:color w:val="auto"/>
        </w:rPr>
        <w:t>[the][such]</w:t>
      </w:r>
      <w:r>
        <w:rPr>
          <w:rFonts w:ascii="Arial" w:cs="Arial" w:eastAsia="Arial" w:hAnsi="Arial"/>
          <w:sz w:val="17"/>
          <w:szCs w:val="17"/>
          <w:color w:val="auto"/>
        </w:rPr>
        <w:t xml:space="preserve">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7"/>
          <w:szCs w:val="17"/>
          <w:b w:val="1"/>
          <w:bCs w:val="1"/>
          <w:color w:val="auto"/>
        </w:rPr>
        <w:t xml:space="preserve">[not] </w:t>
      </w:r>
      <w:r>
        <w:rPr>
          <w:rFonts w:ascii="Arial" w:cs="Arial" w:eastAsia="Arial" w:hAnsi="Arial"/>
          <w:sz w:val="17"/>
          <w:szCs w:val="17"/>
          <w:color w:val="auto"/>
        </w:rPr>
        <w:t>a Defaulting Lender; and (b) assumes no responsibility with respect to (i) any statements, warranties or representations made in or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Second Amended and Restated Credit Agreement or any other Loan Document, (ii) the execution, legality, validity, enforceability, genuineness, sufficiency or value of the Loan Documents or any collateral thereunder, (iii) the financial condition of Borrower, any of its Subsidiaries or Affiliates or any other Person obligated in respect of any Loan Document or (iv) the performance or observance by Borrower, any of its Subsidiaries or Affiliates or any other Person of any of their respective obligations under any Loan Document.</w:t>
      </w:r>
    </w:p>
    <w:p>
      <w:pPr>
        <w:spacing w:after="0" w:line="172"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w:t>
      </w:r>
      <w:r>
        <w:rPr>
          <w:rFonts w:ascii="Arial" w:cs="Arial" w:eastAsia="Arial" w:hAnsi="Arial"/>
          <w:sz w:val="16"/>
          <w:szCs w:val="16"/>
          <w:b w:val="1"/>
          <w:bCs w:val="1"/>
          <w:color w:val="auto"/>
        </w:rPr>
        <w:t>[The][Each]</w:t>
      </w:r>
      <w:r>
        <w:rPr>
          <w:rFonts w:ascii="Arial" w:cs="Arial" w:eastAsia="Arial" w:hAnsi="Arial"/>
          <w:sz w:val="16"/>
          <w:szCs w:val="16"/>
          <w:color w:val="auto"/>
        </w:rPr>
        <w:t xml:space="preserve"> Assignee (a) represents and warrants that (i) it has full power and authority, and has taken all action necessary, to execute and deliver this Assignment and Assumption and to consummate the transactions contemplated hereby and to become a Lender under the Third Amended and Restated Credit Agreement, (ii) it meets all the requirements to be an assignee under </w:t>
      </w:r>
      <w:r>
        <w:rPr>
          <w:rFonts w:ascii="Arial" w:cs="Arial" w:eastAsia="Arial" w:hAnsi="Arial"/>
          <w:sz w:val="16"/>
          <w:szCs w:val="16"/>
          <w:u w:val="single" w:color="auto"/>
          <w:color w:val="auto"/>
        </w:rPr>
        <w:t>Section 10.06(b)(iii),(v)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of the Second Amended and Restated Credit Agreement (subject to such consents, if any, as may be required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of the Second Amended and Restated Credit Agreement), (iii) from and after the Effective Date, it shall be bound by the provisions of the Second Amended and Restated Credit Agreement as a Lender thereunder and, to the extent of </w:t>
      </w:r>
      <w:r>
        <w:rPr>
          <w:rFonts w:ascii="Arial" w:cs="Arial" w:eastAsia="Arial" w:hAnsi="Arial"/>
          <w:sz w:val="16"/>
          <w:szCs w:val="16"/>
          <w:b w:val="1"/>
          <w:bCs w:val="1"/>
          <w:color w:val="auto"/>
        </w:rPr>
        <w:t>[the][the relevant]</w:t>
      </w:r>
      <w:r>
        <w:rPr>
          <w:rFonts w:ascii="Arial" w:cs="Arial" w:eastAsia="Arial" w:hAnsi="Arial"/>
          <w:sz w:val="16"/>
          <w:szCs w:val="16"/>
          <w:color w:val="auto"/>
        </w:rPr>
        <w:t xml:space="preserve"> Assigned Interest, shall have the obligations of a Lender thereunder, and (iv) it is sophisticated with respect to decisions to acquire assets of the type represented by </w:t>
      </w:r>
      <w:r>
        <w:rPr>
          <w:rFonts w:ascii="Arial" w:cs="Arial" w:eastAsia="Arial" w:hAnsi="Arial"/>
          <w:sz w:val="16"/>
          <w:szCs w:val="16"/>
          <w:b w:val="1"/>
          <w:bCs w:val="1"/>
          <w:color w:val="auto"/>
        </w:rPr>
        <w:t>[the][such]</w:t>
      </w:r>
      <w:r>
        <w:rPr>
          <w:rFonts w:ascii="Arial" w:cs="Arial" w:eastAsia="Arial" w:hAnsi="Arial"/>
          <w:sz w:val="16"/>
          <w:szCs w:val="16"/>
          <w:color w:val="auto"/>
        </w:rPr>
        <w:t xml:space="preserve"> Assigned Interest and either it, or the Person exercising discretion in making its decision to acquire </w:t>
      </w:r>
      <w:r>
        <w:rPr>
          <w:rFonts w:ascii="Arial" w:cs="Arial" w:eastAsia="Arial" w:hAnsi="Arial"/>
          <w:sz w:val="16"/>
          <w:szCs w:val="16"/>
          <w:b w:val="1"/>
          <w:bCs w:val="1"/>
          <w:color w:val="auto"/>
        </w:rPr>
        <w:t>[the][such]</w:t>
      </w:r>
      <w:r>
        <w:rPr>
          <w:rFonts w:ascii="Arial" w:cs="Arial" w:eastAsia="Arial" w:hAnsi="Arial"/>
          <w:sz w:val="16"/>
          <w:szCs w:val="16"/>
          <w:color w:val="auto"/>
        </w:rPr>
        <w:t xml:space="preserve"> Assigned Interest, is experienced in acquiring assets of such type, (v) it has received a copy of the Second Amended and Restated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w:t>
      </w:r>
      <w:r>
        <w:rPr>
          <w:rFonts w:ascii="Arial" w:cs="Arial" w:eastAsia="Arial" w:hAnsi="Arial"/>
          <w:sz w:val="16"/>
          <w:szCs w:val="16"/>
          <w:b w:val="1"/>
          <w:bCs w:val="1"/>
          <w:color w:val="auto"/>
        </w:rPr>
        <w:t>[the][such]</w:t>
      </w:r>
      <w:r>
        <w:rPr>
          <w:rFonts w:ascii="Arial" w:cs="Arial" w:eastAsia="Arial" w:hAnsi="Arial"/>
          <w:sz w:val="16"/>
          <w:szCs w:val="16"/>
          <w:color w:val="auto"/>
        </w:rPr>
        <w:t xml:space="preserve"> Assigned Interest, and (vi) it has independently and without reliance upon Administrative Agent or any other Lender and based on such documents and information as it has deemed appropriate, made its own credit analysis and decision to enter into this Assignment and Assumption and to purchase </w:t>
      </w:r>
      <w:r>
        <w:rPr>
          <w:rFonts w:ascii="Arial" w:cs="Arial" w:eastAsia="Arial" w:hAnsi="Arial"/>
          <w:sz w:val="16"/>
          <w:szCs w:val="16"/>
          <w:b w:val="1"/>
          <w:bCs w:val="1"/>
          <w:color w:val="auto"/>
        </w:rPr>
        <w:t>[the][such]</w:t>
      </w:r>
      <w:r>
        <w:rPr>
          <w:rFonts w:ascii="Arial" w:cs="Arial" w:eastAsia="Arial" w:hAnsi="Arial"/>
          <w:sz w:val="16"/>
          <w:szCs w:val="16"/>
          <w:color w:val="auto"/>
        </w:rPr>
        <w:t xml:space="preserve"> Assigned Interest; and (b) agrees that (i) it will, independently and without reliance upon Administrative Agent, </w:t>
      </w:r>
      <w:r>
        <w:rPr>
          <w:rFonts w:ascii="Arial" w:cs="Arial" w:eastAsia="Arial" w:hAnsi="Arial"/>
          <w:sz w:val="16"/>
          <w:szCs w:val="16"/>
          <w:b w:val="1"/>
          <w:bCs w:val="1"/>
          <w:color w:val="auto"/>
        </w:rPr>
        <w:t>[the][any]</w:t>
      </w:r>
      <w:r>
        <w:rPr>
          <w:rFonts w:ascii="Arial" w:cs="Arial" w:eastAsia="Arial" w:hAnsi="Arial"/>
          <w:sz w:val="16"/>
          <w:szCs w:val="16"/>
          <w:color w:val="auto"/>
        </w:rPr>
        <w:t xml:space="preserv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65" w:lineRule="exact"/>
        <w:rPr>
          <w:sz w:val="20"/>
          <w:szCs w:val="20"/>
          <w:color w:val="auto"/>
        </w:rPr>
      </w:pPr>
    </w:p>
    <w:p>
      <w:pPr>
        <w:ind w:right="300" w:firstLine="656"/>
        <w:spacing w:after="0" w:line="347" w:lineRule="auto"/>
        <w:tabs>
          <w:tab w:leader="none" w:pos="131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From and after the Effective Date, Administrative Agent shall make all payments in respect of </w:t>
      </w:r>
      <w:r>
        <w:rPr>
          <w:rFonts w:ascii="Arial" w:cs="Arial" w:eastAsia="Arial" w:hAnsi="Arial"/>
          <w:sz w:val="16"/>
          <w:szCs w:val="16"/>
          <w:b w:val="1"/>
          <w:bCs w:val="1"/>
          <w:color w:val="auto"/>
        </w:rPr>
        <w:t>[the][each]</w:t>
      </w:r>
      <w:r>
        <w:rPr>
          <w:rFonts w:ascii="Arial" w:cs="Arial" w:eastAsia="Arial" w:hAnsi="Arial"/>
          <w:sz w:val="16"/>
          <w:szCs w:val="16"/>
          <w:color w:val="auto"/>
        </w:rPr>
        <w:t xml:space="preserve"> Assigned Interest (including payments of principal, interest, fees and other amounts) to </w:t>
      </w:r>
      <w:r>
        <w:rPr>
          <w:rFonts w:ascii="Arial" w:cs="Arial" w:eastAsia="Arial" w:hAnsi="Arial"/>
          <w:sz w:val="16"/>
          <w:szCs w:val="16"/>
          <w:b w:val="1"/>
          <w:bCs w:val="1"/>
          <w:color w:val="auto"/>
        </w:rPr>
        <w:t>[the][the relevant]</w:t>
      </w:r>
      <w:r>
        <w:rPr>
          <w:rFonts w:ascii="Arial" w:cs="Arial" w:eastAsia="Arial" w:hAnsi="Arial"/>
          <w:sz w:val="16"/>
          <w:szCs w:val="16"/>
          <w:color w:val="auto"/>
        </w:rPr>
        <w:t xml:space="preserve"> Assignor for amounts which have accrued to but excluding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535"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 xml:space="preserve">Effective Date and to </w:t>
      </w:r>
      <w:r>
        <w:rPr>
          <w:rFonts w:ascii="Arial" w:cs="Arial" w:eastAsia="Arial" w:hAnsi="Arial"/>
          <w:sz w:val="18"/>
          <w:szCs w:val="18"/>
          <w:b w:val="1"/>
          <w:bCs w:val="1"/>
          <w:color w:val="auto"/>
        </w:rPr>
        <w:t>[the][the relevant]</w:t>
      </w:r>
      <w:r>
        <w:rPr>
          <w:rFonts w:ascii="Arial" w:cs="Arial" w:eastAsia="Arial" w:hAnsi="Arial"/>
          <w:sz w:val="18"/>
          <w:szCs w:val="18"/>
          <w:color w:val="auto"/>
        </w:rPr>
        <w:t xml:space="preserve"> Assignee for amounts which have accrued from and after the Effective Date.</w:t>
      </w:r>
    </w:p>
    <w:p>
      <w:pPr>
        <w:spacing w:after="0" w:line="229" w:lineRule="exact"/>
        <w:rPr>
          <w:sz w:val="20"/>
          <w:szCs w:val="20"/>
          <w:color w:val="auto"/>
        </w:rPr>
      </w:pPr>
    </w:p>
    <w:p>
      <w:pPr>
        <w:ind w:right="260" w:firstLine="656"/>
        <w:spacing w:after="0" w:line="257" w:lineRule="auto"/>
        <w:tabs>
          <w:tab w:leader="none" w:pos="131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Assumptions. This Assignment and Assumption shall be governed by, and construed in accordance with, the law of the State of New York.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320"/>
        <w:spacing w:after="0"/>
        <w:rPr>
          <w:sz w:val="20"/>
          <w:szCs w:val="20"/>
          <w:color w:val="auto"/>
        </w:rPr>
      </w:pPr>
      <w:r>
        <w:rPr>
          <w:rFonts w:ascii="Arial" w:cs="Arial" w:eastAsia="Arial" w:hAnsi="Arial"/>
          <w:sz w:val="18"/>
          <w:szCs w:val="18"/>
          <w:b w:val="1"/>
          <w:bCs w:val="1"/>
          <w:i w:val="1"/>
          <w:iCs w:val="1"/>
          <w:color w:val="auto"/>
        </w:rPr>
        <w:t>EXHIBIT “E”</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ATTACHED TO AND MADE A PART OF THAT CERTAIN THIRD AMENDED AND RESTATED CREDIT AGREEMENT BY AND AMONG, AMONGST OTHERS, MISTRAS GROUP, INC., AS BORROWER, AND BANK OF AMERICA, N.A., AS ADMINISTRATIVE AGENT, DATED DECEMBER 21, 2011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U.S. TAX COMPLIANCE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Reference is hereby made to the Third Amended and Restated Credit Agreement dated December 21, 2011 (as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Mistras Group, Inc., Bank of America, N.A., as Administrative Agent, and each lender from time to time party thereto.</w:t>
      </w:r>
    </w:p>
    <w:p>
      <w:pPr>
        <w:spacing w:after="0" w:line="18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Unless otherwise defined herein, terms defined in the Credit Agreement and used herein shall have the meanings given to them in the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191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-130810</wp:posOffset>
            </wp:positionV>
            <wp:extent cx="290703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-130810</wp:posOffset>
            </wp:positionV>
            <wp:extent cx="29070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77" w:lineRule="auto"/>
        <w:tabs>
          <w:tab w:leader="none" w:pos="67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80" w:hanging="644"/>
        <w:spacing w:after="0" w:line="264" w:lineRule="auto"/>
        <w:tabs>
          <w:tab w:leader="none" w:pos="1303"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3" w:val="left"/>
        </w:tabs>
        <w:numPr>
          <w:ilvl w:val="1"/>
          <w:numId w:val="1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77" w:lineRule="auto"/>
        <w:tabs>
          <w:tab w:leader="none" w:pos="673"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300" w:right="80" w:hanging="644"/>
        <w:spacing w:after="0" w:line="264" w:lineRule="auto"/>
        <w:tabs>
          <w:tab w:leader="none" w:pos="130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342" w:lineRule="auto"/>
        <w:tabs>
          <w:tab w:leader="none" w:pos="67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20" w:hanging="644"/>
        <w:spacing w:after="0" w:line="342" w:lineRule="auto"/>
        <w:tabs>
          <w:tab w:leader="none" w:pos="130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February 29, 2012 (the “Report”), fully complies with the requirements of Section 13(a) of the Securities Exchange Act of 1934 and that the information contained in such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Francis T. Joyce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B8370B"/>
    <w:multiLevelType w:val="hybridMultilevel"/>
    <w:lvl w:ilvl="0">
      <w:lvlJc w:val="left"/>
      <w:lvlText w:val="x"/>
      <w:numFmt w:val="bullet"/>
      <w:start w:val="1"/>
    </w:lvl>
  </w:abstractNum>
  <w:abstractNum w:abstractNumId="1">
    <w:nsid w:val="50801EE1"/>
    <w:multiLevelType w:val="hybridMultilevel"/>
    <w:lvl w:ilvl="0">
      <w:lvlJc w:val="left"/>
      <w:lvlText w:val="o"/>
      <w:numFmt w:val="bullet"/>
      <w:start w:val="1"/>
    </w:lvl>
  </w:abstractNum>
  <w:abstractNum w:abstractNumId="2">
    <w:nsid w:val="488AC1A"/>
    <w:multiLevelType w:val="hybridMultilevel"/>
    <w:lvl w:ilvl="0">
      <w:lvlJc w:val="left"/>
      <w:lvlText w:val="%1."/>
      <w:numFmt w:val="decimal"/>
      <w:start w:val="1"/>
    </w:lvl>
  </w:abstractNum>
  <w:abstractNum w:abstractNumId="3">
    <w:nsid w:val="5FB8011C"/>
    <w:multiLevelType w:val="hybridMultilevel"/>
    <w:lvl w:ilvl="0">
      <w:lvlJc w:val="left"/>
      <w:lvlText w:val="%1."/>
      <w:numFmt w:val="decimal"/>
      <w:start w:val="2"/>
    </w:lvl>
  </w:abstractNum>
  <w:abstractNum w:abstractNumId="4">
    <w:nsid w:val="6AA78F7F"/>
    <w:multiLevelType w:val="hybridMultilevel"/>
    <w:lvl w:ilvl="0">
      <w:lvlJc w:val="left"/>
      <w:lvlText w:val="%1."/>
      <w:numFmt w:val="decimal"/>
      <w:start w:val="3"/>
    </w:lvl>
  </w:abstractNum>
  <w:abstractNum w:abstractNumId="5">
    <w:nsid w:val="7672BD23"/>
    <w:multiLevelType w:val="hybridMultilevel"/>
    <w:lvl w:ilvl="0">
      <w:lvlJc w:val="left"/>
      <w:lvlText w:val="%1."/>
      <w:numFmt w:val="decimal"/>
      <w:start w:val="4"/>
    </w:lvl>
  </w:abstractNum>
  <w:abstractNum w:abstractNumId="6">
    <w:nsid w:val="6FC75AF8"/>
    <w:multiLevelType w:val="hybridMultilevel"/>
    <w:lvl w:ilvl="0">
      <w:lvlJc w:val="left"/>
      <w:lvlText w:val="(%1)"/>
      <w:numFmt w:val="decimal"/>
      <w:start w:val="2"/>
    </w:lvl>
  </w:abstractNum>
  <w:abstractNum w:abstractNumId="7">
    <w:nsid w:val="6A5F7029"/>
    <w:multiLevelType w:val="hybridMultilevel"/>
    <w:lvl w:ilvl="0">
      <w:lvlJc w:val="left"/>
      <w:lvlText w:val="%1."/>
      <w:numFmt w:val="decimal"/>
      <w:start w:val="5"/>
    </w:lvl>
  </w:abstractNum>
  <w:abstractNum w:abstractNumId="8">
    <w:nsid w:val="7D5E18F8"/>
    <w:multiLevelType w:val="hybridMultilevel"/>
    <w:lvl w:ilvl="0">
      <w:lvlJc w:val="left"/>
      <w:lvlText w:val="%1."/>
      <w:numFmt w:val="decimal"/>
      <w:start w:val="11"/>
    </w:lvl>
  </w:abstractNum>
  <w:abstractNum w:abstractNumId="9">
    <w:nsid w:val="5F3534A4"/>
    <w:multiLevelType w:val="hybridMultilevel"/>
    <w:lvl w:ilvl="0">
      <w:lvlJc w:val="left"/>
      <w:lvlText w:val="%1."/>
      <w:numFmt w:val="decimal"/>
      <w:start w:val="12"/>
    </w:lvl>
  </w:abstractNum>
  <w:abstractNum w:abstractNumId="10">
    <w:nsid w:val="73A1821B"/>
    <w:multiLevelType w:val="hybridMultilevel"/>
    <w:lvl w:ilvl="0">
      <w:lvlJc w:val="left"/>
      <w:lvlText w:val="%1."/>
      <w:numFmt w:val="decimal"/>
      <w:start w:val="13"/>
    </w:lvl>
  </w:abstractNum>
  <w:abstractNum w:abstractNumId="11">
    <w:nsid w:val="7DE67713"/>
    <w:multiLevelType w:val="hybridMultilevel"/>
    <w:lvl w:ilvl="0">
      <w:lvlJc w:val="left"/>
      <w:lvlText w:val="(%1)"/>
      <w:numFmt w:val="lowerLetter"/>
      <w:start w:val="7"/>
    </w:lvl>
  </w:abstractNum>
  <w:abstractNum w:abstractNumId="12">
    <w:nsid w:val="555C55B5"/>
    <w:multiLevelType w:val="hybridMultilevel"/>
    <w:lvl w:ilvl="0">
      <w:lvlJc w:val="left"/>
      <w:lvlText w:val="(%1)"/>
      <w:numFmt w:val="lowerLetter"/>
      <w:start w:val="1"/>
    </w:lvl>
  </w:abstractNum>
  <w:abstractNum w:abstractNumId="13">
    <w:nsid w:val="3FA62ACA"/>
    <w:multiLevelType w:val="hybridMultilevel"/>
    <w:lvl w:ilvl="0">
      <w:lvlJc w:val="left"/>
      <w:lvlText w:val="A"/>
      <w:numFmt w:val="bullet"/>
      <w:start w:val="1"/>
    </w:lvl>
  </w:abstractNum>
  <w:abstractNum w:abstractNumId="14">
    <w:nsid w:val="14FCE74E"/>
    <w:multiLevelType w:val="hybridMultilevel"/>
    <w:lvl w:ilvl="0">
      <w:lvlJc w:val="left"/>
      <w:lvlText w:val="B"/>
      <w:numFmt w:val="bullet"/>
      <w:start w:val="1"/>
    </w:lvl>
  </w:abstractNum>
  <w:abstractNum w:abstractNumId="15">
    <w:nsid w:val="6A3DD3E8"/>
    <w:multiLevelType w:val="hybridMultilevel"/>
    <w:lvl w:ilvl="0">
      <w:lvlJc w:val="left"/>
      <w:lvlText w:val="C"/>
      <w:numFmt w:val="bullet"/>
      <w:start w:val="1"/>
    </w:lvl>
  </w:abstractNum>
  <w:abstractNum w:abstractNumId="16">
    <w:nsid w:val="71C91298"/>
    <w:multiLevelType w:val="hybridMultilevel"/>
    <w:lvl w:ilvl="0">
      <w:lvlJc w:val="left"/>
      <w:lvlText w:val="D"/>
      <w:numFmt w:val="bullet"/>
      <w:start w:val="1"/>
    </w:lvl>
  </w:abstractNum>
  <w:abstractNum w:abstractNumId="17">
    <w:nsid w:val="9DAF632"/>
    <w:multiLevelType w:val="hybridMultilevel"/>
    <w:lvl w:ilvl="0">
      <w:lvlJc w:val="left"/>
      <w:lvlText w:val="E"/>
      <w:numFmt w:val="bullet"/>
      <w:start w:val="1"/>
    </w:lvl>
  </w:abstractNum>
  <w:abstractNum w:abstractNumId="18">
    <w:nsid w:val="53299938"/>
    <w:multiLevelType w:val="hybridMultilevel"/>
    <w:lvl w:ilvl="0">
      <w:lvlJc w:val="left"/>
      <w:lvlText w:val="F"/>
      <w:numFmt w:val="bullet"/>
      <w:start w:val="1"/>
    </w:lvl>
  </w:abstractNum>
  <w:abstractNum w:abstractNumId="19">
    <w:nsid w:val="1FBFE8E0"/>
    <w:multiLevelType w:val="hybridMultilevel"/>
    <w:lvl w:ilvl="0">
      <w:lvlJc w:val="left"/>
      <w:lvlText w:val="(%1)"/>
      <w:numFmt w:val="lowerLetter"/>
      <w:start w:val="2"/>
    </w:lvl>
  </w:abstractNum>
  <w:abstractNum w:abstractNumId="20">
    <w:nsid w:val="5092CA79"/>
    <w:multiLevelType w:val="hybridMultilevel"/>
    <w:lvl w:ilvl="0">
      <w:lvlJc w:val="left"/>
      <w:lvlText w:val="(%1)"/>
      <w:numFmt w:val="lowerLetter"/>
      <w:start w:val="1"/>
    </w:lvl>
  </w:abstractNum>
  <w:abstractNum w:abstractNumId="21">
    <w:nsid w:val="1D545C4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2">
    <w:nsid w:val="59ADEA3D"/>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23">
    <w:nsid w:val="288F1A34"/>
    <w:multiLevelType w:val="hybridMultilevel"/>
    <w:lvl w:ilvl="0">
      <w:lvlJc w:val="left"/>
      <w:lvlText w:val="(%1)"/>
      <w:numFmt w:val="lowerRoman"/>
      <w:start w:val="1"/>
    </w:lvl>
  </w:abstractNum>
  <w:abstractNum w:abstractNumId="24">
    <w:nsid w:val="2A155DBC"/>
    <w:multiLevelType w:val="hybridMultilevel"/>
    <w:lvl w:ilvl="0">
      <w:lvlJc w:val="left"/>
      <w:lvlText w:val="(%1)"/>
      <w:numFmt w:val="lowerLetter"/>
      <w:start w:val="1"/>
    </w:lvl>
  </w:abstractNum>
  <w:abstractNum w:abstractNumId="25">
    <w:nsid w:val="1D9F6E5F"/>
    <w:multiLevelType w:val="hybridMultilevel"/>
    <w:lvl w:ilvl="0">
      <w:lvlJc w:val="left"/>
      <w:lvlText w:val="(%1)"/>
      <w:numFmt w:val="lowerLetter"/>
      <w:start w:val="2"/>
    </w:lvl>
  </w:abstractNum>
  <w:abstractNum w:abstractNumId="26">
    <w:nsid w:val="97E1B4E"/>
    <w:multiLevelType w:val="hybridMultilevel"/>
    <w:lvl w:ilvl="0">
      <w:lvlJc w:val="left"/>
      <w:lvlText w:val="(%1)"/>
      <w:numFmt w:val="lowerRoman"/>
      <w:start w:val="1"/>
    </w:lvl>
  </w:abstractNum>
  <w:abstractNum w:abstractNumId="27">
    <w:nsid w:val="51088277"/>
    <w:multiLevelType w:val="hybridMultilevel"/>
    <w:lvl w:ilvl="0">
      <w:lvlJc w:val="left"/>
      <w:lvlText w:val="(%1)"/>
      <w:numFmt w:val="lowerLetter"/>
      <w:start w:val="1"/>
    </w:lvl>
  </w:abstractNum>
  <w:abstractNum w:abstractNumId="28">
    <w:nsid w:val="1CA0C5FA"/>
    <w:multiLevelType w:val="hybridMultilevel"/>
    <w:lvl w:ilvl="0">
      <w:lvlJc w:val="left"/>
      <w:lvlText w:val="(%1)"/>
      <w:numFmt w:val="lowerLetter"/>
      <w:start w:val="4"/>
    </w:lvl>
  </w:abstractNum>
  <w:abstractNum w:abstractNumId="29">
    <w:nsid w:val="53584BCB"/>
    <w:multiLevelType w:val="hybridMultilevel"/>
    <w:lvl w:ilvl="0">
      <w:lvlJc w:val="left"/>
      <w:lvlText w:val="(%1)"/>
      <w:numFmt w:val="lowerLetter"/>
      <w:start w:val="1"/>
    </w:lvl>
  </w:abstractNum>
  <w:abstractNum w:abstractNumId="30">
    <w:nsid w:val="415E286C"/>
    <w:multiLevelType w:val="hybridMultilevel"/>
    <w:lvl w:ilvl="0">
      <w:lvlJc w:val="left"/>
      <w:lvlText w:val="(%1)"/>
      <w:numFmt w:val="lowerLetter"/>
      <w:start w:val="2"/>
    </w:lvl>
  </w:abstractNum>
  <w:abstractNum w:abstractNumId="31">
    <w:nsid w:val="7C58FD05"/>
    <w:multiLevelType w:val="hybridMultilevel"/>
    <w:lvl w:ilvl="0">
      <w:lvlJc w:val="left"/>
      <w:lvlText w:val="(%1)"/>
      <w:numFmt w:val="lowerLetter"/>
      <w:start w:val="2"/>
    </w:lvl>
  </w:abstractNum>
  <w:abstractNum w:abstractNumId="32">
    <w:nsid w:val="23D86AAC"/>
    <w:multiLevelType w:val="hybridMultilevel"/>
    <w:lvl w:ilvl="0">
      <w:lvlJc w:val="left"/>
      <w:lvlText w:val="(%1)"/>
      <w:numFmt w:val="lowerLetter"/>
      <w:start w:val="1"/>
    </w:lvl>
  </w:abstractNum>
  <w:abstractNum w:abstractNumId="33">
    <w:nsid w:val="45E6D486"/>
    <w:multiLevelType w:val="hybridMultilevel"/>
    <w:lvl w:ilvl="0">
      <w:lvlJc w:val="left"/>
      <w:lvlText w:val="(%1)"/>
      <w:numFmt w:val="lowerLetter"/>
      <w:start w:val="1"/>
    </w:lvl>
  </w:abstractNum>
  <w:abstractNum w:abstractNumId="34">
    <w:nsid w:val="5C10FE21"/>
    <w:multiLevelType w:val="hybridMultilevel"/>
    <w:lvl w:ilvl="0">
      <w:lvlJc w:val="left"/>
      <w:lvlText w:val="(%1)"/>
      <w:numFmt w:val="lowerLetter"/>
      <w:start w:val="2"/>
    </w:lvl>
  </w:abstractNum>
  <w:abstractNum w:abstractNumId="35">
    <w:nsid w:val="E7FFA2B"/>
    <w:multiLevelType w:val="hybridMultilevel"/>
    <w:lvl w:ilvl="0">
      <w:lvlJc w:val="left"/>
      <w:lvlText w:val="(%1)"/>
      <w:numFmt w:val="lowerLetter"/>
      <w:start w:val="1"/>
    </w:lvl>
  </w:abstractNum>
  <w:abstractNum w:abstractNumId="36">
    <w:nsid w:val="3C5991AA"/>
    <w:multiLevelType w:val="hybridMultilevel"/>
    <w:lvl w:ilvl="0">
      <w:lvlJc w:val="left"/>
      <w:lvlText w:val="(%1)"/>
      <w:numFmt w:val="lowerLetter"/>
      <w:start w:val="1"/>
    </w:lvl>
  </w:abstractNum>
  <w:abstractNum w:abstractNumId="37">
    <w:nsid w:val="4BD8591A"/>
    <w:multiLevelType w:val="hybridMultilevel"/>
    <w:lvl w:ilvl="0">
      <w:lvlJc w:val="left"/>
      <w:lvlText w:val="(%1)"/>
      <w:numFmt w:val="lowerLetter"/>
      <w:start w:val="1"/>
    </w:lvl>
  </w:abstractNum>
  <w:abstractNum w:abstractNumId="38">
    <w:nsid w:val="78DF6A55"/>
    <w:multiLevelType w:val="hybridMultilevel"/>
    <w:lvl w:ilvl="0">
      <w:lvlJc w:val="left"/>
      <w:lvlText w:val="(%1)"/>
      <w:numFmt w:val="lowerLetter"/>
      <w:start w:val="3"/>
    </w:lvl>
  </w:abstractNum>
  <w:abstractNum w:abstractNumId="39">
    <w:nsid w:val="39B7AAA2"/>
    <w:multiLevelType w:val="hybridMultilevel"/>
    <w:lvl w:ilvl="0">
      <w:lvlJc w:val="left"/>
      <w:lvlText w:val="%1"/>
      <w:numFmt w:val="lowerLetter"/>
      <w:start w:val="1"/>
    </w:lvl>
    <w:lvl w:ilvl="1">
      <w:lvlJc w:val="left"/>
      <w:lvlText w:val="(%2)"/>
      <w:numFmt w:val="lowerLetter"/>
      <w:start w:val="1"/>
    </w:lvl>
  </w:abstractNum>
  <w:abstractNum w:abstractNumId="40">
    <w:nsid w:val="2B0D8DBE"/>
    <w:multiLevelType w:val="hybridMultilevel"/>
    <w:lvl w:ilvl="0">
      <w:lvlJc w:val="left"/>
      <w:lvlText w:val="(%1)"/>
      <w:numFmt w:val="lowerLetter"/>
      <w:start w:val="35"/>
    </w:lvl>
    <w:lvl w:ilvl="1">
      <w:lvlJc w:val="left"/>
      <w:lvlText w:val="%2"/>
      <w:numFmt w:val="lowerLetter"/>
      <w:start w:val="1"/>
    </w:lvl>
  </w:abstractNum>
  <w:abstractNum w:abstractNumId="41">
    <w:nsid w:val="6C80EC70"/>
    <w:multiLevelType w:val="hybridMultilevel"/>
    <w:lvl w:ilvl="0">
      <w:lvlJc w:val="left"/>
      <w:lvlText w:val="%1"/>
      <w:numFmt w:val="lowerLetter"/>
      <w:start w:val="1"/>
    </w:lvl>
    <w:lvl w:ilvl="1">
      <w:lvlJc w:val="left"/>
      <w:lvlText w:val="(%2)"/>
      <w:numFmt w:val="lowerLetter"/>
      <w:start w:val="2"/>
    </w:lvl>
  </w:abstractNum>
  <w:abstractNum w:abstractNumId="42">
    <w:nsid w:val="379E21B5"/>
    <w:multiLevelType w:val="hybridMultilevel"/>
    <w:lvl w:ilvl="0">
      <w:lvlJc w:val="left"/>
      <w:lvlText w:val="(%1)"/>
      <w:numFmt w:val="lowerLetter"/>
      <w:start w:val="9"/>
    </w:lvl>
    <w:lvl w:ilvl="1">
      <w:lvlJc w:val="left"/>
      <w:lvlText w:val="(%2)"/>
      <w:numFmt w:val="lowerLetter"/>
      <w:start w:val="3"/>
    </w:lvl>
  </w:abstractNum>
  <w:abstractNum w:abstractNumId="43">
    <w:nsid w:val="69E373"/>
    <w:multiLevelType w:val="hybridMultilevel"/>
    <w:lvl w:ilvl="0">
      <w:lvlJc w:val="left"/>
      <w:lvlText w:val="(%1)"/>
      <w:numFmt w:val="lowerLetter"/>
      <w:start w:val="4"/>
    </w:lvl>
  </w:abstractNum>
  <w:abstractNum w:abstractNumId="44">
    <w:nsid w:val="2C27173B"/>
    <w:multiLevelType w:val="hybridMultilevel"/>
    <w:lvl w:ilvl="0">
      <w:lvlJc w:val="left"/>
      <w:lvlText w:val="(%1)"/>
      <w:numFmt w:val="lowerLetter"/>
      <w:start w:val="1"/>
    </w:lvl>
  </w:abstractNum>
  <w:abstractNum w:abstractNumId="45">
    <w:nsid w:val="4C9B0904"/>
    <w:multiLevelType w:val="hybridMultilevel"/>
    <w:lvl w:ilvl="0">
      <w:lvlJc w:val="left"/>
      <w:lvlText w:val="(%1)"/>
      <w:numFmt w:val="lowerRoman"/>
      <w:start w:val="1"/>
    </w:lvl>
    <w:lvl w:ilvl="1">
      <w:lvlJc w:val="left"/>
      <w:lvlText w:val="(%2)"/>
      <w:numFmt w:val="upperLetter"/>
      <w:start w:val="1"/>
    </w:lvl>
  </w:abstractNum>
  <w:abstractNum w:abstractNumId="46">
    <w:nsid w:val="6AA7B75C"/>
    <w:multiLevelType w:val="hybridMultilevel"/>
    <w:lvl w:ilvl="0">
      <w:lvlJc w:val="left"/>
      <w:lvlText w:val="%1"/>
      <w:numFmt w:val="lowerRoman"/>
      <w:start w:val="1"/>
    </w:lvl>
    <w:lvl w:ilvl="1">
      <w:lvlJc w:val="left"/>
      <w:lvlText w:val="(%2)"/>
      <w:numFmt w:val="upperLetter"/>
      <w:start w:val="1"/>
    </w:lvl>
  </w:abstractNum>
  <w:abstractNum w:abstractNumId="47">
    <w:nsid w:val="1DF029D3"/>
    <w:multiLevelType w:val="hybridMultilevel"/>
    <w:lvl w:ilvl="0">
      <w:lvlJc w:val="left"/>
      <w:lvlText w:val="(%1)"/>
      <w:numFmt w:val="lowerRoman"/>
      <w:start w:val="4"/>
    </w:lvl>
    <w:lvl w:ilvl="1">
      <w:lvlJc w:val="left"/>
      <w:lvlText w:val="%2"/>
      <w:numFmt w:val="upperLetter"/>
      <w:start w:val="1"/>
    </w:lvl>
  </w:abstractNum>
  <w:abstractNum w:abstractNumId="48">
    <w:nsid w:val="5675FF36"/>
    <w:multiLevelType w:val="hybridMultilevel"/>
    <w:lvl w:ilvl="0">
      <w:lvlJc w:val="left"/>
      <w:lvlText w:val="(%1)"/>
      <w:numFmt w:val="lowerLetter"/>
      <w:start w:val="2"/>
    </w:lvl>
  </w:abstractNum>
  <w:abstractNum w:abstractNumId="49">
    <w:nsid w:val="3DD15094"/>
    <w:multiLevelType w:val="hybridMultilevel"/>
    <w:lvl w:ilvl="0">
      <w:lvlJc w:val="left"/>
      <w:lvlText w:val="(%1)"/>
      <w:numFmt w:val="lowerRoman"/>
      <w:start w:val="1"/>
    </w:lvl>
  </w:abstractNum>
  <w:abstractNum w:abstractNumId="50">
    <w:nsid w:val="3DB012B3"/>
    <w:multiLevelType w:val="hybridMultilevel"/>
    <w:lvl w:ilvl="0">
      <w:lvlJc w:val="left"/>
      <w:lvlText w:val="%1"/>
      <w:numFmt w:val="lowerLetter"/>
      <w:start w:val="1"/>
    </w:lvl>
    <w:lvl w:ilvl="1">
      <w:lvlJc w:val="left"/>
      <w:lvlText w:val="(%2)"/>
      <w:numFmt w:val="lowerLetter"/>
      <w:start w:val="22"/>
    </w:lvl>
  </w:abstractNum>
  <w:abstractNum w:abstractNumId="51">
    <w:nsid w:val="2708C9AF"/>
    <w:multiLevelType w:val="hybridMultilevel"/>
    <w:lvl w:ilvl="0">
      <w:lvlJc w:val="left"/>
      <w:lvlText w:val="(%1)"/>
      <w:numFmt w:val="lowerLetter"/>
      <w:start w:val="3"/>
    </w:lvl>
    <w:lvl w:ilvl="1">
      <w:lvlJc w:val="left"/>
      <w:lvlText w:val="(%2)"/>
      <w:numFmt w:val="lowerLetter"/>
      <w:start w:val="9"/>
    </w:lvl>
  </w:abstractNum>
  <w:abstractNum w:abstractNumId="52">
    <w:nsid w:val="5B25ACE2"/>
    <w:multiLevelType w:val="hybridMultilevel"/>
    <w:lvl w:ilvl="0">
      <w:lvlJc w:val="left"/>
      <w:lvlText w:val="%1"/>
      <w:numFmt w:val="upperLetter"/>
      <w:start w:val="1"/>
    </w:lvl>
    <w:lvl w:ilvl="1">
      <w:lvlJc w:val="left"/>
      <w:lvlText w:val="(%2)"/>
      <w:numFmt w:val="lowerRoman"/>
      <w:start w:val="2"/>
    </w:lvl>
  </w:abstractNum>
  <w:abstractNum w:abstractNumId="53">
    <w:nsid w:val="175DFCF0"/>
    <w:multiLevelType w:val="hybridMultilevel"/>
    <w:lvl w:ilvl="0">
      <w:lvlJc w:val="left"/>
      <w:lvlText w:val="(%1)"/>
      <w:numFmt w:val="upperLetter"/>
      <w:start w:val="1"/>
    </w:lvl>
    <w:lvl w:ilvl="1">
      <w:lvlJc w:val="left"/>
      <w:lvlText w:val="%2"/>
      <w:numFmt w:val="lowerRoman"/>
      <w:start w:val="1"/>
    </w:lvl>
  </w:abstractNum>
  <w:abstractNum w:abstractNumId="54">
    <w:nsid w:val="4F97E3E4"/>
    <w:multiLevelType w:val="hybridMultilevel"/>
    <w:lvl w:ilvl="0">
      <w:lvlJc w:val="left"/>
      <w:lvlText w:val="%1"/>
      <w:numFmt w:val="lowerLetter"/>
      <w:start w:val="1"/>
    </w:lvl>
    <w:lvl w:ilvl="1">
      <w:lvlJc w:val="left"/>
      <w:lvlText w:val="(%2)"/>
      <w:numFmt w:val="lowerRoman"/>
      <w:start w:val="6"/>
    </w:lvl>
  </w:abstractNum>
  <w:abstractNum w:abstractNumId="55">
    <w:nsid w:val="53B0A9E"/>
    <w:multiLevelType w:val="hybridMultilevel"/>
    <w:lvl w:ilvl="0">
      <w:lvlJc w:val="left"/>
      <w:lvlText w:val="(%1)"/>
      <w:numFmt w:val="lowerLetter"/>
      <w:start w:val="4"/>
    </w:lvl>
    <w:lvl w:ilvl="1">
      <w:lvlJc w:val="left"/>
      <w:lvlText w:val="(%2)"/>
      <w:numFmt w:val="lowerRoman"/>
      <w:start w:val="1"/>
    </w:lvl>
  </w:abstractNum>
  <w:abstractNum w:abstractNumId="56">
    <w:nsid w:val="34FD6B4F"/>
    <w:multiLevelType w:val="hybridMultilevel"/>
    <w:lvl w:ilvl="0">
      <w:lvlJc w:val="left"/>
      <w:lvlText w:val="(%1)"/>
      <w:numFmt w:val="lowerRoman"/>
      <w:start w:val="2"/>
    </w:lvl>
  </w:abstractNum>
  <w:abstractNum w:abstractNumId="57">
    <w:nsid w:val="5915FF32"/>
    <w:multiLevelType w:val="hybridMultilevel"/>
    <w:lvl w:ilvl="0">
      <w:lvlJc w:val="left"/>
      <w:lvlText w:val="(%1)"/>
      <w:numFmt w:val="lowerRoman"/>
      <w:start w:val="4"/>
    </w:lvl>
  </w:abstractNum>
  <w:abstractNum w:abstractNumId="58">
    <w:nsid w:val="56438D15"/>
    <w:multiLevelType w:val="hybridMultilevel"/>
    <w:lvl w:ilvl="0">
      <w:lvlJc w:val="left"/>
      <w:lvlText w:val="(%1)"/>
      <w:numFmt w:val="lowerLetter"/>
      <w:start w:val="6"/>
    </w:lvl>
  </w:abstractNum>
  <w:abstractNum w:abstractNumId="59">
    <w:nsid w:val="519E3149"/>
    <w:multiLevelType w:val="hybridMultilevel"/>
    <w:lvl w:ilvl="0">
      <w:lvlJc w:val="left"/>
      <w:lvlText w:val="(%1)"/>
      <w:numFmt w:val="lowerLetter"/>
      <w:start w:val="7"/>
    </w:lvl>
  </w:abstractNum>
  <w:abstractNum w:abstractNumId="60">
    <w:nsid w:val="2C6E4AFD"/>
    <w:multiLevelType w:val="hybridMultilevel"/>
    <w:lvl w:ilvl="0">
      <w:lvlJc w:val="left"/>
      <w:lvlText w:val="(%1)"/>
      <w:numFmt w:val="lowerRoman"/>
      <w:start w:val="1"/>
    </w:lvl>
  </w:abstractNum>
  <w:abstractNum w:abstractNumId="61">
    <w:nsid w:val="17A1B582"/>
    <w:multiLevelType w:val="hybridMultilevel"/>
    <w:lvl w:ilvl="0">
      <w:lvlJc w:val="left"/>
      <w:lvlText w:val="(%1)"/>
      <w:numFmt w:val="lowerLetter"/>
      <w:start w:val="10"/>
    </w:lvl>
  </w:abstractNum>
  <w:abstractNum w:abstractNumId="62">
    <w:nsid w:val="4DF72E4E"/>
    <w:multiLevelType w:val="hybridMultilevel"/>
    <w:lvl w:ilvl="0">
      <w:lvlJc w:val="left"/>
      <w:lvlText w:val="(%1)"/>
      <w:numFmt w:val="lowerLetter"/>
      <w:start w:val="1"/>
    </w:lvl>
  </w:abstractNum>
  <w:abstractNum w:abstractNumId="63">
    <w:nsid w:val="5046B5A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4">
    <w:nsid w:val="5D888A08"/>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65">
    <w:nsid w:val="2A082C70"/>
    <w:multiLevelType w:val="hybridMultilevel"/>
    <w:lvl w:ilvl="0">
      <w:lvlJc w:val="left"/>
      <w:lvlText w:val="(%1)"/>
      <w:numFmt w:val="lowerLetter"/>
      <w:start w:val="4"/>
    </w:lvl>
  </w:abstractNum>
  <w:abstractNum w:abstractNumId="66">
    <w:nsid w:val="5EC6AFD4"/>
    <w:multiLevelType w:val="hybridMultilevel"/>
    <w:lvl w:ilvl="0">
      <w:lvlJc w:val="left"/>
      <w:lvlText w:val="%1"/>
      <w:numFmt w:val="lowerLetter"/>
      <w:start w:val="1"/>
    </w:lvl>
    <w:lvl w:ilvl="1">
      <w:lvlJc w:val="left"/>
      <w:lvlText w:val="(%2)"/>
      <w:numFmt w:val="lowerLetter"/>
      <w:start w:val="1"/>
    </w:lvl>
  </w:abstractNum>
  <w:abstractNum w:abstractNumId="67">
    <w:nsid w:val="19E21BB2"/>
    <w:multiLevelType w:val="hybridMultilevel"/>
    <w:lvl w:ilvl="0">
      <w:lvlJc w:val="left"/>
      <w:lvlText w:val="(%1)"/>
      <w:numFmt w:val="lowerLetter"/>
      <w:start w:val="9"/>
    </w:lvl>
    <w:lvl w:ilvl="1">
      <w:lvlJc w:val="left"/>
      <w:lvlText w:val="(%2)"/>
      <w:numFmt w:val="lowerLetter"/>
      <w:start w:val="2"/>
    </w:lvl>
  </w:abstractNum>
  <w:abstractNum w:abstractNumId="68">
    <w:nsid w:val="75E0858A"/>
    <w:multiLevelType w:val="hybridMultilevel"/>
    <w:lvl w:ilvl="0">
      <w:lvlJc w:val="left"/>
      <w:lvlText w:val="(%1)"/>
      <w:numFmt w:val="lowerLetter"/>
      <w:start w:val="1"/>
    </w:lvl>
  </w:abstractNum>
  <w:abstractNum w:abstractNumId="69">
    <w:nsid w:val="57A61A29"/>
    <w:multiLevelType w:val="hybridMultilevel"/>
    <w:lvl w:ilvl="0">
      <w:lvlJc w:val="left"/>
      <w:lvlText w:val="(%1)"/>
      <w:numFmt w:val="lowerLetter"/>
      <w:start w:val="1"/>
    </w:lvl>
  </w:abstractNum>
  <w:abstractNum w:abstractNumId="70">
    <w:nsid w:val="5399C654"/>
    <w:multiLevelType w:val="hybridMultilevel"/>
    <w:lvl w:ilvl="0">
      <w:lvlJc w:val="left"/>
      <w:lvlText w:val="(%1)"/>
      <w:numFmt w:val="lowerLetter"/>
      <w:start w:val="1"/>
    </w:lvl>
  </w:abstractNum>
  <w:abstractNum w:abstractNumId="71">
    <w:nsid w:val="20EE1348"/>
    <w:multiLevelType w:val="hybridMultilevel"/>
    <w:lvl w:ilvl="0">
      <w:lvlJc w:val="left"/>
      <w:lvlText w:val="%1"/>
      <w:numFmt w:val="lowerLetter"/>
      <w:start w:val="1"/>
    </w:lvl>
    <w:lvl w:ilvl="1">
      <w:lvlJc w:val="left"/>
      <w:lvlText w:val="(%2)"/>
      <w:numFmt w:val="lowerLetter"/>
      <w:start w:val="35"/>
    </w:lvl>
  </w:abstractNum>
  <w:abstractNum w:abstractNumId="72">
    <w:nsid w:val="4427069A"/>
    <w:multiLevelType w:val="hybridMultilevel"/>
    <w:lvl w:ilvl="0">
      <w:lvlJc w:val="left"/>
      <w:lvlText w:val="(%1)"/>
      <w:numFmt w:val="lowerLetter"/>
      <w:start w:val="2"/>
    </w:lvl>
    <w:lvl w:ilvl="1">
      <w:lvlJc w:val="left"/>
      <w:lvlText w:val="%2"/>
      <w:numFmt w:val="lowerLetter"/>
      <w:start w:val="1"/>
    </w:lvl>
  </w:abstractNum>
  <w:abstractNum w:abstractNumId="73">
    <w:nsid w:val="B37E80A"/>
    <w:multiLevelType w:val="hybridMultilevel"/>
    <w:lvl w:ilvl="0">
      <w:lvlJc w:val="left"/>
      <w:lvlText w:val="%1"/>
      <w:numFmt w:val="lowerLetter"/>
      <w:start w:val="1"/>
    </w:lvl>
    <w:lvl w:ilvl="1">
      <w:lvlJc w:val="left"/>
      <w:lvlText w:val="(%2)"/>
      <w:numFmt w:val="lowerLetter"/>
      <w:start w:val="35"/>
    </w:lvl>
  </w:abstractNum>
  <w:abstractNum w:abstractNumId="74">
    <w:nsid w:val="2157F6BC"/>
    <w:multiLevelType w:val="hybridMultilevel"/>
    <w:lvl w:ilvl="0">
      <w:lvlJc w:val="left"/>
      <w:lvlText w:val="(%1)"/>
      <w:numFmt w:val="lowerLetter"/>
      <w:start w:val="3"/>
    </w:lvl>
    <w:lvl w:ilvl="1">
      <w:lvlJc w:val="left"/>
      <w:lvlText w:val="%2"/>
      <w:numFmt w:val="lowerLetter"/>
      <w:start w:val="1"/>
    </w:lvl>
  </w:abstractNum>
  <w:abstractNum w:abstractNumId="75">
    <w:nsid w:val="704E1DD5"/>
    <w:multiLevelType w:val="hybridMultilevel"/>
    <w:lvl w:ilvl="0">
      <w:lvlJc w:val="left"/>
      <w:lvlText w:val="(%1)"/>
      <w:numFmt w:val="lowerRoman"/>
      <w:start w:val="1"/>
    </w:lvl>
  </w:abstractNum>
  <w:abstractNum w:abstractNumId="76">
    <w:nsid w:val="57D2F10E"/>
    <w:multiLevelType w:val="hybridMultilevel"/>
    <w:lvl w:ilvl="0">
      <w:lvlJc w:val="left"/>
      <w:lvlText w:val="(%1)"/>
      <w:numFmt w:val="lowerLetter"/>
      <w:start w:val="1"/>
    </w:lvl>
  </w:abstractNum>
  <w:abstractNum w:abstractNumId="77">
    <w:nsid w:val="BFFAE18"/>
    <w:multiLevelType w:val="hybridMultilevel"/>
    <w:lvl w:ilvl="0">
      <w:lvlJc w:val="left"/>
      <w:lvlText w:val="(%1)"/>
      <w:numFmt w:val="lowerLetter"/>
      <w:start w:val="4"/>
    </w:lvl>
  </w:abstractNum>
  <w:abstractNum w:abstractNumId="78">
    <w:nsid w:val="E3E47A8"/>
    <w:multiLevelType w:val="hybridMultilevel"/>
    <w:lvl w:ilvl="0">
      <w:lvlJc w:val="left"/>
      <w:lvlText w:val="(%1)"/>
      <w:numFmt w:val="lowerLetter"/>
      <w:start w:val="6"/>
    </w:lvl>
  </w:abstractNum>
  <w:abstractNum w:abstractNumId="79">
    <w:nsid w:val="2E48F044"/>
    <w:multiLevelType w:val="hybridMultilevel"/>
    <w:lvl w:ilvl="0">
      <w:lvlJc w:val="left"/>
      <w:lvlText w:val="%1"/>
      <w:numFmt w:val="lowerRoman"/>
      <w:start w:val="1"/>
    </w:lvl>
    <w:lvl w:ilvl="1">
      <w:lvlJc w:val="left"/>
      <w:lvlText w:val="(%2)"/>
      <w:numFmt w:val="lowerLetter"/>
      <w:start w:val="1"/>
    </w:lvl>
  </w:abstractNum>
  <w:abstractNum w:abstractNumId="80">
    <w:nsid w:val="49D0FEAC"/>
    <w:multiLevelType w:val="hybridMultilevel"/>
    <w:lvl w:ilvl="0">
      <w:lvlJc w:val="left"/>
      <w:lvlText w:val="(%1)"/>
      <w:numFmt w:val="lowerRoman"/>
      <w:start w:val="4"/>
    </w:lvl>
    <w:lvl w:ilvl="1">
      <w:lvlJc w:val="left"/>
      <w:lvlText w:val="(%2)"/>
      <w:numFmt w:val="lowerLetter"/>
      <w:start w:val="2"/>
    </w:lvl>
  </w:abstractNum>
  <w:abstractNum w:abstractNumId="81">
    <w:nsid w:val="4BEE5A5B"/>
    <w:multiLevelType w:val="hybridMultilevel"/>
    <w:lvl w:ilvl="0">
      <w:lvlJc w:val="left"/>
      <w:lvlText w:val="(%1)"/>
      <w:numFmt w:val="lowerLetter"/>
      <w:start w:val="4"/>
    </w:lvl>
  </w:abstractNum>
  <w:abstractNum w:abstractNumId="82">
    <w:nsid w:val="5551B9F3"/>
    <w:multiLevelType w:val="hybridMultilevel"/>
    <w:lvl w:ilvl="0">
      <w:lvlJc w:val="left"/>
      <w:lvlText w:val="(%1)"/>
      <w:numFmt w:val="lowerLetter"/>
      <w:start w:val="1"/>
    </w:lvl>
    <w:lvl w:ilvl="1">
      <w:lvlJc w:val="left"/>
      <w:lvlText w:val="(%2)"/>
      <w:numFmt w:val="lowerRoman"/>
      <w:start w:val="1"/>
    </w:lvl>
  </w:abstractNum>
  <w:abstractNum w:abstractNumId="83">
    <w:nsid w:val="24F6AB8E"/>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84">
    <w:nsid w:val="634C57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5">
    <w:nsid w:val="24E99DD7"/>
    <w:multiLevelType w:val="hybridMultilevel"/>
    <w:lvl w:ilvl="0">
      <w:lvlJc w:val="left"/>
      <w:lvlText w:val="(%1)"/>
      <w:numFmt w:val="lowerLetter"/>
      <w:start w:val="1"/>
    </w:lvl>
    <w:lvl w:ilvl="1">
      <w:lvlJc w:val="left"/>
      <w:lvlText w:val="(%2)"/>
      <w:numFmt w:val="lowerRoman"/>
      <w:start w:val="1"/>
    </w:lvl>
  </w:abstractNum>
  <w:abstractNum w:abstractNumId="86">
    <w:nsid w:val="2A31B62D"/>
    <w:multiLevelType w:val="hybridMultilevel"/>
    <w:lvl w:ilvl="0">
      <w:lvlJc w:val="left"/>
      <w:lvlText w:val="%1"/>
      <w:numFmt w:val="lowerLetter"/>
      <w:start w:val="1"/>
    </w:lvl>
    <w:lvl w:ilvl="1">
      <w:lvlJc w:val="left"/>
      <w:lvlText w:val="(%2)"/>
      <w:numFmt w:val="lowerLetter"/>
      <w:start w:val="35"/>
    </w:lvl>
  </w:abstractNum>
  <w:abstractNum w:abstractNumId="87">
    <w:nsid w:val="1849C29B"/>
    <w:multiLevelType w:val="hybridMultilevel"/>
    <w:lvl w:ilvl="0">
      <w:lvlJc w:val="left"/>
      <w:lvlText w:val="(%1)"/>
      <w:numFmt w:val="lowerLetter"/>
      <w:start w:val="4"/>
    </w:lvl>
    <w:lvl w:ilvl="1">
      <w:lvlJc w:val="left"/>
      <w:lvlText w:val="(%2)"/>
      <w:numFmt w:val="lowerLetter"/>
      <w:start w:val="9"/>
    </w:lvl>
  </w:abstractNum>
  <w:abstractNum w:abstractNumId="88">
    <w:nsid w:val="7DFF9D09"/>
    <w:multiLevelType w:val="hybridMultilevel"/>
    <w:lvl w:ilvl="0">
      <w:lvlJc w:val="left"/>
      <w:lvlText w:val="(%1)"/>
      <w:numFmt w:val="lowerRoman"/>
      <w:start w:val="2"/>
    </w:lvl>
    <w:lvl w:ilvl="1">
      <w:lvlJc w:val="left"/>
      <w:lvlText w:val="(%2)"/>
      <w:numFmt w:val="upperLetter"/>
      <w:start w:val="1"/>
    </w:lvl>
  </w:abstractNum>
  <w:abstractNum w:abstractNumId="89">
    <w:nsid w:val="754342"/>
    <w:multiLevelType w:val="hybridMultilevel"/>
    <w:lvl w:ilvl="0">
      <w:lvlJc w:val="left"/>
      <w:lvlText w:val="%1."/>
      <w:numFmt w:val="upperLetter"/>
      <w:start w:val="9"/>
    </w:lvl>
  </w:abstractNum>
  <w:abstractNum w:abstractNumId="90">
    <w:nsid w:val="69E7F3E5"/>
    <w:multiLevelType w:val="hybridMultilevel"/>
    <w:lvl w:ilvl="0">
      <w:lvlJc w:val="left"/>
      <w:lvlText w:val="%1."/>
      <w:numFmt w:val="upperLetter"/>
      <w:start w:val="35"/>
    </w:lvl>
  </w:abstractNum>
  <w:abstractNum w:abstractNumId="91">
    <w:nsid w:val="2A6DE806"/>
    <w:multiLevelType w:val="hybridMultilevel"/>
    <w:lvl w:ilvl="0">
      <w:lvlJc w:val="left"/>
      <w:lvlText w:val="%1."/>
      <w:numFmt w:val="upperLetter"/>
      <w:start w:val="61"/>
    </w:lvl>
  </w:abstractNum>
  <w:abstractNum w:abstractNumId="92">
    <w:nsid w:val="1816F8C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93">
    <w:nsid w:val="37DF223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4">
    <w:nsid w:val="7AB49DAF"/>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95">
    <w:nsid w:val="759F82CD"/>
    <w:multiLevelType w:val="hybridMultilevel"/>
    <w:lvl w:ilvl="0">
      <w:lvlJc w:val="left"/>
      <w:lvlText w:val="(%1)"/>
      <w:numFmt w:val="lowerLetter"/>
      <w:start w:val="7"/>
    </w:lvl>
  </w:abstractNum>
  <w:abstractNum w:abstractNumId="96">
    <w:nsid w:val="61E74EA3"/>
    <w:multiLevelType w:val="hybridMultilevel"/>
    <w:lvl w:ilvl="0">
      <w:lvlJc w:val="left"/>
      <w:lvlText w:val="(%1)"/>
      <w:numFmt w:val="lowerLetter"/>
      <w:start w:val="1"/>
    </w:lvl>
    <w:lvl w:ilvl="1">
      <w:lvlJc w:val="left"/>
      <w:lvlText w:val="(%2)"/>
      <w:numFmt w:val="lowerRoman"/>
      <w:start w:val="1"/>
    </w:lvl>
  </w:abstractNum>
  <w:abstractNum w:abstractNumId="97">
    <w:nsid w:val="597B4D84"/>
    <w:multiLevelType w:val="hybridMultilevel"/>
    <w:lvl w:ilvl="0">
      <w:lvlJc w:val="left"/>
      <w:lvlText w:val="(%1)"/>
      <w:numFmt w:val="lowerLetter"/>
      <w:start w:val="2"/>
    </w:lvl>
  </w:abstractNum>
  <w:abstractNum w:abstractNumId="98">
    <w:nsid w:val="F819E7F"/>
    <w:multiLevelType w:val="hybridMultilevel"/>
    <w:lvl w:ilvl="0">
      <w:lvlJc w:val="left"/>
      <w:lvlText w:val="(%1)"/>
      <w:numFmt w:val="lowerLetter"/>
      <w:start w:val="2"/>
    </w:lvl>
    <w:lvl w:ilvl="1">
      <w:lvlJc w:val="left"/>
      <w:lvlText w:val="(%2)"/>
      <w:numFmt w:val="lowerLetter"/>
      <w:start w:val="4"/>
    </w:lvl>
  </w:abstractNum>
  <w:abstractNum w:abstractNumId="99">
    <w:nsid w:val="57C7D42D"/>
    <w:multiLevelType w:val="hybridMultilevel"/>
    <w:lvl w:ilvl="0">
      <w:lvlJc w:val="left"/>
      <w:lvlText w:val="(%1)"/>
      <w:numFmt w:val="lowerLetter"/>
      <w:start w:val="1"/>
    </w:lvl>
  </w:abstractNum>
  <w:abstractNum w:abstractNumId="100">
    <w:nsid w:val="312167AD"/>
    <w:multiLevelType w:val="hybridMultilevel"/>
    <w:lvl w:ilvl="0">
      <w:lvlJc w:val="left"/>
      <w:lvlText w:val="(%1)"/>
      <w:numFmt w:val="lowerLetter"/>
      <w:start w:val="1"/>
    </w:lvl>
  </w:abstractNum>
  <w:abstractNum w:abstractNumId="101">
    <w:nsid w:val="631B64D4"/>
    <w:multiLevelType w:val="hybridMultilevel"/>
    <w:lvl w:ilvl="0">
      <w:lvlJc w:val="left"/>
      <w:lvlText w:val="(%1)"/>
      <w:numFmt w:val="lowerLetter"/>
      <w:start w:val="2"/>
    </w:lvl>
  </w:abstractNum>
  <w:abstractNum w:abstractNumId="102">
    <w:nsid w:val="78B5E776"/>
    <w:multiLevelType w:val="hybridMultilevel"/>
    <w:lvl w:ilvl="0">
      <w:lvlJc w:val="left"/>
      <w:lvlText w:val="(%1)"/>
      <w:numFmt w:val="lowerLetter"/>
      <w:start w:val="1"/>
    </w:lvl>
    <w:lvl w:ilvl="1">
      <w:lvlJc w:val="left"/>
      <w:lvlText w:val="(%2)"/>
      <w:numFmt w:val="lowerRoman"/>
      <w:start w:val="1"/>
    </w:lvl>
  </w:abstractNum>
  <w:abstractNum w:abstractNumId="103">
    <w:nsid w:val="75486E47"/>
    <w:multiLevelType w:val="hybridMultilevel"/>
    <w:lvl w:ilvl="0">
      <w:lvlJc w:val="left"/>
      <w:lvlText w:val="%1"/>
      <w:numFmt w:val="lowerLetter"/>
      <w:start w:val="1"/>
    </w:lvl>
    <w:lvl w:ilvl="1">
      <w:lvlJc w:val="left"/>
      <w:lvlText w:val="(%2)"/>
      <w:numFmt w:val="lowerRoman"/>
      <w:start w:val="5"/>
    </w:lvl>
  </w:abstractNum>
  <w:abstractNum w:abstractNumId="104">
    <w:nsid w:val="6E534CDE"/>
    <w:multiLevelType w:val="hybridMultilevel"/>
    <w:lvl w:ilvl="0">
      <w:lvlJc w:val="left"/>
      <w:lvlText w:val="(%1)"/>
      <w:numFmt w:val="lowerLetter"/>
      <w:start w:val="2"/>
    </w:lvl>
    <w:lvl w:ilvl="1">
      <w:lvlJc w:val="left"/>
      <w:lvlText w:val="%2"/>
      <w:numFmt w:val="lowerRoman"/>
      <w:start w:val="1"/>
    </w:lvl>
  </w:abstractNum>
  <w:abstractNum w:abstractNumId="105">
    <w:nsid w:val="1A0DDE32"/>
    <w:multiLevelType w:val="hybridMultilevel"/>
    <w:lvl w:ilvl="0">
      <w:lvlJc w:val="left"/>
      <w:lvlText w:val="(%1)"/>
      <w:numFmt w:val="lowerLetter"/>
      <w:start w:val="1"/>
    </w:lvl>
  </w:abstractNum>
  <w:abstractNum w:abstractNumId="106">
    <w:nsid w:val="65968C1C"/>
    <w:multiLevelType w:val="hybridMultilevel"/>
    <w:lvl w:ilvl="0">
      <w:lvlJc w:val="left"/>
      <w:lvlText w:val="(%1)"/>
      <w:numFmt w:val="lowerLetter"/>
      <w:start w:val="2"/>
    </w:lvl>
  </w:abstractNum>
  <w:abstractNum w:abstractNumId="107">
    <w:nsid w:val="46263DEC"/>
    <w:multiLevelType w:val="hybridMultilevel"/>
    <w:lvl w:ilvl="0">
      <w:lvlJc w:val="left"/>
      <w:lvlText w:val="(%1)"/>
      <w:numFmt w:val="lowerRoman"/>
      <w:start w:val="1"/>
    </w:lvl>
  </w:abstractNum>
  <w:abstractNum w:abstractNumId="108">
    <w:nsid w:val="260D8C4A"/>
    <w:multiLevelType w:val="hybridMultilevel"/>
    <w:lvl w:ilvl="0">
      <w:lvlJc w:val="left"/>
      <w:lvlText w:val="(%1)"/>
      <w:numFmt w:val="lowerLetter"/>
      <w:start w:val="1"/>
    </w:lvl>
  </w:abstractNum>
  <w:abstractNum w:abstractNumId="109">
    <w:nsid w:val="73D4D3C4"/>
    <w:multiLevelType w:val="hybridMultilevel"/>
    <w:lvl w:ilvl="0">
      <w:lvlJc w:val="left"/>
      <w:lvlText w:val="(%1)"/>
      <w:numFmt w:val="lowerLetter"/>
      <w:start w:val="1"/>
    </w:lvl>
  </w:abstractNum>
  <w:abstractNum w:abstractNumId="110">
    <w:nsid w:val="746F2E30"/>
    <w:multiLevelType w:val="hybridMultilevel"/>
    <w:lvl w:ilvl="0">
      <w:lvlJc w:val="left"/>
      <w:lvlText w:val="(%1)"/>
      <w:numFmt w:val="lowerLetter"/>
      <w:start w:val="2"/>
    </w:lvl>
  </w:abstractNum>
  <w:abstractNum w:abstractNumId="111">
    <w:nsid w:val="6FDE8AF6"/>
    <w:multiLevelType w:val="hybridMultilevel"/>
    <w:lvl w:ilvl="0">
      <w:lvlJc w:val="left"/>
      <w:lvlText w:val="(%1)"/>
      <w:numFmt w:val="lowerLetter"/>
      <w:start w:val="1"/>
    </w:lvl>
  </w:abstractNum>
  <w:abstractNum w:abstractNumId="112">
    <w:nsid w:val="3FC32E20"/>
    <w:multiLevelType w:val="hybridMultilevel"/>
    <w:lvl w:ilvl="0">
      <w:lvlJc w:val="left"/>
      <w:lvlText w:val="(%1)"/>
      <w:numFmt w:val="lowerLetter"/>
      <w:start w:val="1"/>
    </w:lvl>
  </w:abstractNum>
  <w:abstractNum w:abstractNumId="113">
    <w:nsid w:val="49C0E823"/>
    <w:multiLevelType w:val="hybridMultilevel"/>
    <w:lvl w:ilvl="0">
      <w:lvlJc w:val="left"/>
      <w:lvlText w:val="(%1)"/>
      <w:numFmt w:val="lowerLetter"/>
      <w:start w:val="2"/>
    </w:lvl>
  </w:abstractNum>
  <w:abstractNum w:abstractNumId="114">
    <w:nsid w:val="14D53685"/>
    <w:multiLevelType w:val="hybridMultilevel"/>
    <w:lvl w:ilvl="0">
      <w:lvlJc w:val="left"/>
      <w:lvlText w:val="(%1)"/>
      <w:numFmt w:val="lowerLetter"/>
      <w:start w:val="1"/>
    </w:lvl>
  </w:abstractNum>
  <w:abstractNum w:abstractNumId="115">
    <w:nsid w:val="230F856C"/>
    <w:multiLevelType w:val="hybridMultilevel"/>
    <w:lvl w:ilvl="0">
      <w:lvlJc w:val="left"/>
      <w:lvlText w:val="(%1)"/>
      <w:numFmt w:val="lowerLetter"/>
      <w:start w:val="4"/>
    </w:lvl>
  </w:abstractNum>
  <w:abstractNum w:abstractNumId="116">
    <w:nsid w:val="6EAA85FB"/>
    <w:multiLevelType w:val="hybridMultilevel"/>
    <w:lvl w:ilvl="0">
      <w:lvlJc w:val="left"/>
      <w:lvlText w:val="(%1)"/>
      <w:numFmt w:val="lowerLetter"/>
      <w:start w:val="1"/>
    </w:lvl>
  </w:abstractNum>
  <w:abstractNum w:abstractNumId="117">
    <w:nsid w:val="3F06ECB2"/>
    <w:multiLevelType w:val="hybridMultilevel"/>
    <w:lvl w:ilvl="0">
      <w:lvlJc w:val="left"/>
      <w:lvlText w:val="(%1)"/>
      <w:numFmt w:val="lowerLetter"/>
      <w:start w:val="1"/>
    </w:lvl>
  </w:abstractNum>
  <w:abstractNum w:abstractNumId="118">
    <w:nsid w:val="3B594807"/>
    <w:multiLevelType w:val="hybridMultilevel"/>
    <w:lvl w:ilvl="0">
      <w:lvlJc w:val="left"/>
      <w:lvlText w:val="(%1)"/>
      <w:numFmt w:val="lowerLetter"/>
      <w:start w:val="1"/>
    </w:lvl>
  </w:abstractNum>
  <w:abstractNum w:abstractNumId="119">
    <w:nsid w:val="6CAA2304"/>
    <w:multiLevelType w:val="hybridMultilevel"/>
    <w:lvl w:ilvl="0">
      <w:lvlJc w:val="left"/>
      <w:lvlText w:val="(%1)"/>
      <w:numFmt w:val="lowerLetter"/>
      <w:start w:val="2"/>
    </w:lvl>
  </w:abstractNum>
  <w:abstractNum w:abstractNumId="120">
    <w:nsid w:val="3F7C2FF4"/>
    <w:multiLevelType w:val="hybridMultilevel"/>
    <w:lvl w:ilvl="0">
      <w:lvlJc w:val="left"/>
      <w:lvlText w:val="(%1)"/>
      <w:numFmt w:val="lowerLetter"/>
      <w:start w:val="1"/>
    </w:lvl>
  </w:abstractNum>
  <w:abstractNum w:abstractNumId="121">
    <w:nsid w:val="25413BEC"/>
    <w:multiLevelType w:val="hybridMultilevel"/>
    <w:lvl w:ilvl="0">
      <w:lvlJc w:val="left"/>
      <w:lvlText w:val="(%1)"/>
      <w:numFmt w:val="lowerLetter"/>
      <w:start w:val="3"/>
    </w:lvl>
  </w:abstractNum>
  <w:abstractNum w:abstractNumId="122">
    <w:nsid w:val="17180B0B"/>
    <w:multiLevelType w:val="hybridMultilevel"/>
    <w:lvl w:ilvl="0">
      <w:lvlJc w:val="left"/>
      <w:lvlText w:val="(%1)"/>
      <w:numFmt w:val="lowerLetter"/>
      <w:start w:val="9"/>
    </w:lvl>
  </w:abstractNum>
  <w:abstractNum w:abstractNumId="123">
    <w:nsid w:val="579328B9"/>
    <w:multiLevelType w:val="hybridMultilevel"/>
    <w:lvl w:ilvl="0">
      <w:lvlJc w:val="left"/>
      <w:lvlText w:val="(%1)"/>
      <w:numFmt w:val="lowerLetter"/>
      <w:start w:val="1"/>
    </w:lvl>
  </w:abstractNum>
  <w:abstractNum w:abstractNumId="124">
    <w:nsid w:val="5D205E20"/>
    <w:multiLevelType w:val="hybridMultilevel"/>
    <w:lvl w:ilvl="0">
      <w:lvlJc w:val="left"/>
      <w:lvlText w:val="(%1)"/>
      <w:numFmt w:val="lowerLetter"/>
      <w:start w:val="4"/>
    </w:lvl>
    <w:lvl w:ilvl="1">
      <w:lvlJc w:val="left"/>
      <w:lvlText w:val="(%2)"/>
      <w:numFmt w:val="lowerRoman"/>
      <w:start w:val="1"/>
    </w:lvl>
  </w:abstractNum>
  <w:abstractNum w:abstractNumId="125">
    <w:nsid w:val="11CCA8BA"/>
    <w:multiLevelType w:val="hybridMultilevel"/>
    <w:lvl w:ilvl="0">
      <w:lvlJc w:val="left"/>
      <w:lvlText w:val="(%1)"/>
      <w:numFmt w:val="lowerLetter"/>
      <w:start w:val="1"/>
    </w:lvl>
  </w:abstractNum>
  <w:abstractNum w:abstractNumId="126">
    <w:nsid w:val="4D32AB86"/>
    <w:multiLevelType w:val="hybridMultilevel"/>
    <w:lvl w:ilvl="0">
      <w:lvlJc w:val="left"/>
      <w:lvlText w:val="(%1)"/>
      <w:numFmt w:val="lowerLetter"/>
      <w:start w:val="3"/>
    </w:lvl>
  </w:abstractNum>
  <w:abstractNum w:abstractNumId="127">
    <w:nsid w:val="3F07ACC3"/>
    <w:multiLevelType w:val="hybridMultilevel"/>
    <w:lvl w:ilvl="0">
      <w:lvlJc w:val="left"/>
      <w:lvlText w:val="(%1)"/>
      <w:numFmt w:val="lowerLetter"/>
      <w:start w:val="4"/>
    </w:lvl>
  </w:abstractNum>
  <w:abstractNum w:abstractNumId="128">
    <w:nsid w:val="6B47F63E"/>
    <w:multiLevelType w:val="hybridMultilevel"/>
    <w:lvl w:ilvl="0">
      <w:lvlJc w:val="left"/>
      <w:lvlText w:val="(%1)"/>
      <w:numFmt w:val="lowerLetter"/>
      <w:start w:val="1"/>
    </w:lvl>
  </w:abstractNum>
  <w:abstractNum w:abstractNumId="129">
    <w:nsid w:val="5CB44A05"/>
    <w:multiLevelType w:val="hybridMultilevel"/>
    <w:lvl w:ilvl="0">
      <w:lvlJc w:val="left"/>
      <w:lvlText w:val="(%1)"/>
      <w:numFmt w:val="lowerLetter"/>
      <w:start w:val="2"/>
    </w:lvl>
  </w:abstractNum>
  <w:abstractNum w:abstractNumId="130">
    <w:nsid w:val="16CF80F1"/>
    <w:multiLevelType w:val="hybridMultilevel"/>
    <w:lvl w:ilvl="0">
      <w:lvlJc w:val="left"/>
      <w:lvlText w:val="(%1)"/>
      <w:numFmt w:val="lowerLetter"/>
      <w:start w:val="1"/>
    </w:lvl>
  </w:abstractNum>
  <w:abstractNum w:abstractNumId="131">
    <w:nsid w:val="1C695DEC"/>
    <w:multiLevelType w:val="hybridMultilevel"/>
    <w:lvl w:ilvl="0">
      <w:lvlJc w:val="left"/>
      <w:lvlText w:val="(%1)"/>
      <w:numFmt w:val="lowerRoman"/>
      <w:start w:val="2"/>
    </w:lvl>
  </w:abstractNum>
  <w:abstractNum w:abstractNumId="132">
    <w:nsid w:val="3FCFAED9"/>
    <w:multiLevelType w:val="hybridMultilevel"/>
    <w:lvl w:ilvl="0">
      <w:lvlJc w:val="left"/>
      <w:lvlText w:val="(%1)"/>
      <w:numFmt w:val="lowerLetter"/>
      <w:start w:val="1"/>
    </w:lvl>
  </w:abstractNum>
  <w:abstractNum w:abstractNumId="133">
    <w:nsid w:val="F856867"/>
    <w:multiLevelType w:val="hybridMultilevel"/>
    <w:lvl w:ilvl="0">
      <w:lvlJc w:val="left"/>
      <w:lvlText w:val="(%1)"/>
      <w:numFmt w:val="lowerLetter"/>
      <w:start w:val="5"/>
    </w:lvl>
  </w:abstractNum>
  <w:abstractNum w:abstractNumId="134">
    <w:nsid w:val="11B1CC33"/>
    <w:multiLevelType w:val="hybridMultilevel"/>
    <w:lvl w:ilvl="0">
      <w:lvlJc w:val="left"/>
      <w:lvlText w:val="(%1)"/>
      <w:numFmt w:val="lowerRoman"/>
      <w:start w:val="1"/>
    </w:lvl>
  </w:abstractNum>
  <w:abstractNum w:abstractNumId="135">
    <w:nsid w:val="2E22FBB7"/>
    <w:multiLevelType w:val="hybridMultilevel"/>
    <w:lvl w:ilvl="0">
      <w:lvlJc w:val="left"/>
      <w:lvlText w:val="(%1)"/>
      <w:numFmt w:val="lowerLetter"/>
      <w:start w:val="10"/>
    </w:lvl>
  </w:abstractNum>
  <w:abstractNum w:abstractNumId="136">
    <w:nsid w:val="29934699"/>
    <w:multiLevelType w:val="hybridMultilevel"/>
    <w:lvl w:ilvl="0">
      <w:lvlJc w:val="left"/>
      <w:lvlText w:val="(%1)"/>
      <w:numFmt w:val="lowerLetter"/>
      <w:start w:val="1"/>
    </w:lvl>
  </w:abstractNum>
  <w:abstractNum w:abstractNumId="137">
    <w:nsid w:val="77485850"/>
    <w:multiLevelType w:val="hybridMultilevel"/>
    <w:lvl w:ilvl="0">
      <w:lvlJc w:val="left"/>
      <w:lvlText w:val="(%1)"/>
      <w:numFmt w:val="lowerLetter"/>
      <w:start w:val="1"/>
    </w:lvl>
  </w:abstractNum>
  <w:abstractNum w:abstractNumId="138">
    <w:nsid w:val="744939A3"/>
    <w:multiLevelType w:val="hybridMultilevel"/>
    <w:lvl w:ilvl="0">
      <w:lvlJc w:val="left"/>
      <w:lvlText w:val="(%1)"/>
      <w:numFmt w:val="lowerLetter"/>
      <w:start w:val="1"/>
    </w:lvl>
  </w:abstractNum>
  <w:abstractNum w:abstractNumId="139">
    <w:nsid w:val="4FA0D2E3"/>
    <w:multiLevelType w:val="hybridMultilevel"/>
    <w:lvl w:ilvl="0">
      <w:lvlJc w:val="left"/>
      <w:lvlText w:val="(%1)"/>
      <w:numFmt w:val="lowerLetter"/>
      <w:start w:val="3"/>
    </w:lvl>
  </w:abstractNum>
  <w:abstractNum w:abstractNumId="140">
    <w:nsid w:val="6B1D2C14"/>
    <w:multiLevelType w:val="hybridMultilevel"/>
    <w:lvl w:ilvl="0">
      <w:lvlJc w:val="left"/>
      <w:lvlText w:val="(%1)"/>
      <w:numFmt w:val="lowerLetter"/>
      <w:start w:val="1"/>
    </w:lvl>
  </w:abstractNum>
  <w:abstractNum w:abstractNumId="141">
    <w:nsid w:val="68B867D3"/>
    <w:multiLevelType w:val="hybridMultilevel"/>
    <w:lvl w:ilvl="0">
      <w:lvlJc w:val="left"/>
      <w:lvlText w:val="(%1)"/>
      <w:numFmt w:val="lowerLetter"/>
      <w:start w:val="4"/>
    </w:lvl>
  </w:abstractNum>
  <w:abstractNum w:abstractNumId="142">
    <w:nsid w:val="3F7F5DD9"/>
    <w:multiLevelType w:val="hybridMultilevel"/>
    <w:lvl w:ilvl="0">
      <w:lvlJc w:val="left"/>
      <w:lvlText w:val="(%1)"/>
      <w:numFmt w:val="lowerLetter"/>
      <w:start w:val="1"/>
    </w:lvl>
  </w:abstractNum>
  <w:abstractNum w:abstractNumId="143">
    <w:nsid w:val="2AE05A34"/>
    <w:multiLevelType w:val="hybridMultilevel"/>
    <w:lvl w:ilvl="0">
      <w:lvlJc w:val="left"/>
      <w:lvlText w:val="(%1)"/>
      <w:numFmt w:val="lowerLetter"/>
      <w:start w:val="1"/>
    </w:lvl>
    <w:lvl w:ilvl="1">
      <w:lvlJc w:val="left"/>
      <w:lvlText w:val="(%2)"/>
      <w:numFmt w:val="lowerRoman"/>
      <w:start w:val="1"/>
    </w:lvl>
  </w:abstractNum>
  <w:abstractNum w:abstractNumId="144">
    <w:nsid w:val="32794FF7"/>
    <w:multiLevelType w:val="hybridMultilevel"/>
    <w:lvl w:ilvl="0">
      <w:lvlJc w:val="left"/>
      <w:lvlText w:val="(%1)"/>
      <w:numFmt w:val="lowerLetter"/>
      <w:start w:val="3"/>
    </w:lvl>
  </w:abstractNum>
  <w:abstractNum w:abstractNumId="145">
    <w:nsid w:val="5454945E"/>
    <w:multiLevelType w:val="hybridMultilevel"/>
    <w:lvl w:ilvl="0">
      <w:lvlJc w:val="left"/>
      <w:lvlText w:val="(%1)"/>
      <w:numFmt w:val="lowerLetter"/>
      <w:start w:val="1"/>
    </w:lvl>
  </w:abstractNum>
  <w:abstractNum w:abstractNumId="146">
    <w:nsid w:val="4DEFDFA0"/>
    <w:multiLevelType w:val="hybridMultilevel"/>
    <w:lvl w:ilvl="0">
      <w:lvlJc w:val="left"/>
      <w:lvlText w:val="(%1)"/>
      <w:numFmt w:val="lowerLetter"/>
      <w:start w:val="7"/>
    </w:lvl>
  </w:abstractNum>
  <w:abstractNum w:abstractNumId="147">
    <w:nsid w:val="2123D5F2"/>
    <w:multiLevelType w:val="hybridMultilevel"/>
    <w:lvl w:ilvl="0">
      <w:lvlJc w:val="left"/>
      <w:lvlText w:val="(%1)"/>
      <w:numFmt w:val="lowerLetter"/>
      <w:start w:val="1"/>
    </w:lvl>
    <w:lvl w:ilvl="1">
      <w:lvlJc w:val="left"/>
      <w:lvlText w:val="(%2)"/>
      <w:numFmt w:val="lowerRoman"/>
      <w:start w:val="1"/>
    </w:lvl>
  </w:abstractNum>
  <w:abstractNum w:abstractNumId="148">
    <w:nsid w:val="135B8110"/>
    <w:multiLevelType w:val="hybridMultilevel"/>
    <w:lvl w:ilvl="0">
      <w:lvlJc w:val="left"/>
      <w:lvlText w:val="(%1)"/>
      <w:numFmt w:val="lowerLetter"/>
      <w:start w:val="2"/>
    </w:lvl>
  </w:abstractNum>
  <w:abstractNum w:abstractNumId="149">
    <w:nsid w:val="94927A8"/>
    <w:multiLevelType w:val="hybridMultilevel"/>
    <w:lvl w:ilvl="0">
      <w:lvlJc w:val="left"/>
      <w:lvlText w:val="(%1)"/>
      <w:numFmt w:val="lowerLetter"/>
      <w:start w:val="3"/>
    </w:lvl>
  </w:abstractNum>
  <w:abstractNum w:abstractNumId="150">
    <w:nsid w:val="DCDF8F6"/>
    <w:multiLevelType w:val="hybridMultilevel"/>
    <w:lvl w:ilvl="0">
      <w:lvlJc w:val="left"/>
      <w:lvlText w:val="(%1)"/>
      <w:numFmt w:val="lowerLetter"/>
      <w:start w:val="5"/>
    </w:lvl>
  </w:abstractNum>
  <w:abstractNum w:abstractNumId="151">
    <w:nsid w:val="52D7B105"/>
    <w:multiLevelType w:val="hybridMultilevel"/>
    <w:lvl w:ilvl="0">
      <w:lvlJc w:val="left"/>
      <w:lvlText w:val="(%1)"/>
      <w:numFmt w:val="lowerLetter"/>
      <w:start w:val="1"/>
    </w:lvl>
  </w:abstractNum>
  <w:abstractNum w:abstractNumId="152">
    <w:nsid w:val="2E8A6394"/>
    <w:multiLevelType w:val="hybridMultilevel"/>
    <w:lvl w:ilvl="0">
      <w:lvlJc w:val="left"/>
      <w:lvlText w:val="(%1)"/>
      <w:numFmt w:val="lowerLetter"/>
      <w:start w:val="3"/>
    </w:lvl>
  </w:abstractNum>
  <w:abstractNum w:abstractNumId="153">
    <w:nsid w:val="24E60401"/>
    <w:multiLevelType w:val="hybridMultilevel"/>
    <w:lvl w:ilvl="0">
      <w:lvlJc w:val="left"/>
      <w:lvlText w:val="(%1)"/>
      <w:numFmt w:val="lowerLetter"/>
      <w:start w:val="2"/>
    </w:lvl>
    <w:lvl w:ilvl="1">
      <w:lvlJc w:val="left"/>
      <w:lvlText w:val="(%2)"/>
      <w:numFmt w:val="lowerLetter"/>
      <w:start w:val="5"/>
    </w:lvl>
  </w:abstractNum>
  <w:abstractNum w:abstractNumId="154">
    <w:nsid w:val="2A6AD9BE"/>
    <w:multiLevelType w:val="hybridMultilevel"/>
    <w:lvl w:ilvl="0">
      <w:lvlJc w:val="left"/>
      <w:lvlText w:val="%1"/>
      <w:numFmt w:val="lowerLetter"/>
      <w:start w:val="1"/>
    </w:lvl>
    <w:lvl w:ilvl="1">
      <w:lvlJc w:val="left"/>
      <w:lvlText w:val="(%2)"/>
      <w:numFmt w:val="lowerLetter"/>
      <w:start w:val="1"/>
    </w:lvl>
  </w:abstractNum>
  <w:abstractNum w:abstractNumId="155">
    <w:nsid w:val="BAAC1B4"/>
    <w:multiLevelType w:val="hybridMultilevel"/>
    <w:lvl w:ilvl="0">
      <w:lvlJc w:val="left"/>
      <w:lvlText w:val="(%1)"/>
      <w:numFmt w:val="lowerLetter"/>
      <w:start w:val="35"/>
    </w:lvl>
    <w:lvl w:ilvl="1">
      <w:lvlJc w:val="left"/>
      <w:lvlText w:val="(%2)"/>
      <w:numFmt w:val="lowerLetter"/>
      <w:start w:val="2"/>
    </w:lvl>
  </w:abstractNum>
  <w:abstractNum w:abstractNumId="156">
    <w:nsid w:val="36B2ACBC"/>
    <w:multiLevelType w:val="hybridMultilevel"/>
    <w:lvl w:ilvl="0">
      <w:lvlJc w:val="left"/>
      <w:lvlText w:val="(%1)"/>
      <w:numFmt w:val="lowerRoman"/>
      <w:start w:val="1"/>
    </w:lvl>
    <w:lvl w:ilvl="1">
      <w:lvlJc w:val="left"/>
      <w:lvlText w:val="(%2)"/>
      <w:numFmt w:val="upperLetter"/>
      <w:start w:val="1"/>
    </w:lvl>
  </w:abstractNum>
  <w:abstractNum w:abstractNumId="157">
    <w:nsid w:val="779D8544"/>
    <w:multiLevelType w:val="hybridMultilevel"/>
    <w:lvl w:ilvl="0">
      <w:lvlJc w:val="left"/>
      <w:lvlText w:val="(%1)"/>
      <w:numFmt w:val="lowerRoman"/>
      <w:start w:val="2"/>
    </w:lvl>
    <w:lvl w:ilvl="1">
      <w:lvlJc w:val="left"/>
      <w:lvlText w:val="(%2)"/>
      <w:numFmt w:val="upperLetter"/>
      <w:start w:val="1"/>
    </w:lvl>
  </w:abstractNum>
  <w:abstractNum w:abstractNumId="158">
    <w:nsid w:val="4AB26E78"/>
    <w:multiLevelType w:val="hybridMultilevel"/>
    <w:lvl w:ilvl="0">
      <w:lvlJc w:val="left"/>
      <w:lvlText w:val="(%1)"/>
      <w:numFmt w:val="lowerRoman"/>
      <w:start w:val="5"/>
    </w:lvl>
  </w:abstractNum>
  <w:abstractNum w:abstractNumId="159">
    <w:nsid w:val="21FAA2FA"/>
    <w:multiLevelType w:val="hybridMultilevel"/>
    <w:lvl w:ilvl="0">
      <w:lvlJc w:val="left"/>
      <w:lvlText w:val="(%1)"/>
      <w:numFmt w:val="lowerLetter"/>
      <w:start w:val="3"/>
    </w:lvl>
  </w:abstractNum>
  <w:abstractNum w:abstractNumId="160">
    <w:nsid w:val="5451CF49"/>
    <w:multiLevelType w:val="hybridMultilevel"/>
    <w:lvl w:ilvl="0">
      <w:lvlJc w:val="left"/>
      <w:lvlText w:val="(%1)"/>
      <w:numFmt w:val="lowerLetter"/>
      <w:start w:val="5"/>
    </w:lvl>
  </w:abstractNum>
  <w:abstractNum w:abstractNumId="161">
    <w:nsid w:val="6181EF69"/>
    <w:multiLevelType w:val="hybridMultilevel"/>
    <w:lvl w:ilvl="0">
      <w:lvlJc w:val="left"/>
      <w:lvlText w:val="(%1)"/>
      <w:numFmt w:val="lowerLetter"/>
      <w:start w:val="7"/>
    </w:lvl>
  </w:abstractNum>
  <w:abstractNum w:abstractNumId="162">
    <w:nsid w:val="3E6400E6"/>
    <w:multiLevelType w:val="hybridMultilevel"/>
    <w:lvl w:ilvl="0">
      <w:lvlJc w:val="left"/>
      <w:lvlText w:val="(%1)"/>
      <w:numFmt w:val="lowerRoman"/>
      <w:start w:val="10"/>
    </w:lvl>
  </w:abstractNum>
  <w:abstractNum w:abstractNumId="163">
    <w:nsid w:val="14217E23"/>
    <w:multiLevelType w:val="hybridMultilevel"/>
    <w:lvl w:ilvl="0">
      <w:lvlJc w:val="left"/>
      <w:lvlText w:val="(%1)"/>
      <w:numFmt w:val="lowerLetter"/>
      <w:start w:val="1"/>
    </w:lvl>
  </w:abstractNum>
  <w:abstractNum w:abstractNumId="164">
    <w:nsid w:val="710757D0"/>
    <w:multiLevelType w:val="hybridMultilevel"/>
    <w:lvl w:ilvl="0">
      <w:lvlJc w:val="left"/>
      <w:lvlText w:val="(%1)"/>
      <w:numFmt w:val="lowerLetter"/>
      <w:start w:val="1"/>
    </w:lvl>
  </w:abstractNum>
  <w:abstractNum w:abstractNumId="165">
    <w:nsid w:val="5015CD1A"/>
    <w:multiLevelType w:val="hybridMultilevel"/>
    <w:lvl w:ilvl="0">
      <w:lvlJc w:val="left"/>
      <w:lvlText w:val="(%1)"/>
      <w:numFmt w:val="lowerLetter"/>
      <w:start w:val="3"/>
    </w:lvl>
  </w:abstractNum>
  <w:abstractNum w:abstractNumId="166">
    <w:nsid w:val="424479DA"/>
    <w:multiLevelType w:val="hybridMultilevel"/>
    <w:lvl w:ilvl="0">
      <w:lvlJc w:val="left"/>
      <w:lvlText w:val="(%1)"/>
      <w:numFmt w:val="upperLetter"/>
      <w:start w:val="2"/>
    </w:lvl>
  </w:abstractNum>
  <w:abstractNum w:abstractNumId="167">
    <w:nsid w:val="1A9A9E69"/>
    <w:multiLevelType w:val="hybridMultilevel"/>
    <w:lvl w:ilvl="0">
      <w:lvlJc w:val="left"/>
      <w:lvlText w:val="(%1)"/>
      <w:numFmt w:val="lowerRoman"/>
      <w:start w:val="1"/>
    </w:lvl>
  </w:abstractNum>
  <w:abstractNum w:abstractNumId="168">
    <w:nsid w:val="475E256A"/>
    <w:multiLevelType w:val="hybridMultilevel"/>
    <w:lvl w:ilvl="0">
      <w:lvlJc w:val="left"/>
      <w:lvlText w:val="%1."/>
      <w:numFmt w:val="decimal"/>
      <w:start w:val="1"/>
    </w:lvl>
    <w:lvl w:ilvl="1">
      <w:lvlJc w:val="left"/>
      <w:lvlText w:val="(%2)"/>
      <w:numFmt w:val="lowerLetter"/>
      <w:start w:val="1"/>
    </w:lvl>
  </w:abstractNum>
  <w:abstractNum w:abstractNumId="169">
    <w:nsid w:val="368DB37E"/>
    <w:multiLevelType w:val="hybridMultilevel"/>
    <w:lvl w:ilvl="0">
      <w:lvlJc w:val="left"/>
      <w:lvlText w:val="(%1)"/>
      <w:numFmt w:val="lowerLetter"/>
      <w:start w:val="2"/>
    </w:lvl>
  </w:abstractNum>
  <w:abstractNum w:abstractNumId="170">
    <w:nsid w:val="6A3B714C"/>
    <w:multiLevelType w:val="hybridMultilevel"/>
    <w:lvl w:ilvl="0">
      <w:lvlJc w:val="left"/>
      <w:lvlText w:val="%1."/>
      <w:numFmt w:val="decimal"/>
      <w:start w:val="5"/>
    </w:lvl>
    <w:lvl w:ilvl="1">
      <w:lvlJc w:val="left"/>
      <w:lvlText w:val="(%2)"/>
      <w:numFmt w:val="lowerLetter"/>
      <w:start w:val="1"/>
    </w:lvl>
  </w:abstractNum>
  <w:abstractNum w:abstractNumId="171">
    <w:nsid w:val="327B517E"/>
    <w:multiLevelType w:val="hybridMultilevel"/>
    <w:lvl w:ilvl="0">
      <w:lvlJc w:val="left"/>
      <w:lvlText w:val="%1."/>
      <w:numFmt w:val="decimal"/>
      <w:start w:val="9"/>
    </w:lvl>
  </w:abstractNum>
  <w:abstractNum w:abstractNumId="172">
    <w:nsid w:val="1F461B51"/>
    <w:multiLevelType w:val="hybridMultilevel"/>
    <w:lvl w:ilvl="0">
      <w:lvlJc w:val="left"/>
      <w:lvlText w:val="%1."/>
      <w:numFmt w:val="decimal"/>
      <w:start w:val="1"/>
    </w:lvl>
  </w:abstractNum>
  <w:abstractNum w:abstractNumId="173">
    <w:nsid w:val="29BACF25"/>
    <w:multiLevelType w:val="hybridMultilevel"/>
    <w:lvl w:ilvl="0">
      <w:lvlJc w:val="left"/>
      <w:lvlText w:val="%1."/>
      <w:numFmt w:val="decimal"/>
      <w:start w:val="2"/>
    </w:lvl>
  </w:abstractNum>
  <w:abstractNum w:abstractNumId="174">
    <w:nsid w:val="5D5BABB3"/>
    <w:multiLevelType w:val="hybridMultilevel"/>
    <w:lvl w:ilvl="0">
      <w:lvlJc w:val="left"/>
      <w:lvlText w:val="%1."/>
      <w:numFmt w:val="decimal"/>
      <w:start w:val="4"/>
    </w:lvl>
  </w:abstractNum>
  <w:abstractNum w:abstractNumId="175">
    <w:nsid w:val="51BF6B48"/>
    <w:multiLevelType w:val="hybridMultilevel"/>
    <w:lvl w:ilvl="0">
      <w:lvlJc w:val="left"/>
      <w:lvlText w:val="%1."/>
      <w:numFmt w:val="decimal"/>
      <w:start w:val="1"/>
    </w:lvl>
  </w:abstractNum>
  <w:abstractNum w:abstractNumId="176">
    <w:nsid w:val="7E0F6384"/>
    <w:multiLevelType w:val="hybridMultilevel"/>
    <w:lvl w:ilvl="0">
      <w:lvlJc w:val="left"/>
      <w:lvlText w:val="%1."/>
      <w:numFmt w:val="decimal"/>
      <w:start w:val="1"/>
    </w:lvl>
  </w:abstractNum>
  <w:abstractNum w:abstractNumId="177">
    <w:nsid w:val="2B4B8B53"/>
    <w:multiLevelType w:val="hybridMultilevel"/>
    <w:lvl w:ilvl="0">
      <w:lvlJc w:val="left"/>
      <w:lvlText w:val="%1."/>
      <w:numFmt w:val="decimal"/>
      <w:start w:val="5"/>
    </w:lvl>
  </w:abstractNum>
  <w:abstractNum w:abstractNumId="178">
    <w:nsid w:val="72E3413A"/>
    <w:multiLevelType w:val="hybridMultilevel"/>
    <w:lvl w:ilvl="0">
      <w:lvlJc w:val="left"/>
      <w:lvlText w:val="%1."/>
      <w:numFmt w:val="upperLetter"/>
      <w:start w:val="9"/>
    </w:lvl>
  </w:abstractNum>
  <w:abstractNum w:abstractNumId="179">
    <w:nsid w:val="116AE494"/>
    <w:multiLevelType w:val="hybridMultilevel"/>
    <w:lvl w:ilvl="0">
      <w:lvlJc w:val="left"/>
      <w:lvlText w:val="%1."/>
      <w:numFmt w:val="decimal"/>
      <w:start w:val="9"/>
    </w:lvl>
  </w:abstractNum>
  <w:abstractNum w:abstractNumId="180">
    <w:nsid w:val="3494B2FB"/>
    <w:multiLevelType w:val="hybridMultilevel"/>
    <w:lvl w:ilvl="0">
      <w:lvlJc w:val="left"/>
      <w:lvlText w:val="%1."/>
      <w:numFmt w:val="decimal"/>
      <w:start w:val="11"/>
    </w:lvl>
  </w:abstractNum>
  <w:abstractNum w:abstractNumId="181">
    <w:nsid w:val="B13A31"/>
    <w:multiLevelType w:val="hybridMultilevel"/>
    <w:lvl w:ilvl="0">
      <w:lvlJc w:val="left"/>
      <w:lvlText w:val="%1."/>
      <w:numFmt w:val="upperLetter"/>
      <w:start w:val="35"/>
    </w:lvl>
  </w:abstractNum>
  <w:abstractNum w:abstractNumId="182">
    <w:nsid w:val="64429599"/>
    <w:multiLevelType w:val="hybridMultilevel"/>
    <w:lvl w:ilvl="0">
      <w:lvlJc w:val="left"/>
      <w:lvlText w:val="%1."/>
      <w:numFmt w:val="upperLetter"/>
      <w:start w:val="3"/>
    </w:lvl>
  </w:abstractNum>
  <w:abstractNum w:abstractNumId="183">
    <w:nsid w:val="631F1690"/>
    <w:multiLevelType w:val="hybridMultilevel"/>
    <w:lvl w:ilvl="0">
      <w:lvlJc w:val="left"/>
      <w:lvlText w:val="%1."/>
      <w:numFmt w:val="upperLetter"/>
      <w:start w:val="61"/>
    </w:lvl>
  </w:abstractNum>
  <w:abstractNum w:abstractNumId="184">
    <w:nsid w:val="25973E32"/>
    <w:multiLevelType w:val="hybridMultilevel"/>
    <w:lvl w:ilvl="0">
      <w:lvlJc w:val="left"/>
      <w:lvlText w:val="%1."/>
      <w:numFmt w:val="upperLetter"/>
      <w:start w:val="1"/>
    </w:lvl>
  </w:abstractNum>
  <w:abstractNum w:abstractNumId="185">
    <w:nsid w:val="EAD6F57"/>
    <w:multiLevelType w:val="hybridMultilevel"/>
    <w:lvl w:ilvl="0">
      <w:lvlJc w:val="left"/>
      <w:lvlText w:val="%1."/>
      <w:numFmt w:val="decimal"/>
      <w:start w:val="1"/>
    </w:lvl>
  </w:abstractNum>
  <w:abstractNum w:abstractNumId="186">
    <w:nsid w:val="6EC9D844"/>
    <w:multiLevelType w:val="hybridMultilevel"/>
    <w:lvl w:ilvl="0">
      <w:lvlJc w:val="left"/>
      <w:lvlText w:val="%1."/>
      <w:numFmt w:val="decimal"/>
      <w:start w:val="3"/>
    </w:lvl>
  </w:abstractNum>
  <w:abstractNum w:abstractNumId="187">
    <w:nsid w:val="5C49EAEE"/>
    <w:multiLevelType w:val="hybridMultilevel"/>
    <w:lvl w:ilvl="0">
      <w:lvlJc w:val="left"/>
      <w:lvlText w:val="%1."/>
      <w:numFmt w:val="decimal"/>
      <w:start w:val="1"/>
    </w:lvl>
  </w:abstractNum>
  <w:abstractNum w:abstractNumId="188">
    <w:nsid w:val="64AF49B"/>
    <w:multiLevelType w:val="hybridMultilevel"/>
    <w:lvl w:ilvl="0">
      <w:lvlJc w:val="left"/>
      <w:lvlText w:val="%1."/>
      <w:numFmt w:val="decimal"/>
      <w:start w:val="2"/>
    </w:lvl>
  </w:abstractNum>
  <w:abstractNum w:abstractNumId="189">
    <w:nsid w:val="397C46BC"/>
    <w:multiLevelType w:val="hybridMultilevel"/>
    <w:lvl w:ilvl="0">
      <w:lvlJc w:val="left"/>
      <w:lvlText w:val="%1."/>
      <w:numFmt w:val="decimal"/>
      <w:start w:val="3"/>
    </w:lvl>
  </w:abstractNum>
  <w:abstractNum w:abstractNumId="190">
    <w:nsid w:val="7E448DE9"/>
    <w:multiLevelType w:val="hybridMultilevel"/>
    <w:lvl w:ilvl="0">
      <w:lvlJc w:val="left"/>
      <w:lvlText w:val="%1."/>
      <w:numFmt w:val="decimal"/>
      <w:start w:val="1"/>
    </w:lvl>
    <w:lvl w:ilvl="1">
      <w:lvlJc w:val="left"/>
      <w:lvlText w:val="%2."/>
      <w:numFmt w:val="lowerLetter"/>
      <w:start w:val="1"/>
    </w:lvl>
  </w:abstractNum>
  <w:abstractNum w:abstractNumId="191">
    <w:nsid w:val="5A9CC3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2019-12-09T19:20:33Z</dcterms:created>
  <dcterms:modified xsi:type="dcterms:W3CDTF">2019-12-09T19:20:33Z</dcterms:modified>
</cp:coreProperties>
</file>