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817880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133350</wp:posOffset>
            </wp:positionV>
            <wp:extent cx="257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21"/>
          <w:szCs w:val="21"/>
          <w:b w:val="1"/>
          <w:bCs w:val="1"/>
          <w:color w:val="auto"/>
        </w:rPr>
        <w:t>TRANSITION REPORT PURSUANT TO SECTION 13 OR 15(d) 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137160</wp:posOffset>
            </wp:positionV>
            <wp:extent cx="2571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Exact name of registrant as specified in its charter</w:t>
      </w:r>
      <w:r>
        <w:rPr>
          <w:rFonts w:ascii="Arial" w:cs="Arial" w:eastAsia="Arial" w:hAnsi="Arial"/>
          <w:sz w:val="18"/>
          <w:szCs w:val="18"/>
          <w:color w:val="auto"/>
        </w:rPr>
        <w:t>)</w:t>
      </w:r>
    </w:p>
    <w:p>
      <w:pPr>
        <w:sectPr>
          <w:pgSz w:w="11900" w:h="16850" w:orient="portrait"/>
          <w:cols w:equalWidth="0" w:num="1">
            <w:col w:w="11240"/>
          </w:cols>
          <w:pgMar w:left="320" w:top="1440" w:right="339" w:bottom="0" w:gutter="0" w:footer="0" w:header="0"/>
        </w:sectPr>
      </w:pPr>
    </w:p>
    <w:p>
      <w:pPr>
        <w:spacing w:after="0" w:line="165"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22-3341267</w:t>
      </w:r>
    </w:p>
    <w:p>
      <w:pPr>
        <w:spacing w:after="0" w:line="61" w:lineRule="exact"/>
        <w:rPr>
          <w:sz w:val="24"/>
          <w:szCs w:val="24"/>
          <w:color w:val="auto"/>
        </w:rPr>
      </w:pPr>
    </w:p>
    <w:p>
      <w:pPr>
        <w:sectPr>
          <w:pgSz w:w="11900" w:h="16850" w:orient="portrait"/>
          <w:cols w:equalWidth="0" w:num="2">
            <w:col w:w="7280" w:space="720"/>
            <w:col w:w="3240"/>
          </w:cols>
          <w:pgMar w:left="320" w:top="1440" w:right="339" w:bottom="0" w:gutter="0" w:footer="0" w:header="0"/>
          <w:type w:val="continuous"/>
        </w:sectPr>
      </w:pPr>
    </w:p>
    <w:p>
      <w:pPr>
        <w:spacing w:after="0" w:line="12" w:lineRule="exact"/>
        <w:rPr>
          <w:sz w:val="24"/>
          <w:szCs w:val="24"/>
          <w:color w:val="auto"/>
        </w:rPr>
      </w:pPr>
    </w:p>
    <w:p>
      <w:pPr>
        <w:ind w:left="1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 or other jurisdiction of</w:t>
      </w:r>
    </w:p>
    <w:p>
      <w:pPr>
        <w:ind w:left="1680"/>
        <w:spacing w:after="0"/>
        <w:rPr>
          <w:sz w:val="20"/>
          <w:szCs w:val="20"/>
          <w:color w:val="auto"/>
        </w:rPr>
      </w:pPr>
      <w:r>
        <w:rPr>
          <w:rFonts w:ascii="Arial" w:cs="Arial" w:eastAsia="Arial" w:hAnsi="Arial"/>
          <w:sz w:val="17"/>
          <w:szCs w:val="17"/>
          <w:i w:val="1"/>
          <w:iCs w:val="1"/>
          <w:color w:val="auto"/>
        </w:rPr>
        <w:t>incorporation or organization</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 Employer</w:t>
      </w:r>
    </w:p>
    <w:p>
      <w:pPr>
        <w:jc w:val="center"/>
        <w:ind w:right="1980"/>
        <w:spacing w:after="0"/>
        <w:rPr>
          <w:sz w:val="20"/>
          <w:szCs w:val="20"/>
          <w:color w:val="auto"/>
        </w:rPr>
      </w:pPr>
      <w:r>
        <w:rPr>
          <w:rFonts w:ascii="Arial" w:cs="Arial" w:eastAsia="Arial" w:hAnsi="Arial"/>
          <w:sz w:val="16"/>
          <w:szCs w:val="16"/>
          <w:i w:val="1"/>
          <w:iCs w:val="1"/>
          <w:color w:val="auto"/>
        </w:rPr>
        <w:t>Identification Number</w:t>
      </w:r>
      <w:r>
        <w:rPr>
          <w:rFonts w:ascii="Arial" w:cs="Arial" w:eastAsia="Arial" w:hAnsi="Arial"/>
          <w:sz w:val="16"/>
          <w:szCs w:val="16"/>
          <w:color w:val="auto"/>
        </w:rPr>
        <w:t>)</w:t>
      </w:r>
    </w:p>
    <w:p>
      <w:pPr>
        <w:spacing w:after="0" w:line="211" w:lineRule="exact"/>
        <w:rPr>
          <w:sz w:val="24"/>
          <w:szCs w:val="24"/>
          <w:color w:val="auto"/>
        </w:rPr>
      </w:pPr>
    </w:p>
    <w:p>
      <w:pPr>
        <w:sectPr>
          <w:pgSz w:w="11900" w:h="16850" w:orient="portrait"/>
          <w:cols w:equalWidth="0" w:num="2">
            <w:col w:w="6900" w:space="720"/>
            <w:col w:w="3620"/>
          </w:cols>
          <w:pgMar w:left="320" w:top="1440" w:right="3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195 Clarksville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Junction, New Jersey 08550</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Address of principal executive offices</w:t>
      </w:r>
      <w:r>
        <w:rPr>
          <w:rFonts w:ascii="Arial" w:cs="Arial" w:eastAsia="Arial" w:hAnsi="Arial"/>
          <w:sz w:val="16"/>
          <w:szCs w:val="16"/>
          <w:color w:val="auto"/>
        </w:rPr>
        <w:t>) (</w:t>
      </w:r>
      <w:r>
        <w:rPr>
          <w:rFonts w:ascii="Arial" w:cs="Arial" w:eastAsia="Arial" w:hAnsi="Arial"/>
          <w:sz w:val="16"/>
          <w:szCs w:val="16"/>
          <w:i w:val="1"/>
          <w:iCs w:val="1"/>
          <w:color w:val="auto"/>
        </w:rPr>
        <w:t>Zip Code</w:t>
      </w:r>
      <w:r>
        <w:rPr>
          <w:rFonts w:ascii="Arial" w:cs="Arial" w:eastAsia="Arial" w:hAnsi="Arial"/>
          <w:sz w:val="16"/>
          <w:szCs w:val="16"/>
          <w:color w:val="auto"/>
        </w:rPr>
        <w:t>)</w:t>
      </w:r>
    </w:p>
    <w:p>
      <w:pPr>
        <w:sectPr>
          <w:pgSz w:w="11900" w:h="16850" w:orient="portrait"/>
          <w:cols w:equalWidth="0" w:num="1">
            <w:col w:w="11240"/>
          </w:cols>
          <w:pgMar w:left="320" w:top="1440" w:right="339" w:bottom="0" w:gutter="0" w:footer="0" w:header="0"/>
          <w:type w:val="continuous"/>
        </w:sectPr>
      </w:pP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716-4000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telephone number, including area code</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57150</wp:posOffset>
            </wp:positionV>
            <wp:extent cx="2571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9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4"/>
          </w:tcPr>
          <w:p>
            <w:pPr>
              <w:jc w:val="center"/>
              <w:ind w:right="6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70"/>
        </w:trPr>
        <w:tc>
          <w:tcPr>
            <w:tcW w:w="4820" w:type="dxa"/>
            <w:vAlign w:val="bottom"/>
            <w:gridSpan w:val="4"/>
          </w:tcPr>
          <w:p>
            <w:pPr>
              <w:jc w:val="center"/>
              <w:ind w:right="680"/>
              <w:spacing w:after="0"/>
              <w:rPr>
                <w:sz w:val="20"/>
                <w:szCs w:val="20"/>
                <w:color w:val="auto"/>
              </w:rPr>
            </w:pPr>
            <w:r>
              <w:rPr>
                <w:rFonts w:ascii="Arial" w:cs="Arial" w:eastAsia="Arial" w:hAnsi="Arial"/>
                <w:sz w:val="18"/>
                <w:szCs w:val="18"/>
                <w:i w:val="1"/>
                <w:iCs w:val="1"/>
                <w:color w:val="auto"/>
                <w:w w:val="90"/>
              </w:rPr>
              <w:t>Title of each class</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i w:val="1"/>
                <w:iCs w:val="1"/>
                <w:color w:val="auto"/>
                <w:w w:val="90"/>
              </w:rPr>
              <w:t>Trading Symbol</w:t>
            </w:r>
          </w:p>
        </w:tc>
        <w:tc>
          <w:tcPr>
            <w:tcW w:w="414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7"/>
        </w:trPr>
        <w:tc>
          <w:tcPr>
            <w:tcW w:w="3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82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90"/>
              </w:rPr>
              <w:t>Common Stock, par value $.01 par value</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rPr>
              <w:t>MG</w:t>
            </w:r>
          </w:p>
        </w:tc>
        <w:tc>
          <w:tcPr>
            <w:tcW w:w="540" w:type="dxa"/>
            <w:vAlign w:val="bottom"/>
          </w:tcPr>
          <w:p>
            <w:pPr>
              <w:spacing w:after="0"/>
              <w:rPr>
                <w:sz w:val="20"/>
                <w:szCs w:val="20"/>
                <w:color w:val="auto"/>
              </w:rPr>
            </w:pPr>
          </w:p>
        </w:tc>
        <w:tc>
          <w:tcPr>
            <w:tcW w:w="360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New York Stock Exchange</w:t>
            </w:r>
          </w:p>
        </w:tc>
      </w:tr>
      <w:tr>
        <w:trPr>
          <w:trHeight w:val="473"/>
        </w:trPr>
        <w:tc>
          <w:tcPr>
            <w:tcW w:w="4820" w:type="dxa"/>
            <w:vAlign w:val="bottom"/>
            <w:gridSpan w:val="4"/>
          </w:tcPr>
          <w:p>
            <w:pPr>
              <w:spacing w:after="0"/>
              <w:rPr>
                <w:sz w:val="20"/>
                <w:szCs w:val="20"/>
                <w:color w:val="auto"/>
              </w:rPr>
            </w:pPr>
            <w:r>
              <w:rPr>
                <w:rFonts w:ascii="Arial" w:cs="Arial" w:eastAsia="Arial" w:hAnsi="Arial"/>
                <w:sz w:val="18"/>
                <w:szCs w:val="18"/>
                <w:color w:val="auto"/>
                <w:w w:val="94"/>
              </w:rPr>
              <w:t xml:space="preserve">Securities registered pursuant to Section 12(g) of the Act: </w:t>
            </w:r>
            <w:r>
              <w:rPr>
                <w:rFonts w:ascii="Arial" w:cs="Arial" w:eastAsia="Arial" w:hAnsi="Arial"/>
                <w:sz w:val="18"/>
                <w:szCs w:val="18"/>
                <w:b w:val="1"/>
                <w:bCs w:val="1"/>
                <w:color w:val="auto"/>
                <w:w w:val="94"/>
              </w:rPr>
              <w:t>None</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1"/>
        </w:trPr>
        <w:tc>
          <w:tcPr>
            <w:tcW w:w="35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r>
    </w:tbl>
    <w:p>
      <w:pPr>
        <w:spacing w:after="0" w:line="183"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3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9"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ectPr>
          <w:pgSz w:w="11900" w:h="16850" w:orient="portrait"/>
          <w:cols w:equalWidth="0" w:num="1">
            <w:col w:w="11240"/>
          </w:cols>
          <w:pgMar w:left="320" w:top="1440" w:right="339" w:bottom="0" w:gutter="0" w:footer="0" w:header="0"/>
          <w:type w:val="continuous"/>
        </w:sectPr>
      </w:pPr>
    </w:p>
    <w:p>
      <w:pPr>
        <w:spacing w:after="0" w:line="130" w:lineRule="exact"/>
        <w:rPr>
          <w:sz w:val="24"/>
          <w:szCs w:val="24"/>
          <w:color w:val="auto"/>
        </w:rPr>
      </w:pPr>
    </w:p>
    <w:p>
      <w:pPr>
        <w:ind w:left="9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46" w:lineRule="exact"/>
        <w:rPr>
          <w:sz w:val="24"/>
          <w:szCs w:val="24"/>
          <w:color w:val="auto"/>
        </w:rPr>
      </w:pPr>
    </w:p>
    <w:p>
      <w:pPr>
        <w:sectPr>
          <w:pgSz w:w="11900" w:h="16850" w:orient="portrait"/>
          <w:cols w:equalWidth="0" w:num="2">
            <w:col w:w="6160" w:space="720"/>
            <w:col w:w="4360"/>
          </w:cols>
          <w:pgMar w:left="320" w:top="1440" w:right="339" w:bottom="0" w:gutter="0" w:footer="0" w:header="0"/>
          <w:type w:val="continuous"/>
        </w:sectPr>
      </w:pPr>
    </w:p>
    <w:p>
      <w:pPr>
        <w:ind w:left="90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50" w:orient="portrait"/>
          <w:cols w:equalWidth="0" w:num="2">
            <w:col w:w="6160" w:space="720"/>
            <w:col w:w="4360"/>
          </w:cols>
          <w:pgMar w:left="320" w:top="1440" w:right="339" w:bottom="0" w:gutter="0" w:footer="0" w:header="0"/>
          <w:type w:val="continuous"/>
        </w:sectPr>
      </w:pPr>
    </w:p>
    <w:p>
      <w:pPr>
        <w:spacing w:after="0" w:line="182"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63"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based on the closing price of $14.37 on June 28, 2019, the last business day of the registrant's most recently completed second fiscal quarter, as reported on the New York Stock Exchange, was approximately $255.7 million.</w:t>
      </w:r>
    </w:p>
    <w:p>
      <w:pPr>
        <w:spacing w:after="0" w:line="8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23, 2020, the Registrant had 29,035,000 shares of common stock outstanding.</w:t>
      </w:r>
    </w:p>
    <w:p>
      <w:pPr>
        <w:spacing w:after="0" w:line="127"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50" w:orient="portrait"/>
          <w:cols w:equalWidth="0" w:num="1">
            <w:col w:w="11240"/>
          </w:cols>
          <w:pgMar w:left="320" w:top="1440" w:right="339" w:bottom="0" w:gutter="0" w:footer="0" w:header="0"/>
          <w:type w:val="continuous"/>
        </w:sectPr>
      </w:pPr>
    </w:p>
    <w:bookmarkStart w:id="1" w:name="page2"/>
    <w:bookmarkEnd w:id="1"/>
    <w:p>
      <w:pPr>
        <w:jc w:val="both"/>
        <w:spacing w:after="0" w:line="311"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2020 annual meeting of shareholders (the “Proxy Statement”), which is expected to be filed not later than 120 days after the registrant’s fiscal year ended December 31, 2019. Except as expressly incorporated by reference, the Proxy Statement shall not be deemed to be a part of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69265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040"/>
          </w:cols>
          <w:pgMar w:left="320" w:top="24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980" w:type="dxa"/>
            <w:vAlign w:val="bottom"/>
            <w:gridSpan w:val="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3"/>
          </w:tcPr>
          <w:p>
            <w:pPr>
              <w:jc w:val="center"/>
              <w:ind w:right="4360"/>
              <w:spacing w:after="0"/>
              <w:rPr>
                <w:sz w:val="20"/>
                <w:szCs w:val="20"/>
                <w:color w:val="auto"/>
              </w:rPr>
            </w:pPr>
            <w:r>
              <w:rPr>
                <w:rFonts w:ascii="Arial" w:cs="Arial" w:eastAsia="Arial" w:hAnsi="Arial"/>
                <w:sz w:val="18"/>
                <w:szCs w:val="18"/>
                <w:b w:val="1"/>
                <w:bCs w:val="1"/>
                <w:color w:val="auto"/>
                <w:w w:val="98"/>
              </w:rPr>
              <w:t>MISTRAS GROUP,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60" w:type="dxa"/>
            <w:vAlign w:val="bottom"/>
            <w:gridSpan w:val="16"/>
          </w:tcPr>
          <w:p>
            <w:pPr>
              <w:jc w:val="center"/>
              <w:ind w:right="392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40" w:type="dxa"/>
            <w:vAlign w:val="bottom"/>
            <w:gridSpan w:val="13"/>
          </w:tcPr>
          <w:p>
            <w:pPr>
              <w:jc w:val="center"/>
              <w:ind w:right="436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6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ITEM 1.</w:t>
              </w:r>
            </w:hyperlink>
          </w:p>
        </w:tc>
        <w:tc>
          <w:tcPr>
            <w:tcW w:w="660" w:type="dxa"/>
            <w:vAlign w:val="bottom"/>
            <w:gridSpan w:val="2"/>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5"/>
              </w:rPr>
            </w:pPr>
            <w:hyperlink w:anchor="page18">
              <w:r>
                <w:rPr>
                  <w:rFonts w:ascii="Arial" w:cs="Arial" w:eastAsia="Arial" w:hAnsi="Arial"/>
                  <w:sz w:val="18"/>
                  <w:szCs w:val="18"/>
                  <w:color w:val="0000FF"/>
                  <w:w w:val="85"/>
                </w:rPr>
                <w:t>ITEM 1A.</w:t>
              </w:r>
            </w:hyperlink>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ITEM 1B.</w:t>
              </w:r>
            </w:hyperlink>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UNRESOLVED STAFF COMMENTS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ITEM 2.</w:t>
              </w:r>
            </w:hyperlink>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PROPERTIES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ITEM 3.</w:t>
              </w:r>
            </w:hyperlink>
          </w:p>
        </w:tc>
        <w:tc>
          <w:tcPr>
            <w:tcW w:w="660" w:type="dxa"/>
            <w:vAlign w:val="bottom"/>
            <w:gridSpan w:val="2"/>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ITEM 4.</w:t>
              </w:r>
            </w:hyperlink>
          </w:p>
        </w:tc>
        <w:tc>
          <w:tcPr>
            <w:tcW w:w="660" w:type="dxa"/>
            <w:vAlign w:val="bottom"/>
            <w:gridSpan w:val="2"/>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PART II</w:t>
              </w:r>
            </w:hyperlink>
          </w:p>
        </w:tc>
        <w:tc>
          <w:tcPr>
            <w:tcW w:w="620" w:type="dxa"/>
            <w:vAlign w:val="bottom"/>
            <w:tcBorders>
              <w:top w:val="single" w:sz="8" w:color="0000FF"/>
            </w:tcBorders>
            <w:gridSpan w:val="2"/>
          </w:tcPr>
          <w:p>
            <w:pPr>
              <w:spacing w:after="0"/>
              <w:rPr>
                <w:sz w:val="24"/>
                <w:szCs w:val="24"/>
                <w:color w:val="auto"/>
              </w:rPr>
            </w:pP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5.</w:t>
              </w:r>
            </w:hyperlink>
          </w:p>
        </w:tc>
        <w:tc>
          <w:tcPr>
            <w:tcW w:w="9040" w:type="dxa"/>
            <w:vAlign w:val="bottom"/>
            <w:gridSpan w:val="2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MARKET FOR REGISTRANT’S COMMON EQUITY, RELATED STOCKHOLDER MATTERS AND ISSUER</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0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w:anchor="page28">
              <w:r>
                <w:rPr>
                  <w:rFonts w:ascii="Arial" w:cs="Arial" w:eastAsia="Arial" w:hAnsi="Arial"/>
                  <w:sz w:val="18"/>
                  <w:szCs w:val="18"/>
                  <w:color w:val="0000FF"/>
                  <w:w w:val="93"/>
                </w:rPr>
                <w:t>PURCHASES OF EQUITY SECURITIES</w:t>
              </w:r>
            </w:hyperlink>
          </w:p>
        </w:tc>
        <w:tc>
          <w:tcPr>
            <w:tcW w:w="5160" w:type="dxa"/>
            <w:vAlign w:val="bottom"/>
            <w:tcBorders>
              <w:top w:val="single" w:sz="8" w:color="0000FF"/>
            </w:tcBorders>
            <w:gridSpan w:val="10"/>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ITEM 6.</w:t>
              </w:r>
            </w:hyperlink>
          </w:p>
        </w:tc>
        <w:tc>
          <w:tcPr>
            <w:tcW w:w="660" w:type="dxa"/>
            <w:vAlign w:val="bottom"/>
            <w:gridSpan w:val="2"/>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SELECTED FINANCIAL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ITEM 7.</w:t>
              </w:r>
            </w:hyperlink>
          </w:p>
        </w:tc>
        <w:tc>
          <w:tcPr>
            <w:tcW w:w="660" w:type="dxa"/>
            <w:vAlign w:val="bottom"/>
            <w:gridSpan w:val="2"/>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30">
              <w:r>
                <w:rPr>
                  <w:rFonts w:ascii="Arial" w:cs="Arial" w:eastAsia="Arial" w:hAnsi="Arial"/>
                  <w:sz w:val="18"/>
                  <w:szCs w:val="18"/>
                  <w:color w:val="0000FF"/>
                </w:rPr>
                <w:t>OPERATIONS</w:t>
              </w:r>
            </w:hyperlink>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7A.</w:t>
              </w:r>
            </w:hyperlink>
          </w:p>
        </w:tc>
        <w:tc>
          <w:tcPr>
            <w:tcW w:w="9040" w:type="dxa"/>
            <w:vAlign w:val="bottom"/>
            <w:gridSpan w:val="2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ITEM 8.</w:t>
              </w:r>
            </w:hyperlink>
          </w:p>
        </w:tc>
        <w:tc>
          <w:tcPr>
            <w:tcW w:w="660" w:type="dxa"/>
            <w:vAlign w:val="bottom"/>
            <w:gridSpan w:val="2"/>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ITEM 9.</w:t>
              </w:r>
            </w:hyperlink>
          </w:p>
        </w:tc>
        <w:tc>
          <w:tcPr>
            <w:tcW w:w="660" w:type="dxa"/>
            <w:vAlign w:val="bottom"/>
            <w:gridSpan w:val="2"/>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CHANGES IN AND DISAGREEMENTS WITH ACCOUNTANTS ON ACCOUNTING AND FINANCIAL</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79</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1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w:anchor="page80">
              <w:r>
                <w:rPr>
                  <w:rFonts w:ascii="Arial" w:cs="Arial" w:eastAsia="Arial" w:hAnsi="Arial"/>
                  <w:sz w:val="18"/>
                  <w:szCs w:val="18"/>
                  <w:color w:val="0000FF"/>
                  <w:w w:val="92"/>
                </w:rPr>
                <w:t>DISCLOSURE</w:t>
              </w:r>
            </w:hyperlink>
          </w:p>
        </w:tc>
        <w:tc>
          <w:tcPr>
            <w:tcW w:w="6820" w:type="dxa"/>
            <w:vAlign w:val="bottom"/>
            <w:tcBorders>
              <w:top w:val="single" w:sz="8" w:color="0000FF"/>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5"/>
              </w:rPr>
            </w:pPr>
            <w:hyperlink w:anchor="page80">
              <w:r>
                <w:rPr>
                  <w:rFonts w:ascii="Arial" w:cs="Arial" w:eastAsia="Arial" w:hAnsi="Arial"/>
                  <w:sz w:val="18"/>
                  <w:szCs w:val="18"/>
                  <w:color w:val="0000FF"/>
                  <w:w w:val="85"/>
                </w:rPr>
                <w:t>ITEM 9A.</w:t>
              </w:r>
            </w:hyperlink>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79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5"/>
              </w:rPr>
            </w:pPr>
            <w:hyperlink w:anchor="page82">
              <w:r>
                <w:rPr>
                  <w:rFonts w:ascii="Arial" w:cs="Arial" w:eastAsia="Arial" w:hAnsi="Arial"/>
                  <w:sz w:val="18"/>
                  <w:szCs w:val="18"/>
                  <w:color w:val="0000FF"/>
                  <w:w w:val="85"/>
                </w:rPr>
                <w:t>ITEM 9B.</w:t>
              </w:r>
            </w:hyperlink>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OTHER INFORMATION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rFonts w:ascii="Arial" w:cs="Arial" w:eastAsia="Arial" w:hAnsi="Arial"/>
                <w:sz w:val="18"/>
                <w:szCs w:val="18"/>
                <w:color w:val="0000FF"/>
                <w:w w:val="94"/>
              </w:rPr>
            </w:pPr>
            <w:hyperlink w:anchor="page82">
              <w:r>
                <w:rPr>
                  <w:rFonts w:ascii="Arial" w:cs="Arial" w:eastAsia="Arial" w:hAnsi="Arial"/>
                  <w:sz w:val="18"/>
                  <w:szCs w:val="18"/>
                  <w:color w:val="0000FF"/>
                  <w:w w:val="94"/>
                </w:rPr>
                <w:t>PART III</w:t>
              </w:r>
            </w:hyperlink>
          </w:p>
        </w:tc>
        <w:tc>
          <w:tcPr>
            <w:tcW w:w="680" w:type="dxa"/>
            <w:vAlign w:val="bottom"/>
            <w:tcBorders>
              <w:top w:val="single" w:sz="8" w:color="0000FF"/>
            </w:tcBorders>
            <w:gridSpan w:val="3"/>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ITEM 10.</w:t>
              </w:r>
            </w:hyperlink>
          </w:p>
        </w:tc>
        <w:tc>
          <w:tcPr>
            <w:tcW w:w="9040" w:type="dxa"/>
            <w:vAlign w:val="bottom"/>
            <w:gridSpan w:val="2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2">
              <w:r>
                <w:rPr>
                  <w:rFonts w:ascii="Arial" w:cs="Arial" w:eastAsia="Arial" w:hAnsi="Arial"/>
                  <w:sz w:val="18"/>
                  <w:szCs w:val="18"/>
                  <w:color w:val="0000FF"/>
                  <w:w w:val="87"/>
                </w:rPr>
                <w:t>ITEM 11.</w:t>
              </w:r>
            </w:hyperlink>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EXECUTIVE COMPENSATION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ITEM 12.</w:t>
              </w:r>
            </w:hyperlink>
          </w:p>
        </w:tc>
        <w:tc>
          <w:tcPr>
            <w:tcW w:w="9040" w:type="dxa"/>
            <w:vAlign w:val="bottom"/>
            <w:gridSpan w:val="2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SECURITY OWNERSHIP OF CERTAIN BENEFICIAL OWNERS AND MANAGEMENT AND RELATED</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82">
              <w:r>
                <w:rPr>
                  <w:rFonts w:ascii="Arial" w:cs="Arial" w:eastAsia="Arial" w:hAnsi="Arial"/>
                  <w:sz w:val="18"/>
                  <w:szCs w:val="18"/>
                  <w:color w:val="0000FF"/>
                </w:rPr>
                <w:t>STOCKHOLDER MATTERS</w:t>
              </w:r>
            </w:hyperlink>
          </w:p>
        </w:tc>
        <w:tc>
          <w:tcPr>
            <w:tcW w:w="1040" w:type="dxa"/>
            <w:vAlign w:val="bottom"/>
            <w:gridSpan w:val="2"/>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2">
              <w:r>
                <w:rPr>
                  <w:rFonts w:ascii="Arial" w:cs="Arial" w:eastAsia="Arial" w:hAnsi="Arial"/>
                  <w:sz w:val="18"/>
                  <w:szCs w:val="18"/>
                  <w:color w:val="0000FF"/>
                  <w:w w:val="87"/>
                </w:rPr>
                <w:t>ITEM 13.</w:t>
              </w:r>
            </w:hyperlink>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2060" w:type="dxa"/>
            <w:vAlign w:val="bottom"/>
            <w:tcBorders>
              <w:left w:val="single" w:sz="8" w:color="0000FF"/>
            </w:tcBorders>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2">
              <w:r>
                <w:rPr>
                  <w:rFonts w:ascii="Arial" w:cs="Arial" w:eastAsia="Arial" w:hAnsi="Arial"/>
                  <w:sz w:val="18"/>
                  <w:szCs w:val="18"/>
                  <w:color w:val="0000FF"/>
                  <w:w w:val="87"/>
                </w:rPr>
                <w:t>ITEM 14.</w:t>
              </w:r>
            </w:hyperlink>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PRINCIPAL ACCOUNTING FEES AND SERVICES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PART IV</w:t>
              </w:r>
            </w:hyperlink>
          </w:p>
        </w:tc>
        <w:tc>
          <w:tcPr>
            <w:tcW w:w="12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3">
              <w:r>
                <w:rPr>
                  <w:rFonts w:ascii="Arial" w:cs="Arial" w:eastAsia="Arial" w:hAnsi="Arial"/>
                  <w:sz w:val="18"/>
                  <w:szCs w:val="18"/>
                  <w:color w:val="0000FF"/>
                  <w:w w:val="87"/>
                </w:rPr>
                <w:t>ITEM 15.</w:t>
              </w:r>
            </w:hyperlink>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EXHIBITS AND FINANCIAL STATEMENT SCHEDULES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2560" w:type="dxa"/>
            <w:vAlign w:val="bottom"/>
            <w:tcBorders>
              <w:left w:val="single" w:sz="8" w:color="0000FF"/>
            </w:tcBorders>
            <w:gridSpan w:val="8"/>
            <w:shd w:val="clear" w:color="auto" w:fill="0000FF"/>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4">
              <w:r>
                <w:rPr>
                  <w:rFonts w:ascii="Arial" w:cs="Arial" w:eastAsia="Arial" w:hAnsi="Arial"/>
                  <w:sz w:val="18"/>
                  <w:szCs w:val="18"/>
                  <w:color w:val="0000FF"/>
                  <w:w w:val="87"/>
                </w:rPr>
                <w:t>ITEM 16.</w:t>
              </w:r>
            </w:hyperlink>
          </w:p>
        </w:tc>
        <w:tc>
          <w:tcPr>
            <w:tcW w:w="600" w:type="dxa"/>
            <w:vAlign w:val="bottom"/>
          </w:tcPr>
          <w:p>
            <w:pPr>
              <w:spacing w:after="0"/>
              <w:rPr>
                <w:sz w:val="18"/>
                <w:szCs w:val="18"/>
                <w:color w:val="auto"/>
              </w:rPr>
            </w:pPr>
          </w:p>
        </w:tc>
        <w:tc>
          <w:tcPr>
            <w:tcW w:w="9040" w:type="dxa"/>
            <w:vAlign w:val="bottom"/>
            <w:gridSpan w:val="24"/>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FORM 10-K SUMMARY</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This Annual Report on Form 10-K contains forward-looking statements regarding Mistras Group, Inc. ("Mistras," the Company," "us," "we" and similar expressions) and our business, financial condition, results of operations and prospects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some cases, you can identify forward-looking statements by terminology, such as “goals,”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Report in Part I, Item 1A. “Risk Factors,” Part 2, Item 7, “Management’s Discussion and Analysis of Financial Condition and Results of Operations” and in this Item 1, as well as those discussed in our other Securities and Exchange Commission (SEC) filings. We undertake no obligation to (and expressly disclaim any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discussions should be read in conjunction with the sections of this Report entitled “Management’s Discussion and Analysis of Financial Condition and Results of Operations” and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Protection Industry Overview</w:t>
      </w:r>
    </w:p>
    <w:p>
      <w:pPr>
        <w:spacing w:after="0" w:line="162"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We offer our customers “OneSource for Asset Protection Solutions</w:t>
      </w:r>
      <w:r>
        <w:rPr>
          <w:rFonts w:ascii="Arial" w:cs="Arial" w:eastAsia="Arial" w:hAnsi="Arial"/>
          <w:sz w:val="23"/>
          <w:szCs w:val="23"/>
          <w:color w:val="auto"/>
          <w:vertAlign w:val="superscript"/>
        </w:rPr>
        <w:t>®</w:t>
      </w:r>
      <w:r>
        <w:rPr>
          <w:rFonts w:ascii="Arial" w:cs="Arial" w:eastAsia="Arial" w:hAnsi="Arial"/>
          <w:sz w:val="18"/>
          <w:szCs w:val="18"/>
          <w:color w:val="auto"/>
        </w:rPr>
        <w:t>” and are a leading global provider of technology-enabled asset protection solutions used to evaluate the safety, structural integrity and reliability of critical energy, industrial and public infrastructure.</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asset protections are intended to help maximize safety and uptime of our customers' assets and facilities. These mission critical solutions enhance our customers’ ability to comply with governmental safety and environmental regulations, extend the useful life of their assets, increase productivity, minimize repair costs, manage risk and avoid catastrophic disasters.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deliver value through a comprehensive “OneSource” portfolio of customized solutions, utilizing a proven systematic method that creates a closed-loop lifecycle for addressing continuous asset protection and improvement.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specialized asset protection solutions include:</w:t>
      </w:r>
    </w:p>
    <w:p>
      <w:pPr>
        <w:spacing w:after="0" w:line="14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Field Inspections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Consulting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Data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Monitoring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Laboratory Quality Assurance/Control (QA/QC)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Equipment</w:t>
      </w:r>
    </w:p>
    <w:p>
      <w:pPr>
        <w:spacing w:after="0" w:line="23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OneSource model emphasizes the integration of these solutions and corresponding data to service our customers throughout their assets’ lifetimes. Under this business model, many customers outsource their inspection, integrity data management and other asset protection needs to us on a “run-and-maintain” basis to ensure the continued safety and structural and operational integrity of their assets.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established long-term relationships as a critical solutions provider to many of the leading companies with asset-intensive infrastructure in our target markets. These markets include:</w:t>
      </w:r>
    </w:p>
    <w:p>
      <w:pPr>
        <w:spacing w:after="0" w:line="10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&amp; Gas (Downstream, Midstream, Upstream and Petrochemical)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Aerospace &amp; Defense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Generation and Transmission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Infrastructure, Research and Engineering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Process Industries</w:t>
      </w:r>
    </w:p>
    <w:p>
      <w:pPr>
        <w:spacing w:after="0" w:line="238"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A majority of our revenues are generated by deploying technicians at our customers' locations. Most of our revenues from aerospace and certain manufacturing customers are generated by performing inspections and testing at our various in-house laboratories.</w:t>
      </w:r>
    </w:p>
    <w:p>
      <w:pPr>
        <w:spacing w:after="0" w:line="65"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generated revenues of $748.6 million, $742.4 million and $701.0 million for the years ended December 31, 2019, 2018 and 2017, respectively, net income of $6.1 million and $6.8 million for the years ended December 31, 2019 and 2018, respectively, and net loss of $2.2 million for the year ended December 31, 2017. For the years ended December 31, 2019, 2018 and 2017, we generated approximately 80%, 77% and 78%, respectively, of our revenues from our Services segment. Our revenues are diversified, with our top ten customers accounting for approximately 34%, 34% and 38% of our revenues during the years ended December 31, 2019, 2018 and 2017,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SPECIALIZED SOLUTIONS</w:t>
      </w:r>
    </w:p>
    <w:p>
      <w:pPr>
        <w:spacing w:after="0" w:line="152"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As a OneSource provider of asset protection solutions, MISTRAS combines our industry-leading services, products, data management solutions and technologies to provide a unique, custom-tailored solution for each customer’s individual asset protection needs, ranging from routine inspections to complex, plant-wide asset integrity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Field Inspections</w:t>
      </w:r>
    </w:p>
    <w:p>
      <w:pPr>
        <w:spacing w:after="0" w:line="14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field inspections portfolio includes traditional and advanced Non-Destructive Testing (NDT) techniques, along with predictive maintenance (PdM) assessments of fixed and rotating assets and inline inspection (ILI) for pipelines. We offer these solutions on an individual basis, or as parts of enterprise inspection and testing programs.</w:t>
      </w:r>
    </w:p>
    <w:p>
      <w:pPr>
        <w:spacing w:after="0" w:line="1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NDT is the examination of an asset without materially impacting its integrity. The ability to inspect infrastructure assets and not interfere with their operating performance makes NDT a highly-attractive alternative to many traditional techniques, which may require shutting down an asset or entire facility. Typical issues for which MISTRAS technicians inspect include corrosion, cracking, leaking, faults and flaws in piping, storage tanks, pressure vessels and a wide range of other industrial assets.</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automated data acquisition solutions utilize smart sensing and monitoring, robotic inspection systems, and digitized spot inspections to provide asset integrity data with greater insight into current and future asset conditions.</w:t>
      </w:r>
    </w:p>
    <w:p>
      <w:pPr>
        <w:spacing w:after="0" w:line="8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Field inspection services lend themselves to integration with our other offerings, and as such have often served as the initial entry point to more advanced customer engagements that require additional solutions. After an initial field inspection is performed, MISTRAS is able to provide multiple supplemental solutions that further serve to solidify our relationships with our customers and drive additional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w:t>
      </w:r>
    </w:p>
    <w:p>
      <w:pPr>
        <w:spacing w:after="0" w:line="16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provide a broad range of engineering consulting services, primarily for process equipment, technologies and facilities. Our engineering consultations include plant operations and management support, turnaround/shutdown planning, profit improvement, facilities planning studies, engineering design, process safety reviews, energy optimization evaluations, benchmarking/key performance indicator (KPI) development and technical training.</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Asset Integrity Management/Mechanical Integrity (AIMS/MI) services help improve asset reliability and regulatory compliance through a systematic, engineering-based approach to ensure the ongoing integrity and safety of equipment and industrial facilities. AIMS/MI services can include conducting an inventory of infrastructure assets; developing, implementing and training personnel in executing inspection and maintenance procedures; and managing MI programs. We help to identify gaps between existing and desired practices and establish quality assurance standards for fabrication, engineering and installation of infrastructure assets.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w:t>
      </w:r>
    </w:p>
    <w:p>
      <w:pPr>
        <w:spacing w:after="0" w:line="1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perform maintenance and light mechanical services to prepare assets for inspection and to return them to working condition post inspection. These services include corrosion removal, mitigation and prevention; insulation installation and removal; electrical services; heat tracing, industrial cleaning; pipefitting; and welding. Our light mechanical services are often offered as complementary, value-added solutions to inspections, such as removing insulation in order to inspect piping, then re-installing insulation.</w:t>
      </w:r>
    </w:p>
    <w:p>
      <w:pPr>
        <w:spacing w:after="0" w:line="10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multi-disciplined technicians offer maintenance and light mechanical services in hard-to-access areas, in combination with rope access or diving strategies.</w:t>
      </w:r>
    </w:p>
    <w:p>
      <w:pPr>
        <w:spacing w:after="0" w:line="10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Mechanical services are still a small part of our business, and we carefully try to avoid providing any such services that conflict with our inspection services.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Management</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MISTRAS has the capability of providing integrated data management solutions throughout the asset protection cycle, including data collection, storage, visualization, and analytics.</w:t>
      </w:r>
    </w:p>
    <w:p>
      <w:pPr>
        <w:spacing w:after="0" w:line="103" w:lineRule="exact"/>
        <w:rPr>
          <w:sz w:val="20"/>
          <w:szCs w:val="20"/>
          <w:color w:val="auto"/>
        </w:rPr>
      </w:pPr>
    </w:p>
    <w:p>
      <w:pPr>
        <w:ind w:right="600"/>
        <w:spacing w:after="0" w:line="238" w:lineRule="auto"/>
        <w:rPr>
          <w:sz w:val="20"/>
          <w:szCs w:val="20"/>
          <w:color w:val="auto"/>
        </w:rPr>
      </w:pPr>
      <w:r>
        <w:rPr>
          <w:rFonts w:ascii="Arial" w:cs="Arial" w:eastAsia="Arial" w:hAnsi="Arial"/>
          <w:sz w:val="17"/>
          <w:szCs w:val="17"/>
          <w:color w:val="auto"/>
        </w:rPr>
        <w:t>Our world-class enterprise inspection database management software (IDMS) - Plant Condition Management Software (PCMS</w:t>
      </w:r>
      <w:r>
        <w:rPr>
          <w:rFonts w:ascii="Arial" w:cs="Arial" w:eastAsia="Arial" w:hAnsi="Arial"/>
          <w:sz w:val="22"/>
          <w:szCs w:val="22"/>
          <w:color w:val="auto"/>
          <w:vertAlign w:val="superscript"/>
        </w:rPr>
        <w:t>TM</w:t>
      </w:r>
      <w:r>
        <w:rPr>
          <w:rFonts w:ascii="Arial" w:cs="Arial" w:eastAsia="Arial" w:hAnsi="Arial"/>
          <w:sz w:val="17"/>
          <w:szCs w:val="17"/>
          <w:color w:val="auto"/>
        </w:rPr>
        <w:t>) - was developed specifically for process industries and equipment, and enables the storage, organization and analysis of inspection data.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PCMS offers wide-ranging support for mechanical integrity programs, including:</w:t>
      </w:r>
    </w:p>
    <w:p>
      <w:pPr>
        <w:spacing w:after="0" w:line="14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Comprehensive inspection tracking, scheduling and analysis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Corrosion analysis &amp; trending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risk-based inspection (RBI) calculators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Safety relief valve management</w:t>
      </w:r>
    </w:p>
    <w:p>
      <w:pPr>
        <w:spacing w:after="0" w:line="23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PCMS compares data to prior operations, similar assets, industrial standards and specific risk conditions, such as use with highly-flammable or corrosive materials. It also develops asset integrity management plans based on RBI calculations that specify an optimal schedule for the testing, maintenance and retirement of assets.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many instances, customers of our field inspections and consulting services also have licensed PCMS for storage and analysis of collected inspection and MI data.</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PCMS is one of the most widely used plant condition management software systems in North American refineries. We estimate it is currently used by approximately 50% of the U.S. refining capacity, as well as by leading midstream pipeline energy companies and major energy companies in Canada and Europe. This provides us with recurring maintenance and support fees and additional marketing opportunities for additional software and solutions.</w:t>
      </w:r>
    </w:p>
    <w:p>
      <w:pPr>
        <w:spacing w:after="0" w:line="1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Following our recent acquisitions of companies that support the midstream sector of the Oil &amp; Gas industry, we believe MISTRAS provides amongst the most comprehensive, data-driven pipeline protection solution available to the industry. These proprietary pipeline data analysis solutions enable deep integration of inline inspection (ILI) big data with real-time risk analytics and business intelligence (BI) to provide capabilities for supporting pipeline integrity, which we believe provides us with an important competitive advantage.</w:t>
      </w:r>
    </w:p>
    <w:p>
      <w:pPr>
        <w:spacing w:after="0" w:line="119"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MISTRAS also digitizes the transfer of field inspection and monitoring data to inspection data management systems (IDMS). MISTRAS Digital™ is an electronic platform that digitally delivers field inspection assignments and related data, captures inspection results, and delivers electronic reporting and productivity tracking via Key Performance Indicators (KPIs). MISTRAS Digital integrates with PCMS and other inspection data management systems to provide additional productivity improvements. Similarly, our online monitoring systems feed data directly into our cloud-based monitoring portal, providing customers with real-time access to their asset integrity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Much of our work is conducted in hard-to-access locations, including those in at-height, subsea and confined locations. We utilize scaffolding and rope access to access at-height and confined assets; certified divers for subsea inspection and maintenance; and unmanned aerial, land-based and subsea systems for a wide range of inspection applications, with an emphasis on minimizing at-height access and confined space entry (CSE).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w:t>
      </w:r>
    </w:p>
    <w:p>
      <w:pPr>
        <w:spacing w:after="0" w:line="1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online condition-monitoring solutions provide real-time reports and analysis of infrastructure to alert facility personnel to damages before critical failures occur, while our flexible, Industrial Internet of Things (IIoT)-compatible, cloud-based online monitoring portal centralizes and analyzes all collected monitoring data. These monitoring solutions are often installed in hazardous or hard-to-reach locations, helping to enhance safety by reducing the need to send technicians into unsafe locations. We offer monitoring solutions for a wide range of assets and applications, including:</w:t>
      </w:r>
    </w:p>
    <w:p>
      <w:pPr>
        <w:spacing w:after="0" w:line="9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Tube Leaking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Transformer Health &amp; Reliability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Stator Vane Cracking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Bridge Structural Health Monitoring (SHM)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Wall Thickness Tracking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High-Energy Piping (HEP) Integrity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Fluid Corrosivity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Through-Valve Leaking</w:t>
      </w:r>
    </w:p>
    <w:p>
      <w:pPr>
        <w:spacing w:after="0" w:line="2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With expertise in monitoring hardware and services, MISTRAS designs and installs monitoring systems, and provides commissioning, training, reporting, technical support and annual maintenance services. We offer a variety of secure, web-based solutions that monitor structural integrity and analyze conditions against our library of historical inspection data, allowing users to stay aware of potential concerns and prioritize future inspections and maintenance. We also offer custom-developed software that integrates into onsite IDMSs, stores and trends monitoring data and provides immediate automated data analysis.</w:t>
      </w:r>
    </w:p>
    <w:p>
      <w:pPr>
        <w:spacing w:after="0" w:line="12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provide continuous, periodic and conditional monitoring, depending on the type of asset and its operating condition. Continuous monitoring is applied on critical assets to observe the earliest onset of a defect to predict its progress and to track its progression to help avoid catastrophic failure. Periodic monitoring, or “walk around” monitoring, is a preventative maintenance technique to observe changes in an asset's condition over a specified period of time. Conditional monitoring solutions are typically used when there is a known defect that needs to be monitored until the asset is repaired or replaced.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Quality Assurance/Control (QA/QC)</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network of in-house laboratories located across North America and Europe offers quality assurance and quality control (QA/QC) solutions for new and existing metal and alloy components, materials and composites.</w:t>
      </w:r>
    </w:p>
    <w:p>
      <w:pPr>
        <w:spacing w:after="0" w:line="10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Our in-house labs work with our customers throughout their components’ lifetimes, from preparation and production to post-processing and in-service component monitoring. MISTRAS’ laboratory QA/QC solutions help to meet customer needs throughout their manufacturing cycles, with a focus on optimizing production logistics. Our in-house lab solutions include:</w:t>
      </w:r>
    </w:p>
    <w:p>
      <w:pPr>
        <w:spacing w:after="0" w:line="1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Non-destructive evaluation/inspection (NDE/NDI)</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Destructive testing (DT)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Metallurgical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Chemical analysis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Mechanical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Pre-machining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Finishing services</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often inspect and test components prior to assembly to screen for defects and discontinuities introduced in the manufacturing process. We also inspect existing components to ensure they remain fit-for-purpose.</w:t>
      </w:r>
    </w:p>
    <w:p>
      <w:pPr>
        <w:spacing w:after="0" w:line="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labs hold a wide variety of certifications that allow them to perform inspections to meet or exceed stringent regulatory requirements, such as: Nadcap (formerly NADCAP, the National Aerospace and Defense Contractors Accreditation Program), AS9100/ISO-9001, Federal Aviation Administration (FAA) Repair Station, the International Traffic in Arms Regulations/Export Administration Regulations (ITAR/EAR) and manufacturers' requirements. With these certifications comes a comprehensive range of approvals from prime contractors of major projects, militaries, and internationally-renowned original equipment manufacturers (OEMs) from many of our key markets, including the oil and gas, aerospace and defense, power generation, and industrial markets.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design and manufacture portable, handheld, wireless and turnkey NDT equipment, along with corresponding data acquisition sensors and software, for spot inspections and long-term, unattended monitoring applications.</w:t>
      </w:r>
    </w:p>
    <w:p>
      <w:pPr>
        <w:spacing w:after="0" w:line="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sell these solutions as individual components, or as complete systems, which include a combination of sensors, amplifiers, signal processing electronics, knowledge-based software and decision and feedback electronics. We also sell integrated service-and-system technology packages, in which our field technicians utilize our proprietary and specialized testing procedures and hardware, advanced pattern recognition, neural network software and databases to compare test results against our prior testing data or industry standards.</w:t>
      </w:r>
    </w:p>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provide a range of acoustic emission (AE) products and are a leader in the design and manufacture of AE sensors, instruments and turnkey systems used for monitoring and testing materials, pressure components, processes and structures. MISTRAS also designs and manufactures ultrasonic testing (UT) equipment.</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Most of our hardware products are fabricated, assembled and tested in our ISO-9001-certified facility in Princeton Junction, New Jersey. We also design and manufacture automated ultrasonic systems and scanners in France.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16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Another differentiator in our business model are our Centers of Excellence (COEs), which offer support for asset, technology, or industry-specific solutions. Our subject matter experts engage in strategic sales opportunities to offer customers value-added solutions using advanced technologies and methods. The COEs help to standardize our approach to common problems in our key market segments. Our COEs include:</w:t>
      </w:r>
    </w:p>
    <w:p>
      <w:pPr>
        <w:spacing w:after="0" w:line="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Acoustic Emission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Aerospace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American Petroleum Institute (API) Turnarounds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AIMS/MI/Engineering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Automated Ultrasonics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Fossil 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Guided Wave Ultrasonics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PCMS Software &amp;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Mechanical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Nuclear 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Offshore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Phased Array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Pipeline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Predictive Maintenance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Refractory Inspection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Rope Access/Wind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Substation Reliability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Tank Inspection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Tube Inspection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Unmanned Systems</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 PROTECTION INDUSTRY OVERVIEW</w:t>
      </w:r>
    </w:p>
    <w:p>
      <w:pPr>
        <w:spacing w:after="0" w:line="1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Asset protection plays a crucial role in assuring the integrity and reliability of critical infrastructure. As an asset protection solutions provider, MISTRAS seeks to maximize the uptime and safety of critical infrastructure, by helping customers to detect, locate, mitigate and prevent damages such as corrosion, cracks, leaks, manufacturing flaws and other concerns to operating and structural integrity. In addition to these core utilities, the storage and analysis of collected inspection and mechanical integrity data is also a key aspect of asset protection.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NDT has historically been a prominent solution in the asset protection industry due to its capacity to detect defects without compromising the integrity of the tested materials or equipment. The supply of NDT inspection services has traditionally come from many small vendors, who provide services to a small geographic region. A trend has emerged, however, for customers to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spacing w:after="0" w:line="12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Due to these trends, those vendors offering integrated solutions, scalable operations, skilled personnel and a global footprint will have a distinct competitive advantage.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Dynamics of the Asset Protection Industry</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the following represent key dynamics of the asset protection industry, and that the market available to us will continue to grow as these macro-market trends continue to develop:</w:t>
      </w:r>
    </w:p>
    <w:p>
      <w:pPr>
        <w:spacing w:after="0" w:line="10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Extending the Useful Life of Aging Infrastructure While Increasing Utilization</w:t>
      </w:r>
      <w:r>
        <w:rPr>
          <w:rFonts w:ascii="Arial" w:cs="Arial" w:eastAsia="Arial" w:hAnsi="Arial"/>
          <w:sz w:val="17"/>
          <w:szCs w:val="17"/>
          <w:color w:val="auto"/>
        </w:rPr>
        <w:t>. Due to the prohibitive costs and challenges of building new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many companies have chosen to extend the useful life of existing assets through enhancements, rather than replacing these assets. This has resulted in the significant aging and increased utilization of existing infrastructure in our target markets. Demand for refined petroleum products, combined with high plant-utilization rates, drives refineries to upgrade facilities to make them more efficient and expand capacities. Because aging infrastructure requires more frequent inspection and maintenance in comparison to new infrastructure, companies and public authorities continue to spend on asset protection to ensure their aging infrastructure assets continue to operate effectively.</w:t>
      </w:r>
    </w:p>
    <w:p>
      <w:pPr>
        <w:spacing w:after="0" w:line="9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Outsourcing of Non-Core Activities and Technical Resource Constraints</w:t>
      </w:r>
      <w:r>
        <w:rPr>
          <w:rFonts w:ascii="Arial" w:cs="Arial" w:eastAsia="Arial" w:hAnsi="Arial"/>
          <w:sz w:val="18"/>
          <w:szCs w:val="18"/>
          <w:color w:val="auto"/>
        </w:rPr>
        <w:t>. Due to the increasing sophistication and automation of NDT programs,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decreasing supply of skilled professionals and increasing governmental regulations, companies are increasingly outsourcing NDT to third-party providers with advanced solution portfolios, engineering expertise and trained workforces.</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color w:val="auto"/>
        </w:rPr>
        <w:t>Increasing Corrosion from Low-Quality Inputs</w:t>
      </w:r>
      <w:r>
        <w:rPr>
          <w:rFonts w:ascii="Arial" w:cs="Arial" w:eastAsia="Arial" w:hAnsi="Arial"/>
          <w:sz w:val="16"/>
          <w:szCs w:val="16"/>
          <w:color w:val="auto"/>
        </w:rPr>
        <w:t>. The increased availability and low cost of crude oil from areas such as shale plays and oil sands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have led to the use of lower-grade raw materials and feedstock. This leads to higher rates of corrosion, especially in refining processes involving petroleum with higher sulfur content, which increases the need for asset protection solutions to detect and/or proactively prevent corrosion-related issues.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Increasing Use of Advanced Materials</w:t>
      </w:r>
      <w:r>
        <w:rPr>
          <w:rFonts w:ascii="Arial" w:cs="Arial" w:eastAsia="Arial" w:hAnsi="Arial"/>
          <w:sz w:val="18"/>
          <w:szCs w:val="18"/>
          <w:color w:val="auto"/>
        </w:rPr>
        <w:t>. Customers in various of our target markets - particularly aerospace and defense - are increasingly utilizing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along with the demand for these advanced materials during the design, manufacturing, operating and quality control phases.</w:t>
      </w:r>
    </w:p>
    <w:p>
      <w:pPr>
        <w:spacing w:after="0" w:line="106"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i w:val="1"/>
          <w:iCs w:val="1"/>
          <w:color w:val="auto"/>
        </w:rPr>
        <w:t>Meeting Safety Regulations</w:t>
      </w:r>
      <w:r>
        <w:rPr>
          <w:rFonts w:ascii="Arial" w:cs="Arial" w:eastAsia="Arial" w:hAnsi="Arial"/>
          <w:sz w:val="17"/>
          <w:szCs w:val="17"/>
          <w:color w:val="auto"/>
        </w:rPr>
        <w:t>. Owners and operators of refineries, pipelines and petrochemical and chemical plants increasingly face strict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and more stringent process safety enforcement standards. This includes the continued implementation of the Occupational Safety and Health Administration’s (OSHA) National Emphasis Program (NEP). Failure to meet these standards can result in significant financial liabilities, increased scrutiny by government and industry regulators, higher insurance premiums and tarnished corporate brand value. As a result, these owners and operators are seeking highly-reliable asset protection suppliers with a track record of assisting organizations in meeting increasingly stringent regulations. Our customers benefit from MISTRAS’ extensive engineering consulting base that supports them in devising mechanical integrity programs that both meet regulatory compliance standards and enable enhanced safety and uptime at their facilities.</w:t>
      </w:r>
    </w:p>
    <w:p>
      <w:pPr>
        <w:spacing w:after="0" w:line="110"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i w:val="1"/>
          <w:iCs w:val="1"/>
          <w:color w:val="auto"/>
        </w:rPr>
        <w:t>Expanding Addressable End-Markets</w:t>
      </w:r>
      <w:r>
        <w:rPr>
          <w:rFonts w:ascii="Arial" w:cs="Arial" w:eastAsia="Arial" w:hAnsi="Arial"/>
          <w:sz w:val="17"/>
          <w:szCs w:val="17"/>
          <w:color w:val="auto"/>
        </w:rPr>
        <w:t>. The continued emergence of and advances in asset protection technologies and software-based systems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the demand for asset protection solutions in applications where existing techniques were previously ineffective.</w:t>
      </w:r>
    </w:p>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Expanding Aerospace Industry</w:t>
      </w:r>
      <w:r>
        <w:rPr>
          <w:rFonts w:ascii="Arial" w:cs="Arial" w:eastAsia="Arial" w:hAnsi="Arial"/>
          <w:sz w:val="16"/>
          <w:szCs w:val="16"/>
          <w:color w:val="auto"/>
        </w:rPr>
        <w:t>. We believe that increased demand will continue to come from the aerospace industry due to the approximately decade-long</w:t>
      </w:r>
      <w:r>
        <w:rPr>
          <w:rFonts w:ascii="Arial" w:cs="Arial" w:eastAsia="Arial" w:hAnsi="Arial"/>
          <w:sz w:val="16"/>
          <w:szCs w:val="16"/>
          <w:i w:val="1"/>
          <w:iCs w:val="1"/>
          <w:color w:val="auto"/>
        </w:rPr>
        <w:t xml:space="preserve"> </w:t>
      </w:r>
      <w:r>
        <w:rPr>
          <w:rFonts w:ascii="Arial" w:cs="Arial" w:eastAsia="Arial" w:hAnsi="Arial"/>
          <w:sz w:val="16"/>
          <w:szCs w:val="16"/>
          <w:color w:val="auto"/>
        </w:rPr>
        <w:t>backlog for next-generation commercial aircraft to be built, driving the need for advanced solutions that drive cost and quality efficiencies.</w:t>
      </w:r>
    </w:p>
    <w:p>
      <w:pPr>
        <w:spacing w:after="0" w:line="4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i w:val="1"/>
          <w:iCs w:val="1"/>
          <w:color w:val="auto"/>
        </w:rPr>
        <w:t xml:space="preserve">Crude Oil Prices. </w:t>
      </w:r>
      <w:r>
        <w:rPr>
          <w:rFonts w:ascii="Arial" w:cs="Arial" w:eastAsia="Arial" w:hAnsi="Arial"/>
          <w:sz w:val="17"/>
          <w:szCs w:val="17"/>
          <w:color w:val="auto"/>
        </w:rPr>
        <w:t>We expect the current range for crude oil prices to continue for the foreseeable future. With the prices lower than the 2006 to 2014 time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we continue to see reductions in NDT and maintenance spending, although not to the extent as experienced in recent years, due in part to the price stabilization. We expect customers may continue to defer inspection or maintenance spending into early 2020</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 xml:space="preserve">Expanding Pipeline Integrity Regulations: </w:t>
      </w:r>
      <w:r>
        <w:rPr>
          <w:rFonts w:ascii="Arial" w:cs="Arial" w:eastAsia="Arial" w:hAnsi="Arial"/>
          <w:sz w:val="18"/>
          <w:szCs w:val="18"/>
          <w:color w:val="auto"/>
        </w:rPr>
        <w:t>The United States Pipeline &amp; Hazardous Materials Safety Administration’s (PHMSA) “Mega Rule” adopted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2019, expands pipeline integrity regulations on more than 500,000 miles of pipelines that carry natural gas, oil and other hazardous materials throughout the U.S. Some of these requirements will take operators decades to fulfill. These regulations require inspection and integrity data records throughout a pipeline’s lifetime to be “reliable, traceable, verifiable, and complete,” increasing the demand for integrated inspection, engineering, monitoring, and data management and analysis 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One Source Provider for Asset Protection Solutions</w:t>
      </w:r>
      <w:r>
        <w:rPr>
          <w:rFonts w:ascii="Arial" w:cs="Arial" w:eastAsia="Arial" w:hAnsi="Arial"/>
          <w:sz w:val="17"/>
          <w:szCs w:val="17"/>
          <w:color w:val="auto"/>
        </w:rPr>
        <w:t>. We believe we have one of the most comprehensive portfolios of integrated asset protection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which positions us to be a leading single-source provider for our customers’ asset protection requirements. This is particularly a competitive strength in regards to turnarounds and shutdowns - during which facilities temporarily cease operations in order to perform plant-wide inspections, maintenance and repairs - as these work stoppages make up significant portions of refinery, process and power plant maintenance budgets. Demand for our solutions increases during these outages, as facilities seek third-party providers to perform a wide spectrum of asset protection operations while the plant is offline. In addition, as companies are increasingly outsourcing their NDT needs to third-party providers, we believe that the ability to offer a comprehensive package of solutions provides us with a competitive advantage.</w:t>
      </w:r>
    </w:p>
    <w:p>
      <w:pPr>
        <w:spacing w:after="0" w:line="110"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i w:val="1"/>
          <w:iCs w:val="1"/>
          <w:color w:val="auto"/>
        </w:rPr>
        <w:t xml:space="preserve">Integrated Data Management: </w:t>
      </w:r>
      <w:r>
        <w:rPr>
          <w:rFonts w:ascii="Arial" w:cs="Arial" w:eastAsia="Arial" w:hAnsi="Arial"/>
          <w:sz w:val="16"/>
          <w:szCs w:val="16"/>
          <w:color w:val="auto"/>
        </w:rPr>
        <w:t>MISTRAS’ expertise and proprietary research and development in data solutions throughout the asset protection cycle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a competitive advantage. With solutions for integrated data acquisition, storage, visualization and analytics, our integrated data management solutions are ahead of the industry’s trend towards centralizing asset protection to fewer, highly-skilled and multi-disciplined vendors. Many of our data solutions are platform-agnostic, which expands the potential customer pool for our solutions as we can integrate into customers’ existing operations.</w:t>
      </w:r>
    </w:p>
    <w:p>
      <w:pPr>
        <w:spacing w:after="0" w:line="90"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i w:val="1"/>
          <w:iCs w:val="1"/>
          <w:color w:val="auto"/>
        </w:rPr>
        <w:t>Long-Standing Trusted Provider to a Diversified and Growing Customer Base</w:t>
      </w:r>
      <w:r>
        <w:rPr>
          <w:rFonts w:ascii="Arial" w:cs="Arial" w:eastAsia="Arial" w:hAnsi="Arial"/>
          <w:sz w:val="16"/>
          <w:szCs w:val="16"/>
          <w:color w:val="auto"/>
        </w:rPr>
        <w:t>. We have become a trusted partner to a large and growing customer base</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numerous global markets through our proven, decades-long track record of successful operations. Our customers include some of the largest and most well-recognized firms in the oil and gas, chemicals, power generation and aerospace and defense industries, as well as public authorities.</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Repository of Customer-Specific Inspection Data</w:t>
      </w:r>
      <w:r>
        <w:rPr>
          <w:rFonts w:ascii="Arial" w:cs="Arial" w:eastAsia="Arial" w:hAnsi="Arial"/>
          <w:sz w:val="18"/>
          <w:szCs w:val="18"/>
          <w:color w:val="auto"/>
        </w:rPr>
        <w:t>. Through our PCMS world-class enterprise data management and analysis software, we have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proprietary process data that allows us to provide our customers with value-added services, such as benchmarking, risk-based inspection (RBI) and reliability-centered maintenance (RCM).</w:t>
      </w:r>
    </w:p>
    <w:p>
      <w:pPr>
        <w:spacing w:after="0" w:line="1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i w:val="1"/>
          <w:iCs w:val="1"/>
          <w:color w:val="auto"/>
        </w:rPr>
        <w:t>Proprietary Products, Software and Technology Packages</w:t>
      </w:r>
      <w:r>
        <w:rPr>
          <w:rFonts w:ascii="Arial" w:cs="Arial" w:eastAsia="Arial" w:hAnsi="Arial"/>
          <w:sz w:val="16"/>
          <w:szCs w:val="16"/>
          <w:color w:val="auto"/>
        </w:rPr>
        <w:t>. Our deep knowledge base in asset protection services and equipment enables us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packages, in which our field technicians utilize our proprietary and specialized testing procedures and hardware, advanced pattern recognition, neural network software and databases to compare test results against our prior testing data or national and international structural integrity standards.</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Deep Domain Knowledge and Extensive Industry Experience</w:t>
      </w:r>
      <w:r>
        <w:rPr>
          <w:rFonts w:ascii="Arial" w:cs="Arial" w:eastAsia="Arial" w:hAnsi="Arial"/>
          <w:sz w:val="18"/>
          <w:szCs w:val="18"/>
          <w:color w:val="auto"/>
        </w:rPr>
        <w:t>. We have extensive asset protection experience and data, dating back several decades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We have gained this through our industry leadership in developing advanced asset protection solutions, including research and development of advanced NDT technologies and applications; process engineering technologies; online plant asset integrity management with sensor fusion; and enterprise software solutions for plant-wide and fleet-wide inspection data archiving and management.</w:t>
      </w:r>
    </w:p>
    <w:p>
      <w:pPr>
        <w:spacing w:after="0" w:line="10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 xml:space="preserve">Technological Research and Development. </w:t>
      </w:r>
      <w:r>
        <w:rPr>
          <w:rFonts w:ascii="Arial" w:cs="Arial" w:eastAsia="Arial" w:hAnsi="Arial"/>
          <w:sz w:val="16"/>
          <w:szCs w:val="16"/>
          <w:color w:val="auto"/>
        </w:rPr>
        <w:t>The NDT industry continues to move towards more advanced, automated solutions, requiring service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to find safer and more cost-efficient inspection techniques. We believe that we remain ahead of the technological curve by backing our extensive industry expertise with the investment of resources in research and development (R&amp;D). Some of the advanced inspection technologies developed by our internal R&amp;D teams include an automated radiographic testing (aRT) crawler for corrosion under insulation (CUI) inspections in aboveground pipelines; our Large Structure Inspection (LSI) scanner; and our real-time radiography (RTR) crawler for 360° inspections of pipeline girth welds.</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Collaborating with Our Customers</w:t>
      </w:r>
      <w:r>
        <w:rPr>
          <w:rFonts w:ascii="Arial" w:cs="Arial" w:eastAsia="Arial" w:hAnsi="Arial"/>
          <w:sz w:val="16"/>
          <w:szCs w:val="16"/>
          <w:color w:val="auto"/>
        </w:rPr>
        <w:t>. We have historically expanded our asset protection solution portfolio in response to our customers’ unique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Our technology packages have often been developed in close cooperation and partnership with key customers and industry organizations.</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Our management team has a track record of asset protection organizational leadership. These individuals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successfully driven operational growth organically and through acquisitions, which we believe is important to facilitate future growth in the asset protection industry.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14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Expand Our Focus in the Aerospace Industry</w:t>
      </w:r>
      <w:r>
        <w:rPr>
          <w:rFonts w:ascii="Arial" w:cs="Arial" w:eastAsia="Arial" w:hAnsi="Arial"/>
          <w:sz w:val="18"/>
          <w:szCs w:val="18"/>
          <w:color w:val="auto"/>
        </w:rPr>
        <w:t>. We believe that the introduction of next-generation airframes and aircraft engines has created an inherent</w:t>
      </w:r>
      <w:r>
        <w:rPr>
          <w:rFonts w:ascii="Arial" w:cs="Arial" w:eastAsia="Arial" w:hAnsi="Arial"/>
          <w:sz w:val="18"/>
          <w:szCs w:val="18"/>
          <w:i w:val="1"/>
          <w:iCs w:val="1"/>
          <w:color w:val="auto"/>
        </w:rPr>
        <w:t xml:space="preserve"> </w:t>
      </w:r>
      <w:r>
        <w:rPr>
          <w:rFonts w:ascii="Arial" w:cs="Arial" w:eastAsia="Arial" w:hAnsi="Arial"/>
          <w:sz w:val="18"/>
          <w:szCs w:val="18"/>
          <w:color w:val="auto"/>
        </w:rPr>
        <w:t>demand for inspection, testing, machining and mechanical services required for the production of parts. The recent interest in the use of additive manufacturing techniques to create components also necessitates advanced inspection and testing solutions. The Company consummated two acquisitions of aerospace inspection companies in 2017. These recent actions are driven by our increased focus to provide solutions to our customers throughout their manufacturing value chains in this growing area.</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Expand Our Focus in the Pipeline Integrity Industry. </w:t>
      </w:r>
      <w:r>
        <w:rPr>
          <w:rFonts w:ascii="Arial" w:cs="Arial" w:eastAsia="Arial" w:hAnsi="Arial"/>
          <w:sz w:val="17"/>
          <w:szCs w:val="17"/>
          <w:color w:val="auto"/>
        </w:rPr>
        <w:t>MISTRAS intends to continue broadening our solutions for the pipeline market. Recent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significantly expanded pipeline integrity management regulations, requiring pipeline owner/operators to inspect, document, and assess the risk of operating conditions for existing lines. This provides MISTRAS with the opportunity to provide asset protection solutions for both the new construction and integrity phases. In 2019, we acquired a company that provides pipeline integrity management software and services to energy transportation companies. We acquired an inline inspection provider based in Canada in 2018 with operations in the U.S. and have implemented our PCMS software for several pipeline operators to support their integrity data management.</w:t>
      </w:r>
    </w:p>
    <w:p>
      <w:pPr>
        <w:spacing w:after="0" w:line="1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Expanding our Mechanical Services Portfolio. </w:t>
      </w:r>
      <w:r>
        <w:rPr>
          <w:rFonts w:ascii="Arial" w:cs="Arial" w:eastAsia="Arial" w:hAnsi="Arial"/>
          <w:sz w:val="18"/>
          <w:szCs w:val="18"/>
          <w:color w:val="auto"/>
        </w:rPr>
        <w:t>We believe that performing mechanical services to complement inspections, such as removing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reapplying insulation or preparing surfaces for coating or painting, is an important market differentiator for us. This is particularly true when considering the cost-efficiencies our customers realize when our rope access technicians perform these services at height without the use of scaffolding. Many of our customers already require these services, but utilize multiple vendors to do so, creating an opportunity for us to provide greater value to a customer base that increasingly requires enhanced speed and efficiency.</w:t>
      </w:r>
    </w:p>
    <w:p>
      <w:pPr>
        <w:spacing w:after="0" w:line="10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i w:val="1"/>
          <w:iCs w:val="1"/>
          <w:color w:val="auto"/>
        </w:rPr>
        <w:t>Continue to Develop Technology-Enabled &amp; Digital Asset Protection Solutions</w:t>
      </w:r>
      <w:r>
        <w:rPr>
          <w:rFonts w:ascii="Arial" w:cs="Arial" w:eastAsia="Arial" w:hAnsi="Arial"/>
          <w:sz w:val="16"/>
          <w:szCs w:val="16"/>
          <w:color w:val="auto"/>
        </w:rPr>
        <w:t>. We intend to maintain and enhance our technological leadership by</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to invest in developing new technology, applications and data services. We intend to continue deepening synergies between our solutions to provide our customers with uniquely-integrated offerings, which we believe makes us a more attractive vendor for customers seeking to centralize their asset protection. We also intend to continue to develop technologies that enhance the flow of data throughout multiple operational phases and facilities, through solutions such as MISTRAS Digital, our integrated pipeline integrity data portfolio, and our cloud-based monitoring data portal.</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Expand our Solution Offerings to Existing Customers</w:t>
      </w:r>
      <w:r>
        <w:rPr>
          <w:rFonts w:ascii="Arial" w:cs="Arial" w:eastAsia="Arial" w:hAnsi="Arial"/>
          <w:sz w:val="17"/>
          <w:szCs w:val="17"/>
          <w:color w:val="auto"/>
        </w:rPr>
        <w:t>. We believe that branching into adjacent, complementary services, such as mechanical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our value proposition and our ability to capture additional business. Many of our customers are multinational corporations with asset protection requirements at multiple locations. We believe that expanding our solution offerings, combined with the trend of customers outsourcing asset protection to service providers with integrated offerings, provides opportunities for significant additional recurring revenues.</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Continue to Expand Our Customer Base into New End Markets</w:t>
      </w:r>
      <w:r>
        <w:rPr>
          <w:rFonts w:ascii="Arial" w:cs="Arial" w:eastAsia="Arial" w:hAnsi="Arial"/>
          <w:sz w:val="18"/>
          <w:szCs w:val="18"/>
          <w:color w:val="auto"/>
        </w:rPr>
        <w:t>. We believe we have significant opportunities to expand our customer base in relatively</w:t>
      </w:r>
      <w:r>
        <w:rPr>
          <w:rFonts w:ascii="Arial" w:cs="Arial" w:eastAsia="Arial" w:hAnsi="Arial"/>
          <w:sz w:val="18"/>
          <w:szCs w:val="18"/>
          <w:i w:val="1"/>
          <w:iCs w:val="1"/>
          <w:color w:val="auto"/>
        </w:rPr>
        <w:t xml:space="preserve"> </w:t>
      </w:r>
      <w:r>
        <w:rPr>
          <w:rFonts w:ascii="Arial" w:cs="Arial" w:eastAsia="Arial" w:hAnsi="Arial"/>
          <w:sz w:val="18"/>
          <w:szCs w:val="18"/>
          <w:color w:val="auto"/>
        </w:rPr>
        <w:t>new end markets, including wind and other alternative energy, natural gas transportation industries pipeline integrity and additive manufacturing. The expansion of our addressable markets is being driven by the increased recognition and adoption of advanced asset protection technologies that are supplanting traditional methods.</w:t>
      </w:r>
    </w:p>
    <w:p>
      <w:pPr>
        <w:spacing w:after="0" w:line="10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color w:val="auto"/>
        </w:rPr>
        <w:t>Capitalize on Acquisitions</w:t>
      </w:r>
      <w:r>
        <w:rPr>
          <w:rFonts w:ascii="Arial" w:cs="Arial" w:eastAsia="Arial" w:hAnsi="Arial"/>
          <w:sz w:val="16"/>
          <w:szCs w:val="16"/>
          <w:color w:val="auto"/>
        </w:rPr>
        <w:t>. We have completed several acquisitions to supplement and enhance our solutions, add new customers, expand our sales</w:t>
      </w:r>
      <w:r>
        <w:rPr>
          <w:rFonts w:ascii="Arial" w:cs="Arial" w:eastAsia="Arial" w:hAnsi="Arial"/>
          <w:sz w:val="16"/>
          <w:szCs w:val="16"/>
          <w:i w:val="1"/>
          <w:iCs w:val="1"/>
          <w:color w:val="auto"/>
        </w:rPr>
        <w:t xml:space="preserve"> </w:t>
      </w:r>
      <w:r>
        <w:rPr>
          <w:rFonts w:ascii="Arial" w:cs="Arial" w:eastAsia="Arial" w:hAnsi="Arial"/>
          <w:sz w:val="16"/>
          <w:szCs w:val="16"/>
          <w:color w:val="auto"/>
        </w:rPr>
        <w:t>channels and accelerate our expected growth. Due to our current debt levels and restrictions related to the debt covenants in our credit facility, we do not expect to make any acquisitions in 2020. However, once we reduce our debt, we expect to make selective acquisitions beyond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operating segments:</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predominantly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inspection, mechanical and engineering services that are used to evaluate the structural integrity and reliability of critical energy, industrial and public infrastructure.</w:t>
      </w:r>
    </w:p>
    <w:p>
      <w:pPr>
        <w:spacing w:after="0" w:line="11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This segment offers services, products and systems similar to those of our Services and Products and Systems segments to select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Europe, the Middle East, Africa, Asia and South America, but not to customers in China and South Korea, which are served by our Products and Systems segment.</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our asset protection products and systems, including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instrumentation, predominantly in the United States.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a discussion of segment revenues, operating results and other financial information, including geographic areas in which we generated revenues, see “Management’s Discussion and Analysis of Financial Condition and Results of Operations” in Item 7, as well as Note 2–</w:t>
      </w:r>
      <w:r>
        <w:rPr>
          <w:rFonts w:ascii="Arial" w:cs="Arial" w:eastAsia="Arial" w:hAnsi="Arial"/>
          <w:sz w:val="18"/>
          <w:szCs w:val="18"/>
          <w:i w:val="1"/>
          <w:iCs w:val="1"/>
          <w:color w:val="auto"/>
        </w:rPr>
        <w:t>Revenue</w:t>
      </w:r>
      <w:r>
        <w:rPr>
          <w:rFonts w:ascii="Arial" w:cs="Arial" w:eastAsia="Arial" w:hAnsi="Arial"/>
          <w:sz w:val="18"/>
          <w:szCs w:val="18"/>
          <w:color w:val="auto"/>
        </w:rPr>
        <w:t xml:space="preserve"> in the notes to consolidated financial statements in Item 8 of this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Mistras operates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We view energy-related infrastructure and commercial aerospace as the Company's largest market opportunities. We perform inspection and mechanical services for customers in both industries.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energy market, there are various economic indicators that drive our business, especially in the U.S. domestic markets. These factors are excerpted below from various Energy Information Administration (EIA) outlook reports:</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electricity generation mix is projected to continue to experience a rapid rate of change, with renewables the projected fastest-growing source of electricity generation through 2050 because of continuing declines in the capital costs for solar and wind that are supported by federal tax credits and higher state-level renewables targets. With slow load growth and increasing electricity production from renewables, U.S. coal-fired and nuclear electricity generation is projected to decline, with most of the decline occurring by the mid-2020s. The United States is projected to continue to produce historically high levels of crude oil and natural gas. The EIA forecasts U.S. crude oil production will average 13.2 million barrels per day (bpd) in 2020, up 1.0 million bpd from 2019, and then rise to 13.6 million bpd in 2021. In addition, the EIA estimates that production of U.S. crude oil reaches 14.0 million bpd by 2022 and remains near this level through 2045. The global competitiveness of the U.S. refining sector and the ability of the United States to increase exports as domestic consumption falls is projected to keep domestic refinery utilization near recent levels, between 90% and 93%.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are a number of economic factors which drive the aerospace market, including:</w:t>
      </w:r>
    </w:p>
    <w:p>
      <w:pPr>
        <w:spacing w:after="0" w:line="144" w:lineRule="exact"/>
        <w:rPr>
          <w:sz w:val="20"/>
          <w:szCs w:val="20"/>
          <w:color w:val="auto"/>
        </w:rPr>
      </w:pPr>
    </w:p>
    <w:p>
      <w:pPr>
        <w:ind w:left="660" w:right="10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approximately decade-long backlog for next generation commercial aircraft to be built, including several large and mid-sized aircraft built by Boeing and Airbus, among other manufacturers;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CFM International's planned full Leap production rate of 2,000-plus engines a year from 2020 onward, the existing order backlog represents eight full years of production; and</w:t>
      </w:r>
    </w:p>
    <w:p>
      <w:pPr>
        <w:ind w:left="660" w:right="58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continuing regulatory scrutiny to ensure public safety serves to ensure the continued need for inspection and mechanical services to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Target Market</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following chart represents the percentage of consolidated revenues we generated from our various markets for the year ended December 31, 2019:</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Revenues by Target Market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63590" cy="31203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w:t>
      </w:r>
    </w:p>
    <w:p>
      <w:pPr>
        <w:spacing w:after="0" w:line="1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MISTRAS supplies oil and gas asset protection solutions to downstream (refining), midstream (transportation and storage), upstream (exploration and production) and petrochemical operations.</w:t>
      </w:r>
    </w:p>
    <w:p>
      <w:pPr>
        <w:spacing w:after="0" w:line="8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We use our vast solutions portfolio to help identify current and future asset performance, and actively prevent, mitigate or otherwise address potential issues, including corrosion, cracking, leaking and other damages that may lead to safety, productivity or environmental concerns. Our solutions help identify conditions that could lead to potential catastrophic failures in tanks, vessels, valves, buried and above ground pipelines, pumps, motors, compressors and other critical assets found throughout the oil &amp; gas production and delivery supply chain.</w:t>
      </w:r>
    </w:p>
    <w:p>
      <w:pPr>
        <w:spacing w:after="0" w:line="10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actively seek to evolve our solutions through technological enhancements and R&amp;D to discover new applications. Online monitoring and permanently-mounted sensors, as well as the use of drones and other alternative delivery devices, are all being considered as oil and gas infrastructure owners look to “smart” technologies that reduce human intervention while delivering highly-accurate inspection &amp; integrity data. We also have actively sought to further enhance our integrated approach to asset protection, through the development of our complementary mechanical service portfolio.</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general, the energy market is poised to leverage digital solutions to facilitate process improvements as well as increase plant reliability and improve process and personnel safety. This provides an opportunity for the Company to synergistically leverage our asset protection solutions into our new MISTRAS Digital platform. Digital transmission of data in various industry sectors, with built-in analytic functions, will allow our customers to better leverage inspection data that is being generated in the field.</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expect off-stream inspection of critical assets to remain a routine practice, we anticipate an increase in the demand for non-invasive, or on-stream inspections. Non-invasive inspections enable companies to minimize the costs associated with shutting down equipment during testing, while enabling the economic and safety advantages of advanced planning and/or predictive maintenance.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and Defense</w:t>
      </w:r>
    </w:p>
    <w:p>
      <w:pPr>
        <w:spacing w:after="0" w:line="16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aerospace industry is undergoing unprecedented growth with many original equipment manufacturers (OEMs) reporting record-high backlogs of up to ten years. We serve this rapidly-growing target market by providing a full range of inspection, testing, machining, mechanical, finishing, additive manufacturing and equipment solutions, which we are Nadcap certified. Our state-of-the-art in-house labs maintain numerous accreditations from industry organizations, including Nadcap and some of the largest prime manufacturers in the world, such as Boeing, Safran, Airbus, Bombardier and Embraer.</w:t>
      </w:r>
    </w:p>
    <w:p>
      <w:pPr>
        <w:spacing w:after="0" w:line="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Advanced composite materials found in new classes of aircraft require advanced asset protection solutions, including x-ray of critical engine components, ultrasonic fatigue testing of complete aircraft structures and corrosion detection and other critical components. Many OEMs are shifting towards condition-based maintenance utilizing embedded monitoring sensors to track component structural and operational integrity over time as opposed to performing maintenance on time-based intervals. We expect demand for our solutions to increase with the adoption of these new-age materials and distributed online sensor networks. We also expect demand for asset protection solutions to increase with the continued adoption of additive manufacturing techniques.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16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quality control requirements driven by the need for zero-to-low-defect component tolerance within automated, robotic-intensive industries such as automotive, consumer electronics and medical industries serve as key drivers for increased demand in asset protection, particularly for in-house inspection and testing. We expect that increasingly stringent quality-control requirements and competitive forces will drive the demand for more-costly finishing and polishing which, in turn, creates opportunities for integrated partnerships between MISTRAS and our customers throughout the production lifecycle.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 and Transmission</w:t>
      </w:r>
    </w:p>
    <w:p>
      <w:pPr>
        <w:spacing w:after="0" w:line="16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MISTRAS provides asset protection solutions for customers in the combined cycle, fossil, nuclear, transmission &amp; distribution and wind/alternative energy industries. We believe that in recent years, acceptance of asset protection solutions has grown in this industry due to the aging of critical power generation and transmission infrastructure.</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growing availability of cheap natural gas, along with environmental concerns with coal, has stimulated the construction of new natural gas-fired power plants across North America, creating opportunities for MISTRAS to provide specialized solutions in multiple phases. These include facility design consultations, NDT services during construction and plant operations and long-term condition monitoring. We anticipate sharp growth in these types of plants as natural gas pricing remains low, and the environmental impacts of coal remain unattractive to the public.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Industries</w:t>
      </w:r>
    </w:p>
    <w:p>
      <w:pPr>
        <w:spacing w:after="0" w:line="1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asset protection solutions are crucial for process industries, or industries in which raw materials are treated or prepared in a series of stages, including chemicals, pharmaceuticals, food processing, pulp and paper and metals and mining. As the process facilities are increasingly facing aging infrastructure, high utilization, growing capacity constraints and increasing capital costs, we believe asset protection solutions will continue to grow in importance in maintenance planning, quality and cost control and prevention of catastrophic failure.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Infrastructure, Research and Engineering</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high-profile infrastructure catastrophes have caused public authorities to more actively seek ways to prevent similar events from occurring. Public authorities tasked with new construction and maintenance of existing public infrastructure increasingly use asset protection solutions to inspect these assets, including the use of embedded sensors to enable online monitoring throughout the life of the asset.</w:t>
      </w:r>
    </w:p>
    <w:p>
      <w:pPr>
        <w:spacing w:after="0" w:line="98"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We have provided testing and structural health monitoring (SHM) solutions on bridges and structures worldwide, including some of the largest and most well-known bridges in the United States and United Kingdom. Our sensors continuously monitor these assets, alerting owner/operators when defects are detected. Our monitoring teams also provide regular reports that include early warnings of suspect areas before an alarm is generated.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provide our asset protection solutions to a global customer base of diverse companies primarily in our target markets. No customer represented 10% or more of our revenue for either of the years ended December 31, 2019 or 2018.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5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have operations in 10 countries and occasionally conduct business in a few other countries. Most of our revenues are derived from our U.S., Canadian and European operations. See Note 2–</w:t>
      </w:r>
      <w:r>
        <w:rPr>
          <w:rFonts w:ascii="Arial" w:cs="Arial" w:eastAsia="Arial" w:hAnsi="Arial"/>
          <w:sz w:val="17"/>
          <w:szCs w:val="17"/>
          <w:i w:val="1"/>
          <w:iCs w:val="1"/>
          <w:color w:val="auto"/>
        </w:rPr>
        <w:t>Revenue</w:t>
      </w:r>
      <w:r>
        <w:rPr>
          <w:rFonts w:ascii="Arial" w:cs="Arial" w:eastAsia="Arial" w:hAnsi="Arial"/>
          <w:sz w:val="17"/>
          <w:szCs w:val="17"/>
          <w:color w:val="auto"/>
        </w:rPr>
        <w:t xml:space="preserve"> and Note 19–</w:t>
      </w:r>
      <w:r>
        <w:rPr>
          <w:rFonts w:ascii="Arial" w:cs="Arial" w:eastAsia="Arial" w:hAnsi="Arial"/>
          <w:sz w:val="17"/>
          <w:szCs w:val="17"/>
          <w:i w:val="1"/>
          <w:iCs w:val="1"/>
          <w:color w:val="auto"/>
        </w:rPr>
        <w:t>Segment Disclosure</w:t>
      </w:r>
      <w:r>
        <w:rPr>
          <w:rFonts w:ascii="Arial" w:cs="Arial" w:eastAsia="Arial" w:hAnsi="Arial"/>
          <w:sz w:val="17"/>
          <w:szCs w:val="17"/>
          <w:color w:val="auto"/>
        </w:rPr>
        <w:t xml:space="preserve"> to the consolidated financial statements in this Annual Report for further disclosure of our revenues, long-lived assets and other financial information regarding our international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sell our asset protection solutions through our direct sales and marketing teams within all of our offices worldwide. In addition, our project and laboratory managers, as well as our management, are trained on our solutions and often are the source of sales leads and customer contacts. Our direct sales and marketing teams work closely with our customers’ research and design personnel, reliability engineers and facilities maintenance engineers to demonstrate the benefits and capabilities of our asset protection solutions, refine our asset protection solutions based on changing market and customer needs and identify potential sales opportunities. We divide our sales and marketing efforts into services sales, products and systems sales and marketing and utilize customer relationship management (CRM) systems to collect, manage and collaborate customer information with our teams globally. Our CRM's also provide critical data to provide accurate forecasting and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Most of our hardware products are manufactured in our Princeton Junction, New Jersey facility. Our Princeton Junction facility includes the capabilities and personnel to fully produce all of our AE products and NDT Automation Ultrasonic equipment. We also design and manufacture automated ultrasonic systems and scanners in France.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Providing our asset protection solutions requires a highly-skilled and technically proficient employee base. As of December 31, 2019, we had approximately 5,500 employees worldwide, of which approximately 65% were based in the United States. Less than 0.5% of our employees in the United States are unionized. We believe that we have good relations with our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business is seasonal. This seasonality relates primarily to our oil and gas business. U.S. refineries’ non-peak periods are generally in the fall, when they are retooling to produce more heating oil for winter, and in the spring, when they are retooling to produce more gasoline for summer. The peak periods for these customers are the summer and winter months, when they run at peak capacity and are not retooling or performing turnarounds or shut downs. As a result, our revenues in the summer and winter months are typically lower than our revenues in the fall and spring because demand for our asset protection solutions from the oil and gas as well as the fossil and nuclear power industries increases during their non-peak production periods. Because we are increasing our work in the fall and spring, our cash flows are lower in those quarters than in the summer and winter, as collections of receivables lag behind revenues. We expect that this seasonality will continue.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operate in a highly competitive, but fragmented, market. Our primary competitors are divisions of large companies and various small companies which generally are limited to a specific product or technology and focused on a niche market or geographic region. We believe that few, if any, of our competitors currently provide the full range of asset protection and NDT products, enterprise software (PCMS) and the traditional and advanced services solutions that we offer. Our competition with respect to NDT services include the Acuren division of Rockwood Service Corporation, SGS Group, the Team Qualspec division of Team, Inc. and APPLUS RTD. Our competition with respect to our PCMS software includes UltraPIPE, Lloyd’s Register Capstone, Inc. and Meridium Systems. In the traditional NDT market, we believe the principal competitive factors include project management, availability of qualified personnel, execution, price, reputation and quality; whereas in the advanced NDT market, reputation, quality and size tend to be the most significant competitive factors. We believe that the NDT market has significant barriers to entry which would make it difficult for new competitors to enter the market. These barriers include: (1) having to acquire or develop advanced NDT services, products and systems technologies, which in our case occurred over many years of customer engagements and at significant internal research and development expense, (2) complex regulations and safety codes that require significant industry experience, (3) license requirements and evolved quality and safety programs, (4) costly and time-consuming certification processes, (5) capital requirements and (6) emphasis by large customers on size and critical mass, length of relationship and past service record.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research and development is principally conducted by engineers and scientists at our Princeton Junction, New Jersey headquarters, and supplemented by other employees in the United States and throughout the world, including France, Greece the United Kingdom, Brazil and the Netherlands. Our total professional staff includes employees who hold Ph.D.’s and engineers and employees who hold Level III certification, the highest level of certification from the American Society of Non-Destructive Testing (ASNT).</w:t>
      </w:r>
    </w:p>
    <w:p>
      <w:pPr>
        <w:spacing w:after="0" w:line="119"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MISTRAS makes strategic R&amp;D investments in technologies that support integration with our other solution offerings to enhance cost- and time-efficiencies, maximize uptime and safety and improve the flow of data from field technicians to inspection databases. We are investing resources in the development of MISTRAS Digital, an electronic platform that will digitally deliver field inspection assignments and related data, capture inspection results, and provide electronic reporting and productivity tracking. MISTRAS also invested significant R&amp;D in pre-machining and advanced testing technologies in a purpose-built facility for an aerospace customer, with the goal of reducing the customer’s production cycle logistics and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also work with customers to develop new products or applications for our technology, including:</w:t>
      </w:r>
    </w:p>
    <w:p>
      <w:pPr>
        <w:spacing w:after="0" w:line="1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Testing of new composites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Detecting crack propagation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Wireless and communications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Development of permanently embedded inspection systems to provide continuous, online, in-service monitoring of critical structural components</w:t>
      </w: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expenses are reflected on our consolidated statements of income as research and engineering expenses. Our company-sponsored research and engineering expenses were approximately $3.0 million, $3.3 million and $2.3 million for the years ended December 31, 2019, 2018 and 2017, respectively. While we have historically funded most of our research and development expenditures, from time to time we also receive customer-sponsored research and development funding. Most of the projects are in our target markets; however, a few of the projects could lead to other future market opportunities.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2019, we held two U.S. patents (by direct ownership or exclusive licensing), which will expire in 2021 and 2026, respectively, and had four patents pending in the U.S. for applications filed in 2018 and 2019, and had licenses to certain other patents. However, we do not principally rely on these patents or licenses to provide our proprietary asset protection solutions. Our trademarks and service marks provide us and our solutions with a certain amount of brand recognition in our markets. We do not consider any single patent, trademark or service mark material to our financial condition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 primary trademarks and service marks that we held in the United States included MISTRAS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our stylized globe design.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key trademarks or service marks that we utilize in localized markets or product advertising include:</w:t>
      </w:r>
    </w:p>
    <w:p>
      <w:pPr>
        <w:spacing w:after="0" w:line="10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Source for Asset Protection Solutions</w:t>
      </w:r>
      <w:r>
        <w:rPr>
          <w:rFonts w:ascii="Arial" w:cs="Arial" w:eastAsia="Arial" w:hAnsi="Arial"/>
          <w:sz w:val="23"/>
          <w:szCs w:val="23"/>
          <w:color w:val="auto"/>
          <w:vertAlign w:val="superscript"/>
        </w:rPr>
        <w:t>®</w:t>
      </w:r>
    </w:p>
    <w:p>
      <w:pPr>
        <w:ind w:left="660" w:hanging="328"/>
        <w:spacing w:after="0" w:line="19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PCMS</w:t>
      </w:r>
      <w:r>
        <w:rPr>
          <w:rFonts w:ascii="Arial" w:cs="Arial" w:eastAsia="Arial" w:hAnsi="Arial"/>
          <w:sz w:val="23"/>
          <w:szCs w:val="23"/>
          <w:color w:val="auto"/>
          <w:vertAlign w:val="superscript"/>
        </w:rPr>
        <w: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Streamview™</w:t>
      </w:r>
    </w:p>
    <w:p>
      <w:pPr>
        <w:spacing w:after="0" w:line="7"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Ropeworks</w:t>
      </w:r>
      <w:r>
        <w:rPr>
          <w:rFonts w:ascii="Arial" w:cs="Arial" w:eastAsia="Arial" w:hAnsi="Arial"/>
          <w:sz w:val="23"/>
          <w:szCs w:val="23"/>
          <w:color w:val="auto"/>
          <w:vertAlign w:val="superscript"/>
        </w:rPr>
        <w: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Sensor Highway™</w:t>
      </w:r>
    </w:p>
    <w:p>
      <w:pPr>
        <w:spacing w:after="0" w:line="7"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TankPAC</w:t>
      </w:r>
      <w:r>
        <w:rPr>
          <w:rFonts w:ascii="Arial" w:cs="Arial" w:eastAsia="Arial" w:hAnsi="Arial"/>
          <w:sz w:val="23"/>
          <w:szCs w:val="23"/>
          <w:color w:val="auto"/>
          <w:vertAlign w:val="superscript"/>
        </w:rPr>
        <w:t>®</w:t>
      </w:r>
    </w:p>
    <w:p>
      <w:pPr>
        <w:ind w:left="660" w:hanging="328"/>
        <w:spacing w:after="0" w:line="19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CALIPERAY</w:t>
      </w:r>
      <w:r>
        <w:rPr>
          <w:rFonts w:ascii="Arial" w:cs="Arial" w:eastAsia="Arial" w:hAnsi="Arial"/>
          <w:sz w:val="23"/>
          <w:szCs w:val="23"/>
          <w:color w:val="auto"/>
          <w:vertAlign w:val="superscript"/>
        </w:rPr>
        <w: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VPAC™</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Transformer Clinic™</w:t>
      </w:r>
    </w:p>
    <w:p>
      <w:pPr>
        <w:spacing w:after="0" w:line="2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Many elements of our asset protection solutions involve proprietary know-how, technology or data that are not covered by patents or patent applications because they are not patentable or would be difficult to enforce, including technical processes, equipment designs, algorithms and procedures. We believe that this proprietary know-how, technology and data is the most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important component of our intellectual property used in our asset protection solutions and is a primary differentiator of our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many of our employees have entered into confidentiality and proprietary information agreements with us. Our employee handbook and these agreements require our employees not to use or disclose our confidential information, to assign to us all the inventions, designs and technologies they develop during the course of employment with us and to otherwise address intellectual property protection issues. We also seek confidentiality agreements from our customers and business partners before we disclose any sensitive aspects of our technologies or business strategies. We are not currently involved in any material intellectual property claims.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9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received a notice in May 2015 that the U.S. Environmental Protection Agency (“EPA”) performed a preliminary assessment of a leased facility we operate in Cudahy, California. Based upon the preliminary assessment, the EPA conducted an investigation of the sites to determine whether any hazardous materials were released from the facility. We were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our Cudahy facility should be examined along with numerous other sites in the vicinity. In 2018, the California Department of Toxic Substances Control notified the owner of the property that it may perform additional investigation of the property. At this time, we are not able to determine whether we have any liability in connection with this matter and if so, the amount or range of any such liability.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and other key employees as of December 31, 2019 and their background and experience: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6540" w:type="dxa"/>
            <w:vAlign w:val="bottom"/>
            <w:tcBorders>
              <w:bottom w:val="single" w:sz="8" w:color="auto"/>
            </w:tcBorders>
          </w:tcPr>
          <w:p>
            <w:pPr>
              <w:ind w:left="3020"/>
              <w:spacing w:after="0"/>
              <w:rPr>
                <w:sz w:val="20"/>
                <w:szCs w:val="20"/>
                <w:color w:val="auto"/>
              </w:rPr>
            </w:pPr>
            <w:r>
              <w:rPr>
                <w:rFonts w:ascii="Arial" w:cs="Arial" w:eastAsia="Arial" w:hAnsi="Arial"/>
                <w:sz w:val="14"/>
                <w:szCs w:val="14"/>
                <w:b w:val="1"/>
                <w:bCs w:val="1"/>
                <w:color w:val="auto"/>
              </w:rPr>
              <w:t>Position</w:t>
            </w:r>
          </w:p>
        </w:tc>
      </w:tr>
      <w:tr>
        <w:trPr>
          <w:trHeight w:val="249"/>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Sotirios J. Vahaviolos</w:t>
            </w:r>
          </w:p>
        </w:tc>
        <w:tc>
          <w:tcPr>
            <w:tcW w:w="162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Dennis Bertolotti</w:t>
            </w:r>
          </w:p>
        </w:tc>
        <w:tc>
          <w:tcPr>
            <w:tcW w:w="1620" w:type="dxa"/>
            <w:vAlign w:val="bottom"/>
          </w:tcPr>
          <w:p>
            <w:pPr>
              <w:jc w:val="right"/>
              <w:ind w:right="69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Edward J. Prajzner</w:t>
            </w:r>
          </w:p>
        </w:tc>
        <w:tc>
          <w:tcPr>
            <w:tcW w:w="162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Michael C. Keefe</w:t>
            </w:r>
          </w:p>
        </w:tc>
        <w:tc>
          <w:tcPr>
            <w:tcW w:w="1620" w:type="dxa"/>
            <w:vAlign w:val="bottom"/>
          </w:tcPr>
          <w:p>
            <w:pPr>
              <w:jc w:val="right"/>
              <w:ind w:right="69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J. Lange</w:t>
            </w:r>
          </w:p>
        </w:tc>
        <w:tc>
          <w:tcPr>
            <w:tcW w:w="162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Senior Executive Vice President of Global Business Development, Marketing &amp; Strategic</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Planning, and Director</w:t>
            </w: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Jonathan H. Wolk</w:t>
            </w:r>
          </w:p>
        </w:tc>
        <w:tc>
          <w:tcPr>
            <w:tcW w:w="1620" w:type="dxa"/>
            <w:vAlign w:val="bottom"/>
          </w:tcPr>
          <w:p>
            <w:pPr>
              <w:jc w:val="right"/>
              <w:ind w:right="69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Senior Executive Vice President and Chief Operating Officer</w:t>
            </w:r>
          </w:p>
        </w:tc>
      </w:tr>
    </w:tbl>
    <w:p>
      <w:pPr>
        <w:spacing w:after="0" w:line="36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Sotirios J. Vahaviolos </w:t>
      </w:r>
      <w:r>
        <w:rPr>
          <w:rFonts w:ascii="Arial" w:cs="Arial" w:eastAsia="Arial" w:hAnsi="Arial"/>
          <w:sz w:val="16"/>
          <w:szCs w:val="16"/>
          <w:color w:val="auto"/>
        </w:rPr>
        <w:t>has been Executive Chairman since August 10, 2017. Prior to being named Executive Chairman, Dr. Vahaviolos had been our</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since he founded Mistras in 1978 under the name Physical Acoustics Corporation and was also our President until June 1, 2016.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Dennis Bertolotti </w:t>
      </w:r>
      <w:r>
        <w:rPr>
          <w:rFonts w:ascii="Arial" w:cs="Arial" w:eastAsia="Arial" w:hAnsi="Arial"/>
          <w:sz w:val="18"/>
          <w:szCs w:val="18"/>
          <w:color w:val="auto"/>
        </w:rPr>
        <w:t>joined Mistras when Conam Inspection Services was acquired in 2003, where Mr. Bertolotti was a Vice President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Since then, Mr. Bertolotti has had increasing levels of responsibility with Mistras, and became our President and Chief Executive Officer and Director, effective August 10, 2017. From June 1, 2016 to August 9, 2017, Mr. Bertolotti was our President and Chief Operating Officer. Mr. Bertolotti has been in the NDT business for over 30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Edward J. Prajzner </w:t>
      </w:r>
      <w:r>
        <w:rPr>
          <w:rFonts w:ascii="Arial" w:cs="Arial" w:eastAsia="Arial" w:hAnsi="Arial"/>
          <w:sz w:val="18"/>
          <w:szCs w:val="18"/>
          <w:color w:val="auto"/>
        </w:rPr>
        <w:t>joined Mistras in January 2018. Prior to joining Mistras, Mr. Prajzner worked at CECO Environmental Corp., a global service provider</w:t>
      </w:r>
      <w:r>
        <w:rPr>
          <w:rFonts w:ascii="Arial" w:cs="Arial" w:eastAsia="Arial" w:hAnsi="Arial"/>
          <w:sz w:val="18"/>
          <w:szCs w:val="18"/>
          <w:i w:val="1"/>
          <w:iCs w:val="1"/>
          <w:color w:val="auto"/>
        </w:rPr>
        <w:t xml:space="preserve"> </w:t>
      </w:r>
      <w:r>
        <w:rPr>
          <w:rFonts w:ascii="Arial" w:cs="Arial" w:eastAsia="Arial" w:hAnsi="Arial"/>
          <w:sz w:val="18"/>
          <w:szCs w:val="18"/>
          <w:color w:val="auto"/>
        </w:rPr>
        <w:t>to environmental, energy and filtration industries, and served as Chief Financial Officer and Secretary from 2014 to 2017, Vice President of Finance and Chief Accounting Officer from 2013 until his appointment as CFO in 2014, and Corporate Controller and Chief Accounting Officer from 2012 to 2013. Mr. Prajzner also served in senior finance roles at CDI Corporation (now AE Industrial Partners), and American Infrastructure (now Allan Myers). Mr. Prajzner began his career in public accounting at Ernst &amp; Young, received his B.S. in accountancy from Villanova University, his MBA in finance from Temple University and is a certified public accountant.</w:t>
      </w:r>
    </w:p>
    <w:p>
      <w:pPr>
        <w:spacing w:after="0" w:line="21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Michael C. Keefe </w:t>
      </w:r>
      <w:r>
        <w:rPr>
          <w:rFonts w:ascii="Arial" w:cs="Arial" w:eastAsia="Arial" w:hAnsi="Arial"/>
          <w:sz w:val="17"/>
          <w:szCs w:val="17"/>
          <w:color w:val="auto"/>
        </w:rPr>
        <w:t>joined Mistras in December 2009. Prior to joining Mistras, Mr. Keefe worked at International Fight League, a publicly-traded sports</w:t>
      </w:r>
      <w:r>
        <w:rPr>
          <w:rFonts w:ascii="Arial" w:cs="Arial" w:eastAsia="Arial" w:hAnsi="Arial"/>
          <w:sz w:val="17"/>
          <w:szCs w:val="17"/>
          <w:i w:val="1"/>
          <w:iCs w:val="1"/>
          <w:color w:val="auto"/>
        </w:rPr>
        <w:t xml:space="preserve"> </w:t>
      </w:r>
      <w:r>
        <w:rPr>
          <w:rFonts w:ascii="Arial" w:cs="Arial" w:eastAsia="Arial" w:hAnsi="Arial"/>
          <w:sz w:val="17"/>
          <w:szCs w:val="17"/>
          <w:color w:val="auto"/>
        </w:rPr>
        <w:t>promotion company, from 2007 until 2009, in various executive positions. From 1990 until 2006, Mr. Keefe served in various legal roles with Lucent Technologies and AT&amp;T, the last four years as Vice President, Corporate and Securities Law and Assistant Secretary. Mr. Keefe received a BS in Business Administration (Accounting) from Seton Hall University and a J.D. from Seton Hall University School of Law.</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joined Mistras when we acquired Quality Services Laboratories in November 2000, and was elected a Director in 2003. Mr. Lange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executive level positions with Mistras, becoming Vice Chairman in July 2015 and Senior Executive Vice President, effective June 1, 2016. Mr. Lange is a well-recognized authority in Radiography and has held an ASNT Level III Certificate for almost 20 years. Mr. Lange received an Associate of Science degree in NDT from the Spartan School of Aeronautics.</w:t>
      </w:r>
    </w:p>
    <w:p>
      <w:pPr>
        <w:spacing w:after="0" w:line="2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Jonathan H. Wolk </w:t>
      </w:r>
      <w:r>
        <w:rPr>
          <w:rFonts w:ascii="Arial" w:cs="Arial" w:eastAsia="Arial" w:hAnsi="Arial"/>
          <w:sz w:val="16"/>
          <w:szCs w:val="16"/>
          <w:color w:val="auto"/>
        </w:rPr>
        <w:t>joined Mistras in November 2013 and served as Executive Vice President, Chief Financial Officer and Treasurer until August 10, 2017,</w:t>
      </w:r>
      <w:r>
        <w:rPr>
          <w:rFonts w:ascii="Arial" w:cs="Arial" w:eastAsia="Arial" w:hAnsi="Arial"/>
          <w:sz w:val="16"/>
          <w:szCs w:val="16"/>
          <w:i w:val="1"/>
          <w:iCs w:val="1"/>
          <w:color w:val="auto"/>
        </w:rPr>
        <w:t xml:space="preserve"> </w:t>
      </w:r>
      <w:r>
        <w:rPr>
          <w:rFonts w:ascii="Arial" w:cs="Arial" w:eastAsia="Arial" w:hAnsi="Arial"/>
          <w:sz w:val="16"/>
          <w:szCs w:val="16"/>
          <w:color w:val="auto"/>
        </w:rPr>
        <w:t>when Mr. Wolk became Senior Executive Vice President and Chief Operating Officer. Mr. Wolk was also acting Chief Financial Officer from August 10, 2017 until the appointment of Mr. Prajzner on January 5, 2018. Prior to joining Mistras, Mr. Wolk served as Senior Vice President, Chief Financial Officer and Secretary of American Woodmark Corporation from 2004 until August 2013. Prior to American Woodmark, he served as the Chief Financial Officer and Treasurer of Tradecard, Inc., from 2000 to 2004, and was the global controller of GE Capital Real Estate from 1998 to 2000. Mr. Wolk started his career in public accounting at KPMG, received his B.S. in accounting from State University of New York-Albany and is a certified public accountant.</w:t>
      </w:r>
    </w:p>
    <w:p>
      <w:pPr>
        <w:spacing w:after="0" w:line="1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www.mistrasgroup.com.</w:t>
      </w:r>
      <w:r>
        <w:rPr>
          <w:rFonts w:ascii="Arial" w:cs="Arial" w:eastAsia="Arial" w:hAnsi="Arial"/>
          <w:sz w:val="17"/>
          <w:szCs w:val="17"/>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report or any other filing with the SEC. All of our SEC filings are also available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materials we file with the SEC may be read and copied at the SEC’s Public Reference Room at 100 F Street, NE, Washington, DC 20549. The public may obtain information on the operation of the Public Reference Room by calling the SEC at 1-800-SEC-0330.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(MD&amp;A) before making an investment decision. The statements contained in this section constitute cautionary statements under the Private Securities Litigation Reform Act of 1995. If any of these risks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For example, the current pandemic created by the COVID-19 coronavirus is causing a dramatic negative impact on the health of citizens of many countries, which in turn has caused major disruptions in economies and markets around the world, including our key markets. Accordingly, you should not consider the following to be a complete discussion of all risks and uncertainties pertaining to us and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Our long-term growth strategy includes acquisitions. We may not be able to identify suitable acquisition candidates or integrate acquired businesses successfully, which may adversely impact our results. In addition, due to our current debt levels and the restrictions related to the debt covenants in our credit facility, we do not expect to complete any acquisitions in 2020. Furthermore, acquisitions that we have completed or may complete in the future could expose us to a number of unanticipated operational and financial risks.</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 significant factor in our growth has been and will continue to be based upon our ability to make acquisitions and successfully integrate these acquired businesses. We have used acquisitions both to expand into new markets and to enhance our position in existing markets. This strategy has provided us with many benefits and has helped fuel our growth, but also carries with it many risks. Some of the risks associated with our acquisition strategy include:</w:t>
      </w:r>
    </w:p>
    <w:p>
      <w:pPr>
        <w:spacing w:after="0" w:line="1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we successfully identify suitable acquisition candidates, negotiate appropriate acquisition terms, and complete proposed acquisitions;</w:t>
      </w:r>
    </w:p>
    <w:p>
      <w:pPr>
        <w:spacing w:after="0" w:line="180"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can successfully integrate acquired businesses into our current operations, including our accounting, internal control and information technology systems, marketing and other key infrastructure;</w:t>
      </w:r>
    </w:p>
    <w:p>
      <w:pPr>
        <w:spacing w:after="0" w:line="89"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can adequately capture opportunities that an acquired business may offer, including the expansion into new markets in which we have little to no experience or presence;</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value an acquired business properly when determining the purchase price and terms, and whether we are able to achieve the returns on the investment we expect;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 acquired business can achieve levels of revenues, profitability, productivity or cost savings we expect;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 acquired business is compatible with our culture and philosophy of doing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unexpected loss of key personnel and customers of an acquired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assumption of liabilities and risks (including environmental-related costs) of an acquired business, some of which may not be anticipated;</w:t>
      </w:r>
    </w:p>
    <w:p>
      <w:pPr>
        <w:spacing w:after="0" w:line="155"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 and other personnel of us and the acquired business resulting from the efforts to acquire, then integrate, an acquired business;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greater exposure to risks associated with international operations; and</w:t>
      </w:r>
    </w:p>
    <w:p>
      <w:pPr>
        <w:spacing w:after="0" w:line="157" w:lineRule="exact"/>
        <w:rPr>
          <w:rFonts w:ascii="Arial" w:cs="Arial" w:eastAsia="Arial" w:hAnsi="Arial"/>
          <w:sz w:val="18"/>
          <w:szCs w:val="18"/>
          <w:color w:val="auto"/>
        </w:rPr>
      </w:pPr>
    </w:p>
    <w:p>
      <w:pPr>
        <w:ind w:left="660" w:right="4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 and cost of funding (including borrowings under our credit agreement) to acquire and integrate other businesses (some of which may require substantial funding) and the impact of the acquisition and borrowing on our continued compliance with covenants in our credit agreement.</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ability to undertake acquisitions is limited by our financial resources, including available cash and borrowing capacity. Due to our current debt levels and restrictions related to the debt covenant in our credit facility, we do not expect to make any acquisitions in 2020. Future acquisitions could result in potentially dilutive issuances of equity securities, the incurrence of substantial additional indebtedness and other expenses, any of which could adversely impact our financial condition and results of operations. Although management intends to: (i) evaluate the risks inherent in any particular transaction, (ii) assume only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risks management believes to be acceptable, and (iii) develop plans to mitigate such risks, there are no assurances that we will properly ascertain or accurately assess the extent of all such risks. Difficulties encountered with acquisitions may adversely impact our business, financial condition and results of operations.</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we have a significant amount of goodwill and other intangible assets on our balance sheet from our acquisitions. This will increase as we complete more acquisitions. If our acquisitions do not perform as planned and we do not realize the benefits and profitability we expect, we could incur significant write-downs and impairment charges to our earnings due to the impairment of the goodwill and other intangible assets we have acquired or acquire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years ended December 31, 2019, 2018 and 2017, we generated approximately 34%, 34%, and 33% of our revenues outside the United States, respectively. In addition, our international operations as a percentage of our business may increase over time. Our primary operations outside the United States are in Canada, Germany, France, the United Kingdom and Brazil. We also have operations in the Netherlands, Belgium, Greece and India. There are numerous risks inherent in doing business in international markets, including:</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varying regional and geopolitical business and economic conditions and demands;</w:t>
      </w:r>
    </w:p>
    <w:p>
      <w:pPr>
        <w:spacing w:after="0" w:line="144"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laws and regulation with respect to our business in other countries, including export controls and anti-bribery laws;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144" w:lineRule="exact"/>
        <w:rPr>
          <w:rFonts w:ascii="Arial" w:cs="Arial" w:eastAsia="Arial" w:hAnsi="Arial"/>
          <w:sz w:val="18"/>
          <w:szCs w:val="18"/>
          <w:color w:val="auto"/>
        </w:rPr>
      </w:pPr>
    </w:p>
    <w:p>
      <w:pPr>
        <w:ind w:left="660" w:right="80" w:hanging="328"/>
        <w:spacing w:after="0" w:line="30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the United Kingdom exiting the European Union; the ultimate effects of Brexit on the Company are difficult to predict. The Company currently has subsidiaries that operate in the United Kingdom and Europe and our UK subsidiary and other European subsidiaries from time to time share employees and equipment. Brexit will make this sharing of employees and equipment more time consuming and expensive, which could cause disruptions and adversely affect the Company’s financial condition, operating results and cash flows.</w:t>
      </w:r>
    </w:p>
    <w:p>
      <w:pPr>
        <w:spacing w:after="0" w:line="89"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restrictions or limitations on the repatriation of funds, or tax consequences on the non-repatriation of overseas operationally generated funds; and</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potentially adverse tax consequences.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customers in the oil and gas industry (including the petrochemical market) have accounted for a substantial portion of our historical revenues. Specifically, they accounted for approximately 58%, 56%, and 58% of our revenues for the years ended December 31, 2019, 2018 and 2017, respectively. Although we have expanded our customer base into industries other than the oil and gas industry, we still receive a majority of our revenues from this industry. Our services are vital to the operators of plants and refineries and we have expanded our services offerings, such as expanding our mechanical services capabilities. However, economic slowdowns or low oil prices have, and could continue to, result in cutbacks in contracts for our services. In addition, low oil prices could depress the level of new exploration and construction, which would adversely affect our market opportunities. If the oil and gas industry were to continue to operate in a market with low oil prices, our revenues, profits and cash flows may be reduced. While we continue to expand our market presence in the aerospace, power generation and transmission, and the chemical processing industries, among others, these markets are also cyclical in nature and as such, are subject to economic downturns.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expect to continue experiencing growth in the number of employees and the scope of our operations over the long-term. To effectively manage our anticipated future growth, we must continue to implement and improve our managerial, operational, compliance, financial and reporting systems and capabilities, expand our facilities and continue to recruit and train additional qualified personnel. We expect that all these measures will require significant expenditures and will demand the attention of management. Failure to manage our growth effectively could lead us to over or under-invest in technology and operations, result in weaknesses in our infrastructure, systems, compliance programs or controls, and give rise to operational mistakes, the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 as anticipated.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derive a significant amount of revenues from a few customers. Taken as a group, our top ten customers were responsible for approximately 34%, 34%, and 38% of our revenues for the years ended December 31, 2019, 2018 and 2017, respectively. This concentration pertains almost exclusively to our Services segment, which accounted for more than 70% of our revenues for the years ended December 31, 2019, 2018 and 2017. These customers are primarily in the oil and gas 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customers could result in lower revenues and could harm our business, financial condition or results of operations.</w:t>
      </w:r>
    </w:p>
    <w:p>
      <w:pPr>
        <w:spacing w:after="0" w:line="1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would likely face significant claims relating to personal injury, property damage or other losses. Even if our results are correct and complete, we may face claims for such injuries or damage simply because we tested the structure or facility in question. In addition, during the course of a single engagement, such as the inspection of a pipeline, we often perform tests on thousands of welds. Even if the accuracy of only a small number of these test results are questioned, a customer may attempt to refuse payment for the entire project. While we do have insurance, our insurance coverage does not cover non-payment by customers and may not be adequate to cover the damages from any such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or site for which we provide services although we were 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could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regarding our information technology and security.</w:t>
      </w:r>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Significant disruptions of our information technology systems or breaches of information security could adversely affect our business. We rely upon information technology systems to operate many parts of our business. We routinely collect, store and transmit large amounts of sensitive or confidential information, including data from the results of our testing and inspections. We deploy and operate various technical and procedural controls to maintain the confidentiality and integrity of such sensitive or confidential information. Furthermore, as we automate more of our inspection process and procedures, including through the use of Mistras Digital, we become more vulnerable to security breaches and other system disruptions. In addition, we rely on third parties for significant elements of our information technology infrastructure and, as a result, we are managing many independent vendor relationships with third parties who may or could have access to our confidential information. The size and complexity of our information technology and information security systems, and those of our third-party vendors with whom we contract (and the large amounts of confidential information that is present on them), make such systems potentially vulnerable to service interruptions or to security breaches from inadvertent or intentional actions by our employees or vendors, or from attacks by malicious third parties. Such attacks are of ever-increasing levels of sophistication and expertise, including organized criminal groups, “hacktivists,” and others. Due to the nature of some of these attacks, there is a risk that they may remain undetected for a period of time. While we have invested in the protection of data and information technology, there can be no assurance that our efforts will prevent service interruptions or security breaches. Any such interruption or breach of our systems could adversely affect our business operations and/or result in the loss of critical or sensitive confidential information, and could result in financial, legal, business and reputational harm to us. We maintain cyber liability insurance; however this insurance may not be sufficient to cover the financial, legal, business or reputational losses that may result from an interruption or breach of our systems. The occurrence or perception of security breaches in connection with our asset protection solutions or our customers’ concerns about internet security or the security of our solutions, whether warranted or not, would likely harm our reputation and business, inhibit market acceptance of our asset protection solutions and cause us to lose customers, any of which would harm our financial condition and results of operations.</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addition, much of our computer and communications hardware is located at a single facility. We have a back-up data-center and storage in a different geographic area. Should a natural disaster or some other event occur that damages our primary data center or significantly disrupts its operation, such as human error, fire, flood, power loss, telecommunications failure, break-ins, terrorist attacks, acts of war and similar events, we could suffer temporary interruption of key functions and capabilities before the back-up facility is fully operational.</w:t>
      </w:r>
    </w:p>
    <w:p>
      <w:pPr>
        <w:spacing w:after="0" w:line="171" w:lineRule="exact"/>
        <w:rPr>
          <w:sz w:val="20"/>
          <w:szCs w:val="20"/>
          <w:color w:val="auto"/>
        </w:rPr>
      </w:pPr>
    </w:p>
    <w:p>
      <w:pPr>
        <w:ind w:right="2160"/>
        <w:spacing w:after="0" w:line="277" w:lineRule="auto"/>
        <w:rPr>
          <w:sz w:val="20"/>
          <w:szCs w:val="20"/>
          <w:color w:val="auto"/>
        </w:rPr>
      </w:pPr>
      <w:r>
        <w:rPr>
          <w:rFonts w:ascii="Arial" w:cs="Arial" w:eastAsia="Arial" w:hAnsi="Arial"/>
          <w:sz w:val="18"/>
          <w:szCs w:val="18"/>
          <w:b w:val="1"/>
          <w:bCs w:val="1"/>
          <w:i w:val="1"/>
          <w:iCs w:val="1"/>
          <w:color w:val="auto"/>
        </w:rPr>
        <w:t>We are subject to privacy and data security/protection laws in the jurisdictions in which we operate and may be exposed to substantial costs and liabilities associated with such laws and regulations.</w:t>
      </w:r>
    </w:p>
    <w:p>
      <w:pPr>
        <w:spacing w:after="0" w:line="197" w:lineRule="exact"/>
        <w:rPr>
          <w:sz w:val="20"/>
          <w:szCs w:val="20"/>
          <w:color w:val="auto"/>
        </w:rPr>
      </w:pPr>
    </w:p>
    <w:p>
      <w:pPr>
        <w:ind w:right="2040"/>
        <w:spacing w:after="0" w:line="284" w:lineRule="auto"/>
        <w:rPr>
          <w:sz w:val="20"/>
          <w:szCs w:val="20"/>
          <w:color w:val="auto"/>
        </w:rPr>
      </w:pPr>
      <w:r>
        <w:rPr>
          <w:rFonts w:ascii="Arial" w:cs="Arial" w:eastAsia="Arial" w:hAnsi="Arial"/>
          <w:sz w:val="16"/>
          <w:szCs w:val="16"/>
          <w:color w:val="auto"/>
        </w:rPr>
        <w:t>The regulatory environment surrounding information security and privacy is increasingly demanding, with frequent imposition of new and changing requirements. The European Union's General Data Protection Regulation (“GDPR”), which became effective in May 2018, imposed significant new requirements on how companies process and transfer personal data, as well as significant fines for non-compliance. In addition to GDPR, many states in the U.S. have enacted, or are considering, data privacy requirements similar to GDPR, and thus we will need to ensure our procedures comply with these various state laws. Compliance with changes in privacy and information security laws and standards may result in significant expense due to increased investment in technology and the development of new operational processes, which could have a material adverse</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effect on our financial condition and results of operations. In addition, the payment of potentially significant fines or penalties in the event of a breach of the GDRP or other privacy and information security laws, as well as the negative publicity associated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such a breach, could damage the Company’s reputation and adversely impact product demand and customer relationships.</w:t>
      </w:r>
    </w:p>
    <w:p>
      <w:pPr>
        <w:spacing w:after="0" w:line="238" w:lineRule="exact"/>
        <w:rPr>
          <w:sz w:val="20"/>
          <w:szCs w:val="20"/>
          <w:color w:val="auto"/>
        </w:rPr>
      </w:pPr>
    </w:p>
    <w:p>
      <w:pPr>
        <w:ind w:right="2080"/>
        <w:spacing w:after="0" w:line="342" w:lineRule="auto"/>
        <w:rPr>
          <w:sz w:val="20"/>
          <w:szCs w:val="20"/>
          <w:color w:val="auto"/>
        </w:rPr>
      </w:pPr>
      <w:r>
        <w:rPr>
          <w:rFonts w:ascii="Arial" w:cs="Arial" w:eastAsia="Arial" w:hAnsi="Arial"/>
          <w:sz w:val="16"/>
          <w:szCs w:val="16"/>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51" w:lineRule="exact"/>
        <w:rPr>
          <w:sz w:val="20"/>
          <w:szCs w:val="20"/>
          <w:color w:val="auto"/>
        </w:rPr>
      </w:pPr>
    </w:p>
    <w:p>
      <w:pPr>
        <w:ind w:right="1940"/>
        <w:spacing w:after="0" w:line="293" w:lineRule="auto"/>
        <w:rPr>
          <w:sz w:val="20"/>
          <w:szCs w:val="20"/>
          <w:color w:val="auto"/>
        </w:rPr>
      </w:pPr>
      <w:r>
        <w:rPr>
          <w:rFonts w:ascii="Arial" w:cs="Arial" w:eastAsia="Arial" w:hAnsi="Arial"/>
          <w:sz w:val="16"/>
          <w:szCs w:val="16"/>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260"/>
        <w:spacing w:after="0" w:line="311" w:lineRule="auto"/>
        <w:rPr>
          <w:sz w:val="20"/>
          <w:szCs w:val="20"/>
          <w:color w:val="auto"/>
        </w:rPr>
      </w:pPr>
      <w:r>
        <w:rPr>
          <w:rFonts w:ascii="Arial" w:cs="Arial" w:eastAsia="Arial" w:hAnsi="Arial"/>
          <w:sz w:val="16"/>
          <w:szCs w:val="16"/>
          <w:color w:val="auto"/>
        </w:rPr>
        <w:t>We currently serve a commercial, industrial and governmental customer base that uses a wide variety of constantly changing hardware, software solutions and operating systems. Our asset protection solutions need to interface with these non-standard systems in order to gather and assess data. Our business depends on the following factors, among others:</w:t>
      </w:r>
    </w:p>
    <w:p>
      <w:pPr>
        <w:spacing w:after="0" w:line="17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9" w:lineRule="exact"/>
        <w:rPr>
          <w:rFonts w:ascii="Arial" w:cs="Arial" w:eastAsia="Arial" w:hAnsi="Arial"/>
          <w:sz w:val="18"/>
          <w:szCs w:val="18"/>
          <w:color w:val="auto"/>
        </w:rPr>
      </w:pPr>
    </w:p>
    <w:p>
      <w:pPr>
        <w:ind w:left="660" w:right="220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with our existing technology and operational processes.</w:t>
      </w:r>
    </w:p>
    <w:p>
      <w:pPr>
        <w:spacing w:after="0" w:line="212"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If we are unable to adequately address any of these factors, our results of operations and prospects for growth and profitability would be adversely impacted.</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certified technicians, engineers and scientists at competitive wages, our operational performance may be harmed and our costs may increase.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fluctuates. When the demand for qualified technicians increases, we will often experience increased labor costs, which we may not recover in the amounts we can charge our customers. The markets for our products and services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operate in competitive markets and if we are unable to compete successfully, we could lose market share and revenues and our margins could decline.</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participation in multi-employer pension plans by our subsidiaries, these subsidiaries may face withdrawal liability.</w:t>
      </w:r>
    </w:p>
    <w:p>
      <w:pPr>
        <w:spacing w:after="0" w:line="25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Some of our workforce is unionized and the terms of employment for these workers are governed by collective bargaining agreements, or CBAs. Under these CBAs, we are required to contribute to the national pension funds for the unions representing these employees, which are multi-employer pension plans. Significant reductions in contributions to these pension plans, or events that result in our subsidiaries no longer contributing to these pension plans, can result in a complete or partial withdrawal liability under ERISA, which can be significant and adversely impact our earnings and cash flow. The Company recorded a charge of $5.9 million during 2018 and $0.8 million during 2019 for this potential withdrawal liability.</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Events such as natural disasters, industrial accidents, epidemics, pandemics, war and acts of terrorism, and adverse weather conditions could disrupt our business or the business of our customers, which could significantly harm our operations, financial results and cash flow.</w:t>
      </w:r>
    </w:p>
    <w:p>
      <w:pPr>
        <w:spacing w:after="0" w:line="12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operations and those of our customers are susceptible to the occurrence of catastrophic events outside our control, which may include events like epidemics, pandemics and other health crises, severe weather conditions, industrial accidents, and acts of war and terrorism, to name a few. Any such events could cause a serious business disruption that reduces our customers’ need or interest in purchasing our asset protection solutions. In the past, such events have resulted in order cancellations and delays because customer equipment, facilities or operations have been damaged, or are not then operational or available. A large portion of our customer base has operations in the Gulf of Mexico, which is subject to hurricanes and tropical storms.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Hurricane-related disruptions to our customers’ operations have adversely affected our revenues in the past. Such events in the future may result in substantial delays in the provision of solutions to our customers and the loss of valuable equipment. In addition, our results can be adversely impacted by severe winter weather conditions, which can result in lost workdays and temporary closures of customer facilities or outdoor projects. While our business may not be directly impacted by the COVID-19 coronavirus like other industries such as travel and restaurants, the safety measures being taken in an attempt to slowdown the spread of COVID-19 has resulted in a slowdown of our business. If there is a significant outbreak in the areas of one of our major locations or a major customer location, our business would be hampered by a customer facility shut down, quarantine or other actions taken to control the spread of the COVID-19. Because much of our revenue is generated by our technicians working at customer sites, our revenue will be reduced if the customer site reduces or eliminates the presence of third-party contractors and service providers, such as our technicians. Any cancellations, delays or losses due to such events may significantly reduce our revenues and harm our operating performance.</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these events could disrupt commodity prices or financial markets or have other negative macroeconomic impacts, such as those being caused by COVID-19 coronavirus, which could harm our business.</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lose key members of our senior management team upon whom we are dependent, we may be less effective in managing our operations and may have more difficulty achieving our strategic objectives.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At this time, we do not have any reason to believe that we may lose the services of any of these key persons in the foreseeable future and we believe our compensation programs will help us retain these individuals. We believe we have sufficient depth in our executive management to continue our success if we were to lose the services of an executive. However, an unplanned loss or interruption of the service of numerous key members of our senior management team could harm our business, financial condition and results of operations and could significantly reduce our ability to manage our operations and implement our strategy.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Deteriorations in economic conditions in certain markets or other factors may cause us to recognize impairment charges for our goodwill.</w:t>
      </w:r>
    </w:p>
    <w:p>
      <w:pPr>
        <w:spacing w:after="0" w:line="23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of December 31, 2019, the carrying amount of our goodwill was approximately $282.4 million, of which $247.2 million and $35.2 million relate to our Services and International segments, respectively. Our Services segment is predominantly concentrated in North America whereas a significant portion of our International segment are concentrated in Europe and Brazil. Significant deterioration in industry or economic conditions in which we operate, disruptions to our business, not effectively integrating acquired businesses, or other factors, may cause impairment charges to goodwill in future periods.</w:t>
      </w:r>
    </w:p>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70"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market for asset protection solutions is impacted by technological change, uncertain product lifecycles, shifts in customer demands and evolving industry standards and regulations. We may not be able to successfully develop and market new asset protection solutions that comply with present or emerging industry regulations and technology standards. Also, new regulations or technology standards could increase our cost of doing business.</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we may experience a loss of customers or otherwise be likely to lose opportunities to earn revenues and to gain customers or access to markets, and our business and results of operations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rapidly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 If we cannot convince our customers of the advantages and value of our advanced NDT services, we could lose large contracts or suffer lower profit margin.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the winter and summer and related cash flows.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is seasonal. The fall and spring revenues are typically higher than our revenues in the winter and summer because demand for our asset protection solutions from the oil and gas as well as the fossil and nuclear power industries increases during their non-peak production periods. For instance, U.S. refineries’ non-peak periods are generally in the fall, when they are retooling to produce more heating oil for winter, and in the spring, when they are retooling to produce more gasoline for summer. As a result of these trends, we generally have reduced cash flows in the fall and spring, as collections of receivables lag behind revenues, possibly requiring us to borrow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17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incur substantial costs in complying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Services segment is currently licensed to handle radioactive materials by the U.S. Nuclear Regulatory Commission (NRC), over 20 state regulatory agencies and the Canadian Nuclear Safety Commission.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of providing these solutions and have a corresponding adverse effect on our margins.</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(formerly National Aerospace and Defense Contractors Accreditation Program) and similar certifications for certain of our locations. We continually review our NDT solutions for compliance with the requirements of industry specification standards and the NADCAP special processes quality requirements. However, if we fail to maintain our ISO, Nadcap or other certifications, our business may be harmed because our customers generally require that we have these certifications before they purchase our NDT solutions.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may impact our business and results of operations.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Some of our trademarks that are not in use may become available to others. To date, we have relied principally on copyright, trademark and trade secrecy laws, as well as confidentiality agreements and licensing arrangements, to establish and protect our intellectual property. However, we have not obtained confidentiality agreements from all our customers and vendors. Although we obligate our employees to confidentiality, we cannot be certain that these obligations will be honored or enforceable.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Our current credit facility meets our current needs, except that due to our current debt levels, the facility limits our ability to make acquisitions until our debt ratio improve. If we were to secure other debt financing in the future, it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including through acquisitions, or respond to business challenges.</w:t>
      </w:r>
    </w:p>
    <w:p>
      <w:pPr>
        <w:spacing w:after="0" w:line="18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w:t>
      </w:r>
    </w:p>
    <w:p>
      <w:pPr>
        <w:spacing w:after="0" w:line="18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 In addition, due to our current debt levels and financial ratios, we do not expect to make any acquisitions in 2020 due to restrictions related to the financial covenants in our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fluctuate for numerous reasons, including variations in our results.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 common stock is subject to general economic, market, industry, and competitive conditions, the risk factors discussed below and numerous other conditions outside of our control.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stockholder controls the direction of our business. The concentrated ownership of our common stock may prevent other stockholders from influencing significant corporate decisions.</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Dr. Sotirios J. Vahaviolos, our founder and Executive Chairman, owns approximately 36% of our outstanding common stock. As a result, Dr. Vahaviolos has significant control over our Company and has the ability to exert substantial influence over all matters requiring approval by our shareholders,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Under our certificate of incorporation, we are authorized to issue up to 200,000,000 shares of common stock, of which approximately 29,035 thousand shares of common stock were outstanding as of March 23, 2020. In addition, we have approximately 824 thousand shares of common stock reserved for issuance related to stock options and restricted stock units that were outstanding as of March 23, 2020. We cannot predict the size of future issuances of our common stock or the effect, if any, that future sales and issuances of shares of our common stock, or the perception of such sales or issuances, would have on the market price of our common stock.</w:t>
      </w:r>
    </w:p>
    <w:p>
      <w:pPr>
        <w:spacing w:after="0" w:line="1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provisions of our certificate of incorporation and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7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require that vacancies on the board of directors, including newly created directorships, be filled only by a majority vote of directors then in office;</w:t>
      </w:r>
    </w:p>
    <w:p>
      <w:pPr>
        <w:spacing w:after="0" w:line="167" w:lineRule="exact"/>
        <w:rPr>
          <w:rFonts w:ascii="Arial" w:cs="Arial" w:eastAsia="Arial" w:hAnsi="Arial"/>
          <w:sz w:val="16"/>
          <w:szCs w:val="16"/>
          <w:color w:val="auto"/>
        </w:rPr>
      </w:pPr>
    </w:p>
    <w:p>
      <w:pPr>
        <w:ind w:left="660" w:right="8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7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pacing w:after="0" w:line="169" w:lineRule="exact"/>
        <w:rPr>
          <w:rFonts w:ascii="Arial" w:cs="Arial" w:eastAsia="Arial" w:hAnsi="Arial"/>
          <w:sz w:val="17"/>
          <w:szCs w:val="17"/>
          <w:color w:val="auto"/>
        </w:rPr>
      </w:pPr>
    </w:p>
    <w:p>
      <w:pPr>
        <w:ind w:left="660" w:right="8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may otherwise allow holders of less than a majority of stock to elect some directors; and</w:t>
      </w:r>
    </w:p>
    <w:p>
      <w:pPr>
        <w:spacing w:after="0" w:line="89" w:lineRule="exact"/>
        <w:rPr>
          <w:rFonts w:ascii="Arial" w:cs="Arial" w:eastAsia="Arial" w:hAnsi="Arial"/>
          <w:sz w:val="18"/>
          <w:szCs w:val="18"/>
          <w:color w:val="auto"/>
        </w:rPr>
      </w:pPr>
    </w:p>
    <w:p>
      <w:pPr>
        <w:ind w:left="660" w:right="28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20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December 31, 2019, we operated approximately 120 facilities in 10 countries, with our corporate headquarters located in Princeton Junction, New Jersey. Our headquarters in Princeton Junction is our primary location, where most of our manufacturing and research and development is conducted. While we lease most of our facilities, as of December 31, 2019, we owned properties located in Monroe, North Carolina; Trainer, Pennsylvania; LaPorte, Texas; Burlington, Washington; Evanston, Wyoming and Jonquiere, Quebec. Our Services segment utilizes approximately 80 facilities throughout North America (including Canada). Our Products and Systems segment’s primary location is in our Princeton Junction, NJ facility. Our International segment has approximately 40 facilities including locations in Belgium, Brazil, France, Germany, Greece, India, the Netherlands and the United Kingdom. We believe that all of our facilities are well maintained and are suitable and adequate for the foreseeable future.</w:t>
      </w:r>
    </w:p>
    <w:p>
      <w:pPr>
        <w:spacing w:after="0" w:line="16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We are subject to periodic legal proceedings, investigations and claims that arise in the ordinary course of business. See “Litigation” in Note 18–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the consolidated financial statements contained in Item 8 of this Annual Report for a description of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us and our business, which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currently trades on the New York Stock Exchange (NYSE) under the ticker symbol “MG.”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of March 23, 2020, there were 7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Board of Directors approved a $50 million stock repurchase plan in 2015. The Company retired all its repurchased shares during the fourth quarter of 2017. The Board of Directors approved the termination of the stock repurchase plan effective on April 1, 2019. There were no repurchases of common stock during 2019.</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presents selected financial data for the years ended December 31, 2019, 2018 and 2017, the transition period ended December 31, 2016 (see footnote 4 below) and the fiscal years ended May 31, 2016 and 2015. This selected financial data should be read in conjunction with “Management’s Discussion and Analysis of Financial Condition and Results of Operations” in Item 7 and the audited consolidated financial statements and the notes thereto in Item 8 in this Annual Report.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For the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40" w:type="dxa"/>
            <w:vAlign w:val="bottom"/>
            <w:gridSpan w:val="6"/>
            <w:vMerge w:val="restart"/>
          </w:tcPr>
          <w:p>
            <w:pPr>
              <w:ind w:left="640"/>
              <w:spacing w:after="0"/>
              <w:rPr>
                <w:sz w:val="20"/>
                <w:szCs w:val="20"/>
                <w:color w:val="auto"/>
              </w:rPr>
            </w:pPr>
            <w:r>
              <w:rPr>
                <w:rFonts w:ascii="Arial" w:cs="Arial" w:eastAsia="Arial" w:hAnsi="Arial"/>
                <w:sz w:val="14"/>
                <w:szCs w:val="14"/>
                <w:b w:val="1"/>
                <w:bCs w:val="1"/>
                <w:color w:val="auto"/>
              </w:rPr>
              <w:t>For the year ended December 31,</w:t>
            </w: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Transition period</w:t>
            </w:r>
          </w:p>
        </w:tc>
        <w:tc>
          <w:tcPr>
            <w:tcW w:w="220" w:type="dxa"/>
            <w:vAlign w:val="bottom"/>
          </w:tcPr>
          <w:p>
            <w:pPr>
              <w:spacing w:after="0"/>
              <w:rPr>
                <w:sz w:val="12"/>
                <w:szCs w:val="12"/>
                <w:color w:val="auto"/>
              </w:rPr>
            </w:pPr>
          </w:p>
        </w:tc>
        <w:tc>
          <w:tcPr>
            <w:tcW w:w="212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w w:val="99"/>
              </w:rPr>
              <w:t>For the year ended May 31,</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4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ended</w:t>
            </w:r>
          </w:p>
        </w:tc>
        <w:tc>
          <w:tcPr>
            <w:tcW w:w="220" w:type="dxa"/>
            <w:vAlign w:val="bottom"/>
          </w:tcPr>
          <w:p>
            <w:pPr>
              <w:spacing w:after="0"/>
              <w:rPr>
                <w:sz w:val="16"/>
                <w:szCs w:val="16"/>
                <w:color w:val="auto"/>
              </w:rPr>
            </w:pPr>
          </w:p>
        </w:tc>
        <w:tc>
          <w:tcPr>
            <w:tcW w:w="21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9"/>
                <w:szCs w:val="9"/>
                <w:b w:val="1"/>
                <w:bCs w:val="1"/>
                <w:color w:val="auto"/>
              </w:rPr>
              <w:t>(1)</w:t>
            </w:r>
          </w:p>
        </w:tc>
        <w:tc>
          <w:tcPr>
            <w:tcW w:w="3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211"/>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9"/>
                <w:szCs w:val="9"/>
                <w:b w:val="1"/>
                <w:bCs w:val="1"/>
                <w:color w:val="auto"/>
              </w:rPr>
              <w:t>(2)</w:t>
            </w: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9"/>
                <w:szCs w:val="9"/>
                <w:b w:val="1"/>
                <w:bCs w:val="1"/>
                <w:color w:val="auto"/>
              </w:rPr>
              <w:t>(3)</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34"/>
              <w:spacing w:after="0" w:line="135"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9"/>
                <w:szCs w:val="9"/>
                <w:b w:val="1"/>
                <w:bCs w:val="1"/>
                <w:color w:val="auto"/>
              </w:rPr>
              <w:t>(5)</w:t>
            </w: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 xml:space="preserve">2016 </w:t>
            </w:r>
            <w:r>
              <w:rPr>
                <w:rFonts w:ascii="Arial" w:cs="Arial" w:eastAsia="Arial" w:hAnsi="Arial"/>
                <w:sz w:val="9"/>
                <w:szCs w:val="9"/>
                <w:b w:val="1"/>
                <w:bCs w:val="1"/>
                <w:color w:val="auto"/>
                <w:w w:val="91"/>
              </w:rPr>
              <w:t>(4)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 in thousands, except per share data)</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748,586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742,354</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700,970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404,161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719,181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711,252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217,297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207,874</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187,712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203,008</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184,733</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24,137</w:t>
            </w:r>
          </w:p>
        </w:tc>
        <w:tc>
          <w:tcPr>
            <w:tcW w:w="3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22,221</w:t>
            </w:r>
          </w:p>
        </w:tc>
        <w:tc>
          <w:tcPr>
            <w:tcW w:w="380" w:type="dxa"/>
            <w:vAlign w:val="bottom"/>
          </w:tcPr>
          <w:p>
            <w:pPr>
              <w:spacing w:after="0"/>
              <w:rPr>
                <w:sz w:val="21"/>
                <w:szCs w:val="21"/>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17,533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43,177</w:t>
            </w:r>
          </w:p>
        </w:tc>
        <w:tc>
          <w:tcPr>
            <w:tcW w:w="3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30,353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(loss) attributable to Mistras Group,</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6,060</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6,836</w:t>
            </w: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(2,175)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9,568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24,654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w w:val="98"/>
              </w:rPr>
              <w:t>Weighted average common shares outstanding:</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28,740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28,406</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28,422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28,856</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28,613</w:t>
            </w:r>
          </w:p>
        </w:tc>
        <w:tc>
          <w:tcPr>
            <w:tcW w:w="0" w:type="dxa"/>
            <w:vAlign w:val="bottom"/>
          </w:tcPr>
          <w:p>
            <w:pPr>
              <w:spacing w:after="0"/>
              <w:rPr>
                <w:sz w:val="1"/>
                <w:szCs w:val="1"/>
                <w:color w:val="auto"/>
              </w:rPr>
            </w:pPr>
          </w:p>
        </w:tc>
      </w:tr>
      <w:tr>
        <w:trPr>
          <w:trHeight w:val="243"/>
        </w:trPr>
        <w:tc>
          <w:tcPr>
            <w:tcW w:w="380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29,046</w:t>
            </w:r>
          </w:p>
        </w:tc>
        <w:tc>
          <w:tcPr>
            <w:tcW w:w="3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29,427</w:t>
            </w:r>
          </w:p>
        </w:tc>
        <w:tc>
          <w:tcPr>
            <w:tcW w:w="380" w:type="dxa"/>
            <w:vAlign w:val="bottom"/>
          </w:tcPr>
          <w:p>
            <w:pPr>
              <w:spacing w:after="0"/>
              <w:rPr>
                <w:sz w:val="21"/>
                <w:szCs w:val="21"/>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28,422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30,125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29,891</w:t>
            </w:r>
          </w:p>
        </w:tc>
        <w:tc>
          <w:tcPr>
            <w:tcW w:w="3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29,590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0.21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0.24</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0.85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0.21</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0.23</w:t>
            </w: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0.82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15,016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25,544</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27,541</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19,154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21,188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10,555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719,878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694,037</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554,441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469,427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482,675</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471,727</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Total long-term debt and obligations under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finance leases, including current portion</w:t>
            </w:r>
          </w:p>
        </w:tc>
        <w:tc>
          <w:tcPr>
            <w:tcW w:w="24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271,887</w:t>
            </w:r>
          </w:p>
        </w:tc>
        <w:tc>
          <w:tcPr>
            <w:tcW w:w="34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303,617</w:t>
            </w:r>
          </w:p>
        </w:tc>
        <w:tc>
          <w:tcPr>
            <w:tcW w:w="38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181,491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103,466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104,776</w:t>
            </w:r>
          </w:p>
        </w:tc>
        <w:tc>
          <w:tcPr>
            <w:tcW w:w="32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132,822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285,822</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270,897</w:t>
            </w: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270,619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270,582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276,163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244,819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59,110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41,664</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55,799</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30,259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68,124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49,840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(25,280)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(155,450)</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(102,797)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(16,752)</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(49,651)</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w w:val="95"/>
              </w:rPr>
              <w:t>Net cash (used in) provided by financing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(44,137)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113,969</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53,045</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(40,378)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1 - Includes pre-tax charges of $5.7 million relating to special items. See the Income from Operations table in Item 7 for a description of these items. The impact of these items, net of taxes, on net income and diluted earnings per share was $2.9 million and $0.10, respectively.</w:t>
      </w:r>
    </w:p>
    <w:p>
      <w:pPr>
        <w:spacing w:after="0" w:line="17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2 - Includes pre-tax charges of $9.4 million relating to special items. See the Income from Operations table in Item 7 for a description of these items. The impact of these items, net of taxes, on net income and diluted earnings per share was $9.3 million and $0.32, respectively, including a $1.7 million tax charge related to the Tax Act.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3 - Includes pre-tax charges of $21.0 million relating to special items. The impact of these items, net of taxes, on net income and diluted earnings per share was $14.9 million and $0.51, respectively, including a $2.0 million tax charge related to the Tax Act.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4 - On January 3, 2017, the Company's Board of Directors approved a change in the Company's fiscal year end from May 31 to December 31, effective December 31, 2016. In connection with this change, we previously filed a Transition Report on Form 10-K to report the results of the seven-month transition period from June 1, 2016 to December 31, 2016. The transition period ended December 31, 2016 is the seven-month period from June 1, 2016 to December 31, 2016. Includes pre-tax charges of $2.2 million relating to special items. The impact of these items, net of taxes, on net income and diluted earnings per share was $1.6 million and $0.05, respectively.</w:t>
      </w:r>
    </w:p>
    <w:p>
      <w:pPr>
        <w:spacing w:after="0" w:line="21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5 - Includes pre-tax charges (benefits) of $6.0 million in fiscal 2016 and $0.1 million in fiscal 2015 relating to special items. Net income was (decreased) increased by these items, net of taxes, by ($3.2) million in fiscal 2016 and $1.0 million in fiscal 2015, respectively. The (decrease) increase of these items on diluted earnings per share were ($0.11) in fiscal 2016 and $0.03 in fiscal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following Management’s Discussion and Analysis (“MD&amp;A”) provides a discussion of our results of operations and financial position for the year ended December 31, 2019. A discussion of our results of operations and financial position for the year ended December 31, 2018 is included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of our Annual Report on Form 10-K for the fiscal year ended December 31, 2018 filed with the SEC on March 18, 2019, which discussion is incorporated herein by reference. The MD&amp;A should be read together with our consolidated financial statements and related notes included in Item 8 in this Annual Report on Form 10-K. Unless otherwise specified or the context otherwise requires, “Mistras,” “the Company,” “we,” “us” and “our” refer to Mistras Group, Inc. and its consolidated subsidiaries. The MD&amp;A includes the following sections:</w:t>
      </w:r>
    </w:p>
    <w:p>
      <w:pPr>
        <w:spacing w:after="0" w:line="19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See “Forward-Looking Statements” at the beginning of Item 1 of this Annual Report.</w:t>
      </w:r>
    </w:p>
    <w:p>
      <w:pPr>
        <w:spacing w:after="0" w:line="21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At the time of this report, the COVID-19 coronavirus is having a negative impact on our key markets and is causing significant economic disruption worldwide. Our discussion below is qualified by the unknown impact that the COVID-19 coronavirus could have on our business and the economy in general, including the duration of the health risk the virus will cause and resulting economic disruption.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offer our customers “OneSource for Asset Protection Solutions®" and are a leading global provider of technology-enabled asset protection solutions used to evaluate the structural integrity and reliability of critical energy, commercial aerospace and defense, industrial and public infrastructure. We combine industry-leading products and technologies, expertise in mechanical integrity (MI), Non-Destructive Testing (NDT), Destructive Testing (DT), mechanical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comprehensive “OneSource” portfolio of customized solutions, utilizing a proven systematic method that creates a closed-loop lifecycle for addressing continuous asset protection and improvement, helps us to deliver value to our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225" w:lineRule="exact"/>
        <w:rPr>
          <w:sz w:val="20"/>
          <w:szCs w:val="20"/>
          <w:color w:val="auto"/>
        </w:rPr>
      </w:pPr>
    </w:p>
    <w:p>
      <w:pPr>
        <w:ind w:left="660" w:right="400" w:hanging="328"/>
        <w:spacing w:after="0" w:line="263"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w:t>
      </w:r>
    </w:p>
    <w:p>
      <w:pPr>
        <w:spacing w:after="0" w:line="210" w:lineRule="exact"/>
        <w:rPr>
          <w:rFonts w:ascii="Arial" w:cs="Arial" w:eastAsia="Arial" w:hAnsi="Arial"/>
          <w:sz w:val="18"/>
          <w:szCs w:val="18"/>
          <w:i w:val="1"/>
          <w:iCs w:val="1"/>
          <w:color w:val="auto"/>
        </w:rPr>
      </w:pPr>
    </w:p>
    <w:p>
      <w:pPr>
        <w:ind w:left="660" w:right="20" w:hanging="328"/>
        <w:spacing w:after="0" w:line="308" w:lineRule="auto"/>
        <w:tabs>
          <w:tab w:leader="none" w:pos="655"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780" w:hanging="328"/>
        <w:spacing w:after="0" w:line="277"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Given the role our solutions play in enhancing the safe and efficient operation of infrastructure, we have historically provided a</w:t>
      </w:r>
    </w:p>
    <w:p>
      <w:pPr>
        <w:spacing w:after="0" w:line="2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majority of our solutions to our customers on a regular, recurring basis. We perform these services largely at our customers’ facilities, while primarily servicing our aerospace customers at our growing network of state-of-the-art, in-house laboratories. These solutions typically include NDT and inspection services, and can also include a wide range of mechanical services, including engineering assessments, heat tracing, pre-inspection insulation stripping, inspections, coating applications, reinsulation,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(natural gas, fossil, nuclear, alternative, renewable, and transmission and distribution), public infrastructure, chemicals, transportation, primary metals and metalworking and research and engineering institutions.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that we believe will enhance our advantages over our competition.</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acquisition of Onstream, completed in December 2018, helps support many of our Corporate initiatives. Onstream's strong presence in inline inspection provides us with a strong foundation within the midstream oil and gas market, which is an important piece of our overall growth strategy. We have already generated new business opportunities through introduction of our inline inspection capabilities to existing midstream customers. The acquisition of Onstream also provides us with an additional digital solution, Streamview™ software, which is an innovative application of advanced digital technology.</w:t>
      </w:r>
    </w:p>
    <w:p>
      <w:pPr>
        <w:spacing w:after="0" w:line="21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believe long-term growth can be realized in all of our target markets. We expect the timing of our oil and gas customers inspection spend to be impacted by oil price fluctuations. Demand for our services in the aerospace industry are strong and we continue to focus on expanding our capabilities to service this market. In addition, we have increased our capabilities and the size of our customer base through the development of applied technologies and managed support services, organic growth and the integration of acquired companies. Recent acquisitions have provided us with additional products, technologies, resources and customers that we believe will enhance our advantages over our competition.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about Non-GAAP Measures</w:t>
      </w:r>
    </w:p>
    <w:p>
      <w:pPr>
        <w:spacing w:after="0" w:line="2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this MD&amp;A under the heading "Income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believe investors and other users of our financial statements benefit from the presentation of "Income (loss) before special items” for each of our three segments, the Corporate segment and the Total Company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GAAP and/or necessarily comparable to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vs. Year ended December 31, 2018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the years ended December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412"/>
              <w:spacing w:after="0"/>
              <w:rPr>
                <w:sz w:val="20"/>
                <w:szCs w:val="20"/>
                <w:color w:val="auto"/>
              </w:rPr>
            </w:pPr>
            <w:r>
              <w:rPr>
                <w:rFonts w:ascii="Arial" w:cs="Arial" w:eastAsia="Arial" w:hAnsi="Arial"/>
                <w:sz w:val="14"/>
                <w:szCs w:val="14"/>
                <w:b w:val="1"/>
                <w:bCs w:val="1"/>
                <w:color w:val="auto"/>
                <w:w w:val="96"/>
              </w:rPr>
              <w:t>For the year ended December 31,</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748,586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8"/>
              </w:rPr>
              <w:t>742,354</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217,297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w w:val="98"/>
              </w:rPr>
              <w:t>207,874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Gross profit as a %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193,160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w w:val="98"/>
              </w:rPr>
              <w:t>185,653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Operating expenses as a % of Revenue</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24,137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22,221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Income from operations as a %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13,698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10,439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14,271</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Revenues by segment for the years ended December 31, 2019 and 2018 were as follows: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312"/>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5"/>
          </w:tcPr>
          <w:p>
            <w:pPr>
              <w:jc w:val="right"/>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595,130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574,619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153,448</w:t>
            </w:r>
          </w:p>
        </w:tc>
        <w:tc>
          <w:tcPr>
            <w:tcW w:w="0" w:type="dxa"/>
            <w:vAlign w:val="bottom"/>
          </w:tcPr>
          <w:p>
            <w:pPr>
              <w:spacing w:after="0"/>
              <w:rPr>
                <w:sz w:val="1"/>
                <w:szCs w:val="1"/>
                <w:color w:val="auto"/>
              </w:rPr>
            </w:pPr>
          </w:p>
        </w:tc>
      </w:tr>
      <w:tr>
        <w:trPr>
          <w:trHeight w:val="243"/>
        </w:trPr>
        <w:tc>
          <w:tcPr>
            <w:tcW w:w="8200" w:type="dxa"/>
            <w:vAlign w:val="bottom"/>
          </w:tcPr>
          <w:p>
            <w:pPr>
              <w:ind w:left="120"/>
              <w:spacing w:after="0"/>
              <w:rPr>
                <w:sz w:val="20"/>
                <w:szCs w:val="20"/>
                <w:color w:val="auto"/>
              </w:rPr>
            </w:pPr>
            <w:r>
              <w:rPr>
                <w:rFonts w:ascii="Arial" w:cs="Arial" w:eastAsia="Arial" w:hAnsi="Arial"/>
                <w:sz w:val="18"/>
                <w:szCs w:val="18"/>
                <w:color w:val="auto"/>
              </w:rPr>
              <w:t>Products and Systems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23,426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(9,139)</w:t>
            </w: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748,586</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742,354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Revenue was $748.6 million for the year ended December 31, 2019, an increase of $6.2 million, or 0.8%, compared with the year ended December 31, 2018. The increase was driven by the Services segment, which increased by $20.5 million, or 3.6%, driven by mid-single-digit acquisition growth primarily relating to the acquisition of Onstream in the fourth quarter of 2018, partially offset by low single-digit organic decline and the unfavorable impact of foreign exchange rates. The International segment revenues decreased 6.0%, driven primarily by the unfavorable impact of foreign exchange rates. The Products and Systems segment decreased 20.7%, driven by lower sales volume and by the sale of a subsidiary during the third quarter of 2018.</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 xml:space="preserve">Revenues from oil and gas customers comprised 58% and 56% for the years ended December 31, 2019 and 2018, respectively. Revenues from aerospace and defense customers comprised 13% and 15% for the years ended December 31, 2019 and 2018, respectively. This decrease in aerospace and defense customer revenues is attributed to the run-off of the German staff leasing contracts in the International segment, as more fully described in Note 18–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to the consolidated financial statements, and the increase in volume in the oil and gas market is due to the Onstream</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completed in the fourth quarter of 2018.</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years ended December 31, 2019 and December 31, 2018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8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196"/>
        </w:trPr>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165,513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151,974</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43,145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45,464</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Products and Systems</w:t>
            </w:r>
          </w:p>
        </w:tc>
        <w:tc>
          <w:tcPr>
            <w:tcW w:w="30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8,639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10,560</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45.1 %</w:t>
            </w: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30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(124)</w:t>
            </w:r>
          </w:p>
        </w:tc>
      </w:tr>
      <w:tr>
        <w:trPr>
          <w:trHeight w:val="27"/>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217,297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207,874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220" w:type="dxa"/>
            <w:vAlign w:val="bottom"/>
          </w:tcPr>
          <w:p>
            <w:pPr>
              <w:ind w:left="300"/>
              <w:spacing w:after="0"/>
              <w:rPr>
                <w:sz w:val="20"/>
                <w:szCs w:val="20"/>
                <w:color w:val="auto"/>
              </w:rPr>
            </w:pPr>
            <w:r>
              <w:rPr>
                <w:rFonts w:ascii="Arial" w:cs="Arial" w:eastAsia="Arial" w:hAnsi="Arial"/>
                <w:sz w:val="18"/>
                <w:szCs w:val="18"/>
                <w:i w:val="1"/>
                <w:iCs w:val="1"/>
                <w:color w:val="auto"/>
              </w:rPr>
              <w:t>% of total revenue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28.0 %</w:t>
            </w:r>
          </w:p>
        </w:tc>
      </w:tr>
    </w:tbl>
    <w:p>
      <w:pPr>
        <w:spacing w:after="0" w:line="3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increased $9.4 million, or 4.5%, for the year ended December 31, 2019 compared to the year ended December 31, 2018, with a sales increase of 0.8%. Gross profit margin was 29.0% and 28.0% for the years ended December 31, 2019 and 2018, respectively. Services segment gross profit margins had a year-on-year increase of 140 basis points to 27.8% for the year ended December 31, 2019, due primarily to favorable operating leverage and service mix. International segment gross margins had a year-on-year increase of 30 basis points to 29.9% for the year ended December 31, 2019, due primarily to favorable sales mix. Products and Systems segment gross margins improved by 140 basis points for the year ended December 31, 2019 to 46.5%, driven by favorable sales mix.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2019 and December 31, 2018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w w:val="99"/>
              </w:rPr>
              <w:t>For the year ended December 31,</w:t>
            </w:r>
          </w:p>
        </w:tc>
      </w:tr>
      <w:tr>
        <w:trPr>
          <w:trHeight w:val="196"/>
        </w:trPr>
        <w:tc>
          <w:tcPr>
            <w:tcW w:w="8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196"/>
        </w:trPr>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168,621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165,702</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650</w:t>
            </w: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300" w:type="dxa"/>
            <w:vAlign w:val="bottom"/>
          </w:tcPr>
          <w:p>
            <w:pPr>
              <w:spacing w:after="0"/>
              <w:rPr>
                <w:sz w:val="21"/>
                <w:szCs w:val="21"/>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5,886</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 on sale of subsidiary</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(2,384)</w:t>
            </w: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Research and engineering</w:t>
            </w:r>
          </w:p>
        </w:tc>
        <w:tc>
          <w:tcPr>
            <w:tcW w:w="300" w:type="dxa"/>
            <w:vAlign w:val="bottom"/>
          </w:tcPr>
          <w:p>
            <w:pPr>
              <w:spacing w:after="0"/>
              <w:rPr>
                <w:sz w:val="21"/>
                <w:szCs w:val="21"/>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3,310</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16,733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11,957</w:t>
            </w: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Acquisition-related expense, net</w:t>
            </w:r>
          </w:p>
        </w:tc>
        <w:tc>
          <w:tcPr>
            <w:tcW w:w="300" w:type="dxa"/>
            <w:vAlign w:val="bottom"/>
          </w:tcPr>
          <w:p>
            <w:pPr>
              <w:spacing w:after="0"/>
              <w:rPr>
                <w:sz w:val="21"/>
                <w:szCs w:val="21"/>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532</w:t>
            </w:r>
          </w:p>
        </w:tc>
      </w:tr>
      <w:tr>
        <w:trPr>
          <w:trHeight w:val="27"/>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193,160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185,653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220" w:type="dxa"/>
            <w:vAlign w:val="bottom"/>
          </w:tcPr>
          <w:p>
            <w:pPr>
              <w:ind w:left="300"/>
              <w:spacing w:after="0"/>
              <w:rPr>
                <w:sz w:val="20"/>
                <w:szCs w:val="20"/>
                <w:color w:val="auto"/>
              </w:rPr>
            </w:pPr>
            <w:r>
              <w:rPr>
                <w:rFonts w:ascii="Arial" w:cs="Arial" w:eastAsia="Arial" w:hAnsi="Arial"/>
                <w:sz w:val="18"/>
                <w:szCs w:val="18"/>
                <w:i w:val="1"/>
                <w:iCs w:val="1"/>
                <w:color w:val="auto"/>
              </w:rPr>
              <w:t>% of total revenue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25.0 %</w:t>
            </w:r>
          </w:p>
        </w:tc>
      </w:tr>
    </w:tbl>
    <w:p>
      <w:pPr>
        <w:spacing w:after="0" w:line="36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Operating expenses increased $7.5 million, or 4.0%, for the year ended December 31, 2019 compared to the year ended December 31, 2018. Operating expenses, as a percentage of revenue, increased to 25.8% for the year ended December 31, 2019 compared to 25.0% for the year ended December 31, 2018. Operating expenses related to the 2019 and 2018 acquisitions within our Services segment contributed approximately $13.6 million of additional expenses, inclusive of approximately $5.5 million in depreciation and amortization. Transactional foreign exchange expense was approximately $1.8 million lower in 2019 as compared to 2018, primarily as a result of a stronger Canadian dollar compared to the U.S. dollar during 2019. The Company incurred approximately $1.7 million in additional bad debt expense mainly attributable to customer disputes (see Note 4–</w:t>
      </w:r>
      <w:r>
        <w:rPr>
          <w:rFonts w:ascii="Arial" w:cs="Arial" w:eastAsia="Arial" w:hAnsi="Arial"/>
          <w:sz w:val="17"/>
          <w:szCs w:val="17"/>
          <w:i w:val="1"/>
          <w:iCs w:val="1"/>
          <w:color w:val="auto"/>
        </w:rPr>
        <w:t>Accounts Receivable</w:t>
      </w:r>
      <w:r>
        <w:rPr>
          <w:rFonts w:ascii="Arial" w:cs="Arial" w:eastAsia="Arial" w:hAnsi="Arial"/>
          <w:sz w:val="17"/>
          <w:szCs w:val="17"/>
          <w:color w:val="auto"/>
        </w:rPr>
        <w:t xml:space="preserve"> to the consolidated financial statements). Legal related expenses were approximately $1.0 million lower in 2019 as compared with 2018, primarily due to the pension withdrawal and legal related matters as discussed in Note 18–</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the consolidated financial statements. There were approximately $3.8 million less operating expenses related to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items as presented below.</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will incur a withdrawal liability related to these multi-employer pension plans. Accordingly, the Company recorded a charge of $5.9 million during 2018 and $0.8 million during 2019 for this potential withdrawal liability. The Company’s subsidiary reached an agreement with one of the pension funds in September 2019 and made a final payment of $0.9 million in complete satisfaction of the withdrawal liability of the subsidiary. Excluding the settlement payment, the Company has made monthly payments totaling $3.3 million through December 31, 2019. The balance of the estimated total amount of this potential liability as of December 31, 2019 is approximately $2.5 million.</w:t>
      </w:r>
    </w:p>
    <w:p>
      <w:pPr>
        <w:spacing w:after="0" w:line="20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would not renew several of these leasing services contracts when they expired beginning in 2019. Due to the limit on the length of service allowed under the German Labor Lease Act, employees are being transitioned off the customer contracts. The German subsidiary has terminated, or will terminate, some of these employees, creating a severance obligation to the terminated employees, and has transitioned, or will transition other employees to the Company's other customers. During December 2019, the Company executed an agreement to sell the rights of certain customer contracts for total consideration of approximately $0.1 million, effective January 1, 2020. No other assets or liabilities other than those employee benefits related to employees working on the customer contracts were included in the sale. As of December 31, 2019, the Company accrued approximately $0.8 million for estimated severance payment obligations, which takes into account the Company's estimate with respect to the employees that have been or will be transitioned to the German subsidiaries' other customers. The $0.8 million of estimated obligations is net of $0.2 million in payments and $0.5 million in reversals due to employees being transitioned to customer contracts.</w:t>
      </w:r>
    </w:p>
    <w:p>
      <w:pPr>
        <w:spacing w:after="0" w:line="1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2018, the Company recorded approximately $1.2 million in charges related to labor claims against its Brazilian subsidiary, which are included within Selling, general and administrative expenses. These claims related to employees in a company acquired by the Brazilian subsidiary in a prior period. The Company believes it is entitled to indemnification from the sellers of the acquired company for most of these charges but has not recorded the expected recovery of indemnification for these labor claims as the amount and timing of collection is uncertain as of December 31,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following table shows a reconciliation of segment income from operations to income before special items for the years ended December 31, 2019 and 2018: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96"/>
        </w:trPr>
        <w:tc>
          <w:tcPr>
            <w:tcW w:w="8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from operations (GAAP)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49,593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47,126</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7"/>
        </w:trPr>
        <w:tc>
          <w:tcPr>
            <w:tcW w:w="8380" w:type="dxa"/>
            <w:vAlign w:val="bottom"/>
          </w:tcPr>
          <w:p>
            <w:pPr>
              <w:ind w:left="120"/>
              <w:spacing w:after="0"/>
              <w:rPr>
                <w:sz w:val="20"/>
                <w:szCs w:val="20"/>
                <w:color w:val="auto"/>
              </w:rPr>
            </w:pPr>
            <w:r>
              <w:rPr>
                <w:rFonts w:ascii="Arial" w:cs="Arial" w:eastAsia="Arial" w:hAnsi="Arial"/>
                <w:sz w:val="18"/>
                <w:szCs w:val="18"/>
                <w:color w:val="auto"/>
              </w:rPr>
              <w:t>Income before special items (non-GAAP)</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54,302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54,696</w:t>
            </w:r>
          </w:p>
        </w:tc>
        <w:tc>
          <w:tcPr>
            <w:tcW w:w="0" w:type="dxa"/>
            <w:vAlign w:val="bottom"/>
          </w:tcPr>
          <w:p>
            <w:pPr>
              <w:spacing w:after="0"/>
              <w:rPr>
                <w:sz w:val="1"/>
                <w:szCs w:val="1"/>
                <w:color w:val="auto"/>
              </w:rPr>
            </w:pPr>
          </w:p>
        </w:tc>
      </w:tr>
      <w:tr>
        <w:trPr>
          <w:trHeight w:val="27"/>
        </w:trPr>
        <w:tc>
          <w:tcPr>
            <w:tcW w:w="8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8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from operations (GAAP)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(benefit),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before special items (non-GAAP)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6,142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7,510</w:t>
            </w:r>
          </w:p>
        </w:tc>
        <w:tc>
          <w:tcPr>
            <w:tcW w:w="0" w:type="dxa"/>
            <w:vAlign w:val="bottom"/>
          </w:tcPr>
          <w:p>
            <w:pPr>
              <w:spacing w:after="0"/>
              <w:rPr>
                <w:sz w:val="1"/>
                <w:szCs w:val="1"/>
                <w:color w:val="auto"/>
              </w:rPr>
            </w:pPr>
          </w:p>
        </w:tc>
      </w:tr>
      <w:tr>
        <w:trPr>
          <w:trHeight w:val="49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operations (GAAP)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Gain on sale of subsidiary</w:t>
            </w:r>
          </w:p>
        </w:tc>
        <w:tc>
          <w:tcPr>
            <w:tcW w:w="2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8380" w:type="dxa"/>
            <w:vAlign w:val="bottom"/>
          </w:tcPr>
          <w:p>
            <w:pPr>
              <w:ind w:left="120"/>
              <w:spacing w:after="0"/>
              <w:rPr>
                <w:sz w:val="20"/>
                <w:szCs w:val="20"/>
                <w:color w:val="auto"/>
              </w:rPr>
            </w:pPr>
            <w:r>
              <w:rPr>
                <w:rFonts w:ascii="Arial" w:cs="Arial" w:eastAsia="Arial" w:hAnsi="Arial"/>
                <w:sz w:val="18"/>
                <w:szCs w:val="18"/>
                <w:color w:val="auto"/>
              </w:rPr>
              <w:t>Income (loss) before special items (non-GAAP)</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8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operations (GAAP)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(31,226)</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7"/>
        </w:trPr>
        <w:tc>
          <w:tcPr>
            <w:tcW w:w="8380" w:type="dxa"/>
            <w:vAlign w:val="bottom"/>
          </w:tcPr>
          <w:p>
            <w:pPr>
              <w:ind w:left="120"/>
              <w:spacing w:after="0"/>
              <w:rPr>
                <w:sz w:val="20"/>
                <w:szCs w:val="20"/>
                <w:color w:val="auto"/>
              </w:rPr>
            </w:pPr>
            <w:r>
              <w:rPr>
                <w:rFonts w:ascii="Arial" w:cs="Arial" w:eastAsia="Arial" w:hAnsi="Arial"/>
                <w:sz w:val="18"/>
                <w:szCs w:val="18"/>
                <w:color w:val="auto"/>
              </w:rPr>
              <w:t>Loss before special items (non-GAAP)</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(30,345)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(30,556)</w:t>
            </w:r>
          </w:p>
        </w:tc>
        <w:tc>
          <w:tcPr>
            <w:tcW w:w="0" w:type="dxa"/>
            <w:vAlign w:val="bottom"/>
          </w:tcPr>
          <w:p>
            <w:pPr>
              <w:spacing w:after="0"/>
              <w:rPr>
                <w:sz w:val="1"/>
                <w:szCs w:val="1"/>
                <w:color w:val="auto"/>
              </w:rPr>
            </w:pPr>
          </w:p>
        </w:tc>
      </w:tr>
      <w:tr>
        <w:trPr>
          <w:trHeight w:val="27"/>
        </w:trPr>
        <w:tc>
          <w:tcPr>
            <w:tcW w:w="8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Company:</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0"/>
        </w:trPr>
        <w:tc>
          <w:tcPr>
            <w:tcW w:w="8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from operations (GAAP)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24,137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22,221</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 on sale of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Acquisition-related expense, net</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before special items (non-GAAP)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29,788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31,663</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Operating expenses, excluding special items (non-GAAP), as a percentage of revenue, was 25.0% for the year ended December 31, 2019 compared to 23.7% for the year ended December 31, 2018. Total Company income from operations (GAAP) increased by $1.9 million, or 8.6% compared to the year ended December 31, 2018. Total Company income before special items (non-GAAP) decreased by $1.9 million or 5.9% compared with the year ended December 31, 2018. Income before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special items decreased by 30 basis points to 4.0% for the year ended December 31, 2019 from 4.3% for the year ended December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was $13.7 million and $8.0 million for the years ended December 31, 2019 and December 31, 2018, respectively. The increase is related to higher average levels of borrowings on the Company's credit agreement, which is primarily attributable to the Onstream acquisition completed during the fourth quarter of 2018, and to a lesser extent, from an increase in the base borrowing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effective income tax rate was approximately 41.8% for the year ended December 31, 2019, compared to 52.0% for the year ended December 31, 2018. The change in effective tax rate was primarily driven by decrease due to a tax reform in the United States resulting in a transition tax impact in prior years, a decrease in a Canadian provincial tax rate, partially offset by an increase in nondeductible share-based compensation.</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June 28, 2019, the Canadian province of Alberta enacted the Job Creation Tax Cut which reduced the Alberta corporate income tax rate from 12% to 11% starting in 2019 with further annual reductions to 10% in 2020, 9% in 2021, and 8% in 2022. This rate reduction had a favorable impact of approximately $1.9 million on the Company’s net deferred tax liabilities in this jurisdiction.</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United States enacted the Coronavirus Aid, Relief, and Economic Security Act (CARES Act). The CARES Act is an approximately $2 trillion emergency economic stimulus package in response to the Coronavirus outbreak, which among other things contains numerous income tax provisions. Some of these tax provisions are expected to be effective retroactively for years ending before the date of enactment. The Company is currently evaluating the impact of the CARES Act on its consolidated financial position, results of operations, and cash flows.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United States enacted fundamental changes to federal tax law following the passage of the Tax Cuts and Jobs Act (the “Tax Act”). The Tax Act is complex and significantly changes the U.S. corporate tax system. During the year ended December 31, 2018, the Company completed the accounting for the effects of the Tax Act on the period ended December 31, 2017, which resulted in income tax expense of $1.7 million. This consisted primarily of an increase of $0.1 million in our net deferred tax liabilities due to the reduction in the federal corporate rate from 35% to 21%, an increase of $1.3 million in tax expense attributable to the transition tax, and a decrease in deferred tax assets of $0.4 million due to changes made to executive compensation.</w:t>
      </w:r>
    </w:p>
    <w:p>
      <w:pPr>
        <w:spacing w:after="0" w:line="21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Company has funded its operations from cash provided from operations, bank borrowings and lease financings. Management believes that the Company's existing cash and cash equivalents, anticipated cash flows from operating activities, and available borrowings under our credit agreement will be more than sufficient to meet anticipated cash needs over the next 12 months. The Company generated operating cash flow of $59.1 million and $41.7 million for the years ended December 31, 2019 and 2018, respectively. Capital expenditures for the purchase of property, plant and equipment and of intangible assets was $22.9 million and $21.1 million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2019 and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96"/>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59,110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41,664</w:t>
            </w: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(25,280)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(155,450)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(44,137)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113,969</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(2,180)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(10,528)</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(1,997)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Cash provided by operating activities for the year ended December 31, 2019 was $59.1 million, an increase of $17.4 million from the prior year. The increase was primarily attributable to movements in working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5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$25.3 million, a decline of $130.2 million from the prior year. In addition, the Company used $1.8 million less for purchases of property, plant and equipment and intangible assets in 2019 compared to 2018. In 2018, the Company used $135.7 million for acquisitions, net of dispositions.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cash used by financing activities for the year ended December 31, 2019 was $44.1 million, compared to net cash provided by financing activities of $114.0 million for the year ended December 31, 2018. In 2018, the Company had net borrowings of $125.2 million, the proceeds of which were primarily used to fund acquisitions, of which approximately $29.7 million was repaid during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December 31, 2019, the Company had cash and cash equivalents totaling $15.0 million and available borrowing capacity of up to $149.6 million under its credit agreement (as defined below). Borrowings of $246.7 million and letters of credit of $3.7 million were outstanding under the credit agreement at December 31, 2019. We finance our operations primarily through our existing cash balances, cash collected from operations, bank borrowings and lease financing. We believe these sources are sufficient to fund our operations for the foreseeable future.</w:t>
      </w:r>
    </w:p>
    <w:p>
      <w:pPr>
        <w:spacing w:after="0" w:line="19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December 13, 2018, the Company entered into a Fifth Amended and Restated Credit Agreement (“Credit Agreement”). The Credit Agreement increased the Company’s revolving line of credit from $250 million to $300 million and provides that under certain circumstances the line of credit can be increased to $450 million. In addition, the Credit Agreement provided the Company with a $100 million senior secured term loan A facility. The Company increased its borrowing capacity under the Credit Agreement primarily to fund an acquisition in December 2018. Both the revolving line of credit and the term loan A facility under the Credit Agreement have a maturity date of December 12, 2023. The Company may continue to borrow up to $100 million in non-U.S. Dollar currencies and use up to $20 million of the credit limit for the issuance of letters of credit.</w:t>
      </w:r>
    </w:p>
    <w:p>
      <w:pPr>
        <w:spacing w:after="0" w:line="20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2%, or a base rate less a margin of 1.25% to 0.375%, at the option of the Company, based upon the Company’s Funded Debt Leverage Ratio. Funded Debt Leverage Ratio is generally the ratio of (1) all outstanding indebtedness for borrowed money and other interest-bearing indebtedness as of the date of determination to (2) EBITDA (which is</w:t>
      </w:r>
    </w:p>
    <w:p>
      <w:pPr>
        <w:spacing w:after="0" w:line="2" w:lineRule="exact"/>
        <w:rPr>
          <w:sz w:val="20"/>
          <w:szCs w:val="20"/>
          <w:color w:val="auto"/>
        </w:rPr>
      </w:pPr>
    </w:p>
    <w:p>
      <w:pPr>
        <w:ind w:right="60" w:firstLine="8"/>
        <w:spacing w:after="0" w:line="252"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$10 million in the four consecutive quarters immediately preceding the date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determination) for items such as severance, lease termination charges, asset write-offs and litigation settlements paid, and multi-employer pension plan withdrawal liabilities, all determined for the period of four consecutive fiscal quarters immediately preceding the date of determination of EBITDA. The Company has the benefit of the lowest margin if its Funded Debt Leverage Ratio is equal to or less than 1.0 to 1, and the margin increases as the ratio increases, to the maximum margin if the ratio is greater than 3.25 to 1. The Company will also bear additional costs for market disruption, regulatory changes affecting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6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no greater than 4.25 to 1 through December 31, 2018, reducing to a maximum permitted ratio of 3.50 to 1 as of March 31, 2020 and all quarterly periods thereafter, and a Fixed Charge Coverage Ratio of at least 1.25 to 1. Fixed Charge Coverage Ratio means the ratio, as of any date of determination, of (a) (i) EBITDA for the 12 month period immediately preceding the date of determination, taken together as one accounting period, less (ii) the aggregate amount of all capital expenditures made during the period, less (iii) taxes paid in cash during the period, less (iv) Restricted Payments paid in cash during the period, -to- (b) the sum of (i)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U.S. generally accepted accounting principles ("GAAP") and to the extent paid in cash during the period, (ii) the aggregate principal amount of all redemptions or similar acquisitions for value of outstanding debt for borrowed money or regularly scheduled principal payments made during the period, but excluding any such payments to the extent refinanced through the incurrence of additional Indebtedness otherwise expressly permitted under the Credit Agreement, and (iii) payments made during the period under all leases that have been or should be, in accordance with GAAP as in effect for our 2017 audited financial statement, recorded as capitalized leases.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9, 2020, the Credit Agreement was amended to provide that the maximum Funded Debt Leverage Ratio is 4.0 to 1 for the quarters ended December 31, 2019 through June 30, 2020; 3.75 to 1 for the quarter ending September 30, 2020; and 3.5 to 1 for the quarter ending December 31, 2020 and each quarter end thereafter, and increased the maximum LIBOR margin from 2.0% to 2.25% if the Funded Debt Leverage Ratio exceeds 3.75 to 1. Beginning in 2020, the Company can elect to increase the maximum Funded Debt Leverage Ratio to 4.0 to 1 for four fiscal quarters immediately following the fiscal quarter in which the Company acquires another business, with the maximum permitted ratio reducing back to 3.5 to 1 in the fifth fiscal quarter following such acquisition. The Company can make this election twice during the term of the Credit Agreement.</w:t>
      </w:r>
    </w:p>
    <w:p>
      <w:pPr>
        <w:spacing w:after="0" w:line="20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 However, as amended on March 9, 2020, for acquisitions completed prior to April 1, 2021, (a) the aggregate consideration for all acquisitions made on or after March 9, 2020 and prior to April 1, 2021 shall not exceed $5,000,000, and (b) prior to the first of any such acquisition, the Company shall have demonstrated a Funded Debt Leverage Ratio of not greater than 3.0 to 1.0 for two consecutive fiscal quarters immediately prior to such acquisition.</w:t>
      </w:r>
    </w:p>
    <w:p>
      <w:pPr>
        <w:spacing w:after="0" w:line="15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December 31, 2019, the Company was in compliance with the terms of the Credit Agreement, and has undertaken to continuously monitor compliance with these covenants.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We expect our future sources of cash to include cash flow generated from our operating activities and borrowings under our Credit Agreement. Our revolving credit facility is available for cash advances required for working capital and for letters of credit to support our operations. Acquisitions are funded through available cash and borrowings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We expect our future uses of cash will primarily be for repayment of debt, international expansion, stock repurchases, purchases or manufacture of field-testing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2% to 3% of our total revenues on capital expenditures, excluding acquisitions, and expect to fund these expenditures through a combination of cash and lease financing. Our cash capital expenditures, excluding acquisitions, for each of the years ended December 31, 2019 and 2018 were approximately 3% of revenues. However, the current COVID-19 coronavirus pandemic will negatively impact our cash flow and our uses of cash, particularly if we experience a material reduction in our revenues due to actions taken to combat the spread of the virus. We are taking steps to reduce spending and preserve cash.</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restrictions in our credit agreement, as amended, we do not expect to make any acquisitions in 2020. We acquired one company during each of the years ended December 31, 2019 and 2018, for an aggregate cash outlay of $144.2 million. In some cases, additional equipment will be needed to upgrade the capabilities of these acquired companies. In addition, our future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finance leases, long-term debt repayments and various other obligations as they arise.</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generally do not enter into long-term minimum purchase commitments. Our principal commitments, in addition to those related to our long-term debt discussed below, consist of obligations under facility leases for office space and equipment leases and contingent consideration obligations in connection with our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contractual obligations as of December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40"/>
        </w:trPr>
        <w:tc>
          <w:tcPr>
            <w:tcW w:w="25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254,713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6,593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8,864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225,343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70"/>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23"/>
                <w:szCs w:val="23"/>
                <w:color w:val="auto"/>
                <w:vertAlign w:val="superscript"/>
              </w:rPr>
              <w:t>(2)</w:t>
            </w:r>
          </w:p>
        </w:tc>
        <w:tc>
          <w:tcPr>
            <w:tcW w:w="220" w:type="dxa"/>
            <w:vAlign w:val="bottom"/>
          </w:tcPr>
          <w:p>
            <w:pPr>
              <w:spacing w:after="0"/>
              <w:rPr>
                <w:sz w:val="23"/>
                <w:szCs w:val="23"/>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6,241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obligations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56,285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12,466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10,347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8,193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6,790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175"/>
        </w:trPr>
        <w:tc>
          <w:tcPr>
            <w:tcW w:w="2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5"/>
                <w:szCs w:val="15"/>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obligations</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334,520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27,914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25,209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23,085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234,622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15,969</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340" w:right="300" w:hanging="332"/>
        <w:spacing w:after="0" w:line="219" w:lineRule="auto"/>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Consists primarily of the principal portion of borrowings from our senior credit facility in connection with our acquisitions and includes the current portion outstanding.</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minimum lease payments over the remaining terms of the leases.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Fair Value of payments deemed reasonably likely to occur in connection with our acquisitions.</w:t>
      </w:r>
    </w:p>
    <w:p>
      <w:pPr>
        <w:spacing w:after="0" w:line="2" w:lineRule="exact"/>
        <w:rPr>
          <w:rFonts w:ascii="Arial" w:cs="Arial" w:eastAsia="Arial" w:hAnsi="Arial"/>
          <w:sz w:val="23"/>
          <w:szCs w:val="23"/>
          <w:color w:val="auto"/>
          <w:vertAlign w:val="superscript"/>
        </w:rPr>
      </w:pPr>
    </w:p>
    <w:p>
      <w:pPr>
        <w:ind w:left="320" w:hanging="312"/>
        <w:spacing w:after="0" w:line="213" w:lineRule="auto"/>
        <w:tabs>
          <w:tab w:leader="none" w:pos="32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Consists of the remaining portion of a three-year cumulative agreement to purchase products from the buyer associated with the sale of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During the years ended December 31, 2019 and 2018,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preparation of financial statements in accordance with generally accepted accounting principles requires that we make estimates and assumptions that affect the reported amounts of assets and liabilities and disclosure of contingent assets and liabilities at the date of financial statements and the reported amounts of revenues and expenses during the reporting period. The accounting policies that we believe require more significant estimates and assumptions include: revenue recognition, long-lived assets and goodwill.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6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believe that the following critical accounting policies comprise the more significant estimates and assumptions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majority of the Company's revenues are derived from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majority of our revenues are short-term in nature. The Company has many Master Service Agreements (MSAs) that specify an overall framework and terms of contract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perform a review of long-lived assets (or asset groups) for impairment when events or changes in circumstances indicate the carrying value of such assets may not be recoverable. If an indication of impairment is present, we compare the estimated undiscounted future cash flows to be generated by the asset (or asset group) to its carrying amount. If the undiscounted future cash flows are less than the carrying amount of the asset (or asset group), we record an impairment loss equal to the excess of the asset’s carrying amount over its fair value. We estimate fair value based on valuation techniques such as a discounted cash flow analysis or a comparison to fair values of similar assets. As of December 31, 2019 and December 31, 2018, we had $98.6 million and $93.9 million in net property, plant and equipment, respectively, and $109.5 million and $111.4 million in intangible assets, net,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Goodwill represents the excess purchase price of acquired businesses over the fair values attributed to underlying net tangible assets and identifiable intangible assets. We test goodwill for impairment at a “reporting unit” level (which for the Company is represented by (i) our Services segment, (ii) our Products and Systems segment, and (iii) the European component of our International segment and (iv) the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the fair value of a reporting unit is less than its carrying value, this is an indicator that the goodwill assigned to that reporting unit may be impaired. As a result of the Company adopting ASU 2017-04, impairment will be recorded in the amount that fair value is less than carrying value, as the ASU eliminated step two of the goodwill impairment process. The Company considers the income and market approaches to estimating the fair value of our reporting units, which requires significant judgment in evaluation of economic and industry trends, estimated future cash flows, discount rates and other factors.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As of December 31, 2019, there are no indicators of an impairment. See Note 8–</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to the consolidated financial statements for 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We allocate the purchase price of acquired businesses to their identifiable tangible assets and liabilities as well as identifiable intangible assets, such as customer relationships, technology, non-compete agreements and trade names. Allocations are based on estimated fair values of assets and liabilities, which reflects assumptions that would be made by typical market participants if they were to buy or sell each asset on an individual asset basis.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Accounting Standards Update ("ASC") 820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Measurements and Disclosure. </w:t>
      </w:r>
      <w:r>
        <w:rPr>
          <w:rFonts w:ascii="Arial" w:cs="Arial" w:eastAsia="Arial" w:hAnsi="Arial"/>
          <w:sz w:val="16"/>
          <w:szCs w:val="16"/>
          <w:color w:val="auto"/>
        </w:rPr>
        <w:t>Deferred taxes are recorded for any differences between the assigned values and tax bases of assets and liabilities. We</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engage third-party valuation experts to assist in determining the fair values for both identifiable tangible and intangible assets. The judgments made in determining the estimated fair value assigned to each class of assets acquired and liabilities assumed, as well as asset lives, could materially impact our results of operations. See Note 7–</w:t>
      </w:r>
      <w:r>
        <w:rPr>
          <w:rFonts w:ascii="Arial" w:cs="Arial" w:eastAsia="Arial" w:hAnsi="Arial"/>
          <w:sz w:val="16"/>
          <w:szCs w:val="16"/>
          <w:i w:val="1"/>
          <w:iCs w:val="1"/>
          <w:color w:val="auto"/>
        </w:rPr>
        <w:t>Acquisitions and Disposition</w:t>
      </w:r>
      <w:r>
        <w:rPr>
          <w:rFonts w:ascii="Arial" w:cs="Arial" w:eastAsia="Arial" w:hAnsi="Arial"/>
          <w:sz w:val="16"/>
          <w:szCs w:val="16"/>
          <w:color w:val="auto"/>
        </w:rPr>
        <w:t xml:space="preserve"> to the consolidated financial statements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5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080808"/>
        </w:rPr>
        <w:t>For information about recent accounting pronouncements, see Note 1–</w:t>
      </w:r>
      <w:r>
        <w:rPr>
          <w:rFonts w:ascii="Arial" w:cs="Arial" w:eastAsia="Arial" w:hAnsi="Arial"/>
          <w:sz w:val="18"/>
          <w:szCs w:val="18"/>
          <w:i w:val="1"/>
          <w:iCs w:val="1"/>
          <w:color w:val="080808"/>
        </w:rPr>
        <w:t>Summary of Significant Accounting Policies and Practices</w:t>
      </w:r>
      <w:r>
        <w:rPr>
          <w:rFonts w:ascii="Arial" w:cs="Arial" w:eastAsia="Arial" w:hAnsi="Arial"/>
          <w:sz w:val="18"/>
          <w:szCs w:val="18"/>
          <w:color w:val="080808"/>
        </w:rPr>
        <w:t xml:space="preserv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The Company’s investment portfolio primarily includes cash equivalents for which the market values are not significantly affected by changes in interest rates. Our interest rate risk results primarily from our variable rate indebtedness under our credit facility, which is influenced by movements in short-term rates. Borrowings under our $300.0 million revolving credit facility as well as our $100.0 million senior secured term loan A facility are based on LIBOR, plus an additional margin based on our Funded Debt Leverage Ratio. Based on the amount of variable rate debt, $246.7 million at December 31, 2019, an increase in interest rates by one hundred basis points from our current rate would increase annual interest expense by approximately $2.5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Translation adjustments for these movements are recorded as a separate component of Accumulated Other Comprehensive Income in Stockholder Equity. We do not currently enter into forward exchange contracts to hedge exposures denominated in foreign currencies. An unfavorable 10% change (strengthening) in the average U.S. Dollar exchange rates for the year ended December 31, 2019 would cause a decrease in consolidated operating income of approximately $0.4 million. We may consider entering into hedging or forward exchange contracts in the future, as sales in international currencies increase due to growth in our International segment.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have not been significantly affected by inflation and changing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Mistras Group, Inc.:</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8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have audited the accompanying consolidated balance sheets of Mistras Group, Inc. and subsidiaries (the Company) as of December 31, 2019 and 2018, the related consolidated statements of income (loss), comprehensive income (loss), equity, and cash flows for each of the years in the three-year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15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2019, based on criteria established in Internal Control – Integrated Framework (2013) issued by the Committee of Sponsoring Organizations of the Treadway Commission, and our report dated March 27, 2020 expressed an adverse opinion on the effectiveness of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0"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320"/>
        <w:spacing w:after="0" w:line="293"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2013.</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Short Hills, New Jersey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Mistras Group, Inc.:</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8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We have audited Mistras Group, Inc. and subsidiaries’ (the Company) internal control over financial reporting as of December 31, 2019, based on criteria established in Internal Control – Integrated Framework (2013)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2019, based on criteria established in Internal Control – Integrated Framework (2013) issued by the Committee of Sponsoring Organizations of the Treadway Commission.</w:t>
      </w:r>
    </w:p>
    <w:p>
      <w:pPr>
        <w:spacing w:after="0" w:line="163" w:lineRule="exact"/>
        <w:rPr>
          <w:sz w:val="20"/>
          <w:szCs w:val="20"/>
          <w:color w:val="auto"/>
        </w:rPr>
      </w:pPr>
    </w:p>
    <w:p>
      <w:pPr>
        <w:jc w:val="both"/>
        <w:ind w:right="260"/>
        <w:spacing w:after="0" w:line="28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income (loss), comprehensive income (loss), equity, and cash flows for each of the years in the three-year period ended December 31, 2019, and the related notes (collectively, the consolidated financial statements), and our report dated March 27, 2020 expressed an unqualified opinion on those consolidated financial statements.</w:t>
      </w:r>
    </w:p>
    <w:p>
      <w:pPr>
        <w:spacing w:after="0" w:line="125"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have been identified and included in management’s assessment related to risk assessment not sufficiently considering changes in business processes and not having a sufficient complement of trained resources with knowledge of financial reporting processes and internal control related to accounting for income taxes. As a consequence, process level controls over the completeness, existence, accuracy, valuation and presentation of the income tax provision, including deferred tax assets and liabilities and valuation allowance, were not effective. The material weaknesses were considered in determining the nature, timing, and extent of audit tests applied in our audit of the 2019 consolidated financial statements, and this report does not affect our report on those consolidated financial statements.</w:t>
      </w:r>
    </w:p>
    <w:p>
      <w:pPr>
        <w:spacing w:after="0" w:line="129" w:lineRule="exact"/>
        <w:rPr>
          <w:sz w:val="20"/>
          <w:szCs w:val="20"/>
          <w:color w:val="auto"/>
        </w:rPr>
      </w:pPr>
    </w:p>
    <w:p>
      <w:pPr>
        <w:ind w:right="260"/>
        <w:spacing w:after="0" w:line="291" w:lineRule="auto"/>
        <w:rPr>
          <w:sz w:val="20"/>
          <w:szCs w:val="20"/>
          <w:color w:val="auto"/>
        </w:rPr>
      </w:pPr>
      <w:r>
        <w:rPr>
          <w:rFonts w:ascii="Arial" w:cs="Arial" w:eastAsia="Arial" w:hAnsi="Arial"/>
          <w:sz w:val="15"/>
          <w:szCs w:val="15"/>
          <w:color w:val="auto"/>
        </w:rPr>
        <w:t>The Company acquired New Century Software, LLC during 2019, and management excluded from its assessment of the effectiveness of the Company’s internal control over financial reporting as of December 31, 2019, New Century Software, LLC’s internal control over financial reporting associated with total assets of</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0.2% and total revenues of 0.3% included in the consolidated financial statements of the Company as of and for the year ended December 31, 2019. Our audit of internal control over financial reporting of the Company also excluded an evaluation of the internal control over financial reporting of New Century Software, LLC.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Short Hills, New Jersey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 except share and per share data</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96"/>
        </w:trPr>
        <w:tc>
          <w:tcPr>
            <w:tcW w:w="8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84"/>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15,016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25,544</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135,997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148,324</w:t>
            </w: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13,413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13,053</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14,729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15,870</w:t>
            </w:r>
          </w:p>
        </w:tc>
      </w:tr>
      <w:tr>
        <w:trPr>
          <w:trHeight w:val="237"/>
        </w:trPr>
        <w:tc>
          <w:tcPr>
            <w:tcW w:w="84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179,155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202,791</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98,607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93,895</w:t>
            </w: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109,537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111,395</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282,410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279,259</w:t>
            </w: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1,930</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48,383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4,767</w:t>
            </w:r>
          </w:p>
        </w:tc>
      </w:tr>
      <w:tr>
        <w:trPr>
          <w:trHeight w:val="263"/>
        </w:trPr>
        <w:tc>
          <w:tcPr>
            <w:tcW w:w="84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719,878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694,037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15,033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13,863</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81,389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73,895</w:t>
            </w: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6,593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6,833</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3,922</w:t>
            </w: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1,958</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109,240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100,471</w:t>
            </w: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248,120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283,787</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Obligations under finance leases, net of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9,075</w:t>
            </w: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21,290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23,148</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42,163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6,482</w:t>
            </w:r>
          </w:p>
        </w:tc>
      </w:tr>
      <w:tr>
        <w:trPr>
          <w:trHeight w:val="264"/>
        </w:trPr>
        <w:tc>
          <w:tcPr>
            <w:tcW w:w="84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433,856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422,963</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8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10,000,000 shares authorized</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8460" w:type="dxa"/>
            <w:vAlign w:val="bottom"/>
          </w:tcPr>
          <w:p>
            <w:pPr>
              <w:ind w:left="140"/>
              <w:spacing w:after="0"/>
              <w:rPr>
                <w:sz w:val="20"/>
                <w:szCs w:val="20"/>
                <w:color w:val="auto"/>
              </w:rPr>
            </w:pPr>
            <w:r>
              <w:rPr>
                <w:rFonts w:ascii="Arial" w:cs="Arial" w:eastAsia="Arial" w:hAnsi="Arial"/>
                <w:sz w:val="18"/>
                <w:szCs w:val="18"/>
                <w:color w:val="auto"/>
                <w:w w:val="96"/>
              </w:rPr>
              <w:t>Common stock, $0.01 par value, 200,000,000 shares authorized, 28,945,472 and 28,562,608 shares issued</w:t>
            </w:r>
          </w:p>
        </w:tc>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285</w:t>
            </w: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229,205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226,616</w:t>
            </w: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77,613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71,553</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(27,557)</w:t>
            </w:r>
          </w:p>
        </w:tc>
      </w:tr>
      <w:tr>
        <w:trPr>
          <w:trHeight w:val="236"/>
        </w:trPr>
        <w:tc>
          <w:tcPr>
            <w:tcW w:w="8460" w:type="dxa"/>
            <w:vAlign w:val="bottom"/>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285,822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270,897</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w:t>
            </w:r>
          </w:p>
        </w:tc>
      </w:tr>
      <w:tr>
        <w:trPr>
          <w:trHeight w:val="236"/>
        </w:trPr>
        <w:tc>
          <w:tcPr>
            <w:tcW w:w="846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286,022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271,074</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719,878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694,037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 except per share data</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Borders>
              <w:bottom w:val="single" w:sz="8" w:color="auto"/>
            </w:tcBorders>
          </w:tcPr>
          <w:p>
            <w:pPr>
              <w:spacing w:after="0"/>
              <w:rPr>
                <w:sz w:val="16"/>
                <w:szCs w:val="16"/>
                <w:color w:val="auto"/>
              </w:rPr>
            </w:pPr>
          </w:p>
        </w:tc>
      </w:tr>
      <w:tr>
        <w:trPr>
          <w:trHeight w:val="196"/>
        </w:trPr>
        <w:tc>
          <w:tcPr>
            <w:tcW w:w="7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40"/>
        </w:trPr>
        <w:tc>
          <w:tcPr>
            <w:tcW w:w="7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748,586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742,354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700,970</w:t>
            </w: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509,489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512,024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492,238</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21,800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22,456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21,020</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217,297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207,874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187,712</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165,702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151,825</w:t>
            </w: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1,200</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15,810</w:t>
            </w: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5,886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 on sale of subsidiary</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Research and engineering</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2,272</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10,363</w:t>
            </w: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Acquisition-related expense, net</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482</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Litigation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1,600</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24,137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22,221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4,160</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7,950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4,386</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10,439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14,271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7,426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1,942</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6,845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(2,168)</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r>
      <w:tr>
        <w:trPr>
          <w:trHeight w:val="26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6,836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(2,175)</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43"/>
        </w:trPr>
        <w:tc>
          <w:tcPr>
            <w:tcW w:w="706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(0.08)</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28,406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28,422</w:t>
            </w:r>
          </w:p>
        </w:tc>
      </w:tr>
      <w:tr>
        <w:trPr>
          <w:trHeight w:val="243"/>
        </w:trPr>
        <w:tc>
          <w:tcPr>
            <w:tcW w:w="70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29,046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29,427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28,422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7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40"/>
        </w:trPr>
        <w:tc>
          <w:tcPr>
            <w:tcW w:w="7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6,080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(2,168)</w:t>
            </w:r>
          </w:p>
        </w:tc>
      </w:tr>
      <w:tr>
        <w:trPr>
          <w:trHeight w:val="270"/>
        </w:trPr>
        <w:tc>
          <w:tcPr>
            <w:tcW w:w="7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(10,752)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12,919</w:t>
            </w:r>
          </w:p>
        </w:tc>
      </w:tr>
      <w:tr>
        <w:trPr>
          <w:trHeight w:val="27"/>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12,352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10,751</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7</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r>
      <w:tr>
        <w:trPr>
          <w:trHeight w:val="263"/>
        </w:trPr>
        <w:tc>
          <w:tcPr>
            <w:tcW w:w="7100" w:type="dxa"/>
            <w:vAlign w:val="bottom"/>
          </w:tcPr>
          <w:p>
            <w:pPr>
              <w:ind w:left="120"/>
              <w:spacing w:after="0"/>
              <w:rPr>
                <w:sz w:val="20"/>
                <w:szCs w:val="20"/>
                <w:color w:val="auto"/>
              </w:rPr>
            </w:pPr>
            <w:r>
              <w:rPr>
                <w:rFonts w:ascii="Arial" w:cs="Arial" w:eastAsia="Arial" w:hAnsi="Arial"/>
                <w:sz w:val="18"/>
                <w:szCs w:val="18"/>
                <w:color w:val="auto"/>
              </w:rPr>
              <w:t>Comprehensive income (loss) attributable to Mistras Group,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12,335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10,748</w:t>
            </w:r>
          </w:p>
        </w:tc>
      </w:tr>
      <w:tr>
        <w:trPr>
          <w:trHeight w:val="21"/>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540" w:type="dxa"/>
            <w:vAlign w:val="bottom"/>
            <w:gridSpan w:val="5"/>
          </w:tcPr>
          <w:p>
            <w:pPr>
              <w:ind w:left="300"/>
              <w:spacing w:after="0" w:line="135" w:lineRule="exact"/>
              <w:rPr>
                <w:sz w:val="20"/>
                <w:szCs w:val="20"/>
                <w:color w:val="auto"/>
              </w:rPr>
            </w:pPr>
            <w:r>
              <w:rPr>
                <w:rFonts w:ascii="Arial" w:cs="Arial" w:eastAsia="Arial" w:hAnsi="Arial"/>
                <w:sz w:val="13"/>
                <w:szCs w:val="13"/>
                <w:b w:val="1"/>
                <w:bCs w:val="1"/>
                <w:color w:val="auto"/>
              </w:rPr>
              <w:t>Common Stock</w:t>
            </w:r>
          </w:p>
        </w:tc>
        <w:tc>
          <w:tcPr>
            <w:tcW w:w="1480" w:type="dxa"/>
            <w:vAlign w:val="bottom"/>
            <w:gridSpan w:val="5"/>
          </w:tcPr>
          <w:p>
            <w:pPr>
              <w:ind w:left="280"/>
              <w:spacing w:after="0" w:line="135" w:lineRule="exact"/>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Mistras Group,</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4"/>
                <w:szCs w:val="4"/>
                <w:color w:val="auto"/>
              </w:rPr>
            </w:pPr>
          </w:p>
        </w:tc>
        <w:tc>
          <w:tcPr>
            <w:tcW w:w="70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20"/>
              <w:spacing w:after="0" w:line="108"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08" w:lineRule="exact"/>
              <w:rPr>
                <w:sz w:val="20"/>
                <w:szCs w:val="20"/>
                <w:color w:val="auto"/>
              </w:rPr>
            </w:pPr>
            <w:r>
              <w:rPr>
                <w:rFonts w:ascii="Arial" w:cs="Arial" w:eastAsia="Arial" w:hAnsi="Arial"/>
                <w:sz w:val="12"/>
                <w:szCs w:val="12"/>
                <w:b w:val="1"/>
                <w:bCs w:val="1"/>
                <w:color w:val="auto"/>
                <w:w w:val="96"/>
              </w:rPr>
              <w:t>Inc.</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74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89"/>
              </w:rPr>
              <w:t>Amount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170"/>
        </w:trPr>
        <w:tc>
          <w:tcPr>
            <w:tcW w:w="17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paid-in capital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1"/>
              </w:rPr>
              <w:t>Balance at December 31, 2016</w:t>
            </w:r>
          </w:p>
        </w:tc>
        <w:tc>
          <w:tcPr>
            <w:tcW w:w="6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29,217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292</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(420)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(9,000)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217,211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91,803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(29,724)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270,582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162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270,744</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(2,175)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(2,175)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(2,168)</w:t>
            </w:r>
          </w:p>
        </w:tc>
        <w:tc>
          <w:tcPr>
            <w:tcW w:w="0" w:type="dxa"/>
            <w:vAlign w:val="bottom"/>
          </w:tcPr>
          <w:p>
            <w:pPr>
              <w:spacing w:after="0"/>
              <w:rPr>
                <w:sz w:val="1"/>
                <w:szCs w:val="1"/>
                <w:color w:val="auto"/>
              </w:rPr>
            </w:pPr>
          </w:p>
        </w:tc>
      </w:tr>
      <w:tr>
        <w:trPr>
          <w:trHeight w:val="15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Other comprehensive income,</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of tax</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12,919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12,919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12,923</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6,588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6,588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6,588</w:t>
            </w:r>
          </w:p>
        </w:tc>
        <w:tc>
          <w:tcPr>
            <w:tcW w:w="0" w:type="dxa"/>
            <w:vAlign w:val="bottom"/>
          </w:tcPr>
          <w:p>
            <w:pPr>
              <w:spacing w:after="0"/>
              <w:rPr>
                <w:sz w:val="1"/>
                <w:szCs w:val="1"/>
                <w:color w:val="auto"/>
              </w:rPr>
            </w:pPr>
          </w:p>
        </w:tc>
      </w:tr>
      <w:tr>
        <w:trPr>
          <w:trHeight w:val="15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on vesting of</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units</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Retirement of treasury stock</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24,923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w w:val="99"/>
              </w:rPr>
              <w:t>(24,911)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stock</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4"/>
              </w:rPr>
              <w:t>(15,923)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(15,923)</w:t>
            </w:r>
          </w:p>
        </w:tc>
        <w:tc>
          <w:tcPr>
            <w:tcW w:w="0" w:type="dxa"/>
            <w:vAlign w:val="bottom"/>
          </w:tcPr>
          <w:p>
            <w:pPr>
              <w:spacing w:after="0"/>
              <w:rPr>
                <w:sz w:val="1"/>
                <w:szCs w:val="1"/>
                <w:color w:val="auto"/>
              </w:rPr>
            </w:pPr>
          </w:p>
        </w:tc>
      </w:tr>
      <w:tr>
        <w:trPr>
          <w:trHeight w:val="183"/>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Exercise of stock options</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1"/>
              </w:rPr>
              <w:t>Balance at December 31, 2017</w:t>
            </w: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28,295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222,425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64,717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(16,805)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270,619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270,792</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6,836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6,836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6,845</w:t>
            </w:r>
          </w:p>
        </w:tc>
        <w:tc>
          <w:tcPr>
            <w:tcW w:w="0" w:type="dxa"/>
            <w:vAlign w:val="bottom"/>
          </w:tcPr>
          <w:p>
            <w:pPr>
              <w:spacing w:after="0"/>
              <w:rPr>
                <w:sz w:val="1"/>
                <w:szCs w:val="1"/>
                <w:color w:val="auto"/>
              </w:rPr>
            </w:pPr>
          </w:p>
        </w:tc>
      </w:tr>
      <w:tr>
        <w:trPr>
          <w:trHeight w:val="15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Other comprehensive income,</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of tax</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(10,757)</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6,106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6,109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6,109</w:t>
            </w:r>
          </w:p>
        </w:tc>
        <w:tc>
          <w:tcPr>
            <w:tcW w:w="0" w:type="dxa"/>
            <w:vAlign w:val="bottom"/>
          </w:tcPr>
          <w:p>
            <w:pPr>
              <w:spacing w:after="0"/>
              <w:rPr>
                <w:sz w:val="1"/>
                <w:szCs w:val="1"/>
                <w:color w:val="auto"/>
              </w:rPr>
            </w:pPr>
          </w:p>
        </w:tc>
      </w:tr>
      <w:tr>
        <w:trPr>
          <w:trHeight w:val="15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on vesting of</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units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(2,188)</w:t>
            </w:r>
          </w:p>
        </w:tc>
        <w:tc>
          <w:tcPr>
            <w:tcW w:w="0" w:type="dxa"/>
            <w:vAlign w:val="bottom"/>
          </w:tcPr>
          <w:p>
            <w:pPr>
              <w:spacing w:after="0"/>
              <w:rPr>
                <w:sz w:val="1"/>
                <w:szCs w:val="1"/>
                <w:color w:val="auto"/>
              </w:rPr>
            </w:pPr>
          </w:p>
        </w:tc>
      </w:tr>
      <w:tr>
        <w:trPr>
          <w:trHeight w:val="183"/>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Exercise of stock options</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1"/>
              </w:rPr>
              <w:t>Balance at December 31, 2018</w:t>
            </w: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28,563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226,616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71,553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(27,557)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270,897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271,074</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6,060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6,060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6,080</w:t>
            </w:r>
          </w:p>
        </w:tc>
        <w:tc>
          <w:tcPr>
            <w:tcW w:w="0" w:type="dxa"/>
            <w:vAlign w:val="bottom"/>
          </w:tcPr>
          <w:p>
            <w:pPr>
              <w:spacing w:after="0"/>
              <w:rPr>
                <w:sz w:val="1"/>
                <w:szCs w:val="1"/>
                <w:color w:val="auto"/>
              </w:rPr>
            </w:pPr>
          </w:p>
        </w:tc>
      </w:tr>
      <w:tr>
        <w:trPr>
          <w:trHeight w:val="15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Other comprehensive income,</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of tax</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6,275</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5,759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5,759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5,759</w:t>
            </w:r>
          </w:p>
        </w:tc>
        <w:tc>
          <w:tcPr>
            <w:tcW w:w="0" w:type="dxa"/>
            <w:vAlign w:val="bottom"/>
          </w:tcPr>
          <w:p>
            <w:pPr>
              <w:spacing w:after="0"/>
              <w:rPr>
                <w:sz w:val="1"/>
                <w:szCs w:val="1"/>
                <w:color w:val="auto"/>
              </w:rPr>
            </w:pPr>
          </w:p>
        </w:tc>
      </w:tr>
      <w:tr>
        <w:trPr>
          <w:trHeight w:val="15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of options and</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units</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(3,198)</w:t>
            </w:r>
          </w:p>
        </w:tc>
        <w:tc>
          <w:tcPr>
            <w:tcW w:w="0" w:type="dxa"/>
            <w:vAlign w:val="bottom"/>
          </w:tcPr>
          <w:p>
            <w:pPr>
              <w:spacing w:after="0"/>
              <w:rPr>
                <w:sz w:val="1"/>
                <w:szCs w:val="1"/>
                <w:color w:val="auto"/>
              </w:rPr>
            </w:pPr>
          </w:p>
        </w:tc>
      </w:tr>
      <w:tr>
        <w:trPr>
          <w:trHeight w:val="183"/>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Exercise of stock options</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1"/>
              </w:rPr>
              <w:t>Balance at December 31, 2019</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229,205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285,822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286,022</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57"/>
              <w:spacing w:after="0"/>
              <w:rPr>
                <w:sz w:val="20"/>
                <w:szCs w:val="20"/>
                <w:color w:val="auto"/>
              </w:rPr>
            </w:pPr>
            <w:r>
              <w:rPr>
                <w:rFonts w:ascii="Arial" w:cs="Arial" w:eastAsia="Arial" w:hAnsi="Arial"/>
                <w:sz w:val="14"/>
                <w:szCs w:val="14"/>
                <w:b w:val="1"/>
                <w:bCs w:val="1"/>
                <w:color w:val="auto"/>
              </w:rPr>
              <w:t>For the 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2"/>
        </w:trPr>
        <w:tc>
          <w:tcPr>
            <w:tcW w:w="7120" w:type="dxa"/>
            <w:vAlign w:val="bottom"/>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6,080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6,845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(2,168)</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38,533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34,413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31,383</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Deferred income taxes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(3,599)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1,859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(4,854)</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 expense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6,107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6,574</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Impairment charges</w:t>
            </w:r>
          </w:p>
        </w:tc>
        <w:tc>
          <w:tcPr>
            <w:tcW w:w="3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15,810</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Bad debt provision for troubled customers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Foreign currency (gain) loss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1,311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Gain on sale of subsidiary</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Fair value adjustments to contingent consideration</w:t>
            </w: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(716)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3"/>
                <w:szCs w:val="13"/>
                <w:color w:val="auto"/>
              </w:rPr>
              <w:t>Changes in operating assets and liabilities, net of effect of acquisitions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(10,349)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2,490</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Inventories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(2,764)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(1,904)</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1,138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2,948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2,574</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expenses and other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5,663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4,188</w:t>
            </w:r>
          </w:p>
        </w:tc>
        <w:tc>
          <w:tcPr>
            <w:tcW w:w="0" w:type="dxa"/>
            <w:vAlign w:val="bottom"/>
          </w:tcPr>
          <w:p>
            <w:pPr>
              <w:spacing w:after="0"/>
              <w:rPr>
                <w:sz w:val="1"/>
                <w:szCs w:val="1"/>
                <w:color w:val="auto"/>
              </w:rPr>
            </w:pPr>
          </w:p>
        </w:tc>
      </w:tr>
      <w:tr>
        <w:trPr>
          <w:trHeight w:val="183"/>
        </w:trPr>
        <w:tc>
          <w:tcPr>
            <w:tcW w:w="71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Income taxes payable</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(3,781)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1,007</w:t>
            </w:r>
          </w:p>
        </w:tc>
        <w:tc>
          <w:tcPr>
            <w:tcW w:w="0" w:type="dxa"/>
            <w:vAlign w:val="bottom"/>
          </w:tcPr>
          <w:p>
            <w:pPr>
              <w:spacing w:after="0"/>
              <w:rPr>
                <w:sz w:val="1"/>
                <w:szCs w:val="1"/>
                <w:color w:val="auto"/>
              </w:rPr>
            </w:pPr>
          </w:p>
        </w:tc>
      </w:tr>
      <w:tr>
        <w:trPr>
          <w:trHeight w:val="189"/>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59,110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41,664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55,799</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property, plant and equipment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(20,584)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(19,314)</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Purchase of intangible assets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(541)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(1,255)</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Disposition of business</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4,239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Acquisition of businesses, net of cash acquired</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(4,228)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(139,980)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(83,424)</w:t>
            </w:r>
          </w:p>
        </w:tc>
        <w:tc>
          <w:tcPr>
            <w:tcW w:w="0" w:type="dxa"/>
            <w:vAlign w:val="bottom"/>
          </w:tcPr>
          <w:p>
            <w:pPr>
              <w:spacing w:after="0"/>
              <w:rPr>
                <w:sz w:val="1"/>
                <w:szCs w:val="1"/>
                <w:color w:val="auto"/>
              </w:rPr>
            </w:pPr>
          </w:p>
        </w:tc>
      </w:tr>
      <w:tr>
        <w:trPr>
          <w:trHeight w:val="190"/>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 of equipment</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1,868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1,416</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1,196</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(25,280)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(155,450)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(102,797)</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Repayment of finance lease obligations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(4,545)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(5,813)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(6,492)</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borrowings of long-term debt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2,358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6,653</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Repayment of long-term debt</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(6,857)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(2,746)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(2,101)</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revolver</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175,176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124,000</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Repayments of revolver</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(61,700)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(49,991)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(50,600)</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Payments of debt issuance costs</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Payment of contingent consideration for business acquisitions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(2,277)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Purchases of treasury stock</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(15,923)</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Taxes paid related to net share settlement of share-based awards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(3,198)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(2,185)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190"/>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the exercise of stock options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273</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(44,137)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113,969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53,045</w:t>
            </w:r>
          </w:p>
        </w:tc>
        <w:tc>
          <w:tcPr>
            <w:tcW w:w="0" w:type="dxa"/>
            <w:vAlign w:val="bottom"/>
          </w:tcPr>
          <w:p>
            <w:pPr>
              <w:spacing w:after="0"/>
              <w:rPr>
                <w:sz w:val="1"/>
                <w:szCs w:val="1"/>
                <w:color w:val="auto"/>
              </w:rPr>
            </w:pPr>
          </w:p>
        </w:tc>
      </w:tr>
      <w:tr>
        <w:trPr>
          <w:trHeight w:val="190"/>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(2,180)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2,340</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(10,528)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(1,997)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8,387</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Beginning of period</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25,544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27,541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19,154</w:t>
            </w:r>
          </w:p>
        </w:tc>
        <w:tc>
          <w:tcPr>
            <w:tcW w:w="0" w:type="dxa"/>
            <w:vAlign w:val="bottom"/>
          </w:tcPr>
          <w:p>
            <w:pPr>
              <w:spacing w:after="0"/>
              <w:rPr>
                <w:sz w:val="1"/>
                <w:szCs w:val="1"/>
                <w:color w:val="auto"/>
              </w:rPr>
            </w:pPr>
          </w:p>
        </w:tc>
      </w:tr>
      <w:tr>
        <w:trPr>
          <w:trHeight w:val="21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 of period</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15,016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25,544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27,541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paid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1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7,751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4,264</w:t>
            </w:r>
          </w:p>
        </w:tc>
        <w:tc>
          <w:tcPr>
            <w:tcW w:w="0" w:type="dxa"/>
            <w:vAlign w:val="bottom"/>
          </w:tcPr>
          <w:p>
            <w:pPr>
              <w:spacing w:after="0"/>
              <w:rPr>
                <w:sz w:val="1"/>
                <w:szCs w:val="1"/>
                <w:color w:val="auto"/>
              </w:rPr>
            </w:pPr>
          </w:p>
        </w:tc>
      </w:tr>
      <w:tr>
        <w:trPr>
          <w:trHeight w:val="181"/>
        </w:trPr>
        <w:tc>
          <w:tcPr>
            <w:tcW w:w="712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6,096</w:t>
            </w:r>
          </w:p>
        </w:tc>
        <w:tc>
          <w:tcPr>
            <w:tcW w:w="10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10,983</w:t>
            </w:r>
          </w:p>
        </w:tc>
        <w:tc>
          <w:tcPr>
            <w:tcW w:w="120" w:type="dxa"/>
            <w:vAlign w:val="bottom"/>
          </w:tcPr>
          <w:p>
            <w:pPr>
              <w:spacing w:after="0"/>
              <w:rPr>
                <w:sz w:val="15"/>
                <w:szCs w:val="15"/>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3,063</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investing and financing</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120" w:type="dxa"/>
            <w:vAlign w:val="bottom"/>
          </w:tcPr>
          <w:p>
            <w:pPr>
              <w:ind w:left="120"/>
              <w:spacing w:after="0"/>
              <w:rPr>
                <w:sz w:val="20"/>
                <w:szCs w:val="20"/>
                <w:color w:val="auto"/>
              </w:rPr>
            </w:pPr>
            <w:r>
              <w:rPr>
                <w:rFonts w:ascii="Arial" w:cs="Arial" w:eastAsia="Arial" w:hAnsi="Arial"/>
                <w:sz w:val="13"/>
                <w:szCs w:val="13"/>
                <w:color w:val="auto"/>
              </w:rPr>
              <w:t>Equipment acquired through finance lease obligations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9,502</w:t>
            </w:r>
          </w:p>
        </w:tc>
        <w:tc>
          <w:tcPr>
            <w:tcW w:w="10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4,845</w:t>
            </w:r>
          </w:p>
        </w:tc>
        <w:tc>
          <w:tcPr>
            <w:tcW w:w="120" w:type="dxa"/>
            <w:vAlign w:val="bottom"/>
          </w:tcPr>
          <w:p>
            <w:pPr>
              <w:spacing w:after="0"/>
              <w:rPr>
                <w:sz w:val="15"/>
                <w:szCs w:val="15"/>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3,185</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public infrastructure and commercial aerospace components.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accompanying audited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 (loss). All significant intercompany accounts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(GAAP) requires that the Company make estimates and assumptions that affect the reported amounts of assets, liabilities, revenue and expenses and disclosure of contingent assets and liabilities at the date of financial statements.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Accounts receivable are stated net of an allowance for doubtful accounts and sales allowances. Outstanding accounts receivable balances are reviewed periodically, and allowances are provided at such time that management believes it is probable that such balances will not be collected within a reasonable period of time, to the extent reasonably estimable. The Company extends credit to its customers based upon credit evaluations in the normal course of business, primarily with 30-day terms. Bad debts are provided for based on historical experience and management’s evaluation of outstanding accounts receivable. Accounts are written off when they are deemed uncollectible under GAAP accounting standards.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For each of the years ended December 31, 2019 and 2018, no customer represented 10% or more of the Company's revenue. One customer represented 11% of the Company's revenue for the year ended December 31, 2017, which was primarily generated from the Services segment.</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Inventories are stated at the lower of cost or net realizable value, as determined by using the first-in, first-out method, or market. Work in process and finished goods inventory include material, direct labor, variable costs and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and Internal-Use Software</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Goodwill represents the excess purchase price of acquired businesses over the fair values attributed to underlying net tangible assets and identifiable intangible assets. The Company tests goodwill for impairment at a “reporting unit” level (which for the Company is represented by (i) our Services segment, (ii) our Products and Systems segment, and (iii) the European component of our International segment and (iv) the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w:t>
      </w:r>
    </w:p>
    <w:p>
      <w:pPr>
        <w:spacing w:after="0" w:line="2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If the fair value of a reporting unit is less than its carrying value, this is an indicator that the goodwill assigned to that reporting unit may be impaired. As a result of the Company adopting </w:t>
      </w:r>
      <w:r>
        <w:rPr>
          <w:rFonts w:ascii="Arial" w:cs="Arial" w:eastAsia="Arial" w:hAnsi="Arial"/>
          <w:sz w:val="18"/>
          <w:szCs w:val="18"/>
          <w:color w:val="080808"/>
        </w:rPr>
        <w:t>Accounting Standards Update ("ASU") No.</w:t>
      </w:r>
      <w:r>
        <w:rPr>
          <w:rFonts w:ascii="Arial" w:cs="Arial" w:eastAsia="Arial" w:hAnsi="Arial"/>
          <w:sz w:val="18"/>
          <w:szCs w:val="18"/>
          <w:color w:val="auto"/>
        </w:rPr>
        <w:t xml:space="preserve">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impairment will be recorded in the amount that fair value is less than carrying value, as the ASU eliminated step two of the goodwill impairment process. The Company considers the income and market approaches to estimating the fair value of our reporting units, which requires significant judgment in evaluation of economic and industry trends, estimated future cash flows, discount rates and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reviews the recoverability of its long-lived assets (or asset groups) whenever events or changes in circumstances indicate that the carrying amount of the long-lived asset (group) might not be recoverable.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The Company allocates the purchase price of acquired businesses to their identifiable tangible assets and liabilities as well as identifiable intangible assets, such as customer relationships, technology, non-compete agreements and trade names.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No.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 xml:space="preserve"> Deferred taxes are recorded for any differences between the assigned values and tax bases of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Engineering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Promotions and Marketing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costs for advertising, promotion and marketing programs are expensed as incurred and are included in selling, general and administrative expenses.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Advertising expense was approximately $2.1 million, $2.1 million and $1.9 million for the years ended December 31, 2019, 2018 and 2017,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other financial current assets and liabilities approximate fair value based on the short-term nature of the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their functional currencies, which are their local currencies.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(loss) income for the period and included in accumulated other comprehensive (loss) income within stockholders’ equity.</w:t>
      </w:r>
    </w:p>
    <w:p>
      <w:pPr>
        <w:spacing w:after="0" w:line="15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Foreign currency (gains) and losses arising from transactions denominated in currencies other than the functional currency are included in net income, reported in selling, general and administrative expenses, and were approximately $(0.5) million, $1.3 million, and $0.6 million for the years ended December 31, 2019, 2018 and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self-insured for certain losses relating to workers’ compensation and health benefit claims. The Company maintains third-party excess insurance coverage for all workers' compensation and health benefit claims in excess of approximately $0.3 million per occurrence to reduce its exposure from such claims. Self-insured losses are accrued when it is probable that an uninsured claim has been incurred but not reported and the amount of the loss can be reasonably estimated at the balance sheet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value of services received from employees and directors in exchange for an award of an equity instrument is measured based on the grant-date fair value of the award. Such value is recognized as a non-cash expense on a straight-line basis over the period the individual provides services, which is typically the vesting period of the award with the exception of awards with graded vesting that contain an internal performance measure where each tranche is recognized on a straight-line basis over its vesting period subject to the probability of meeting the performance requirements and adjusted for the number of shares expected to be earned. As share-based compensation expense is based on awards ultimately expected to vest, the amount of expense is reduced for estimated forfeitures. The cost of these awards is recorded in selling, general and administrative expense in the Company’s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Financial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080808"/>
        </w:rPr>
        <w:t xml:space="preserve">In February 2016, the Financial Accounting Standards Board ("FASB") issued ASU No. 2016-02, </w:t>
      </w:r>
      <w:r>
        <w:rPr>
          <w:rFonts w:ascii="Arial" w:cs="Arial" w:eastAsia="Arial" w:hAnsi="Arial"/>
          <w:sz w:val="17"/>
          <w:szCs w:val="17"/>
          <w:i w:val="1"/>
          <w:iCs w:val="1"/>
          <w:color w:val="080808"/>
        </w:rPr>
        <w:t>Leases (Topic 842)</w:t>
      </w:r>
      <w:r>
        <w:rPr>
          <w:rFonts w:ascii="Arial" w:cs="Arial" w:eastAsia="Arial" w:hAnsi="Arial"/>
          <w:sz w:val="17"/>
          <w:szCs w:val="17"/>
          <w:color w:val="080808"/>
        </w:rPr>
        <w:t>, which the Company adopted as of January 1, 2019. Topic 842 requires the recognition of lease rights and obligations as assets and liabilities on the balance sheet. The Company elected the modified retrospective method permitted by the standard, upon which prior-period information has not been restated.</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080808"/>
        </w:rPr>
        <w:t>The standard provided for several practical expedient options for use in transition. The Company elected to utilize the “package of practical expedients,” which permits the Company not to reassess previous conclusions reached on lease identification, lease classification and initial direct costs. The Company also elected to utilize the practical expedient available to not separate lease and non-lease components within the lease and has therefore accounted for all lease components as a single lease component.</w:t>
      </w:r>
    </w:p>
    <w:p>
      <w:pPr>
        <w:spacing w:after="0" w:line="2" w:lineRule="exact"/>
        <w:rPr>
          <w:sz w:val="20"/>
          <w:szCs w:val="20"/>
          <w:color w:val="auto"/>
        </w:rPr>
      </w:pPr>
    </w:p>
    <w:p>
      <w:pPr>
        <w:jc w:val="both"/>
        <w:ind w:right="940"/>
        <w:spacing w:after="0" w:line="323" w:lineRule="auto"/>
        <w:rPr>
          <w:sz w:val="20"/>
          <w:szCs w:val="20"/>
          <w:color w:val="auto"/>
        </w:rPr>
      </w:pPr>
      <w:r>
        <w:rPr>
          <w:rFonts w:ascii="Arial" w:cs="Arial" w:eastAsia="Arial" w:hAnsi="Arial"/>
          <w:sz w:val="16"/>
          <w:szCs w:val="16"/>
          <w:color w:val="080808"/>
        </w:rPr>
        <w:t>Adoption of the new standard resulted in the recording of a right-of-use (ROU) asset and liability related to the Company’s operating leases of approximately $38 million as of January 1, 2019. The new standard did not have a material impact to our statements of income or cash flows.</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w:t>
      </w:r>
      <w:r>
        <w:rPr>
          <w:rFonts w:ascii="Arial" w:cs="Arial" w:eastAsia="Arial" w:hAnsi="Arial"/>
          <w:sz w:val="17"/>
          <w:szCs w:val="17"/>
          <w:color w:val="auto"/>
        </w:rPr>
        <w:t xml:space="preserve"> This amendment eliminates Step Two of the goodwill impairment test. Under the amendments in this update, entities should perform the annual goodwill impairment test by comparing the carrying value of their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early adopted ASU 2017-04 in the third quarter of 2017 for its consolidated financial statements and related disclosures.</w:t>
      </w:r>
    </w:p>
    <w:p>
      <w:pPr>
        <w:spacing w:after="0" w:line="2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080808"/>
        </w:rPr>
        <w:t xml:space="preserve">In December 2019, the FASB issued ASU No. 2019-12, </w:t>
      </w:r>
      <w:r>
        <w:rPr>
          <w:rFonts w:ascii="Arial" w:cs="Arial" w:eastAsia="Arial" w:hAnsi="Arial"/>
          <w:sz w:val="17"/>
          <w:szCs w:val="17"/>
          <w:i w:val="1"/>
          <w:iCs w:val="1"/>
          <w:color w:val="080808"/>
        </w:rPr>
        <w:t>Income Taxes (Topic 740): Simplifying the Accounting for Income Taxes</w:t>
      </w:r>
      <w:r>
        <w:rPr>
          <w:rFonts w:ascii="Arial" w:cs="Arial" w:eastAsia="Arial" w:hAnsi="Arial"/>
          <w:sz w:val="17"/>
          <w:szCs w:val="17"/>
          <w:color w:val="080808"/>
        </w:rPr>
        <w:t xml:space="preserve"> (“ASU 2019-12”). ASU 2019-12 simplifies the accounting for income taxes by eliminating certain exceptions related to the approach for intraperiod tax allocation, the methodology for calculating income taxes in an interim period, and the recognition of deferred tax liabilities related to outside basis differences. The standard is effective for interim and annual periods beginning January 1, 2021, with certain amendments applied prospectively and others requiring retrospective application. Early adoption is permitted, with any adjustments reflected as of the beginning of the fiscal year of adoption. If early adoption is elected, all changes as a result of the standard must be adopted in the same period. The Company is currently evaluating the impact of this guidance on its consolidated financial position, results of operations, and cash flows.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right="2040"/>
        <w:spacing w:after="0" w:line="277" w:lineRule="auto"/>
        <w:rPr>
          <w:sz w:val="20"/>
          <w:szCs w:val="20"/>
          <w:color w:val="auto"/>
        </w:rPr>
      </w:pPr>
      <w:r>
        <w:rPr>
          <w:rFonts w:ascii="Arial" w:cs="Arial" w:eastAsia="Arial" w:hAnsi="Arial"/>
          <w:sz w:val="18"/>
          <w:szCs w:val="18"/>
          <w:color w:val="auto"/>
        </w:rPr>
        <w:t>The majority of the Company's revenues are derived from providing services on a time and material basis and are short-term in 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For contracts with multiple performance obligations, the Company allocates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21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majority of our revenues are short-term in nature. The Company has many Master Service Agreements (MSAs) that specify an overall framework and terms of contract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our disaggregated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Services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Products &amp; Systems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49"/>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390,815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44,447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436,018</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51,390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41,224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93,851</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64,622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89,214</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30,300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10,289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43,315</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28,495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39,109</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14,269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9,520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33,105</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15,239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7,190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(9,398)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13,974</w:t>
            </w:r>
          </w:p>
        </w:tc>
      </w:tr>
      <w:tr>
        <w:trPr>
          <w:trHeight w:val="263"/>
        </w:trPr>
        <w:tc>
          <w:tcPr>
            <w:tcW w:w="39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595,130</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144,271</w:t>
            </w:r>
          </w:p>
        </w:tc>
        <w:tc>
          <w:tcPr>
            <w:tcW w:w="12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18,583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(9,398)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748,586</w:t>
            </w: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Services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Products &amp; Systems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378,904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37,953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418,112</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50,500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54,853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107,708</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60,594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26,209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89,900</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30,687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8,522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44,113</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26,425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36,046</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11,283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25,561</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16,226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(9,139)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20,914</w:t>
            </w:r>
          </w:p>
        </w:tc>
      </w:tr>
      <w:tr>
        <w:trPr>
          <w:trHeight w:val="264"/>
        </w:trPr>
        <w:tc>
          <w:tcPr>
            <w:tcW w:w="39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574,619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153,448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23,426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742,354</w:t>
            </w: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49"/>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487,408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495,132</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104,081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111,740</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127,581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127,885</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13,829</w:t>
            </w:r>
          </w:p>
        </w:tc>
      </w:tr>
      <w:tr>
        <w:trPr>
          <w:trHeight w:val="27"/>
        </w:trPr>
        <w:tc>
          <w:tcPr>
            <w:tcW w:w="3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3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595,130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144,271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18,583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(9,398)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748,586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48"/>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6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4"/>
                <w:szCs w:val="2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5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478,853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487,414</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90,823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7,995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98,248</w:t>
            </w: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138,948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143,312</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13,380</w:t>
            </w:r>
          </w:p>
        </w:tc>
      </w:tr>
      <w:tr>
        <w:trPr>
          <w:trHeight w:val="27"/>
        </w:trPr>
        <w:tc>
          <w:tcPr>
            <w:tcW w:w="3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3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574,619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153,448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23,426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(9,139)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742,354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our customers before revenue is recognized, resulting in contract liabilities. These assets and liabilities are aggregated on an individual contract basis and reported on the consolidated balance sheet at the end of each reporting period within accounts receivables or accrued expenses and other current liabilities.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recognized for 2019 and 2018, that was included in the contract liability balance at the beginning of the year was $4.3 million and $5.3 million, respectively. Changes in the contract asset and liability balances during the years ended December 31, 2019 and 2018, were not impacted by any other factors. The Company applies the practical expedient to expense incremental costs incurred related to obtaining a contract when the asset that the Company otherwise would have recognized is one year or less.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 average number of shares outstanding during the period. Diluted earnings per share is computed by dividing net income attributable to common stockholders by the sum of (1) the weighted average number of shares of common stock outstanding during the period, and (2) the dilutive effect of assumed conversion of equity awards using the treasury stock method. With respect to the number of weighted average shares outstanding (denominator), diluted shares reflect: (i) only the exercise of options to acquire common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stock to the extent that the options’ exercise prices are less than the average market price of common shares during the period and (ii) the pro forma vesting of restricted stock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Borders>
              <w:bottom w:val="single" w:sz="8" w:color="auto"/>
            </w:tcBorders>
          </w:tcPr>
          <w:p>
            <w:pPr>
              <w:spacing w:after="0"/>
              <w:rPr>
                <w:sz w:val="16"/>
                <w:szCs w:val="16"/>
                <w:color w:val="auto"/>
              </w:rPr>
            </w:pPr>
          </w:p>
        </w:tc>
      </w:tr>
      <w:tr>
        <w:trPr>
          <w:trHeight w:val="196"/>
        </w:trPr>
        <w:tc>
          <w:tcPr>
            <w:tcW w:w="7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7060" w:type="dxa"/>
            <w:vAlign w:val="bottom"/>
          </w:tcPr>
          <w:p>
            <w:pPr>
              <w:ind w:left="12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Mistras Group,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(2,175)</w:t>
            </w: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28,406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28,422</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0.24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(0.08)</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7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40"/>
              <w:spacing w:after="0"/>
              <w:rPr>
                <w:sz w:val="20"/>
                <w:szCs w:val="20"/>
                <w:color w:val="auto"/>
              </w:rPr>
            </w:pPr>
            <w:r>
              <w:rPr>
                <w:rFonts w:ascii="Arial" w:cs="Arial" w:eastAsia="Arial" w:hAnsi="Arial"/>
                <w:sz w:val="18"/>
                <w:szCs w:val="18"/>
                <w:color w:val="auto"/>
              </w:rPr>
              <w:t>Net income (loss) attributable to Mistras Group,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(2,175)</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28,740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28,406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28,422</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Dilutive effect of stock options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ind w:left="240"/>
              <w:spacing w:after="0"/>
              <w:rPr>
                <w:sz w:val="20"/>
                <w:szCs w:val="20"/>
                <w:color w:val="auto"/>
              </w:rPr>
            </w:pPr>
            <w:r>
              <w:rPr>
                <w:rFonts w:ascii="Arial" w:cs="Arial" w:eastAsia="Arial" w:hAnsi="Arial"/>
                <w:sz w:val="18"/>
                <w:szCs w:val="18"/>
                <w:color w:val="auto"/>
              </w:rPr>
              <w:t>Dilutive effect of restricted stock units outstanding</w:t>
            </w:r>
          </w:p>
        </w:tc>
        <w:tc>
          <w:tcPr>
            <w:tcW w:w="32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70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29,046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29,427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28,422</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0.23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(0.08)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 common shares were excluded from the computation of diluted earnings per share, as the effect would have been anti-dilutive: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 xml:space="preserve">Potential common stock attributable to restricted stock units (RSUs) and performance stock units (PSUs) outstanding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 xml:space="preserve">Potential common stock attributable to stock options outstanding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260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364"/>
        </w:trPr>
        <w:tc>
          <w:tcPr>
            <w:tcW w:w="1380" w:type="dxa"/>
            <w:vAlign w:val="bottom"/>
          </w:tcPr>
          <w:p>
            <w:pPr>
              <w:jc w:val="right"/>
              <w:ind w:right="75"/>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353</w:t>
            </w:r>
          </w:p>
        </w:tc>
      </w:tr>
      <w:tr>
        <w:trPr>
          <w:trHeight w:val="270"/>
        </w:trPr>
        <w:tc>
          <w:tcPr>
            <w:tcW w:w="1380" w:type="dxa"/>
            <w:vAlign w:val="bottom"/>
          </w:tcPr>
          <w:p>
            <w:pPr>
              <w:jc w:val="right"/>
              <w:ind w:right="7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810</w:t>
            </w:r>
          </w:p>
        </w:tc>
      </w:tr>
      <w:tr>
        <w:trPr>
          <w:trHeight w:val="27"/>
        </w:trPr>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right"/>
              <w:ind w:right="7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1,163</w:t>
            </w:r>
          </w:p>
        </w:tc>
      </w:tr>
    </w:tbl>
    <w:p>
      <w:pPr>
        <w:spacing w:after="0" w:line="200" w:lineRule="exact"/>
        <w:rPr>
          <w:sz w:val="20"/>
          <w:szCs w:val="20"/>
          <w:color w:val="auto"/>
        </w:rPr>
      </w:pPr>
    </w:p>
    <w:p>
      <w:pPr>
        <w:sectPr>
          <w:pgSz w:w="11900" w:h="16838" w:orient="portrait"/>
          <w:cols w:equalWidth="0" w:num="2">
            <w:col w:w="6620" w:space="320"/>
            <w:col w:w="4300"/>
          </w:cols>
          <w:pgMar w:left="320" w:top="125" w:right="339" w:bottom="1440" w:gutter="0" w:footer="0" w:header="0"/>
          <w:type w:val="continuous"/>
        </w:sectPr>
      </w:pPr>
    </w:p>
    <w:p>
      <w:pPr>
        <w:spacing w:after="0" w:line="164" w:lineRule="exact"/>
        <w:rPr>
          <w:sz w:val="20"/>
          <w:szCs w:val="20"/>
          <w:color w:val="auto"/>
        </w:rPr>
      </w:pPr>
    </w:p>
    <w:p>
      <w:pPr>
        <w:ind w:right="340" w:firstLine="8"/>
        <w:spacing w:after="0" w:line="267" w:lineRule="auto"/>
        <w:tabs>
          <w:tab w:leader="none" w:pos="181"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For the twelve months ended December 31, 2017, 805 and 351 shares related to stock options and RSUs/PSUs, respectively, were excluded from the calculation of diluted EPS due to the net loss for the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49"/>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144,282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152,511</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(4,187)</w:t>
            </w: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135,997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148,324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had $22.2 million and $16.1 million of unbilled revenues accrued as of December 31, 2019 and December 31, 2018, respectively, which is included within the trade accounts receivable balance above. Unbilled revenues as of December 31, 2019 are expected to be billed in the first quarter of 2020.</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fourth quarter of 2018, the Company recorded a reserve of $0.7 million for a renewable energy industry customer, based in part on the available information about the financial difficulties of the customer. This customer filed for a voluntary</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insolvency proceeding on April 9, 2019 at which time payments under the previously agreed upon payment plan ceased. As a result, during the first quarter of 2019, the Company recorded an additional charge of $5.7 million to fully reserve for the amount of the exposure related to this customer. During the second quarter of 2019, the Company reversed $1.0 million of this reserve based on additional information obtained during the quarter. There were no changes during the third and fourth quarters of 2019.</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2019, the Company sold to an unaffiliated third party, without recourse, its remaining outstanding receivables owed from a customer which filed for bankruptcy, and for which the Company had initially recorded a charge during the second quarter of 2017. During the first quarter of 2019, the Company recorded a recovery of $0.2 million and during the second quarter of 2019, the Company recorded a recovery $1.7 million, related to a bad debt provision for the receivables due from this customer. This matter is considered fully resolved.</w:t>
      </w:r>
    </w:p>
    <w:p>
      <w:pPr>
        <w:spacing w:after="0" w:line="21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Accordingly, the Company recorded a full reserve in the amount of $1.4 million during 2019 for these past due receivables. See Note 18–</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Consumable supplies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7"/>
        </w:trPr>
        <w:tc>
          <w:tcPr>
            <w:tcW w:w="69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13,413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13,053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20" w:type="dxa"/>
            <w:vAlign w:val="bottom"/>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9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9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0"/>
        </w:trPr>
        <w:tc>
          <w:tcPr>
            <w:tcW w:w="69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24,537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24,338</w:t>
            </w:r>
          </w:p>
        </w:tc>
        <w:tc>
          <w:tcPr>
            <w:tcW w:w="0" w:type="dxa"/>
            <w:vAlign w:val="bottom"/>
          </w:tcPr>
          <w:p>
            <w:pPr>
              <w:spacing w:after="0"/>
              <w:rPr>
                <w:sz w:val="1"/>
                <w:szCs w:val="1"/>
                <w:color w:val="auto"/>
              </w:rPr>
            </w:pP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17,227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7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225,974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208,245</w:t>
            </w:r>
          </w:p>
        </w:tc>
        <w:tc>
          <w:tcPr>
            <w:tcW w:w="0" w:type="dxa"/>
            <w:vAlign w:val="bottom"/>
          </w:tcPr>
          <w:p>
            <w:pPr>
              <w:spacing w:after="0"/>
              <w:rPr>
                <w:sz w:val="1"/>
                <w:szCs w:val="1"/>
                <w:color w:val="auto"/>
              </w:rPr>
            </w:pPr>
          </w:p>
        </w:tc>
      </w:tr>
      <w:tr>
        <w:trPr>
          <w:trHeight w:val="243"/>
        </w:trPr>
        <w:tc>
          <w:tcPr>
            <w:tcW w:w="6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270,410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251,433</w:t>
            </w:r>
          </w:p>
        </w:tc>
        <w:tc>
          <w:tcPr>
            <w:tcW w:w="0" w:type="dxa"/>
            <w:vAlign w:val="bottom"/>
          </w:tcPr>
          <w:p>
            <w:pPr>
              <w:spacing w:after="0"/>
              <w:rPr>
                <w:sz w:val="1"/>
                <w:szCs w:val="1"/>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Arial" w:cs="Arial" w:eastAsia="Arial" w:hAnsi="Arial"/>
                <w:sz w:val="18"/>
                <w:szCs w:val="18"/>
                <w:color w:val="auto"/>
              </w:rPr>
              <w:t>(171,803)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(157,538)</w:t>
            </w:r>
          </w:p>
        </w:tc>
        <w:tc>
          <w:tcPr>
            <w:tcW w:w="0" w:type="dxa"/>
            <w:vAlign w:val="bottom"/>
          </w:tcPr>
          <w:p>
            <w:pPr>
              <w:spacing w:after="0"/>
              <w:rPr>
                <w:sz w:val="1"/>
                <w:szCs w:val="1"/>
                <w:color w:val="auto"/>
              </w:rPr>
            </w:pPr>
          </w:p>
        </w:tc>
      </w:tr>
      <w:tr>
        <w:trPr>
          <w:trHeight w:val="27"/>
        </w:trPr>
        <w:tc>
          <w:tcPr>
            <w:tcW w:w="69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98,607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93,895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Depreciation expense was approximately $24.2 million, $24.2 million, and $22.4 million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 and Disposition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year ended December 31, 2019, the Company completed one acquisition that provides pipeline integrity management software and services to energy transportation companies. The Company acquired all the equity interest of the acquiree in exchange for aggregate consideration of $4.4 million in cash, contingent consideration of up to $4.3 million to be earned based upon the acquired business achieving specific performance metrics over the initial three years of operations from the acquisition date and working capital adjustments. The goodwill recorded is primarily attributable to expected synergies and is generally fully deductible for tax purposes. The Company is still in the process of completing its valuation of the assets acquired and liabilities assumed.</w:t>
      </w:r>
    </w:p>
    <w:p>
      <w:pPr>
        <w:spacing w:after="0" w:line="219"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following table summarizes the estimated fair value of the assets acquired and liabilities assumed, the Company's allocation of purchase price and any subsequent adjustments made during the year ended December 31, 2019 for the 2019 acquisition: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49"/>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4,380</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Working capital adjustments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(152)</w:t>
            </w:r>
          </w:p>
        </w:tc>
      </w:tr>
      <w:tr>
        <w:trPr>
          <w:trHeight w:val="27"/>
        </w:trPr>
        <w:tc>
          <w:tcPr>
            <w:tcW w:w="9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1,142</w:t>
            </w:r>
          </w:p>
        </w:tc>
      </w:tr>
      <w:tr>
        <w:trPr>
          <w:trHeight w:val="263"/>
        </w:trPr>
        <w:tc>
          <w:tcPr>
            <w:tcW w:w="9920" w:type="dxa"/>
            <w:vAlign w:val="bottom"/>
          </w:tcPr>
          <w:p>
            <w:pPr>
              <w:ind w:left="120"/>
              <w:spacing w:after="0"/>
              <w:rPr>
                <w:sz w:val="20"/>
                <w:szCs w:val="20"/>
                <w:color w:val="auto"/>
              </w:rPr>
            </w:pPr>
            <w:r>
              <w:rPr>
                <w:rFonts w:ascii="Arial" w:cs="Arial" w:eastAsia="Arial" w:hAnsi="Arial"/>
                <w:sz w:val="18"/>
                <w:szCs w:val="18"/>
                <w:color w:val="auto"/>
              </w:rPr>
              <w:t>Total consideration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5,370</w:t>
            </w:r>
          </w:p>
        </w:tc>
      </w:tr>
      <w:tr>
        <w:trPr>
          <w:trHeight w:val="20"/>
        </w:trPr>
        <w:tc>
          <w:tcPr>
            <w:tcW w:w="9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9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Current net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142</w:t>
            </w:r>
          </w:p>
        </w:tc>
      </w:tr>
      <w:tr>
        <w:trPr>
          <w:trHeight w:val="27"/>
        </w:trPr>
        <w:tc>
          <w:tcPr>
            <w:tcW w:w="9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65</w:t>
            </w:r>
          </w:p>
        </w:tc>
      </w:tr>
      <w:tr>
        <w:trPr>
          <w:trHeight w:val="27"/>
        </w:trPr>
        <w:tc>
          <w:tcPr>
            <w:tcW w:w="9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3,594</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1,535</w:t>
            </w:r>
          </w:p>
        </w:tc>
      </w:tr>
      <w:tr>
        <w:trPr>
          <w:trHeight w:val="27"/>
        </w:trPr>
        <w:tc>
          <w:tcPr>
            <w:tcW w:w="9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9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5,370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results of operations of the business acquired in September 2019 have been included in the Services segment within the Consolidated Statements of Income (Loss) from the transaction closing date and approximates $2.0 million of revenues and an operating loss of $0.4 million for the year ended December 31, 2019.</w:t>
      </w:r>
    </w:p>
    <w:p>
      <w:pPr>
        <w:spacing w:after="0" w:line="21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During the year ended December 31, 2018, the Company completed one acquisition that performs inline inspection services, with headquarters in Canada and a location in the U.S. The acquired company has been included in the Services segment and primarily provides services to the midstream area within the oil and gas industry. The Company acquired 100% of the equity interests of the acquiree's Canadian and U.S. entities in exchange for aggregate consideration of $143.1 million in cash. The goodwill recorded is primarily attributable to expected synergies and the assembled workforce and is not deductible for tax purposes. The Company has filed a claim with the seller and the Company's insurance carrier. See Note 18–</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to these consolidated financial statements for further discussion.</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2019, the Company finalized valuations for of the assets acquired and liabilities assumed related to the 2018 acquisition and adjusted provisional amounts as follows:</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increased the $59.6 million provisional fair value of intangibles by $4.8 million with a corresponding decrease to goodwill.</w:t>
      </w:r>
    </w:p>
    <w:p>
      <w:pPr>
        <w:spacing w:after="0" w:line="34" w:lineRule="exact"/>
        <w:rPr>
          <w:rFonts w:ascii="Arial" w:cs="Arial" w:eastAsia="Arial" w:hAnsi="Arial"/>
          <w:sz w:val="17"/>
          <w:szCs w:val="17"/>
          <w:color w:val="auto"/>
        </w:rPr>
      </w:pPr>
    </w:p>
    <w:p>
      <w:pPr>
        <w:ind w:left="660" w:right="1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decreased the $8.5 million provisional fair value of property, plant and equipment by $0.7 million with a corresponding increase to goodwill.</w:t>
      </w:r>
    </w:p>
    <w:p>
      <w:pPr>
        <w:ind w:left="660" w:right="54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increased the $5.0 million provisional fair value of debt and other liabilities by $0.4 million with a corresponding increase to goodwill.</w:t>
      </w:r>
    </w:p>
    <w:p>
      <w:pPr>
        <w:ind w:left="660" w:right="48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increased the $12.7 million provisional fair value of the deferred tax liability by $1.4 million with a corresponding increase to goodwill.</w:t>
      </w:r>
    </w:p>
    <w:p>
      <w:pPr>
        <w:spacing w:after="0" w:line="21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accounted for the acquisitions completed in 2019 and 2018 in accordance with the acquisition method of accounting for business combinations. Assets and liabilities of the acquired businesses were included in the consolidated balance sheet based on their respective estimated fair value on the date of acquisition as determined in a purchase price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allocation, using available information and making assumptions management believes are reasonable. The amortization period for the intangible assets acquired range from one to eighteen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w:t>
      </w:r>
    </w:p>
    <w:p>
      <w:pPr>
        <w:spacing w:after="0" w:line="252"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During the third quarter of 2018, substantially all of the assets and liabilities of a subsidiary in the Products and Systems segment were sold for approximately $4.3 million. For the year ended December 31, 2018, the Company recognized a gain of approximately $2.4 million related to the sale, which is reported as a Gain on sale of subsidiary on the Consolidated Statements of Income (Loss). The sale also included a three-year agreement to purchase products from the buyer, with a cumulative commitment of $2.3 million (see Note 18–</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net, on the consolidated statements of income and were as follows for the years ended December 31, 2019, 2018 and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980" w:type="dxa"/>
            <w:vAlign w:val="bottom"/>
            <w:tcBorders>
              <w:bottom w:val="single" w:sz="8" w:color="auto"/>
            </w:tcBorders>
          </w:tcPr>
          <w:p>
            <w:pPr>
              <w:spacing w:after="0"/>
              <w:rPr>
                <w:sz w:val="16"/>
                <w:szCs w:val="16"/>
                <w:color w:val="auto"/>
              </w:rPr>
            </w:pPr>
          </w:p>
        </w:tc>
      </w:tr>
      <w:tr>
        <w:trPr>
          <w:trHeight w:val="196"/>
        </w:trPr>
        <w:tc>
          <w:tcPr>
            <w:tcW w:w="69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24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86"/>
              </w:rPr>
              <w:t>945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Adjustments to fair value of contingent consideration liabilities</w:t>
            </w:r>
          </w:p>
        </w:tc>
        <w:tc>
          <w:tcPr>
            <w:tcW w:w="900" w:type="dxa"/>
            <w:vAlign w:val="bottom"/>
          </w:tcPr>
          <w:p>
            <w:pPr>
              <w:spacing w:after="0"/>
              <w:rPr>
                <w:sz w:val="21"/>
                <w:szCs w:val="21"/>
                <w:color w:val="auto"/>
              </w:rPr>
            </w:pPr>
          </w:p>
        </w:tc>
        <w:tc>
          <w:tcPr>
            <w:tcW w:w="480" w:type="dxa"/>
            <w:vAlign w:val="bottom"/>
          </w:tcPr>
          <w:p>
            <w:pPr>
              <w:jc w:val="right"/>
              <w:ind w:right="75"/>
              <w:spacing w:after="0"/>
              <w:rPr>
                <w:sz w:val="20"/>
                <w:szCs w:val="20"/>
                <w:color w:val="auto"/>
              </w:rPr>
            </w:pPr>
            <w:r>
              <w:rPr>
                <w:rFonts w:ascii="Arial" w:cs="Arial" w:eastAsia="Arial" w:hAnsi="Arial"/>
                <w:sz w:val="18"/>
                <w:szCs w:val="18"/>
                <w:color w:val="auto"/>
                <w:w w:val="99"/>
              </w:rPr>
              <w:t>511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center"/>
              <w:ind w:left="295"/>
              <w:spacing w:after="0"/>
              <w:rPr>
                <w:sz w:val="20"/>
                <w:szCs w:val="20"/>
                <w:color w:val="auto"/>
              </w:rPr>
            </w:pPr>
            <w:r>
              <w:rPr>
                <w:rFonts w:ascii="Arial" w:cs="Arial" w:eastAsia="Arial" w:hAnsi="Arial"/>
                <w:sz w:val="18"/>
                <w:szCs w:val="18"/>
                <w:color w:val="auto"/>
                <w:w w:val="95"/>
              </w:rPr>
              <w:t>(463)</w:t>
            </w:r>
          </w:p>
        </w:tc>
      </w:tr>
      <w:tr>
        <w:trPr>
          <w:trHeight w:val="27"/>
        </w:trPr>
        <w:tc>
          <w:tcPr>
            <w:tcW w:w="6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875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86"/>
              </w:rPr>
              <w:t>482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contingent consideration liabilities are recorded on the Consolidated Balance Sheets in Accrued expenses and other current liabilities and Other long-term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is shown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Products and Systems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165,801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37,637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203,438</w:t>
            </w: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Goodwill acquired during the year</w:t>
            </w:r>
          </w:p>
        </w:tc>
        <w:tc>
          <w:tcPr>
            <w:tcW w:w="3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83,163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83,163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(1,977)</w:t>
            </w: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(5,365)</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243,476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35,783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279,259</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ind w:left="120"/>
              <w:spacing w:after="0"/>
              <w:rPr>
                <w:sz w:val="20"/>
                <w:szCs w:val="20"/>
                <w:color w:val="auto"/>
              </w:rPr>
            </w:pPr>
            <w:r>
              <w:rPr>
                <w:rFonts w:ascii="Arial" w:cs="Arial" w:eastAsia="Arial" w:hAnsi="Arial"/>
                <w:sz w:val="18"/>
                <w:szCs w:val="18"/>
                <w:color w:val="auto"/>
              </w:rPr>
              <w:t>Goodwill acquired during the year</w:t>
            </w:r>
          </w:p>
        </w:tc>
        <w:tc>
          <w:tcPr>
            <w:tcW w:w="30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1,535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(2,332)</w:t>
            </w: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3,948</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247,215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35,195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282,410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conducted its annual goodwill impairment test of its reporting units as of October 1, 2019 and concluded that there was no impairment. As of December 31, 2019, the Company did not identify any changes in circumstances that would indicate the remaining carrying value of goodwill may not be recoverable.</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cumulative goodwill impairment as of December 31, 2019 and December 31, 2018 was $23.1 million, of which $13.2 million is related to the Products and Systems segment and $9.9 million is related to the International segment.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1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52"/>
        </w:trPr>
        <w:tc>
          <w:tcPr>
            <w:tcW w:w="1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Net</w:t>
            </w: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7"/>
              </w:rPr>
              <w:t>Net</w:t>
            </w:r>
          </w:p>
        </w:tc>
      </w:tr>
      <w:tr>
        <w:trPr>
          <w:trHeight w:val="158"/>
        </w:trPr>
        <w:tc>
          <w:tcPr>
            <w:tcW w:w="1920" w:type="dxa"/>
            <w:vAlign w:val="bottom"/>
          </w:tcPr>
          <w:p>
            <w:pPr>
              <w:spacing w:after="0"/>
              <w:rPr>
                <w:sz w:val="13"/>
                <w:szCs w:val="13"/>
                <w:color w:val="auto"/>
              </w:rPr>
            </w:pPr>
          </w:p>
        </w:tc>
        <w:tc>
          <w:tcPr>
            <w:tcW w:w="10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3"/>
                <w:szCs w:val="13"/>
                <w:color w:val="auto"/>
              </w:rPr>
            </w:pPr>
          </w:p>
        </w:tc>
        <w:tc>
          <w:tcPr>
            <w:tcW w:w="10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60" w:type="dxa"/>
            <w:vAlign w:val="bottom"/>
          </w:tcPr>
          <w:p>
            <w:pPr>
              <w:jc w:val="center"/>
              <w:ind w:right="157"/>
              <w:spacing w:after="0" w:line="158" w:lineRule="exact"/>
              <w:rPr>
                <w:sz w:val="20"/>
                <w:szCs w:val="20"/>
                <w:color w:val="auto"/>
              </w:rPr>
            </w:pPr>
            <w:r>
              <w:rPr>
                <w:rFonts w:ascii="Arial" w:cs="Arial" w:eastAsia="Arial" w:hAnsi="Arial"/>
                <w:sz w:val="14"/>
                <w:szCs w:val="14"/>
                <w:b w:val="1"/>
                <w:bCs w:val="1"/>
                <w:color w:val="auto"/>
              </w:rPr>
              <w:t>Carrying</w:t>
            </w:r>
          </w:p>
        </w:tc>
      </w:tr>
      <w:tr>
        <w:trPr>
          <w:trHeight w:val="188"/>
        </w:trPr>
        <w:tc>
          <w:tcPr>
            <w:tcW w:w="192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6"/>
                <w:szCs w:val="16"/>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06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Amount</w:t>
            </w:r>
          </w:p>
        </w:tc>
      </w:tr>
      <w:tr>
        <w:trPr>
          <w:trHeight w:val="265"/>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5-18</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113,861</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(67,853)</w:t>
            </w:r>
          </w:p>
        </w:tc>
        <w:tc>
          <w:tcPr>
            <w:tcW w:w="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46,008</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112,624</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(60,993)</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51,631</w:t>
            </w:r>
          </w:p>
        </w:tc>
      </w:tr>
      <w:tr>
        <w:trPr>
          <w:trHeight w:val="270"/>
        </w:trPr>
        <w:tc>
          <w:tcPr>
            <w:tcW w:w="1920" w:type="dxa"/>
            <w:vAlign w:val="bottom"/>
          </w:tcPr>
          <w:p>
            <w:pPr>
              <w:ind w:left="20"/>
              <w:spacing w:after="0"/>
              <w:rPr>
                <w:sz w:val="20"/>
                <w:szCs w:val="20"/>
                <w:color w:val="auto"/>
              </w:rPr>
            </w:pPr>
            <w:r>
              <w:rPr>
                <w:rFonts w:ascii="Arial" w:cs="Arial" w:eastAsia="Arial" w:hAnsi="Arial"/>
                <w:sz w:val="18"/>
                <w:szCs w:val="18"/>
                <w:color w:val="auto"/>
              </w:rPr>
              <w:t>Software/Technology</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77,914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(18,756)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78"/>
              <w:spacing w:after="0"/>
              <w:rPr>
                <w:sz w:val="20"/>
                <w:szCs w:val="20"/>
                <w:color w:val="auto"/>
              </w:rPr>
            </w:pPr>
            <w:r>
              <w:rPr>
                <w:rFonts w:ascii="Arial" w:cs="Arial" w:eastAsia="Arial" w:hAnsi="Arial"/>
                <w:sz w:val="18"/>
                <w:szCs w:val="18"/>
                <w:color w:val="auto"/>
              </w:rPr>
              <w:t>59,158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67,240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(13,319)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53,921</w:t>
            </w:r>
          </w:p>
        </w:tc>
      </w:tr>
      <w:tr>
        <w:trPr>
          <w:trHeight w:val="27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Covenants not to compete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12,795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(11,630)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12,593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(10,825)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1,768</w:t>
            </w:r>
          </w:p>
        </w:tc>
      </w:tr>
      <w:tr>
        <w:trPr>
          <w:trHeight w:val="270"/>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2-12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(7,607)</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3,206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10,317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(6,242)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4,075</w:t>
            </w:r>
          </w:p>
        </w:tc>
      </w:tr>
      <w:tr>
        <w:trPr>
          <w:trHeight w:val="288"/>
        </w:trPr>
        <w:tc>
          <w:tcPr>
            <w:tcW w:w="1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215,383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(105,846)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109,537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202,774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(91,379)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111,395</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Amortization expense for the years ended December 31, 2019, 2018 and 2017, was approximately $14.3 million, $10.2 million, and $9.0 million, respectively, including amortization of software/technology for these periods of $5.6 million, $1.4 million, and $1.2 million, respectively.</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Amortization expense in each of the five years and thereafter subsequent to December 31, 2019 related to the Company’s intangible assets is expected to be as follows:</w:t>
      </w:r>
    </w:p>
    <w:tbl>
      <w:tblPr>
        <w:tblLayout w:type="fixed"/>
        <w:tblInd w:w="0" w:type="dxa"/>
        <w:tblCellMar>
          <w:top w:w="0" w:type="dxa"/>
          <w:left w:w="0" w:type="dxa"/>
          <w:bottom w:w="0" w:type="dxa"/>
          <w:right w:w="0" w:type="dxa"/>
        </w:tblCellMar>
      </w:tblPr>
      <w:tr>
        <w:trPr>
          <w:trHeight w:val="144"/>
        </w:trPr>
        <w:tc>
          <w:tcPr>
            <w:tcW w:w="8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35"/>
        </w:trPr>
        <w:tc>
          <w:tcPr>
            <w:tcW w:w="8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13,864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12,474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12,042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10,987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9,870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50,300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109,537</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6"/>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29,959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1,687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5,046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liability - Operating</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Pension accrual</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5,585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25,724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26,532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600" w:type="dxa"/>
            <w:vAlign w:val="bottom"/>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81,389</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73,895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96"/>
        </w:trPr>
        <w:tc>
          <w:tcPr>
            <w:tcW w:w="8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151,773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181,656</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Senior secured term loan, net of debt issuance costs of $0.1 million</w:t>
            </w:r>
          </w:p>
        </w:tc>
        <w:tc>
          <w:tcPr>
            <w:tcW w:w="3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94,919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99,897</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8,021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8,999</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254,713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290,620</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(6,593)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(6,833)</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248,120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283,787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revolving credit agreement with its banking group (“Credit Agreement”) provides the Company with a</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$300 million revolving line of credit, which, under certain circumstances, can be increased to $450 million with the approval of the banks. In addition, the Credit Agreement provides the Company with a $100 million senior secured term loan A facility. Both the revolving line of credit and the term loan A facility under the Credit Agreement have a maturity date of December 12, 2023. The Company may borrow up to $100 million in non-U.S. Dollar currencies and use up to $20 million of the credit limit for the issuance of letters of credit. At December 31, 2019, the Company had borrowings of $246.7 million and letters of credit of $3.7 million were outstanding under the Credit Agreement. The Company had remaining capitalized costs of $0.8 million associated with debt modifications as of December 31, 2019, included in Other assets within the accompanying Consolidated Balance Sheets.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Loans under the Credit Agreement bear interest at the London Interbank Offered Rate ("LIBOR") plus an applicable LIBOR margin ranging from 1% to 2%, or a base rate less a margin of 1.25% to 0.375%, at the option of the Company,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$10 million in the four consecutive quarters immediately preceding the date of determination) for items such as severance, lease termination charges, asset write-offs and litigation settlements paid, and multi-employer pension plan withdrawal liabilities, all determined for the period of four consecutive fiscal quarters immediately preceding the date of determination of EBITDA. The Company has the benefit of the lowest margin if its Funded Debt Leverage Ratio is equal to or less than 1.0 to 1, and the margin increases as the ratio increases, to the maximum margin if the ratio is greater than 3.25 to 1. The Company will also bear additional costs for market disruption, regulatory changes affecting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4.25 to 1 through December 31, 2018, reducing to a maximum permitted ratio of 3.50 to 1 as of March 31, 2020 and all quarterly periods thereafter, and a Fixed Charge Coverage Ratio of at least 1.25 to 1. Fixed Charge Coverage Ratio means the ratio, as of any date of determination, of (a) (i) EBITDA for the 12 month period immediately preceding the date of determination, taken together as one accounting period, less (ii) the aggregate amount of all capital expenditures made during the period, less (iii) taxes paid in cash during the period, less (iv) Restricted Payments (as defined in the Credit Agreement) paid in cash during the period, -to- (b) the sum of (i)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and to the extent paid in cash during the period, (ii) the aggregate principal amount of all redemptions or similar acquisitions for value of outstanding debt for borrowed money or regularly scheduled principal payments made during the period, but excluding any such payments to the extent refinanced through the incurrence of additional Indebtedness otherwise expressly permitted under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Credit Agreement, and (iii) payments made during the period under all leases that have been or should be, in accordance with GAAP as in effect for the Company's 2017 audited financial statement, recorded as capitalized leases. Beginning in 2020, the Company can elect to increase the maximum Funded Debt Leverage Ratio to 4.0 to 1 for four fiscal quarters immediately following the fiscal quarter in which the Company acquires another business, with the maximum permitted ratio reducing back to 3.5 to 1 in the fifth fiscal quarter following such acquisition. The Company can make this election twice during the term of the Credit Agreement.</w:t>
      </w:r>
    </w:p>
    <w:p>
      <w:pPr>
        <w:spacing w:after="0" w:line="21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6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As of December 31, 2019, the Company was in compliance with the terms of the Credit Agreement, and has undertaken to continuously monitor compliance with these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March 9, 2020, the Credit Agreement was amended to provide that the maximum Funded Debt Leverage Ratio is 4.0 to 1 for the quarters ended December 31, 2019 through June 30, 2020; 3.75 to 1 for the quarter ending September 30, 2020; and 3.5 to 1 for the quarter ending December 31, 2020 and or each quarter end thereafter, and increased the maximum LIBOR margin from 2.0% to 2.25% if the Funded Debt Leverage Ratio exceeds 3.75 to 1. The amendment also requires that prior to the first time the Company makes an election to increase the Funded Debt Leverage Ratio to 4.0 to 1 in connection with an acquisition, the Company must obtain the consent of lenders (in their sole discretion) holding at least 66-2/3% of the credit exposure under the Credit Agreement.</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March 9, 2020 amendment to the Credit Agreement also provides that for acquisitions completed prior to April 1, 2021, (a) the aggregate consideration for all acquisitions made on or after March 9, 2020 and prior to April 1, 2021 shall not exceed $5,000,000, and (b) prior to the first of any such acquisition, the Company shall have demonstrated a Funded Debt Leverage Ratio of not greater than 3.0 to 1.0 for two consecutive fiscal quarters immediately prior to such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 Debt</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other debt includes local bank financing provided at the local subsidiary levels used to support working capital requirements and fund capital expenditures. At December 31, 2019, there was approximately $8.0 million outstanding, payable at various times through 2029. Monthly payments range from $1 thousand to $18 thousand. Interest rates range from 0.4% to 6.2%.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Scheduled principal payments due under all borrowing agreements in each of the five years and thereafter subsequent to December 31, 2019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6,593</w:t>
            </w:r>
          </w:p>
        </w:tc>
      </w:tr>
      <w:tr>
        <w:trPr>
          <w:trHeight w:val="243"/>
        </w:trPr>
        <w:tc>
          <w:tcPr>
            <w:tcW w:w="9780" w:type="dxa"/>
            <w:vAlign w:val="bottom"/>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8,864</w:t>
            </w:r>
          </w:p>
        </w:tc>
      </w:tr>
      <w:tr>
        <w:trPr>
          <w:trHeight w:val="27"/>
        </w:trPr>
        <w:tc>
          <w:tcPr>
            <w:tcW w:w="9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11,210</w:t>
            </w:r>
          </w:p>
        </w:tc>
      </w:tr>
      <w:tr>
        <w:trPr>
          <w:trHeight w:val="243"/>
        </w:trPr>
        <w:tc>
          <w:tcPr>
            <w:tcW w:w="978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225,343</w:t>
            </w:r>
          </w:p>
        </w:tc>
      </w:tr>
      <w:tr>
        <w:trPr>
          <w:trHeight w:val="27"/>
        </w:trPr>
        <w:tc>
          <w:tcPr>
            <w:tcW w:w="9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890</w:t>
            </w:r>
          </w:p>
        </w:tc>
      </w:tr>
      <w:tr>
        <w:trPr>
          <w:trHeight w:val="243"/>
        </w:trPr>
        <w:tc>
          <w:tcPr>
            <w:tcW w:w="9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1,813</w:t>
            </w:r>
          </w:p>
        </w:tc>
      </w:tr>
      <w:tr>
        <w:trPr>
          <w:trHeight w:val="27"/>
        </w:trPr>
        <w:tc>
          <w:tcPr>
            <w:tcW w:w="9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9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254,713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00" w:hanging="592"/>
        <w:spacing w:after="0"/>
        <w:tabs>
          <w:tab w:leader="none" w:pos="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 Company performs fair value measurements in accordance with the guidance provided by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9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5,508</w:t>
            </w:r>
          </w:p>
        </w:tc>
      </w:tr>
      <w:tr>
        <w:trPr>
          <w:trHeight w:val="243"/>
        </w:trPr>
        <w:tc>
          <w:tcPr>
            <w:tcW w:w="986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w:t>
            </w:r>
          </w:p>
        </w:tc>
      </w:tr>
      <w:tr>
        <w:trPr>
          <w:trHeight w:val="243"/>
        </w:trPr>
        <w:tc>
          <w:tcPr>
            <w:tcW w:w="9860" w:type="dxa"/>
            <w:vAlign w:val="bottom"/>
          </w:tcPr>
          <w:p>
            <w:pPr>
              <w:ind w:left="220"/>
              <w:spacing w:after="0"/>
              <w:rPr>
                <w:sz w:val="20"/>
                <w:szCs w:val="20"/>
                <w:color w:val="auto"/>
              </w:rPr>
            </w:pPr>
            <w:r>
              <w:rPr>
                <w:rFonts w:ascii="Arial" w:cs="Arial" w:eastAsia="Arial" w:hAnsi="Arial"/>
                <w:sz w:val="18"/>
                <w:szCs w:val="18"/>
                <w:color w:val="auto"/>
              </w:rPr>
              <w:t>Accretion of liability</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175</w:t>
            </w:r>
          </w:p>
        </w:tc>
      </w:tr>
      <w:tr>
        <w:trPr>
          <w:trHeight w:val="27"/>
        </w:trPr>
        <w:tc>
          <w:tcPr>
            <w:tcW w:w="9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Revaluation</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r>
      <w:tr>
        <w:trPr>
          <w:trHeight w:val="243"/>
        </w:trPr>
        <w:tc>
          <w:tcPr>
            <w:tcW w:w="986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9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2,365</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86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4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1,142</w:t>
            </w:r>
          </w:p>
        </w:tc>
      </w:tr>
      <w:tr>
        <w:trPr>
          <w:trHeight w:val="27"/>
        </w:trPr>
        <w:tc>
          <w:tcPr>
            <w:tcW w:w="9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43"/>
        </w:trPr>
        <w:tc>
          <w:tcPr>
            <w:tcW w:w="9860" w:type="dxa"/>
            <w:vAlign w:val="bottom"/>
          </w:tcPr>
          <w:p>
            <w:pPr>
              <w:ind w:left="220"/>
              <w:spacing w:after="0"/>
              <w:rPr>
                <w:sz w:val="20"/>
                <w:szCs w:val="20"/>
                <w:color w:val="auto"/>
              </w:rPr>
            </w:pPr>
            <w:r>
              <w:rPr>
                <w:rFonts w:ascii="Arial" w:cs="Arial" w:eastAsia="Arial" w:hAnsi="Arial"/>
                <w:sz w:val="18"/>
                <w:szCs w:val="18"/>
                <w:color w:val="auto"/>
              </w:rPr>
              <w:t>Accretion of liability</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92</w:t>
            </w:r>
          </w:p>
        </w:tc>
      </w:tr>
      <w:tr>
        <w:trPr>
          <w:trHeight w:val="27"/>
        </w:trPr>
        <w:tc>
          <w:tcPr>
            <w:tcW w:w="9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Revaluation</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419</w:t>
            </w:r>
          </w:p>
        </w:tc>
      </w:tr>
      <w:tr>
        <w:trPr>
          <w:trHeight w:val="243"/>
        </w:trPr>
        <w:tc>
          <w:tcPr>
            <w:tcW w:w="986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7"/>
        </w:trPr>
        <w:tc>
          <w:tcPr>
            <w:tcW w:w="9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3,216</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and operating lease obligations approximates their carrying amounts based on anticipated interest rates which management believes would currently be available to the Company for similar issuances of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has share-based incentive awards outstanding to its eligible employees and directors under two employee stock ownership plans: (i) the 2009 Long-Term Incentive Plan (the "2009 Plan") and (ii) the 2016 Long-Term Incentive Plan (the "2016 Plan"). No further awards may be granted under the 2009 Plan, although awards granted under the 2009 Plan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 The 2016 Plan allows for the grant of awards of up to approximately 1,700,000 shares of common stock, of which 718,000 shares were available for future grants as of December 31, 2019. As of December 31, 2019, there was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an aggregate of approximately 5,000 stock options outstanding and approximately 101,000 unvested restricted stock units outstanding under the 2009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2019, 2018 and 2017, the Company did not have any share-based compensation expense related to stock option awards. No stock options were granted during the years ended December 31, 2019, 2018 and 2017. As of December 31, 2019, no unrecognized compensation costs remained related to stock option awards. Cash proceeds from, and the intrinsic value of, stock options exercised during the years ended December 31, 2019, 2018 and 2017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1"/>
                <w:szCs w:val="11"/>
                <w:b w:val="1"/>
                <w:bCs w:val="1"/>
                <w:color w:val="auto"/>
              </w:rPr>
              <w:t>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4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proceeds from options exercised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275</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580</w:t>
            </w:r>
          </w:p>
        </w:tc>
      </w:tr>
      <w:tr>
        <w:trPr>
          <w:trHeight w:val="351"/>
        </w:trPr>
        <w:tc>
          <w:tcPr>
            <w:tcW w:w="6900" w:type="dxa"/>
            <w:vAlign w:val="bottom"/>
          </w:tcPr>
          <w:p>
            <w:pPr>
              <w:spacing w:after="0"/>
              <w:rPr>
                <w:sz w:val="20"/>
                <w:szCs w:val="20"/>
                <w:color w:val="auto"/>
              </w:rPr>
            </w:pPr>
            <w:r>
              <w:rPr>
                <w:rFonts w:ascii="Arial" w:cs="Arial" w:eastAsia="Arial" w:hAnsi="Arial"/>
                <w:sz w:val="18"/>
                <w:szCs w:val="18"/>
                <w:color w:val="auto"/>
              </w:rPr>
              <w:t>____________________</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ind w:right="100" w:firstLine="8"/>
        <w:spacing w:after="0" w:line="219" w:lineRule="auto"/>
        <w:tabs>
          <w:tab w:leader="none" w:pos="103"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During 2019, 2.1 million stock options were net exercised, wherein the option holders surrendered a portion of the underlying stock option awards to pay the exercise price and required minimum tax withholding.</w:t>
      </w:r>
    </w:p>
    <w:p>
      <w:pPr>
        <w:spacing w:after="0" w:line="2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summary of the stock option activity, weighted average exercise prices, and options outstanding and exercisable as of December 31, 2019, 2018 and 2017 is as follows (in thousands, except per share amounts and years):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3"/>
              </w:rPr>
              <w:t>2018</w:t>
            </w:r>
          </w:p>
        </w:tc>
        <w:tc>
          <w:tcPr>
            <w:tcW w:w="1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24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Weighted</w:t>
            </w: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24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gridSpan w:val="2"/>
          </w:tcPr>
          <w:p>
            <w:pPr>
              <w:spacing w:after="0"/>
              <w:rPr>
                <w:sz w:val="16"/>
                <w:szCs w:val="16"/>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Options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Outstanding at beginning of year:</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3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4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5"/>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7.39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120"/>
              <w:spacing w:after="0"/>
              <w:rPr>
                <w:sz w:val="20"/>
                <w:szCs w:val="20"/>
                <w:color w:val="auto"/>
              </w:rPr>
            </w:pPr>
            <w:r>
              <w:rPr>
                <w:rFonts w:ascii="Arial" w:cs="Arial" w:eastAsia="Arial" w:hAnsi="Arial"/>
                <w:sz w:val="18"/>
                <w:szCs w:val="18"/>
                <w:color w:val="auto"/>
              </w:rPr>
              <w:t>Expired or 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5"/>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gridSpan w:val="2"/>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80" w:type="dxa"/>
            <w:vAlign w:val="bottom"/>
            <w:tcBorders>
              <w:bottom w:val="single" w:sz="8" w:color="auto"/>
            </w:tcBorders>
            <w:gridSpan w:val="4"/>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00" w:type="dxa"/>
            <w:vAlign w:val="bottom"/>
            <w:tcBorders>
              <w:bottom w:val="single" w:sz="8" w:color="auto"/>
            </w:tcBorders>
            <w:gridSpan w:val="4"/>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13.43</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718"/>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Options Outstanding</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89"/>
              </w:rPr>
              <w:t>Total</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ind w:right="440"/>
              <w:spacing w:after="0" w:line="135" w:lineRule="exact"/>
              <w:rPr>
                <w:sz w:val="20"/>
                <w:szCs w:val="20"/>
                <w:color w:val="auto"/>
              </w:rPr>
            </w:pPr>
            <w:r>
              <w:rPr>
                <w:rFonts w:ascii="Arial" w:cs="Arial" w:eastAsia="Arial" w:hAnsi="Arial"/>
                <w:sz w:val="14"/>
                <w:szCs w:val="14"/>
                <w:b w:val="1"/>
                <w:bCs w:val="1"/>
                <w:color w:val="auto"/>
                <w:w w:val="94"/>
              </w:rPr>
              <w:t>Options</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Exercise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25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Exercisable</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$22.35</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22.35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22.35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w:t>
            </w:r>
          </w:p>
        </w:tc>
        <w:tc>
          <w:tcPr>
            <w:tcW w:w="12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Restricted Stock Units generally vest ratably on each of the first four anniversary dates of issuance. The Company recognized approximately $4.0 million, $4.2 million and $4.5 million of share-based compensation for the years ended December 31, 2019, 2018 and 2017, respectively, related to restricted stock unit awards. As of December 31, 2019, there were approximately $6.7 million of unrecognized compensation costs, net of estimated forfeitures, related to restricted stock unit awards, which are expected to be recognized over a remaining weighted average period of 2.4 years. Upon vesting, restricted stock units are generally net share-settled to cover the required minimum withholding tax and the remaining amount is converted into an equivalent number of shares of common stock.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185</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5,319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3,429</w:t>
            </w:r>
          </w:p>
        </w:tc>
      </w:tr>
    </w:tbl>
    <w:p>
      <w:pPr>
        <w:spacing w:after="0" w:line="3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21</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56"/>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438</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presented below (in thousands, except per share amounts):</w:t>
      </w:r>
    </w:p>
    <w:p>
      <w:pPr>
        <w:spacing w:after="0" w:line="298" w:lineRule="exact"/>
        <w:rPr>
          <w:sz w:val="20"/>
          <w:szCs w:val="20"/>
          <w:color w:val="auto"/>
        </w:rPr>
      </w:pPr>
    </w:p>
    <w:p>
      <w:pPr>
        <w:ind w:left="58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23495</wp:posOffset>
            </wp:positionV>
            <wp:extent cx="5520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6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1"/>
              </w:rPr>
              <w:t>Units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Grant-Date</w:t>
            </w:r>
          </w:p>
        </w:tc>
        <w:tc>
          <w:tcPr>
            <w:tcW w:w="12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Grant-Date</w:t>
            </w:r>
          </w:p>
        </w:tc>
        <w:tc>
          <w:tcPr>
            <w:tcW w:w="12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5"/>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w:t>
            </w: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20.55</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43"/>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339</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Released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(172)</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20.38</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43"/>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17.71</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16.92</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(defined as net income attributable to MISTRAS Group, Inc. plus: interest expense, provision for income taxes, depreciation and amortization, share-based compensation expense and certain acquisition related costs (including transaction due diligence costs and adjustments to the fair value of contingent consideration) and (3) Revenue. There is a discretionary portion of the PRSUs based on individual performance,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20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Cumulative compensation costs related to the PRSUs are subsequently adjusted for changes in the expected outcomes of the performance conditions.</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presented below (in thousands, except per share amounts):</w:t>
      </w:r>
    </w:p>
    <w:p>
      <w:pPr>
        <w:spacing w:after="0" w:line="298"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23495</wp:posOffset>
            </wp:positionV>
            <wp:extent cx="54089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3"/>
              </w:rPr>
              <w:t>2019</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2018</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840" w:type="dxa"/>
            <w:vAlign w:val="bottom"/>
            <w:vMerge w:val="restart"/>
          </w:tcPr>
          <w:p>
            <w:pPr>
              <w:ind w:left="500"/>
              <w:spacing w:after="0"/>
              <w:rPr>
                <w:sz w:val="20"/>
                <w:szCs w:val="20"/>
                <w:color w:val="auto"/>
              </w:rPr>
            </w:pPr>
            <w:r>
              <w:rPr>
                <w:rFonts w:ascii="Arial" w:cs="Arial" w:eastAsia="Arial" w:hAnsi="Arial"/>
                <w:sz w:val="14"/>
                <w:szCs w:val="14"/>
                <w:b w:val="1"/>
                <w:bCs w:val="1"/>
                <w:color w:val="auto"/>
                <w:w w:val="91"/>
              </w:rPr>
              <w:t>Units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Grant-Date</w:t>
            </w:r>
          </w:p>
        </w:tc>
        <w:tc>
          <w:tcPr>
            <w:tcW w:w="12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Grant-Date</w:t>
            </w:r>
          </w:p>
        </w:tc>
        <w:tc>
          <w:tcPr>
            <w:tcW w:w="12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9"/>
              </w:rPr>
              <w:t>278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3"/>
        </w:trPr>
        <w:tc>
          <w:tcPr>
            <w:tcW w:w="35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99"/>
              </w:rPr>
              <w:t>129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condition</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adjustments, net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(106)</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7"/>
              </w:rPr>
              <w:t>(50)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43"/>
        </w:trPr>
        <w:tc>
          <w:tcPr>
            <w:tcW w:w="3520" w:type="dxa"/>
            <w:vAlign w:val="bottom"/>
            <w:gridSpan w:val="2"/>
          </w:tcPr>
          <w:p>
            <w:pPr>
              <w:ind w:left="120"/>
              <w:spacing w:after="0"/>
              <w:rPr>
                <w:sz w:val="20"/>
                <w:szCs w:val="20"/>
                <w:color w:val="auto"/>
              </w:rPr>
            </w:pPr>
            <w:r>
              <w:rPr>
                <w:rFonts w:ascii="Arial" w:cs="Arial" w:eastAsia="Arial" w:hAnsi="Arial"/>
                <w:sz w:val="18"/>
                <w:szCs w:val="18"/>
                <w:color w:val="auto"/>
              </w:rPr>
              <w:t>Released</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w w:val="87"/>
              </w:rPr>
              <w:t>(68)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7"/>
              </w:rPr>
              <w:t>(12)</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680" w:type="dxa"/>
            <w:vAlign w:val="bottom"/>
          </w:tcPr>
          <w:p>
            <w:pPr>
              <w:ind w:left="20"/>
              <w:spacing w:after="0"/>
              <w:rPr>
                <w:sz w:val="20"/>
                <w:szCs w:val="20"/>
                <w:color w:val="auto"/>
              </w:rPr>
            </w:pPr>
            <w:r>
              <w:rPr>
                <w:rFonts w:ascii="Arial" w:cs="Arial" w:eastAsia="Arial" w:hAnsi="Arial"/>
                <w:sz w:val="18"/>
                <w:szCs w:val="18"/>
                <w:color w:val="auto"/>
              </w:rPr>
              <w:t>Outstanding at end of period:</w:t>
            </w:r>
          </w:p>
        </w:tc>
        <w:tc>
          <w:tcPr>
            <w:tcW w:w="84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277</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80" w:type="dxa"/>
            <w:vAlign w:val="bottom"/>
            <w:tcBorders>
              <w:top w:val="single" w:sz="8" w:color="auto"/>
              <w:bottom w:val="single" w:sz="8" w:color="auto"/>
            </w:tcBorders>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For the year ended December 31, 2019, 190,000 PRSUs were granted. There was a 103,000 unit reduction to these awards, which represents Company performance below target, during the year ended December 31, 2019. As of December 31, 2019, the aggregate liability related to 29,000 outstanding discretionary PRSUs was less than $0.1 million and is classified within Accrued expenses and other liabilities on the consolidated balance sheet.</w:t>
      </w:r>
    </w:p>
    <w:p>
      <w:pPr>
        <w:spacing w:after="0" w:line="176"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For the year ended December 31, 2018, 129,000 PRSUs were granted. There was a 54,000 unit reduction to these awards, which represents Company performance below target, during the year ended December 31, 2018. As of December 31, 2018, the aggregate liability related to 22,000 outstanding discretionary PRSUs was less than $0.1 million and is classified within Accrued expenses and other liabilities on the consolidated balance sheet. The Compensation Committee approved these PRSUs during the first quarter of 2019, which further reduced these awards by 3,000 units. The discretionary portion of these awards were reclassified from a liability to equity on the consolidated balance sheet upon Compensation Committee approval.</w:t>
      </w:r>
    </w:p>
    <w:p>
      <w:pPr>
        <w:spacing w:after="0" w:line="18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year ended December 31, 2017, 128,000 PRSUs were granted. There was a 65,000 unit reduction to these awards, which represents Company performance below target, during the year ended December 31, 2017. The Compensation Committee approved these PRSUs in the first quarter of 2018, which increased them by 4,000 units. The discretionary portion of these awards were reclassified from a liability to equity on the consolidated balance sheet upon Compensation Committee approval.</w:t>
      </w:r>
    </w:p>
    <w:p>
      <w:pPr>
        <w:spacing w:after="0" w:line="21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Compensation expense related to all PRSUs described above was $1.3 million, $1.5 million, and $1.7 million for the years ended December 31, 2019, 2018 and 2017, respectively. At December 31, 2019, there was $1.7 million of total unrecognized compensation costs related to approximately 260,000 unvested performance restricted stock units. These costs are expected to be recognized over a weighted-average period of approximately 2.0 years.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December 31, 2019, 2018 and 2017, the income tax benefit recognized on all share based compensation arrangements referenced above was approximately $2.1 million, $1.0 million, and $2.2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 is as follows:</w:t>
      </w:r>
    </w:p>
    <w:p>
      <w:pPr>
        <w:spacing w:after="0" w:line="271"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23495</wp:posOffset>
            </wp:positionV>
            <wp:extent cx="27432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23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 from:</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U.S.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9,853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(7,303)</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7,077</w:t>
            </w:r>
          </w:p>
        </w:tc>
      </w:tr>
      <w:tr>
        <w:trPr>
          <w:trHeight w:val="264"/>
        </w:trPr>
        <w:tc>
          <w:tcPr>
            <w:tcW w:w="692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10,439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14,271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(226)</w:t>
            </w: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980" w:type="dxa"/>
            <w:vAlign w:val="bottom"/>
            <w:tcBorders>
              <w:bottom w:val="single" w:sz="8" w:color="auto"/>
            </w:tcBorders>
          </w:tcPr>
          <w:p>
            <w:pPr>
              <w:spacing w:after="0"/>
              <w:rPr>
                <w:sz w:val="16"/>
                <w:szCs w:val="16"/>
                <w:color w:val="auto"/>
              </w:rPr>
            </w:pPr>
          </w:p>
        </w:tc>
      </w:tr>
      <w:tr>
        <w:trPr>
          <w:trHeight w:val="196"/>
        </w:trPr>
        <w:tc>
          <w:tcPr>
            <w:tcW w:w="6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3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790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3,558</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States and local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533</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3,824</w:t>
            </w:r>
          </w:p>
        </w:tc>
        <w:tc>
          <w:tcPr>
            <w:tcW w:w="4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3,131</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uncertain tax positions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337</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r>
      <w:tr>
        <w:trPr>
          <w:trHeight w:val="237"/>
        </w:trPr>
        <w:tc>
          <w:tcPr>
            <w:tcW w:w="6920" w:type="dxa"/>
            <w:vAlign w:val="bottom"/>
          </w:tcPr>
          <w:p>
            <w:pPr>
              <w:ind w:left="120"/>
              <w:spacing w:after="0"/>
              <w:rPr>
                <w:sz w:val="20"/>
                <w:szCs w:val="20"/>
                <w:color w:val="auto"/>
              </w:rPr>
            </w:pPr>
            <w:r>
              <w:rPr>
                <w:rFonts w:ascii="Arial" w:cs="Arial" w:eastAsia="Arial" w:hAnsi="Arial"/>
                <w:sz w:val="18"/>
                <w:szCs w:val="18"/>
                <w:color w:val="auto"/>
              </w:rPr>
              <w:t>Total current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7,902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5,484</w:t>
            </w: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6,799</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2,966</w:t>
            </w: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(3,857)</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States and local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399</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(2,089)</w:t>
            </w: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deferred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1,276</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(4,826)</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Net change in valuation allowance</w:t>
            </w: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666</w:t>
            </w: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deferred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1,942</w:t>
            </w: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(4,857)</w:t>
            </w:r>
          </w:p>
        </w:tc>
      </w:tr>
      <w:tr>
        <w:trPr>
          <w:trHeight w:val="263"/>
        </w:trPr>
        <w:tc>
          <w:tcPr>
            <w:tcW w:w="692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7,426</w:t>
            </w:r>
          </w:p>
        </w:tc>
        <w:tc>
          <w:tcPr>
            <w:tcW w:w="4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1,942</w:t>
            </w: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to income tax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For the years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32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2,192</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2,997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4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tax</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982</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US taxation of foreign earnings</w:t>
            </w:r>
          </w:p>
        </w:tc>
        <w:tc>
          <w:tcPr>
            <w:tcW w:w="4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Transition tax, net of foreign tax credits</w:t>
            </w:r>
          </w:p>
        </w:tc>
        <w:tc>
          <w:tcPr>
            <w:tcW w:w="4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(1,741.4)%</w:t>
            </w:r>
          </w:p>
        </w:tc>
      </w:tr>
      <w:tr>
        <w:trPr>
          <w:trHeight w:val="27"/>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Federal tax rate change due to the Tax Act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Impact of foreign tax rate changes</w:t>
            </w:r>
          </w:p>
        </w:tc>
        <w:tc>
          <w:tcPr>
            <w:tcW w:w="4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(1,882)</w:t>
            </w:r>
          </w:p>
        </w:tc>
        <w:tc>
          <w:tcPr>
            <w:tcW w:w="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289"/>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4,359</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7,426</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(857.9)%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permanent differences identified above include normal recurring differences, such as meals, entertainment and parking fringe benefits.</w:t>
      </w:r>
    </w:p>
    <w:p>
      <w:pPr>
        <w:spacing w:after="0" w:line="2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June 28, 2019, the Canadian province of Alberta enacted the Job Creation Tax Cut which reduced the Alberta corporate income tax rate from 12% to 11% starting in 2019 with further annual reductions to 10% in 2020, 9% in 2021, and 8% in 2022. This rate reduction had a favorable impact of approximately $1.9 million on the Company’s net deferred tax liabilities in this jurisdiction.</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December 22, 2017, the United States enacted fundamental changes to the federal tax law following the passage of the Tax Cuts and Jobs Act (the "Tax Act").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Tax Act is complex and significantly changes the U.S. corporate tax system by, among other things, (a) reducing the federal corporate tax rate from 35% to 21% for tax years beginning after December 31, 2017, (b) replacing the prior system of taxing corporations on foreign earnings of their foreign subsidiaries when the earnings are repatriated with a partial territorial tax system that provides a 100% dividends-received deduction (DRD) to domestic corporations for foreign-sourced dividends received from 10%-or-more owned foreign corporations, (c) subjecting certain unrepatriated foreign earnings to a mandatory one-time transition tax on post-1986 earnings and profits ("the transition tax"), and (d) further limiting a public entity's ability to deduct compensation in excess of $1 million for covered employees.</w:t>
      </w:r>
    </w:p>
    <w:p>
      <w:pPr>
        <w:spacing w:after="0" w:line="21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United States enacted the Coronavirus Aid, Relief, and Economic Security Act (CARES Act). The CARES Act is an approximately $2 trillion emergency economic stimulus package in response to the Coronavirus outbreak, which among other things contains numerous income tax provisions. Some of these tax provisions are expected to be effective retroactively for years ending before the date of enactment. The Company is currently evaluating the impact of the CARES Act on its consolidated financial position, results of operations, and cash flows.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financial statements for the year ended December 31, 2017, the Company had reasonably estimated the tax effects of the Tax Act. The effect of the change in federal corporate tax rate from 35% to 21% was subject to change based on resolution of estimates used in determining the amounts of deferred tax assets and liabilities that were remeasured. The Company's calculation of the transition tax was subject to further refinement as more information was gathered from its foreign subsidiaries, estimates used in the calculation were resolved, and as states provided guidance on how the transition tax may or may not apply in their respective jurisdictions. The Company also anticipated that the deferred tax asset related to executive compensation would change based upon actual 2018 compensation as compared to its projections of compensation that were limited. Finally, the Tax Act also imposes a minimum tax on certain foreign income deemed to be in excess of a routine return based on tangible asset investment, which is designed to discourage income shifting by subjecting certain foreign intangibles and other income to current US tax. Effective for tax years beginning after 2017, US shareholders of certain foreign corporations are subject to current U.S. tax on their global intangible low-taxed income (GILTI). As of December 31, 2017, the Company had not yet evaluated its potential liability, if any, under the minimum tax for GILTI in 2018 or future years. Accordingly, the Company had not yet made an accounting policy election either to account for these effects in the future period when the tax arises or to recognize them as part of the deferred taxes. The impact on income tax expense related to the Tax Act for 2017 was $1.9 million. This amount reflects a net tax benefit of $2.3 million as a result of the Tax Act due to the remeasurement of federal deferred tax assets and liabilities from 35% to 21%. This amount also includes a charge of $3.9 million due to the transition tax. Additionally, the Company incurred a charge attributable to reducing its deferred tax assets by $0.3 million due to changes made to executive compensation rules pursuant to the Tax Act.</w:t>
      </w:r>
    </w:p>
    <w:p>
      <w:pPr>
        <w:spacing w:after="0" w:line="2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year ended December 31, 2018, the Company completed its accounting for the effects of the Tax Act on the period ended December 31, 2017, which resulted in income tax expense of $1.7 million. This consisted primarily of $0.1 million of an increase in the Company's net deferred tax liabilities due to the reduction in the federal corporate rate from 35% to 21%, an increase of $1.3 million in tax expense attributable to the transition tax and a decrease in deferred tax assets of $0.4 million due to changes made to executive compensation.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color w:val="auto"/>
        </w:rPr>
        <w:t>Deferred income tax attributes resulting from differences between financial accounting amounts and income tax basis of assets and liabilities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3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assets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951</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1,230</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4,408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3,653</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731</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Capital losses</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462</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Interest carryforward</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699</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27,929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16,147</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(3,999)</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23,862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12,148</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liabilities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(7,597)</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(9,302)</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(16,459)</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Right-of-use asset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37"/>
        </w:trPr>
        <w:tc>
          <w:tcPr>
            <w:tcW w:w="8400" w:type="dxa"/>
            <w:vAlign w:val="bottom"/>
          </w:tcPr>
          <w:p>
            <w:pPr>
              <w:ind w:left="1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(43,366)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(33,366)</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(19,504)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(21,218)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2019, the Company had federal net operating loss carry forwards (NOLs) in the amount of approximately $0.2 million which may be utilized subject to limitation under Internal Revenue Code section 382. The federal NOLs expire at various times from 2032 to 2038. In addition, as of December 31, 2019, the Company had state and foreign NOLs of $7.2 million and $12.3 million, respectively. The state NOLs expire at various times from 2025 to 2039. Approximately $0.6 million of the foreign NOLs expire at various times from 2025 to 2039, while the remainder of the Company's foreign NOLs do not expire.</w:t>
      </w:r>
    </w:p>
    <w:p>
      <w:pPr>
        <w:spacing w:after="0" w:line="2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an assessment of estimated future taxable income that incorporates ongoing, prudent and feasible tax planning strategies. At December 31, 2019 and December 31, 2018, the Company has a valuation allowance of approximately $4.1 million and $4.0 million, respectively, primarily against certain state and foreign NOLs, capital losses generated by the disposals of certain foreign subsidiaries and other specific deferred tax assets. The increase of $0.1 million is primarily attributable to foreign net operating losses. Except for those deferred tax assets subject to the valuation allowance, management believes that it will realize all deferred tax assets as a result of sufficient future taxable income in each tax jurisdiction in which the Company has deferred tax assets.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gross unrecognized tax benefits, excluding interest and penalties: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12"/>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84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4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156</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Additions for tax positions related to the current fiscal period</w:t>
            </w:r>
          </w:p>
        </w:tc>
        <w:tc>
          <w:tcPr>
            <w:tcW w:w="84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7"/>
        </w:trPr>
        <w:tc>
          <w:tcPr>
            <w:tcW w:w="8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Additions for tax positions related to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341</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Decreases for tax positions related to prior years</w:t>
            </w:r>
          </w:p>
        </w:tc>
        <w:tc>
          <w:tcPr>
            <w:tcW w:w="84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8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year acquisitions</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Impact of foreign exchange fluctuation</w:t>
            </w:r>
          </w:p>
        </w:tc>
        <w:tc>
          <w:tcPr>
            <w:tcW w:w="84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Reductions related to the expiration of statutes of limitations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8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723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has recorded the unrecognized tax benefits in other long-term liabilities in the consolidated balance sheets. As of December 31, 2019 and December 31, 2018, there were approximately $0.4 million and $0.7 million of unrecognized tax benefits, respectively, including penalties and interest. If the Company recognized these unrecognized tax benefits, approximately $0.1 million would favorably affect the effective tax rate for both December 31, 2019 and 2018. Interest and penalties related to unrecognized tax benefits are recorded in income tax expense and are not significant for the years ended December 31, 2019, 2018 and 2017. The Company anticipates a decrease to its unrecognized tax benefits of less than $0.1 million excluding interest and penalties within the next 12 months.</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The Company is no longer subject to U.S. federal income tax examinations for years ending before May 31, 2016 and generally is no longer subject to state, local or foreign income tax examinations by tax authorities for years ending before May 31, 2016.</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income (loss) of foreign subsidiaries was $2.5 million, $2.0 million, and $4.1 million for the years ended December 31, 2019, 2018 and 2017, respectively. Generally, it has been the Company's practice and intention to reinvest the earnings of its non-U.S. subsidiaries in those operations. As previously noted, the Tax Act made significant changes to the taxation of undistributed earnings, requiring that all previously untaxed earnings and profits of the Company's controlled foreign operations be subjected to the transition tax. Since these earnings have now been subjected to U.S. federal tax they would only be potentially subject to limited other taxes, including foreign withholding and certain state taxes. As of December 31, 2019, the Company has not recognized a deferred tax liability for foreign withholdings and state taxes on its undistributed international earnings or losses of its foreign subsidiaries since it intends to indefinitely reinvest the earnings outside the United States. The Company has estimated that the amount of the unrecorded deferred tax liability related to undistributed international earnings is approximately $1.1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three months of continuous service. Under this plan, the Company matches 50% of the employee’s contributions up to 6% of the employee’s annual compensation, as defined by the plan. There is a five-year vesting schedule for the Company match. The Company’s contribution to the plan was $4.1 million, $3.9 million, and $3.7 million for the years ended December 31, 2019, 2018 and 2017, respectively.</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subsidiary participated with other employers in contributing to the Boilermaker-Blacksmith National Pension Trust (EIN 48-6168020) (“Boilermakers”) and Plumbers and Pipefitters National Pension Fund (EIN 52-6152779) (“Pipefitters”), multi-employer defined benefit pension plans, which covers certain U.S. based union employees. The plans provide multiple plan benefits with corresponding contribution rates that are collectively bargained between participating employers and their affiliated Boilermakers and Pipefitters local unions. Both the Boilermakers and Pipefitters plans are between 65 percent and 80 percent funded as of the latest Form 5500 filed. The Company did not make any contributions to the Boilermakers or Pipefitters plans during the year ended December 31, 2019. The Company’s contributions to the Boilermakers and Pipefitters plans, collectively, were $0.6 million and $2.4 million for the years ended December 31, 2018 and 2017, respectively. See Note 18–</w:t>
      </w:r>
      <w:r>
        <w:rPr>
          <w:rFonts w:ascii="Arial" w:cs="Arial" w:eastAsia="Arial" w:hAnsi="Arial"/>
          <w:sz w:val="18"/>
          <w:szCs w:val="18"/>
          <w:i w:val="1"/>
          <w:iCs w:val="1"/>
          <w:color w:val="auto"/>
        </w:rPr>
        <w:t>Commitments and Contingencies, Pension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for additional detail.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has other benefit plans covering certain employees throughout the Company. Amounts charged to expense under these plans were not significant in any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leases its headquarters under an operating lease from a shareholder and officer of the Company. On August 1, 2014, the Company extended its lease at its headquarters requiring monthly payments through October 2024. Total rent payments made during the year ended December 31, 2019 were approximately $1.0 million. See Note 17–</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further detail.</w:t>
      </w:r>
    </w:p>
    <w:p>
      <w:pPr>
        <w:spacing w:after="0" w:line="1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receives benefits consulting services from Capital Management Enterprise (“CME”), which is owned by one of its non-employee directors, Manuel N. Stamatakis. The Company does not pay any fees directly to CME. Any compensation CME receives is from third-party benefit providers.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has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our leases include one or more options to renew. When it is reasonably certain that we will exercise the option, we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Balance Sheets include the following related to operating leases as of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6"/>
                <w:szCs w:val="16"/>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ROU assets</w:t>
            </w: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45,817</w:t>
            </w:r>
          </w:p>
        </w:tc>
      </w:tr>
      <w:tr>
        <w:trPr>
          <w:trHeight w:val="270"/>
        </w:trPr>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5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gridSpan w:val="2"/>
          </w:tcPr>
          <w:p>
            <w:pPr>
              <w:ind w:left="220"/>
              <w:spacing w:after="0"/>
              <w:rPr>
                <w:sz w:val="20"/>
                <w:szCs w:val="20"/>
                <w:color w:val="auto"/>
              </w:rPr>
            </w:pPr>
            <w:r>
              <w:rPr>
                <w:rFonts w:ascii="Arial" w:cs="Arial" w:eastAsia="Arial" w:hAnsi="Arial"/>
                <w:sz w:val="18"/>
                <w:szCs w:val="18"/>
                <w:color w:val="auto"/>
              </w:rPr>
              <w:t>ROU liability - current</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10,133</w:t>
            </w:r>
          </w:p>
        </w:tc>
      </w:tr>
      <w:tr>
        <w:trPr>
          <w:trHeight w:val="27"/>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ROU liability - long-term</w:t>
            </w: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36,750</w:t>
            </w:r>
          </w:p>
        </w:tc>
      </w:tr>
      <w:tr>
        <w:trPr>
          <w:trHeight w:val="26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Total ROU liabilities</w:t>
            </w:r>
          </w:p>
        </w:tc>
        <w:tc>
          <w:tcPr>
            <w:tcW w:w="5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46,883</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Included within the balance of operating leases is a lease for the Company’s headquarters which is with a related party. The ROU liability for this facility is approximately $4.5 million as of December 31, 2019 and total rent payments made during the year ended December 31, 2019 approximates $1.0 million. As of December 31, 2019, the total ROU assets attributable to finance leases are approximately $19.2 million, which is included in Property, plant, and equipment,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for the year ended December 31, 2019 is as follows: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Finance lease expense:</w:t>
            </w:r>
          </w:p>
        </w:tc>
        <w:tc>
          <w:tcPr>
            <w:tcW w:w="5740" w:type="dxa"/>
            <w:vAlign w:val="bottom"/>
          </w:tcPr>
          <w:p>
            <w:pPr>
              <w:spacing w:after="0"/>
              <w:rPr>
                <w:sz w:val="19"/>
                <w:szCs w:val="19"/>
                <w:color w:val="auto"/>
              </w:rPr>
            </w:pPr>
          </w:p>
        </w:tc>
      </w:tr>
      <w:tr>
        <w:trPr>
          <w:trHeight w:val="270"/>
        </w:trPr>
        <w:tc>
          <w:tcPr>
            <w:tcW w:w="4000" w:type="dxa"/>
            <w:vAlign w:val="bottom"/>
          </w:tcPr>
          <w:p>
            <w:pPr>
              <w:ind w:left="200"/>
              <w:spacing w:after="0"/>
              <w:rPr>
                <w:sz w:val="20"/>
                <w:szCs w:val="20"/>
                <w:color w:val="auto"/>
              </w:rPr>
            </w:pPr>
            <w:r>
              <w:rPr>
                <w:rFonts w:ascii="Arial" w:cs="Arial" w:eastAsia="Arial" w:hAnsi="Arial"/>
                <w:sz w:val="18"/>
                <w:szCs w:val="18"/>
                <w:color w:val="auto"/>
              </w:rPr>
              <w:t>Amortization of ROU assets</w:t>
            </w:r>
          </w:p>
        </w:tc>
        <w:tc>
          <w:tcPr>
            <w:tcW w:w="5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r>
      <w:tr>
        <w:trPr>
          <w:trHeight w:val="270"/>
        </w:trPr>
        <w:tc>
          <w:tcPr>
            <w:tcW w:w="400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574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5740" w:type="dxa"/>
            <w:vAlign w:val="bottom"/>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5740" w:type="dxa"/>
            <w:vAlign w:val="bottom"/>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Variable lease expense</w:t>
            </w:r>
          </w:p>
        </w:tc>
        <w:tc>
          <w:tcPr>
            <w:tcW w:w="5740" w:type="dxa"/>
            <w:vAlign w:val="bottom"/>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r>
      <w:tr>
        <w:trPr>
          <w:trHeight w:val="311"/>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5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related to leases as of December 31, 2019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8743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00" w:lineRule="exact"/>
        <w:rPr>
          <w:sz w:val="20"/>
          <w:szCs w:val="20"/>
          <w:color w:val="auto"/>
        </w:rPr>
      </w:pPr>
    </w:p>
    <w:p>
      <w:pPr>
        <w:ind w:left="800" w:hanging="799"/>
        <w:spacing w:after="0"/>
        <w:tabs>
          <w:tab w:leader="none" w:pos="8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5,091</w:t>
      </w:r>
    </w:p>
    <w:p>
      <w:pPr>
        <w:spacing w:after="0" w:line="97"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5"/>
          <w:szCs w:val="15"/>
          <w:color w:val="auto"/>
        </w:rPr>
        <w:t>824</w:t>
      </w:r>
    </w:p>
    <w:p>
      <w:pPr>
        <w:spacing w:after="0" w:line="98"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12,937</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43</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8743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57" w:lineRule="exact"/>
        <w:rPr>
          <w:sz w:val="20"/>
          <w:szCs w:val="20"/>
          <w:color w:val="auto"/>
        </w:rPr>
      </w:pPr>
    </w:p>
    <w:p>
      <w:pPr>
        <w:ind w:left="720" w:hanging="719"/>
        <w:spacing w:after="0"/>
        <w:tabs>
          <w:tab w:leader="none" w:pos="7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20,115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8743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79375</wp:posOffset>
            </wp:positionV>
            <wp:extent cx="8743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2019</w:t>
      </w:r>
    </w:p>
    <w:p>
      <w:pPr>
        <w:spacing w:after="0" w:line="25" w:lineRule="exact"/>
        <w:rPr>
          <w:sz w:val="20"/>
          <w:szCs w:val="20"/>
          <w:color w:val="auto"/>
        </w:rPr>
      </w:pPr>
    </w:p>
    <w:p>
      <w:pPr>
        <w:sectPr>
          <w:pgSz w:w="11900" w:h="16838" w:orient="portrait"/>
          <w:cols w:equalWidth="0" w:num="2">
            <w:col w:w="9760" w:space="120"/>
            <w:col w:w="136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56"/>
        </w:trPr>
        <w:tc>
          <w:tcPr>
            <w:tcW w:w="84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for finance leases: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Finance - financing cash flows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Finance - operating cash flows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 operating cash flows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18,965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10"/>
        </w:trPr>
        <w:tc>
          <w:tcPr>
            <w:tcW w:w="8400" w:type="dxa"/>
            <w:vAlign w:val="bottom"/>
          </w:tcPr>
          <w:p>
            <w:pPr>
              <w:spacing w:after="0"/>
              <w:rPr>
                <w:sz w:val="20"/>
                <w:szCs w:val="20"/>
                <w:color w:val="auto"/>
              </w:rPr>
            </w:pPr>
            <w:r>
              <w:rPr>
                <w:rFonts w:ascii="Arial" w:cs="Arial" w:eastAsia="Arial" w:hAnsi="Arial"/>
                <w:sz w:val="18"/>
                <w:szCs w:val="18"/>
                <w:color w:val="auto"/>
              </w:rPr>
              <w:t>Maturities of lease liabilities as of December 31, 2019 is as follows: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Finance</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Operating</w:t>
            </w: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6,241</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12,466</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56,285</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17,174</w:t>
            </w:r>
          </w:p>
        </w:tc>
        <w:tc>
          <w:tcPr>
            <w:tcW w:w="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46,883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73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4"/>
        </w:trPr>
        <w:tc>
          <w:tcPr>
            <w:tcW w:w="8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Pursuant to the Company’s adoption of the new lease accounting guidance using a modified retrospective transition approach, as permitted, comparative information has not been restated and continues to be reported under the accounting standards in effect for those periods. As previously disclosed in its 2018 Annual Report, the following table presents the Company’s future minimum operating lease commitments as of 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10,939</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8,764</w:t>
            </w:r>
          </w:p>
        </w:tc>
      </w:tr>
      <w:tr>
        <w:trPr>
          <w:trHeight w:val="27"/>
        </w:trPr>
        <w:tc>
          <w:tcPr>
            <w:tcW w:w="9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6,327</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4,826</w:t>
            </w:r>
          </w:p>
        </w:tc>
      </w:tr>
      <w:tr>
        <w:trPr>
          <w:trHeight w:val="27"/>
        </w:trPr>
        <w:tc>
          <w:tcPr>
            <w:tcW w:w="9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4,239</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10,667</w:t>
            </w:r>
          </w:p>
        </w:tc>
      </w:tr>
      <w:tr>
        <w:trPr>
          <w:trHeight w:val="27"/>
        </w:trPr>
        <w:tc>
          <w:tcPr>
            <w:tcW w:w="9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45,762</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5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December 31, 2019,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has filed a lawsuit in the District Court of Bexar County, Texas, 37th Judicial District, in an action captioned Mistras Group, Inc. v. Epic Y-Grade Pipeline LP, to recover the $1.4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and accordingly, has not established any accruals for this matter.</w:t>
      </w:r>
    </w:p>
    <w:p>
      <w:pPr>
        <w:spacing w:after="0" w:line="19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A Company vehicle was involved in an accident in which individuals were injured, property was damaged, and businesses allegedly impacted by the accident have claimed economic losses. One lawsuit has been filed by one of the injured individuals in the U.S. District Court for the District of Colorado, </w:t>
      </w:r>
      <w:r>
        <w:rPr>
          <w:rFonts w:ascii="Arial" w:cs="Arial" w:eastAsia="Arial" w:hAnsi="Arial"/>
          <w:sz w:val="17"/>
          <w:szCs w:val="17"/>
          <w:i w:val="1"/>
          <w:iCs w:val="1"/>
          <w:color w:val="auto"/>
        </w:rPr>
        <w:t>McAllister v. Mistras Group, Inc</w:t>
      </w:r>
      <w:r>
        <w:rPr>
          <w:rFonts w:ascii="Arial" w:cs="Arial" w:eastAsia="Arial" w:hAnsi="Arial"/>
          <w:sz w:val="17"/>
          <w:szCs w:val="17"/>
          <w:color w:val="auto"/>
        </w:rPr>
        <w:t>. The Company has insurance for these types of matters. Most of the claims have been settled, including the claims covered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McAllister case, with the two remaining unresolved claims being for economic loss and property damage. All of the claims, including the two that have not yet been resolved, have been or are expected to be fully covered by the Company's insurance.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May 2015, the Company received a notice from the U.S. Environmental Protection Agency (“EPA”) that it performed a preliminary assessment at a leased facility the Company operates in Cudahy, California and would be investigating the site. The purpose of the investigation was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The Company has not received any further notices from EPA regarding this matter. In addition, in 2018, the California Department of Toxic Substances Control notified the owner of the property that it will be performing an additional investigation at the property. At this time, the Company is unable to determine whether it has any liability in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this matter and if so, the amount or range of any such liability, and accordingly, has not established any accruals for this matter.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will incur a withdrawal liability related to these multi-employer pension plans. Accordingly, the Company recorded a charge of $5.9 million during 2018 and $0.8 million during 2019 for this potential withdrawal liability. The Company’s subsidiary reached an agreement with one of the pension funds in September 2019 and made a final payment of $0.9 million in complete satisfaction of the withdrawal liability of the subsidiary. Excluding the settlement payment, the Company has made monthly payments totaling $3.3 million through December 31, 2019. The balance of the estimated total amount of this potential liability as of December 31, 2019 is approximately $2.5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would not renew several of these leasing services contracts when they expired beginning in 2019. Due to the limit on the length of service allowed under the German Labor Lease Act, employees are being transitioned off the customer contracts. The German subsidiary has terminated, or will terminate, some these employees, creating a severance obligation to the terminated employees, and has transitioned, or will transition other employees to the Company's other customers. During December 2019, the Company executed an agreement to sell the rights of certain customer contracts for total consideration of approximately $0.1 million, effective January 1, 2020. No other assets or liabilities other than those employee benefits related to employees working on the customer contracts were included in the sale. As of December 31, 2019, the Company accrued approximately $0.8 million for estimated severance payment obligations, which takes into account the Company's estimate with respect to the employees that have been or will be transitioned to the German subsidiaries' other customers. The $0.8 million of estimated obligations is net of $0.2 million in payments and $0.5 million in reversals due to employees being transitioned to customer contracts.</w:t>
      </w:r>
    </w:p>
    <w:p>
      <w:pPr>
        <w:spacing w:after="0" w:line="1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2018, the Company recorded approximately $1.2 million in charges related to labor claims against its Brazilian subsidiary, which are included within Selling, general and administrative expenses. These claims related to employees in a company acquired by the Brazilian subsidiary in a prior period. The Company believes it is entitled to indemnification from the sellers of the acquired company for most of these charges but has not recorded the expected recovery of indemnification for these labor claims as the amount and timing of collection is uncertain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December 31, 2019, total potential acquisition-related contingent consideration ranged from zero to approximately $7.9 million and would be payable upon the achievement of specific performance metrics by certain of the acquired companies over the next 2.8 years.</w:t>
      </w:r>
    </w:p>
    <w:p>
      <w:pPr>
        <w:spacing w:after="0" w:line="211"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With respect to the acquisition made in 2018, the Company has filed a claim with the sellers and the Company's insurance carrier through which the Company has representations and warranty insurance concerning certain matters that may impact the purchase price. This matter is currently being investigated and discussed with the sellers and the Company's insurance carrier.</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2018, the Company sold a subsidiary in the Products and Systems segment. As part of the sale, the Company entered into a three-year agreement to purchase products from the buyer, with a cumulative commitment of $2.3 million, of which</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$1.4 million is remaining as of December 31, 2019. The agreement is based on third party pricing and the Company's planned purchase requirements over the three year purchase period to meet the minimum contractual purchases.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660" w:right="140" w:hanging="328"/>
        <w:spacing w:after="0" w:line="286" w:lineRule="auto"/>
        <w:tabs>
          <w:tab w:leader="none" w:pos="655"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This segment provides asset protection solutions predominantly in North America, with the largest concentration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followed by Canada, consisting primarily of NDT and inspection and engineering services that are used to evaluate the safety, structural integrity and reliability of critical energy, industrial and public infrastructure and commercial aerospace components.</w:t>
      </w:r>
    </w:p>
    <w:p>
      <w:pPr>
        <w:spacing w:after="0" w:line="192" w:lineRule="exact"/>
        <w:rPr>
          <w:rFonts w:ascii="Arial" w:cs="Arial" w:eastAsia="Arial" w:hAnsi="Arial"/>
          <w:sz w:val="17"/>
          <w:szCs w:val="17"/>
          <w:i w:val="1"/>
          <w:iCs w:val="1"/>
          <w:color w:val="auto"/>
        </w:rPr>
      </w:pPr>
    </w:p>
    <w:p>
      <w:pPr>
        <w:ind w:left="660" w:right="180" w:hanging="328"/>
        <w:spacing w:after="0" w:line="263" w:lineRule="auto"/>
        <w:tabs>
          <w:tab w:leader="none" w:pos="65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as well as products and systems, similar to those of the other segments, to select markets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the Middle East, Africa, Asia and South America, but not to customers in China and South Korea, which are served by the Products and Systems segment.</w:t>
      </w:r>
    </w:p>
    <w:p>
      <w:pPr>
        <w:spacing w:after="0" w:line="210" w:lineRule="exact"/>
        <w:rPr>
          <w:rFonts w:ascii="Arial" w:cs="Arial" w:eastAsia="Arial" w:hAnsi="Arial"/>
          <w:sz w:val="18"/>
          <w:szCs w:val="18"/>
          <w:i w:val="1"/>
          <w:iCs w:val="1"/>
          <w:color w:val="auto"/>
        </w:rPr>
      </w:pPr>
    </w:p>
    <w:p>
      <w:pPr>
        <w:ind w:left="660" w:right="4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9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accounting policies of the reportable segments are the same as those described in Note 1–</w:t>
      </w:r>
      <w:r>
        <w:rPr>
          <w:rFonts w:ascii="Arial" w:cs="Arial" w:eastAsia="Arial" w:hAnsi="Arial"/>
          <w:sz w:val="17"/>
          <w:szCs w:val="17"/>
          <w:i w:val="1"/>
          <w:iCs w:val="1"/>
          <w:color w:val="auto"/>
        </w:rPr>
        <w:t>Summary of Significant Accounting Policies and Practices</w:t>
      </w:r>
      <w:r>
        <w:rPr>
          <w:rFonts w:ascii="Arial" w:cs="Arial" w:eastAsia="Arial" w:hAnsi="Arial"/>
          <w:sz w:val="17"/>
          <w:szCs w:val="17"/>
          <w:color w:val="auto"/>
        </w:rPr>
        <w:t>. Segment income from operations is one of the primary performance measures used by the Chief Executive Officer, who is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Selected financial information by segment for the periods shown was as follows (intercompany transactions are eliminated in Corporate and eliminations):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left="595"/>
              <w:spacing w:after="0"/>
              <w:rPr>
                <w:sz w:val="20"/>
                <w:szCs w:val="20"/>
                <w:color w:val="auto"/>
              </w:rPr>
            </w:pPr>
            <w:r>
              <w:rPr>
                <w:rFonts w:ascii="Arial" w:cs="Arial" w:eastAsia="Arial" w:hAnsi="Arial"/>
                <w:sz w:val="14"/>
                <w:szCs w:val="14"/>
                <w:b w:val="1"/>
                <w:bCs w:val="1"/>
                <w:color w:val="auto"/>
                <w:w w:val="92"/>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595,130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574,619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543,565</w:t>
            </w:r>
          </w:p>
        </w:tc>
      </w:tr>
      <w:tr>
        <w:trPr>
          <w:trHeight w:val="27"/>
        </w:trPr>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144,271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153,448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144,265</w:t>
            </w: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Products and Systems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18,583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23,426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23,297</w:t>
            </w:r>
          </w:p>
        </w:tc>
      </w:tr>
      <w:tr>
        <w:trPr>
          <w:trHeight w:val="27"/>
        </w:trPr>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(10,157)</w:t>
            </w:r>
          </w:p>
        </w:tc>
      </w:tr>
      <w:tr>
        <w:trPr>
          <w:trHeight w:val="237"/>
        </w:trPr>
        <w:tc>
          <w:tcPr>
            <w:tcW w:w="6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748,586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742,354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700,970</w:t>
            </w:r>
          </w:p>
        </w:tc>
      </w:tr>
      <w:tr>
        <w:trPr>
          <w:trHeight w:val="27"/>
        </w:trPr>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41"/>
        </w:trPr>
        <w:tc>
          <w:tcPr>
            <w:tcW w:w="68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left="595"/>
              <w:spacing w:after="0"/>
              <w:rPr>
                <w:sz w:val="20"/>
                <w:szCs w:val="20"/>
                <w:color w:val="auto"/>
              </w:rPr>
            </w:pPr>
            <w:r>
              <w:rPr>
                <w:rFonts w:ascii="Arial" w:cs="Arial" w:eastAsia="Arial" w:hAnsi="Arial"/>
                <w:sz w:val="14"/>
                <w:szCs w:val="14"/>
                <w:b w:val="1"/>
                <w:bCs w:val="1"/>
                <w:color w:val="auto"/>
                <w:w w:val="92"/>
              </w:rPr>
              <w:t>For the year ended December 31,</w:t>
            </w:r>
          </w:p>
        </w:tc>
        <w:tc>
          <w:tcPr>
            <w:tcW w:w="1000" w:type="dxa"/>
            <w:vAlign w:val="bottom"/>
            <w:tcBorders>
              <w:bottom w:val="single" w:sz="8" w:color="auto"/>
            </w:tcBorders>
          </w:tcPr>
          <w:p>
            <w:pPr>
              <w:spacing w:after="0"/>
              <w:rPr>
                <w:sz w:val="24"/>
                <w:szCs w:val="24"/>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165,513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151,974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139,160</w:t>
            </w:r>
          </w:p>
        </w:tc>
      </w:tr>
      <w:tr>
        <w:trPr>
          <w:trHeight w:val="27"/>
        </w:trPr>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43,145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45,464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38,974</w:t>
            </w: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Products and Systems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8,639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9,798</w:t>
            </w:r>
          </w:p>
        </w:tc>
      </w:tr>
      <w:tr>
        <w:trPr>
          <w:trHeight w:val="27"/>
        </w:trPr>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r>
      <w:tr>
        <w:trPr>
          <w:trHeight w:val="236"/>
        </w:trPr>
        <w:tc>
          <w:tcPr>
            <w:tcW w:w="686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217,297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207,874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187,712</w:t>
            </w:r>
          </w:p>
        </w:tc>
      </w:tr>
      <w:tr>
        <w:trPr>
          <w:trHeight w:val="27"/>
        </w:trPr>
        <w:tc>
          <w:tcPr>
            <w:tcW w:w="68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6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0"/>
          </w:tcPr>
          <w:p>
            <w:pPr>
              <w:jc w:val="center"/>
              <w:ind w:left="495"/>
              <w:spacing w:after="0"/>
              <w:rPr>
                <w:sz w:val="20"/>
                <w:szCs w:val="20"/>
                <w:color w:val="auto"/>
              </w:rPr>
            </w:pPr>
            <w:r>
              <w:rPr>
                <w:rFonts w:ascii="Arial" w:cs="Arial" w:eastAsia="Arial" w:hAnsi="Arial"/>
                <w:sz w:val="14"/>
                <w:szCs w:val="14"/>
                <w:b w:val="1"/>
                <w:bCs w:val="1"/>
                <w:color w:val="auto"/>
                <w:w w:val="92"/>
              </w:rPr>
              <w:t>For the 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3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49,593</w:t>
            </w:r>
          </w:p>
        </w:tc>
        <w:tc>
          <w:tcPr>
            <w:tcW w:w="120" w:type="dxa"/>
            <w:vAlign w:val="bottom"/>
          </w:tcPr>
          <w:p>
            <w:pPr>
              <w:spacing w:after="0"/>
              <w:rPr>
                <w:sz w:val="21"/>
                <w:szCs w:val="21"/>
                <w:color w:val="auto"/>
              </w:rPr>
            </w:pPr>
          </w:p>
        </w:tc>
        <w:tc>
          <w:tcPr>
            <w:tcW w:w="340" w:type="dxa"/>
            <w:vAlign w:val="bottom"/>
            <w:gridSpan w:val="3"/>
          </w:tcPr>
          <w:p>
            <w:pPr>
              <w:jc w:val="right"/>
              <w:ind w:right="2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47,126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46,677</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3,537</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2,368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(16,991)</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(30,783)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(31,226)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(29,063)</w:t>
            </w:r>
          </w:p>
        </w:tc>
      </w:tr>
      <w:tr>
        <w:trPr>
          <w:trHeight w:val="237"/>
        </w:trPr>
        <w:tc>
          <w:tcPr>
            <w:tcW w:w="69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24,137</w:t>
            </w:r>
          </w:p>
        </w:tc>
        <w:tc>
          <w:tcPr>
            <w:tcW w:w="120" w:type="dxa"/>
            <w:vAlign w:val="bottom"/>
          </w:tcPr>
          <w:p>
            <w:pPr>
              <w:spacing w:after="0"/>
              <w:rPr>
                <w:sz w:val="20"/>
                <w:szCs w:val="20"/>
                <w:color w:val="auto"/>
              </w:rPr>
            </w:pPr>
          </w:p>
        </w:tc>
        <w:tc>
          <w:tcPr>
            <w:tcW w:w="34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22,221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4,160</w:t>
            </w:r>
          </w:p>
        </w:tc>
      </w:tr>
      <w:tr>
        <w:trPr>
          <w:trHeight w:val="27"/>
        </w:trPr>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1"/>
        </w:trPr>
        <w:tc>
          <w:tcPr>
            <w:tcW w:w="6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jc w:val="center"/>
              <w:ind w:left="495"/>
              <w:spacing w:after="0"/>
              <w:rPr>
                <w:sz w:val="20"/>
                <w:szCs w:val="20"/>
                <w:color w:val="auto"/>
              </w:rPr>
            </w:pPr>
            <w:r>
              <w:rPr>
                <w:rFonts w:ascii="Arial" w:cs="Arial" w:eastAsia="Arial" w:hAnsi="Arial"/>
                <w:sz w:val="14"/>
                <w:szCs w:val="14"/>
                <w:b w:val="1"/>
                <w:bCs w:val="1"/>
                <w:color w:val="auto"/>
                <w:w w:val="92"/>
              </w:rPr>
              <w:t>For the year ended December 31,</w:t>
            </w:r>
          </w:p>
        </w:tc>
        <w:tc>
          <w:tcPr>
            <w:tcW w:w="920" w:type="dxa"/>
            <w:vAlign w:val="bottom"/>
            <w:tcBorders>
              <w:bottom w:val="single" w:sz="8" w:color="auto"/>
            </w:tcBorders>
          </w:tcPr>
          <w:p>
            <w:pPr>
              <w:spacing w:after="0"/>
              <w:rPr>
                <w:sz w:val="24"/>
                <w:szCs w:val="24"/>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3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28,854</w:t>
            </w:r>
          </w:p>
        </w:tc>
        <w:tc>
          <w:tcPr>
            <w:tcW w:w="120" w:type="dxa"/>
            <w:vAlign w:val="bottom"/>
          </w:tcPr>
          <w:p>
            <w:pPr>
              <w:spacing w:after="0"/>
              <w:rPr>
                <w:sz w:val="21"/>
                <w:szCs w:val="21"/>
                <w:color w:val="auto"/>
              </w:rPr>
            </w:pPr>
          </w:p>
        </w:tc>
        <w:tc>
          <w:tcPr>
            <w:tcW w:w="340" w:type="dxa"/>
            <w:vAlign w:val="bottom"/>
            <w:gridSpan w:val="3"/>
          </w:tcPr>
          <w:p>
            <w:pPr>
              <w:jc w:val="right"/>
              <w:ind w:right="2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24,079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21,649</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8,285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8,846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7,768</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2,180</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r>
      <w:tr>
        <w:trPr>
          <w:trHeight w:val="237"/>
        </w:trPr>
        <w:tc>
          <w:tcPr>
            <w:tcW w:w="69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38,533</w:t>
            </w:r>
          </w:p>
        </w:tc>
        <w:tc>
          <w:tcPr>
            <w:tcW w:w="120" w:type="dxa"/>
            <w:vAlign w:val="bottom"/>
          </w:tcPr>
          <w:p>
            <w:pPr>
              <w:spacing w:after="0"/>
              <w:rPr>
                <w:sz w:val="20"/>
                <w:szCs w:val="20"/>
                <w:color w:val="auto"/>
              </w:rPr>
            </w:pPr>
          </w:p>
        </w:tc>
        <w:tc>
          <w:tcPr>
            <w:tcW w:w="34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34,413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31,383</w:t>
            </w:r>
          </w:p>
        </w:tc>
      </w:tr>
      <w:tr>
        <w:trPr>
          <w:trHeight w:val="27"/>
        </w:trPr>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1"/>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8"/>
              </w:rPr>
              <w:t>December 31,</w:t>
            </w:r>
          </w:p>
        </w:tc>
        <w:tc>
          <w:tcPr>
            <w:tcW w:w="920" w:type="dxa"/>
            <w:vAlign w:val="bottom"/>
            <w:tcBorders>
              <w:bottom w:val="single" w:sz="8" w:color="auto"/>
            </w:tcBorders>
          </w:tcPr>
          <w:p>
            <w:pPr>
              <w:spacing w:after="0"/>
              <w:rPr>
                <w:sz w:val="24"/>
                <w:szCs w:val="24"/>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3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98,284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98,362</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9,814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11,143</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1,438</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452</w:t>
            </w:r>
          </w:p>
        </w:tc>
      </w:tr>
      <w:tr>
        <w:trPr>
          <w:trHeight w:val="237"/>
        </w:trPr>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109,537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111,395</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68"/>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8"/>
              </w:rPr>
              <w:t>December 31,</w:t>
            </w:r>
          </w:p>
        </w:tc>
        <w:tc>
          <w:tcPr>
            <w:tcW w:w="920" w:type="dxa"/>
            <w:vAlign w:val="bottom"/>
            <w:tcBorders>
              <w:bottom w:val="single" w:sz="8" w:color="auto"/>
            </w:tcBorders>
          </w:tcPr>
          <w:p>
            <w:pPr>
              <w:spacing w:after="0"/>
              <w:rPr>
                <w:sz w:val="24"/>
                <w:szCs w:val="24"/>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3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537,518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523,506</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153,380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146,535</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16,028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12,264</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12,952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11,732</w:t>
            </w:r>
          </w:p>
        </w:tc>
      </w:tr>
      <w:tr>
        <w:trPr>
          <w:trHeight w:val="237"/>
        </w:trPr>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719,878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694,037</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1"/>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tcBorders>
              <w:bottom w:val="single" w:sz="8" w:color="auto"/>
            </w:tcBorders>
          </w:tcPr>
          <w:p>
            <w:pPr>
              <w:spacing w:after="0"/>
              <w:rPr>
                <w:sz w:val="24"/>
                <w:szCs w:val="24"/>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3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233,679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230,140</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Americas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181,550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177,628</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75,325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76,781</w:t>
            </w:r>
          </w:p>
        </w:tc>
      </w:tr>
      <w:tr>
        <w:trPr>
          <w:trHeight w:val="27"/>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69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490,554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484,549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w:t>
            </w:r>
          </w:p>
        </w:tc>
      </w:tr>
      <w:tr>
        <w:trPr>
          <w:trHeight w:val="208"/>
        </w:trPr>
        <w:tc>
          <w:tcPr>
            <w:tcW w:w="9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466,683</w:t>
            </w:r>
          </w:p>
        </w:tc>
      </w:tr>
      <w:tr>
        <w:trPr>
          <w:trHeight w:val="243"/>
        </w:trPr>
        <w:tc>
          <w:tcPr>
            <w:tcW w:w="994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86,870</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132,421</w:t>
            </w:r>
          </w:p>
        </w:tc>
      </w:tr>
      <w:tr>
        <w:trPr>
          <w:trHeight w:val="243"/>
        </w:trPr>
        <w:tc>
          <w:tcPr>
            <w:tcW w:w="994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14,996</w:t>
            </w:r>
          </w:p>
        </w:tc>
      </w:tr>
      <w:tr>
        <w:trPr>
          <w:trHeight w:val="27"/>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99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700,970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Revenue</w:t>
      </w:r>
      <w:r>
        <w:rPr>
          <w:rFonts w:ascii="Arial" w:cs="Arial" w:eastAsia="Arial" w:hAnsi="Arial"/>
          <w:sz w:val="18"/>
          <w:szCs w:val="18"/>
          <w:color w:val="auto"/>
        </w:rPr>
        <w:t>, for revenues by geographic area for the years ended December 31, 2019 and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Repurchase of Common Stock</w:t>
      </w:r>
    </w:p>
    <w:p>
      <w:pPr>
        <w:spacing w:after="0" w:line="25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October 7, 2015, the Company's Board of Directors approved a $50 million stock repurchase plan. The Company retired all of its repurchased shares during the fourth quarter of 2017. The Board of Directors approved the termination of the stock repurchase plan effective April 1, 2019. There were no repurchases of common stock under the stock repurchase plan during 2019 and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Financial Information (unaudited)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quarterly results of operations for calendar years 2019,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December 31, 2019</w:t>
            </w: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2019</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2019</w:t>
            </w: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178,991</w:t>
            </w:r>
          </w:p>
        </w:tc>
        <w:tc>
          <w:tcPr>
            <w:tcW w:w="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192,192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200,616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176,787</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50,583</w:t>
            </w:r>
          </w:p>
        </w:tc>
        <w:tc>
          <w:tcPr>
            <w:tcW w:w="4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57,769</w:t>
            </w:r>
          </w:p>
        </w:tc>
        <w:tc>
          <w:tcPr>
            <w:tcW w:w="2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60,071</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48,874</w:t>
            </w: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2,335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10,779</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15,419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(4,396)</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Net income (loss) attributable to Mistras Group, Inc.</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829</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3,093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7,431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(5,293)</w:t>
            </w: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Basic</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0.03</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0.26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(0.19)</w:t>
            </w: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0.03</w:t>
            </w:r>
          </w:p>
        </w:tc>
        <w:tc>
          <w:tcPr>
            <w:tcW w:w="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r>
      <w:tr>
        <w:trPr>
          <w:trHeight w:val="817"/>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December 31, 2018</w:t>
            </w: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2018</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2018</w:t>
            </w: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180,762</w:t>
            </w:r>
          </w:p>
        </w:tc>
        <w:tc>
          <w:tcPr>
            <w:tcW w:w="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182,169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191,793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187,630</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52,315</w:t>
            </w:r>
          </w:p>
        </w:tc>
        <w:tc>
          <w:tcPr>
            <w:tcW w:w="4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52,332</w:t>
            </w:r>
          </w:p>
        </w:tc>
        <w:tc>
          <w:tcPr>
            <w:tcW w:w="2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55,083</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48,144</w:t>
            </w: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2,502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10,304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6,398</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Net income (loss) attributable to Mistras Group, Inc.</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(1,061)</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6,000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2,908</w:t>
            </w: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Basic</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(0.04)</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0.21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0.10</w:t>
            </w: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0.10</w:t>
            </w:r>
          </w:p>
        </w:tc>
      </w:tr>
      <w:tr>
        <w:trPr>
          <w:trHeight w:val="27"/>
        </w:trPr>
        <w:tc>
          <w:tcPr>
            <w:tcW w:w="46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December 31, 2017</w:t>
            </w: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2017</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2017</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2017</w:t>
            </w:r>
          </w:p>
        </w:tc>
      </w:tr>
      <w:tr>
        <w:trPr>
          <w:trHeight w:val="249"/>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187,643</w:t>
            </w:r>
          </w:p>
        </w:tc>
        <w:tc>
          <w:tcPr>
            <w:tcW w:w="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179,570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170,439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163,318</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50,319</w:t>
            </w:r>
          </w:p>
        </w:tc>
        <w:tc>
          <w:tcPr>
            <w:tcW w:w="4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47,897</w:t>
            </w:r>
          </w:p>
        </w:tc>
        <w:tc>
          <w:tcPr>
            <w:tcW w:w="2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46,343</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43,153</w:t>
            </w: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6,282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5,003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3,250</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Net income (loss) attributable to Mistras Group, Inc.</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884</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2,217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1,692</w:t>
            </w: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Basic</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0.03</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0.08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0.06</w:t>
            </w:r>
          </w:p>
        </w:tc>
      </w:tr>
      <w:tr>
        <w:trPr>
          <w:trHeight w:val="27"/>
        </w:trPr>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0.03</w:t>
            </w:r>
          </w:p>
        </w:tc>
        <w:tc>
          <w:tcPr>
            <w:tcW w:w="4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0.06</w:t>
            </w:r>
          </w:p>
        </w:tc>
      </w:tr>
      <w:tr>
        <w:trPr>
          <w:trHeight w:val="27"/>
        </w:trPr>
        <w:tc>
          <w:tcPr>
            <w:tcW w:w="46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2020, the World Health Organization recognized the novel strain of coronavirus, COVID-19, as a pandemic. The coronavirus outbreak has severely restricted the level of economic activity around the world. In response to this coronavirus outbreak, the governments of many countries, states, cities and other geographic regions have taken preventative or protective actions, such as imposing restrictions on travel and business operations and advising or requiring individuals to limit or forgo their time outside of their homes. Temporary closures of businesses have been ordered and numerous other businesses have temporarily closed voluntarily or restricted access to their premises. Further, individuals’ ability to travel has been curtailed through mandated travel restrictions and may be further limited through additional voluntary or mandated closures of travel-related businesses. A significant portion of the Company’s business and revenue is derived from our technicians and service people being physically located on site at our customer’s facilities. It is unclear at this point, as a result of government impositions and those of our customers, whether our personnel will be able to travel and gain admittance to our customer’s sites. In addition, to the extent COVID-19 impacts the financial performance of our customers, these customers may likewise look to further control their outside expenditures, including with respect to services performed by and products of the Company. As a result, the coronavirus outbreak may have a material adverse impact on the Company’s financial position, operations and cash flows in 2020. Given the uncertainty regarding the spread of this coronavirus, the related financial impact cannot be reasonably predicted or estimated at this time.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December 31, 2019, our disclosure controls and procedures were not effective, due to material weaknesses in our internal control over financial reporting as discussed below.</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However, giving full consideration to the material weaknesses, management has concluded that the Consolidated Financial Statements included in this Annual Report on Form 10-K present fairly, in all material respects, the Company’s financial position, results of operations and cash flows for the periods disclosed in conformity with U.S. generally accepted accounting principles.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President and Chief Executive Officer and our Executive Vice President, Chief Financial Officer and Treasurer,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2019. In making this assessment, management used the criteria set forth by the Committee of Sponsoring Organizations of the Treadway Commission (COSO) in the updated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that assessment, the Company identified material weaknesses as our risk assessment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sufficiently consider changes in our business processes and we did not have a sufficient complement of trained resources with knowledge of our financial reporting processes and internal control related to accounting for income taxes. As a consequence, process level controls over the completeness, existence, accuracy, valuation and presentation of the income tax provision, including deferred tax assets and liabilities and valuation allowance, were not effective. Based on the material weaknesses described above, management concluded that, as of December 31, 2019, our internal control over financial reporting was ineffective.</w:t>
      </w:r>
    </w:p>
    <w:p>
      <w:pPr>
        <w:spacing w:after="0" w:line="21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control deficiencies described above resulted in immaterial misstatements in the preliminary consolidated financial statements as of and for the fiscal year ended December 31, 2019 related to income taxes that were corrected in the December 31, 2019 consolidated financial statements. However, these control deficiencies create a reasonable possibility that a material misstatement to the consolidated financial statements will not be prevented or detected on a timely basis, and therefore we concluded that the deficiencies represent material weaknesses in internal control over financial reporting.</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independent registered public accounting firm, KPMG LLP, has audited the financial statements included in this Annual Report on Form 10-K and, as part of its audit, has issued an adverse opinion on the effectiveness of the Company’s internal control over financial reporting as of December 31, 2019, which appears in Part II, Item 8, “Financial Statements and Supplementary Data – Report of Independent Registered Public Accounting Firm” of this Annual Report on Form 10-K.</w:t>
      </w:r>
    </w:p>
    <w:p>
      <w:pPr>
        <w:spacing w:after="0" w:line="21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acquired one entity during 2019, accounting for total assets of 0.2% and total revenues of 0.3% included in the consolidated financial statements of the Company as of and for the year ended December 31, 2019. Management excluded from its assessment of the effectiveness of the Company’s internal control over financial reporting as of December 31, 2019, this acquired entity's internal control over financial reporting associated with its assets and revenues that are included in the consolidated financial statements of the Company as of and for the year ended December 31, 2019.</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Remediation Plans</w:t>
      </w:r>
    </w:p>
    <w:p>
      <w:pPr>
        <w:spacing w:after="0" w:line="2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management, with oversight from the Audit Committee of the Board of Directors, is actively engaged in remediation efforts to address the identified material weaknesses over income taxes. We have identified the following preliminary steps:</w:t>
      </w:r>
    </w:p>
    <w:p>
      <w:pPr>
        <w:spacing w:after="0" w:line="19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Accelerate the risk assessment process related to changes in the business;</w:t>
      </w:r>
    </w:p>
    <w:p>
      <w:pPr>
        <w:spacing w:after="0" w:line="11" w:lineRule="exact"/>
        <w:rPr>
          <w:rFonts w:ascii="Arial" w:cs="Arial" w:eastAsia="Arial" w:hAnsi="Arial"/>
          <w:sz w:val="18"/>
          <w:szCs w:val="18"/>
          <w:color w:val="auto"/>
        </w:rPr>
      </w:pPr>
    </w:p>
    <w:p>
      <w:pPr>
        <w:ind w:left="660" w:right="40" w:hanging="328"/>
        <w:spacing w:after="0" w:line="23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Enhance the design of controls surrounding the preparation and review of the income tax provision, and enhance the automation of the income tax processes and controls to allow for a timelier completion and review of internal controls; and</w:t>
      </w:r>
    </w:p>
    <w:p>
      <w:pPr>
        <w:spacing w:after="0" w:line="1" w:lineRule="exact"/>
        <w:rPr>
          <w:rFonts w:ascii="Arial" w:cs="Arial" w:eastAsia="Arial" w:hAnsi="Arial"/>
          <w:sz w:val="18"/>
          <w:szCs w:val="18"/>
          <w:color w:val="auto"/>
        </w:rPr>
      </w:pPr>
    </w:p>
    <w:p>
      <w:pPr>
        <w:ind w:left="660" w:right="20" w:hanging="328"/>
        <w:spacing w:after="0" w:line="23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Accelerate all key activities within the income tax accounting and reporting process and controls by further increasing and expanding the capabilities of the income tax accounting resources in order to devote additional time and resources to the consolidated income tax accounting and reporting processes and controls.</w:t>
      </w:r>
    </w:p>
    <w:p>
      <w:pPr>
        <w:spacing w:after="0" w:line="216"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Company remains committed to an effective internal control environment and management believes that these actions, and the improvements management expects to achieve as a result, will remediate the material weakness. However, the material weaknesses will not be considered remediated until the controls operate for a sufficient period of time and management has concluded through testing that these controls operate effectively.</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Except for the material weaknesses described above, there have been no changes in our internal control over financial reporting during the quarter ended December 31, 2019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Certain of the information concerning our executive officers required by this Item 10 is provided under the caption “Executive Officers of the Registrant” in Part I of this Annual Report. The remaining information required by Item 10 is incorporated herein by reference to the relevant information to be included in our definitive proxy statement related to the 2020 annual shareholders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Item 11 is incorporated by reference to the relevant information to be included in our definitive proxy statement related to the 2020 annual shareholders meeting.</w:t>
      </w:r>
    </w:p>
    <w:p>
      <w:pPr>
        <w:spacing w:after="0" w:line="16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information required by Item 12 regarding Security Ownership of Certain Beneficial Owners and Management and Related Stockholders is incorporated by reference to the relevant information to be included in our definitive proxy statement related to the 2020 annual shareholders meeting.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certain information as of December 31, 2019 concerning the shares of our common stock that may be issued under existing equity compensation plans.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86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0"/>
          <w:szCs w:val="20"/>
          <w:color w:val="auto"/>
          <w:vertAlign w:val="superscript"/>
        </w:rPr>
        <w:t>(1)</w:t>
      </w:r>
    </w:p>
    <w:p>
      <w:pPr>
        <w:spacing w:after="0" w:line="283" w:lineRule="exact"/>
        <w:rPr>
          <w:sz w:val="20"/>
          <w:szCs w:val="20"/>
          <w:color w:val="auto"/>
        </w:rPr>
      </w:pPr>
    </w:p>
    <w:p>
      <w:pPr>
        <w:ind w:left="20" w:right="460"/>
        <w:spacing w:after="0" w:line="277" w:lineRule="auto"/>
        <w:rPr>
          <w:sz w:val="20"/>
          <w:szCs w:val="20"/>
          <w:color w:val="auto"/>
        </w:rPr>
      </w:pPr>
      <w:r>
        <w:rPr>
          <w:rFonts w:ascii="Arial" w:cs="Arial" w:eastAsia="Arial" w:hAnsi="Arial"/>
          <w:sz w:val="18"/>
          <w:szCs w:val="18"/>
          <w:color w:val="auto"/>
        </w:rPr>
        <w:t>Equity Compensation Plans Not Approved by Security Holders</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Securities</w:t>
            </w:r>
          </w:p>
        </w:tc>
        <w:tc>
          <w:tcPr>
            <w:tcW w:w="240" w:type="dxa"/>
            <w:vAlign w:val="bottom"/>
          </w:tcPr>
          <w:p>
            <w:pPr>
              <w:spacing w:after="0"/>
              <w:rPr>
                <w:sz w:val="14"/>
                <w:szCs w:val="14"/>
                <w:color w:val="auto"/>
              </w:rPr>
            </w:pPr>
          </w:p>
        </w:tc>
        <w:tc>
          <w:tcPr>
            <w:tcW w:w="20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 Average</w:t>
            </w:r>
          </w:p>
        </w:tc>
        <w:tc>
          <w:tcPr>
            <w:tcW w:w="206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35"/>
        </w:trPr>
        <w:tc>
          <w:tcPr>
            <w:tcW w:w="2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to be Issued Upon</w:t>
            </w:r>
          </w:p>
        </w:tc>
        <w:tc>
          <w:tcPr>
            <w:tcW w:w="24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20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35"/>
        </w:trPr>
        <w:tc>
          <w:tcPr>
            <w:tcW w:w="21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Exercise of</w:t>
            </w:r>
          </w:p>
        </w:tc>
        <w:tc>
          <w:tcPr>
            <w:tcW w:w="240" w:type="dxa"/>
            <w:vAlign w:val="bottom"/>
          </w:tcPr>
          <w:p>
            <w:pPr>
              <w:spacing w:after="0"/>
              <w:rPr>
                <w:sz w:val="11"/>
                <w:szCs w:val="11"/>
                <w:color w:val="auto"/>
              </w:rPr>
            </w:pPr>
          </w:p>
        </w:tc>
        <w:tc>
          <w:tcPr>
            <w:tcW w:w="2060" w:type="dxa"/>
            <w:vAlign w:val="bottom"/>
            <w:gridSpan w:val="3"/>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Exercise Price of</w:t>
            </w:r>
          </w:p>
        </w:tc>
        <w:tc>
          <w:tcPr>
            <w:tcW w:w="20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Outstanding Options</w:t>
            </w: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1"/>
              </w:rPr>
              <w:t>Outstanding Options</w:t>
            </w:r>
          </w:p>
        </w:tc>
        <w:tc>
          <w:tcPr>
            <w:tcW w:w="20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Arial" w:cs="Arial" w:eastAsia="Arial" w:hAnsi="Arial"/>
                <w:sz w:val="14"/>
                <w:szCs w:val="14"/>
                <w:b w:val="1"/>
                <w:bCs w:val="1"/>
                <w:color w:val="auto"/>
                <w:w w:val="92"/>
              </w:rPr>
              <w:t>(in thousands, except exercise price)</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40" w:type="dxa"/>
            <w:vAlign w:val="bottom"/>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9"/>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60" w:type="dxa"/>
            <w:vAlign w:val="bottom"/>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756"/>
        </w:trPr>
        <w:tc>
          <w:tcPr>
            <w:tcW w:w="2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2040" w:type="dxa"/>
            <w:vAlign w:val="bottom"/>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9"/>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-1028065</wp:posOffset>
            </wp:positionV>
            <wp:extent cx="709803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-685165</wp:posOffset>
            </wp:positionV>
            <wp:extent cx="7098030"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30861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-205105</wp:posOffset>
            </wp:positionV>
            <wp:extent cx="709803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18859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440" w:space="220"/>
            <w:col w:w="6520"/>
          </w:cols>
          <w:pgMar w:left="320" w:top="125" w:right="39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23"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Company’s 2009 Long-Term Incentive Plan and 2016 Long-Term Incentive Plan. There are no awards outstanding as of December 31,</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2019 under the Company's 2007 Stock Option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Item 13 is incorporated by reference to the relevant information to be included in our definitive proxy statement related to the 2020 annual shareholders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Item 14 is incorporated by reference to the information to be included in our definitive proxy statement related to the 2020 annual shareholders meeting.</w:t>
      </w:r>
    </w:p>
    <w:p>
      <w:pPr>
        <w:sectPr>
          <w:pgSz w:w="11900" w:h="16838" w:orient="portrait"/>
          <w:cols w:equalWidth="0" w:num="1">
            <w:col w:w="1118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financial statements are filed herewith in Item 8 of Part II above: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175"/>
        </w:trPr>
        <w:tc>
          <w:tcPr>
            <w:tcW w:w="4060" w:type="dxa"/>
            <w:vAlign w:val="bottom"/>
            <w:gridSpan w:val="2"/>
          </w:tcPr>
          <w:p>
            <w:pPr>
              <w:spacing w:after="0" w:line="156"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Report of independent registered public accounting firm</w:t>
              </w:r>
            </w:hyperlink>
          </w:p>
        </w:tc>
        <w:tc>
          <w:tcPr>
            <w:tcW w:w="1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40" w:type="dxa"/>
            <w:vAlign w:val="bottom"/>
            <w:gridSpan w:val="2"/>
          </w:tcPr>
          <w:p>
            <w:pPr>
              <w:jc w:val="right"/>
              <w:spacing w:after="0" w:line="176"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tcPr>
          <w:p>
            <w:pPr>
              <w:spacing w:after="0"/>
              <w:rPr>
                <w:sz w:val="15"/>
                <w:szCs w:val="15"/>
                <w:color w:val="auto"/>
              </w:rPr>
            </w:pPr>
          </w:p>
        </w:tc>
      </w:tr>
      <w:tr>
        <w:trPr>
          <w:trHeight w:val="27"/>
        </w:trPr>
        <w:tc>
          <w:tcPr>
            <w:tcW w:w="3040" w:type="dxa"/>
            <w:vAlign w:val="bottom"/>
            <w:shd w:val="clear" w:color="auto" w:fill="0000FF"/>
          </w:tcPr>
          <w:p>
            <w:pPr>
              <w:spacing w:after="0"/>
              <w:rPr>
                <w:sz w:val="2"/>
                <w:szCs w:val="2"/>
                <w:color w:val="auto"/>
              </w:rPr>
            </w:pPr>
          </w:p>
        </w:tc>
        <w:tc>
          <w:tcPr>
            <w:tcW w:w="2640" w:type="dxa"/>
            <w:vAlign w:val="bottom"/>
            <w:gridSpan w:val="2"/>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0000FF"/>
                <w:w w:val="88"/>
              </w:rPr>
              <w:t>Consolidated Balance sheets as of December 31, 2019 and December 31, 2018</w:t>
            </w:r>
          </w:p>
        </w:tc>
        <w:tc>
          <w:tcPr>
            <w:tcW w:w="4560" w:type="dxa"/>
            <w:vAlign w:val="bottom"/>
            <w:gridSpan w:val="5"/>
          </w:tcPr>
          <w:p>
            <w:pPr>
              <w:spacing w:after="0"/>
              <w:rPr>
                <w:sz w:val="18"/>
                <w:szCs w:val="18"/>
                <w:color w:val="auto"/>
              </w:rPr>
            </w:pPr>
          </w:p>
        </w:tc>
        <w:tc>
          <w:tcPr>
            <w:tcW w:w="940" w:type="dxa"/>
            <w:vAlign w:val="bottom"/>
            <w:gridSpan w:val="2"/>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240" w:type="dxa"/>
            <w:vAlign w:val="bottom"/>
            <w:gridSpan w:val="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 xml:space="preserve">Consolidated Statements of income (loss) for the years ended December 31, </w:t>
              </w:r>
            </w:hyperlink>
            <w:r>
              <w:rPr>
                <w:rFonts w:ascii="Arial" w:cs="Arial" w:eastAsia="Arial" w:hAnsi="Arial"/>
                <w:sz w:val="18"/>
                <w:szCs w:val="18"/>
                <w:color w:val="0000FF"/>
              </w:rPr>
              <w:t xml:space="preserve">2019, </w:t>
            </w:r>
            <w:hyperlink w:anchor="page47">
              <w:r>
                <w:rPr>
                  <w:rFonts w:ascii="Arial" w:cs="Arial" w:eastAsia="Arial" w:hAnsi="Arial"/>
                  <w:sz w:val="18"/>
                  <w:szCs w:val="18"/>
                  <w:color w:val="0000FF"/>
                </w:rPr>
                <w:t>2018 and 2017</w:t>
              </w:r>
            </w:hyperlink>
          </w:p>
        </w:tc>
        <w:tc>
          <w:tcPr>
            <w:tcW w:w="940" w:type="dxa"/>
            <w:vAlign w:val="bottom"/>
            <w:gridSpan w:val="2"/>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180" w:type="dxa"/>
            <w:vAlign w:val="bottom"/>
            <w:gridSpan w:val="7"/>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Consolidated Statements of comprehensive income (loss) for the years ended December 31, 2019, 2018 and 2017</w:t>
              </w:r>
            </w:hyperlink>
          </w:p>
        </w:tc>
        <w:tc>
          <w:tcPr>
            <w:tcW w:w="2060" w:type="dxa"/>
            <w:vAlign w:val="bottom"/>
          </w:tcPr>
          <w:p>
            <w:pPr>
              <w:spacing w:after="0"/>
              <w:rPr>
                <w:sz w:val="18"/>
                <w:szCs w:val="18"/>
                <w:color w:val="auto"/>
              </w:rPr>
            </w:pPr>
          </w:p>
        </w:tc>
        <w:tc>
          <w:tcPr>
            <w:tcW w:w="940" w:type="dxa"/>
            <w:vAlign w:val="bottom"/>
            <w:gridSpan w:val="2"/>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180" w:type="dxa"/>
            <w:vAlign w:val="bottom"/>
            <w:gridSpan w:val="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Consolidated Statements of equity for the year ended December 31, 2019, 2018 and 2017</w:t>
              </w:r>
            </w:hyperlink>
          </w:p>
        </w:tc>
        <w:tc>
          <w:tcPr>
            <w:tcW w:w="2060" w:type="dxa"/>
            <w:vAlign w:val="bottom"/>
          </w:tcPr>
          <w:p>
            <w:pPr>
              <w:spacing w:after="0"/>
              <w:rPr>
                <w:sz w:val="18"/>
                <w:szCs w:val="18"/>
                <w:color w:val="auto"/>
              </w:rPr>
            </w:pPr>
          </w:p>
        </w:tc>
        <w:tc>
          <w:tcPr>
            <w:tcW w:w="940" w:type="dxa"/>
            <w:vAlign w:val="bottom"/>
            <w:gridSpan w:val="2"/>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840" w:type="dxa"/>
            <w:vAlign w:val="bottom"/>
            <w:gridSpan w:val="5"/>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Consolidated Statements of cash flows for the years ended December 31, 2019, 2018 and 2017</w:t>
              </w:r>
            </w:hyperlink>
          </w:p>
        </w:tc>
        <w:tc>
          <w:tcPr>
            <w:tcW w:w="3400" w:type="dxa"/>
            <w:vAlign w:val="bottom"/>
            <w:gridSpan w:val="3"/>
          </w:tcPr>
          <w:p>
            <w:pPr>
              <w:spacing w:after="0"/>
              <w:rPr>
                <w:sz w:val="18"/>
                <w:szCs w:val="18"/>
                <w:color w:val="auto"/>
              </w:rPr>
            </w:pPr>
          </w:p>
        </w:tc>
        <w:tc>
          <w:tcPr>
            <w:tcW w:w="940" w:type="dxa"/>
            <w:vAlign w:val="bottom"/>
            <w:gridSpan w:val="2"/>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840" w:type="dxa"/>
            <w:vAlign w:val="bottom"/>
            <w:gridSpan w:val="5"/>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Notes to consolidated financial statements</w:t>
              </w:r>
            </w:hyperlink>
          </w:p>
        </w:tc>
        <w:tc>
          <w:tcPr>
            <w:tcW w:w="3400" w:type="dxa"/>
            <w:vAlign w:val="bottom"/>
            <w:gridSpan w:val="3"/>
          </w:tcPr>
          <w:p>
            <w:pPr>
              <w:spacing w:after="0"/>
              <w:rPr>
                <w:sz w:val="18"/>
                <w:szCs w:val="18"/>
                <w:color w:val="auto"/>
              </w:rPr>
            </w:pPr>
          </w:p>
        </w:tc>
        <w:tc>
          <w:tcPr>
            <w:tcW w:w="94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ectPr>
          <w:pgSz w:w="11900" w:h="16838" w:orient="portrait"/>
          <w:cols w:equalWidth="0" w:num="1">
            <w:col w:w="11220"/>
          </w:cols>
          <w:pgMar w:left="320" w:top="125" w:right="359" w:bottom="1440" w:gutter="0" w:footer="0" w:header="0"/>
        </w:sectPr>
      </w:pP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8826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804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0" w:lineRule="exact"/>
        <w:rPr>
          <w:sz w:val="20"/>
          <w:szCs w:val="20"/>
          <w:color w:val="auto"/>
        </w:rPr>
      </w:pPr>
    </w:p>
    <w:p>
      <w:pPr>
        <w:ind w:right="340"/>
        <w:spacing w:after="0" w:line="219"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Membership Interest Purchase Agreement, dated December 15, 2017, among Mistras Group, Inc., WPT Holdings Inc., West Penn</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Non-Destructive Testing, LLC (formerly known as West Penn Non-Destructive Testing, Inc.), N. David Campbell and James C.</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DeChellis III (filed as exhibit 2.1 to the Current Report on Form 8-K filed on December 21, 2017 and incorporated herein by</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ind w:right="20"/>
        <w:spacing w:after="0" w:line="237" w:lineRule="auto"/>
        <w:rPr>
          <w:rFonts w:ascii="Arial" w:cs="Arial" w:eastAsia="Arial" w:hAnsi="Arial"/>
          <w:sz w:val="17"/>
          <w:szCs w:val="17"/>
          <w:u w:val="single" w:color="auto"/>
          <w:color w:val="0000FF"/>
        </w:rPr>
      </w:pPr>
      <w:hyperlink r:id="rId118">
        <w:r>
          <w:rPr>
            <w:rFonts w:ascii="Arial" w:cs="Arial" w:eastAsia="Arial" w:hAnsi="Arial"/>
            <w:sz w:val="17"/>
            <w:szCs w:val="17"/>
            <w:u w:val="single" w:color="auto"/>
            <w:color w:val="0000FF"/>
          </w:rPr>
          <w:t>Share Purchase Agreement, dated as of December 13, 2018, among 2159562 Alberta Ltd., as purchaser, Mistras Group, Inc., as parent</w:t>
        </w:r>
      </w:hyperlink>
      <w:r>
        <w:rPr>
          <w:rFonts w:ascii="Arial" w:cs="Arial" w:eastAsia="Arial" w:hAnsi="Arial"/>
          <w:sz w:val="17"/>
          <w:szCs w:val="17"/>
          <w:u w:val="single" w:color="auto"/>
          <w:color w:val="0000FF"/>
        </w:rPr>
        <w:t xml:space="preserve"> </w:t>
      </w:r>
      <w:hyperlink r:id="rId118">
        <w:r>
          <w:rPr>
            <w:rFonts w:ascii="Arial" w:cs="Arial" w:eastAsia="Arial" w:hAnsi="Arial"/>
            <w:sz w:val="17"/>
            <w:szCs w:val="17"/>
            <w:u w:val="single" w:color="auto"/>
            <w:color w:val="0000FF"/>
          </w:rPr>
          <w:t>of purchaser, the shareholders of Onstream Holdings, Inc. listed in Schedule A thereto, and Onstream Holdings, Inc. (filed as Exhibit</w:t>
        </w:r>
      </w:hyperlink>
      <w:r>
        <w:rPr>
          <w:rFonts w:ascii="Arial" w:cs="Arial" w:eastAsia="Arial" w:hAnsi="Arial"/>
          <w:sz w:val="17"/>
          <w:szCs w:val="17"/>
          <w:u w:val="single" w:color="auto"/>
          <w:color w:val="0000FF"/>
        </w:rPr>
        <w:t xml:space="preserve"> </w:t>
      </w:r>
      <w:hyperlink r:id="rId118">
        <w:r>
          <w:rPr>
            <w:rFonts w:ascii="Arial" w:cs="Arial" w:eastAsia="Arial" w:hAnsi="Arial"/>
            <w:sz w:val="17"/>
            <w:szCs w:val="17"/>
            <w:u w:val="single" w:color="auto"/>
            <w:color w:val="0000FF"/>
          </w:rPr>
          <w:t>2.1 to Current Report on Form 8-K filed December 13, 2018 and incorporated herein by reference)</w:t>
        </w:r>
      </w:hyperlink>
    </w:p>
    <w:p>
      <w:pPr>
        <w:spacing w:after="0" w:line="55" w:lineRule="exact"/>
        <w:rPr>
          <w:rFonts w:ascii="Arial" w:cs="Arial" w:eastAsia="Arial" w:hAnsi="Arial"/>
          <w:sz w:val="17"/>
          <w:szCs w:val="17"/>
          <w:u w:val="single" w:color="auto"/>
          <w:color w:val="0000FF"/>
        </w:rPr>
      </w:pPr>
    </w:p>
    <w:p>
      <w:pPr>
        <w:jc w:val="both"/>
        <w:ind w:right="20"/>
        <w:spacing w:after="0" w:line="224"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Form of share purchase agreement for the purchase of Onstream Holdings, Inc. shares from each member of the group of shareholders</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collectively owning 5% of the shares of Onstream Holdings, Inc. (filed as Exhibit 2.2 to Current Report on Form 8-K filed December</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13, 2018 and incorporated herein by reference)</w:t>
        </w:r>
      </w:hyperlink>
    </w:p>
    <w:p>
      <w:pPr>
        <w:spacing w:after="0" w:line="55" w:lineRule="exact"/>
        <w:rPr>
          <w:rFonts w:ascii="Arial" w:cs="Arial" w:eastAsia="Arial" w:hAnsi="Arial"/>
          <w:sz w:val="18"/>
          <w:szCs w:val="18"/>
          <w:u w:val="single" w:color="auto"/>
          <w:color w:val="0000FF"/>
        </w:rPr>
      </w:pPr>
    </w:p>
    <w:p>
      <w:pPr>
        <w:ind w:right="160"/>
        <w:spacing w:after="0" w:line="235"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Second Amended and Restated Certificate of Incorporation (filed as exhibit 3.1 to Registration Statement on Form S-1 (Amendment</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No. 4) filed on September 21, 2009 (Registration No. 333-151559) and incorporated herein by reference)</w:t>
        </w:r>
      </w:hyperlink>
    </w:p>
    <w:p>
      <w:pPr>
        <w:spacing w:after="0" w:line="54" w:lineRule="exact"/>
        <w:rPr>
          <w:sz w:val="20"/>
          <w:szCs w:val="20"/>
          <w:color w:val="auto"/>
        </w:rPr>
      </w:pPr>
    </w:p>
    <w:p>
      <w:pPr>
        <w:ind w:right="420"/>
        <w:spacing w:after="0" w:line="235"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Certificate of Amendment to the Second Amended and Restated Certificate of Incorporation (filed as exhibit 3.1 to the Quarterly</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Report on Form 10-Q filed on January 11, 2017 and incorporated herein by reference)</w:t>
        </w:r>
      </w:hyperlink>
    </w:p>
    <w:p>
      <w:pPr>
        <w:spacing w:after="0" w:line="54" w:lineRule="exact"/>
        <w:rPr>
          <w:sz w:val="20"/>
          <w:szCs w:val="20"/>
          <w:color w:val="auto"/>
        </w:rPr>
      </w:pPr>
    </w:p>
    <w:p>
      <w:pPr>
        <w:ind w:right="60"/>
        <w:spacing w:after="0" w:line="235"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Amended and Restated Bylaws, effective July 20, 2016 (filed as exhibit 3.1 to the Quarterly Report on Form 10-Q filed on October 7,</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2016 and incorporated herein by reference)</w:t>
        </w:r>
      </w:hyperlink>
    </w:p>
    <w:p>
      <w:pPr>
        <w:spacing w:after="0" w:line="54" w:lineRule="exact"/>
        <w:rPr>
          <w:sz w:val="20"/>
          <w:szCs w:val="20"/>
          <w:color w:val="auto"/>
        </w:rPr>
      </w:pPr>
    </w:p>
    <w:p>
      <w:pPr>
        <w:ind w:right="340"/>
        <w:spacing w:after="0" w:line="258" w:lineRule="auto"/>
        <w:rPr>
          <w:rFonts w:ascii="Arial" w:cs="Arial" w:eastAsia="Arial" w:hAnsi="Arial"/>
          <w:sz w:val="17"/>
          <w:szCs w:val="17"/>
          <w:u w:val="single" w:color="auto"/>
          <w:color w:val="0000FF"/>
        </w:rPr>
      </w:pPr>
      <w:hyperlink r:id="rId123">
        <w:r>
          <w:rPr>
            <w:rFonts w:ascii="Arial" w:cs="Arial" w:eastAsia="Arial" w:hAnsi="Arial"/>
            <w:sz w:val="17"/>
            <w:szCs w:val="17"/>
            <w:u w:val="single" w:color="auto"/>
            <w:color w:val="0000FF"/>
          </w:rPr>
          <w:t>Specimen certificate evidencing shares of common stock (filed as exhibit 4.1 to Registration Statement on Form S-1 (Amendment</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No. 5) filed on September 23, 2009 (Registration No. 333-151559) and incorporated herein by reference.</w:t>
        </w:r>
      </w:hyperlink>
    </w:p>
    <w:p>
      <w:pPr>
        <w:spacing w:after="0" w:line="39" w:lineRule="exact"/>
        <w:rPr>
          <w:sz w:val="20"/>
          <w:szCs w:val="20"/>
          <w:color w:val="auto"/>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Description of Securities Registered Under Section 12 of the Securities Exchange Act of 1934</w:t>
        </w:r>
      </w:hyperlink>
    </w:p>
    <w:p>
      <w:pPr>
        <w:spacing w:after="0" w:line="117" w:lineRule="exact"/>
        <w:rPr>
          <w:sz w:val="20"/>
          <w:szCs w:val="20"/>
          <w:color w:val="auto"/>
        </w:rPr>
      </w:pPr>
    </w:p>
    <w:p>
      <w:pPr>
        <w:ind w:right="60"/>
        <w:spacing w:after="0" w:line="235" w:lineRule="auto"/>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Fourth Amended and Restated Credit Agreement dated December 8, 2017 (filed as Exhibit 10.3 to Annual Report on Form 10-K filed</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March 14, 2018 and incorporated herein by reference)</w:t>
        </w:r>
      </w:hyperlink>
    </w:p>
    <w:p>
      <w:pPr>
        <w:spacing w:after="0" w:line="54"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Fifth Amended and Restated Credit Agreement dated December 13, 2017 (filed as Exhibit 10.1 to Current Report on Form 8-K filed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December 13, 2018 and incorporated herein by reference)</w:t>
        </w:r>
      </w:hyperlink>
    </w:p>
    <w:p>
      <w:pPr>
        <w:spacing w:after="0" w:line="54" w:lineRule="exact"/>
        <w:rPr>
          <w:sz w:val="20"/>
          <w:szCs w:val="20"/>
          <w:color w:val="auto"/>
        </w:rPr>
      </w:pPr>
    </w:p>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First Amendment, dated October 11, 2019, to Fifth Amended and Restated Credit Agreement dated December 13, 2018</w:t>
        </w:r>
      </w:hyperlink>
    </w:p>
    <w:p>
      <w:pPr>
        <w:spacing w:after="0" w:line="117" w:lineRule="exact"/>
        <w:rPr>
          <w:sz w:val="20"/>
          <w:szCs w:val="20"/>
          <w:color w:val="auto"/>
        </w:rPr>
      </w:pPr>
    </w:p>
    <w:p>
      <w:pPr>
        <w:ind w:right="880"/>
        <w:spacing w:after="0" w:line="289" w:lineRule="auto"/>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Form of Indemnification Agreement for directors and officers (filed as exhibit 10.1 to Registration Statement on Form S-1</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(Amendment No. 4) filed on September 21, 2009 (Registration No. 333-151559) and incorporated herein by reference)</w:t>
        </w:r>
      </w:hyperlink>
    </w:p>
    <w:p>
      <w:pPr>
        <w:spacing w:after="0" w:line="200" w:lineRule="exact"/>
        <w:rPr>
          <w:sz w:val="20"/>
          <w:szCs w:val="20"/>
          <w:color w:val="auto"/>
        </w:rPr>
      </w:pPr>
    </w:p>
    <w:p>
      <w:pPr>
        <w:sectPr>
          <w:pgSz w:w="11900" w:h="16838" w:orient="portrait"/>
          <w:cols w:equalWidth="0" w:num="2">
            <w:col w:w="980" w:space="540"/>
            <w:col w:w="9700"/>
          </w:cols>
          <w:pgMar w:left="320" w:top="125" w:right="35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880"/>
        <w:spacing w:after="0" w:line="289" w:lineRule="auto"/>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2007 Stock Option Plan and form of Stock Option Agreement (filed as exhibit 10.5 to Registration Statement on Form S-1</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(Amendment No. 4) filed on September 21, 2009 (Registration No. 333-151559) and incorporated herein by reference)</w:t>
        </w:r>
      </w:hyperlink>
    </w:p>
    <w:p>
      <w:pPr>
        <w:spacing w:after="0" w:line="16" w:lineRule="exact"/>
        <w:rPr>
          <w:sz w:val="20"/>
          <w:szCs w:val="20"/>
          <w:color w:val="auto"/>
        </w:rPr>
      </w:pPr>
    </w:p>
    <w:p>
      <w:pPr>
        <w:ind w:right="940"/>
        <w:spacing w:after="0" w:line="235" w:lineRule="auto"/>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2009 Long-Term Incentive Plan (filed as exhibit 10.6 to Registration Statement on Form S-1 (Amendment No. 4) filed on</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September 21, 2009 (Registration No. 333-151559) and incorporated herein by reference)</w:t>
        </w:r>
      </w:hyperlink>
    </w:p>
    <w:p>
      <w:pPr>
        <w:spacing w:after="0" w:line="17" w:lineRule="exact"/>
        <w:rPr>
          <w:sz w:val="20"/>
          <w:szCs w:val="20"/>
          <w:color w:val="auto"/>
        </w:rPr>
      </w:pPr>
    </w:p>
    <w:p>
      <w:pPr>
        <w:sectPr>
          <w:pgSz w:w="11900" w:h="16838" w:orient="portrait"/>
          <w:cols w:equalWidth="0" w:num="2">
            <w:col w:w="1280" w:space="240"/>
            <w:col w:w="9700"/>
          </w:cols>
          <w:pgMar w:left="320" w:top="125" w:right="359" w:bottom="1440" w:gutter="0" w:footer="0" w:header="0"/>
        </w:sectPr>
      </w:pPr>
    </w:p>
    <w:tbl>
      <w:tblPr>
        <w:tblLayout w:type="fixed"/>
        <w:tblInd w:w="20" w:type="dxa"/>
        <w:tblCellMar>
          <w:top w:w="0" w:type="dxa"/>
          <w:left w:w="0" w:type="dxa"/>
          <w:bottom w:w="0" w:type="dxa"/>
          <w:right w:w="0" w:type="dxa"/>
        </w:tblCellMar>
      </w:tblP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10.7</w:t>
            </w:r>
          </w:p>
        </w:tc>
        <w:tc>
          <w:tcPr>
            <w:tcW w:w="9720" w:type="dxa"/>
            <w:vAlign w:val="bottom"/>
            <w:gridSpan w:val="24"/>
          </w:tcPr>
          <w:p>
            <w:pPr>
              <w:spacing w:after="0"/>
              <w:rPr>
                <w:rFonts w:ascii="Arial" w:cs="Arial" w:eastAsia="Arial" w:hAnsi="Arial"/>
                <w:sz w:val="18"/>
                <w:szCs w:val="18"/>
                <w:color w:val="0000FF"/>
                <w:w w:val="97"/>
              </w:rPr>
            </w:pPr>
            <w:hyperlink r:id="rId130">
              <w:r>
                <w:rPr>
                  <w:rFonts w:ascii="Arial" w:cs="Arial" w:eastAsia="Arial" w:hAnsi="Arial"/>
                  <w:sz w:val="18"/>
                  <w:szCs w:val="18"/>
                  <w:color w:val="0000FF"/>
                  <w:w w:val="97"/>
                </w:rPr>
                <w:t>Form of 2009 Long-Term Incentive Plan Stock Option Agreement (filed as exhibit 10.7 to Registration Statement on Form S-1</w:t>
              </w:r>
            </w:hyperlink>
          </w:p>
        </w:tc>
      </w:tr>
      <w:tr>
        <w:trPr>
          <w:trHeight w:val="155"/>
        </w:trPr>
        <w:tc>
          <w:tcPr>
            <w:tcW w:w="1500" w:type="dxa"/>
            <w:vAlign w:val="bottom"/>
          </w:tcPr>
          <w:p>
            <w:pPr>
              <w:spacing w:after="0"/>
              <w:rPr>
                <w:sz w:val="13"/>
                <w:szCs w:val="13"/>
                <w:color w:val="auto"/>
              </w:rPr>
            </w:pPr>
          </w:p>
        </w:tc>
        <w:tc>
          <w:tcPr>
            <w:tcW w:w="9140" w:type="dxa"/>
            <w:vAlign w:val="bottom"/>
            <w:tcBorders>
              <w:top w:val="single" w:sz="8" w:color="0000FF"/>
            </w:tcBorders>
            <w:gridSpan w:val="15"/>
          </w:tcPr>
          <w:p>
            <w:pPr>
              <w:spacing w:after="0" w:line="156" w:lineRule="exact"/>
              <w:rPr>
                <w:rFonts w:ascii="Arial" w:cs="Arial" w:eastAsia="Arial" w:hAnsi="Arial"/>
                <w:sz w:val="18"/>
                <w:szCs w:val="18"/>
                <w:color w:val="0000FF"/>
                <w:w w:val="96"/>
              </w:rPr>
            </w:pPr>
            <w:hyperlink r:id="rId130">
              <w:r>
                <w:rPr>
                  <w:rFonts w:ascii="Arial" w:cs="Arial" w:eastAsia="Arial" w:hAnsi="Arial"/>
                  <w:sz w:val="18"/>
                  <w:szCs w:val="18"/>
                  <w:color w:val="0000FF"/>
                  <w:w w:val="96"/>
                </w:rPr>
                <w:t>(Amendment No. 4) filed on September 21, 2009 (Registration No. 333-151559) and incorporated herein by reference)</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10.8</w:t>
            </w:r>
          </w:p>
        </w:tc>
        <w:tc>
          <w:tcPr>
            <w:tcW w:w="9720" w:type="dxa"/>
            <w:vAlign w:val="bottom"/>
            <w:gridSpan w:val="24"/>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Form of 2009 Long-Term Incentive Plan Restricted Stock Agreement (filed as exhibit 10.8 to Registration Statement on Form S-1</w:t>
              </w:r>
            </w:hyperlink>
          </w:p>
        </w:tc>
      </w:tr>
      <w:tr>
        <w:trPr>
          <w:trHeight w:val="156"/>
        </w:trPr>
        <w:tc>
          <w:tcPr>
            <w:tcW w:w="150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(Amendment No. 4) filed on September 21, 2009 (Registration No. 333-151559) and incorporated herein by reference)</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10.9</w:t>
            </w:r>
          </w:p>
        </w:tc>
        <w:tc>
          <w:tcPr>
            <w:tcW w:w="9580" w:type="dxa"/>
            <w:vAlign w:val="bottom"/>
            <w:tcBorders>
              <w:bottom w:val="single" w:sz="8" w:color="0000FF"/>
            </w:tcBorders>
            <w:gridSpan w:val="21"/>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Form of Restricted Stock Unit Certificate for awards under 2009 Long-Term Incentive Plan (filed as exhibit 10.1 to Quarterly Report</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56"/>
        </w:trPr>
        <w:tc>
          <w:tcPr>
            <w:tcW w:w="1500" w:type="dxa"/>
            <w:vAlign w:val="bottom"/>
          </w:tcPr>
          <w:p>
            <w:pPr>
              <w:spacing w:after="0"/>
              <w:rPr>
                <w:sz w:val="13"/>
                <w:szCs w:val="13"/>
                <w:color w:val="auto"/>
              </w:rPr>
            </w:pPr>
          </w:p>
        </w:tc>
        <w:tc>
          <w:tcPr>
            <w:tcW w:w="5680" w:type="dxa"/>
            <w:vAlign w:val="bottom"/>
            <w:tcBorders>
              <w:bottom w:val="single" w:sz="8" w:color="0000FF"/>
            </w:tcBorders>
            <w:gridSpan w:val="10"/>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on Form 10-Q filed on January 13, 2011 and incorporated herein by reference)</w:t>
              </w:r>
            </w:hyperlink>
          </w:p>
        </w:tc>
        <w:tc>
          <w:tcPr>
            <w:tcW w:w="3900" w:type="dxa"/>
            <w:vAlign w:val="bottom"/>
            <w:gridSpan w:val="11"/>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10.10</w:t>
            </w:r>
          </w:p>
        </w:tc>
        <w:tc>
          <w:tcPr>
            <w:tcW w:w="9720" w:type="dxa"/>
            <w:vAlign w:val="bottom"/>
            <w:gridSpan w:val="24"/>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2016 Long-Term Incentive Plan (filed as exhibit B to the Definitive Proxy Statement dated September 7, 2016 and incorporated herein</w:t>
              </w:r>
            </w:hyperlink>
          </w:p>
        </w:tc>
      </w:tr>
      <w:tr>
        <w:trPr>
          <w:trHeight w:val="156"/>
        </w:trPr>
        <w:tc>
          <w:tcPr>
            <w:tcW w:w="150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3">
              <w:r>
                <w:rPr>
                  <w:rFonts w:ascii="Arial" w:cs="Arial" w:eastAsia="Arial" w:hAnsi="Arial"/>
                  <w:sz w:val="18"/>
                  <w:szCs w:val="18"/>
                  <w:color w:val="0000FF"/>
                  <w:w w:val="88"/>
                </w:rPr>
                <w:t>by reference)</w:t>
              </w:r>
            </w:hyperlink>
          </w:p>
        </w:tc>
        <w:tc>
          <w:tcPr>
            <w:tcW w:w="87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10.11</w:t>
            </w:r>
          </w:p>
        </w:tc>
        <w:tc>
          <w:tcPr>
            <w:tcW w:w="9480" w:type="dxa"/>
            <w:vAlign w:val="bottom"/>
            <w:tcBorders>
              <w:bottom w:val="single" w:sz="8" w:color="0000FF"/>
            </w:tcBorders>
            <w:gridSpan w:val="20"/>
          </w:tcPr>
          <w:p>
            <w:pPr>
              <w:spacing w:after="0"/>
              <w:rPr>
                <w:rFonts w:ascii="Arial" w:cs="Arial" w:eastAsia="Arial" w:hAnsi="Arial"/>
                <w:sz w:val="18"/>
                <w:szCs w:val="18"/>
                <w:color w:val="0000FF"/>
                <w:w w:val="91"/>
              </w:rPr>
            </w:pPr>
            <w:hyperlink r:id="rId134">
              <w:r>
                <w:rPr>
                  <w:rFonts w:ascii="Arial" w:cs="Arial" w:eastAsia="Arial" w:hAnsi="Arial"/>
                  <w:sz w:val="18"/>
                  <w:szCs w:val="18"/>
                  <w:color w:val="0000FF"/>
                  <w:w w:val="91"/>
                </w:rPr>
                <w:t>Form of Restricted Stock Unit Certificate for awards under the 2016 Long-Term Incentive Plan (filed as Exhibit 10.16 to Transition</w:t>
              </w:r>
            </w:hyperlink>
          </w:p>
        </w:tc>
        <w:tc>
          <w:tcPr>
            <w:tcW w:w="200" w:type="dxa"/>
            <w:vAlign w:val="bottom"/>
            <w:gridSpan w:val="2"/>
          </w:tcPr>
          <w:p>
            <w:pPr>
              <w:spacing w:after="0"/>
              <w:rPr>
                <w:sz w:val="22"/>
                <w:szCs w:val="22"/>
                <w:color w:val="auto"/>
              </w:rPr>
            </w:pPr>
          </w:p>
        </w:tc>
        <w:tc>
          <w:tcPr>
            <w:tcW w:w="40" w:type="dxa"/>
            <w:vAlign w:val="bottom"/>
            <w:gridSpan w:val="2"/>
          </w:tcPr>
          <w:p>
            <w:pPr>
              <w:spacing w:after="0"/>
              <w:rPr>
                <w:sz w:val="22"/>
                <w:szCs w:val="22"/>
                <w:color w:val="auto"/>
              </w:rPr>
            </w:pPr>
          </w:p>
        </w:tc>
      </w:tr>
      <w:tr>
        <w:trPr>
          <w:trHeight w:val="156"/>
        </w:trPr>
        <w:tc>
          <w:tcPr>
            <w:tcW w:w="1500" w:type="dxa"/>
            <w:vAlign w:val="bottom"/>
          </w:tcPr>
          <w:p>
            <w:pPr>
              <w:spacing w:after="0"/>
              <w:rPr>
                <w:sz w:val="13"/>
                <w:szCs w:val="13"/>
                <w:color w:val="auto"/>
              </w:rPr>
            </w:pPr>
          </w:p>
        </w:tc>
        <w:tc>
          <w:tcPr>
            <w:tcW w:w="6120" w:type="dxa"/>
            <w:vAlign w:val="bottom"/>
            <w:tcBorders>
              <w:bottom w:val="single" w:sz="8" w:color="0000FF"/>
            </w:tcBorders>
            <w:gridSpan w:val="11"/>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Report on Form 10-K filed on March 20, 2017 and incorporated herein by reference)</w:t>
              </w:r>
            </w:hyperlink>
          </w:p>
        </w:tc>
        <w:tc>
          <w:tcPr>
            <w:tcW w:w="3360" w:type="dxa"/>
            <w:vAlign w:val="bottom"/>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10.12</w:t>
            </w:r>
          </w:p>
        </w:tc>
        <w:tc>
          <w:tcPr>
            <w:tcW w:w="9720" w:type="dxa"/>
            <w:vAlign w:val="bottom"/>
            <w:gridSpan w:val="24"/>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Mistras Group Severance Plan (filed as Exhibit 10.11 to Annual Report on Form 10-K filed on March 18, 2019 and incorporated</w:t>
              </w:r>
            </w:hyperlink>
          </w:p>
        </w:tc>
      </w:tr>
      <w:tr>
        <w:trPr>
          <w:trHeight w:val="155"/>
        </w:trPr>
        <w:tc>
          <w:tcPr>
            <w:tcW w:w="150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35">
              <w:r>
                <w:rPr>
                  <w:rFonts w:ascii="Arial" w:cs="Arial" w:eastAsia="Arial" w:hAnsi="Arial"/>
                  <w:sz w:val="18"/>
                  <w:szCs w:val="18"/>
                  <w:color w:val="0000FF"/>
                  <w:w w:val="89"/>
                </w:rPr>
                <w:t>herein by reference)</w:t>
              </w:r>
            </w:hyperlink>
          </w:p>
        </w:tc>
        <w:tc>
          <w:tcPr>
            <w:tcW w:w="7800" w:type="dxa"/>
            <w:vAlign w:val="bottom"/>
            <w:tcBorders>
              <w:top w:val="single" w:sz="8" w:color="0000FF"/>
            </w:tcBorders>
            <w:gridSpan w:val="15"/>
          </w:tcPr>
          <w:p>
            <w:pPr>
              <w:spacing w:after="0"/>
              <w:rPr>
                <w:sz w:val="13"/>
                <w:szCs w:val="13"/>
                <w:color w:val="auto"/>
              </w:rPr>
            </w:pPr>
          </w:p>
        </w:tc>
        <w:tc>
          <w:tcPr>
            <w:tcW w:w="160" w:type="dxa"/>
            <w:vAlign w:val="bottom"/>
            <w:gridSpan w:val="2"/>
          </w:tcPr>
          <w:p>
            <w:pPr>
              <w:spacing w:after="0"/>
              <w:rPr>
                <w:sz w:val="13"/>
                <w:szCs w:val="13"/>
                <w:color w:val="auto"/>
              </w:rPr>
            </w:pPr>
          </w:p>
        </w:tc>
        <w:tc>
          <w:tcPr>
            <w:tcW w:w="2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10.13</w:t>
            </w:r>
          </w:p>
        </w:tc>
        <w:tc>
          <w:tcPr>
            <w:tcW w:w="9720" w:type="dxa"/>
            <w:vAlign w:val="bottom"/>
            <w:gridSpan w:val="24"/>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Employment Agreement between the Company and Sotirios J. Vahaviolos, dated February 28, 2018 (filed as Exhibit 10.1 to Quarterly</w:t>
              </w:r>
            </w:hyperlink>
          </w:p>
        </w:tc>
      </w:tr>
      <w:tr>
        <w:trPr>
          <w:trHeight w:val="156"/>
        </w:trPr>
        <w:tc>
          <w:tcPr>
            <w:tcW w:w="150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Report on Form 10-Q filed May 8, 2018 and incorporated by reference herein)</w:t>
              </w:r>
            </w:hyperlink>
          </w:p>
        </w:tc>
        <w:tc>
          <w:tcPr>
            <w:tcW w:w="402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10.14</w:t>
            </w:r>
          </w:p>
        </w:tc>
        <w:tc>
          <w:tcPr>
            <w:tcW w:w="9180" w:type="dxa"/>
            <w:vAlign w:val="bottom"/>
            <w:tcBorders>
              <w:bottom w:val="single" w:sz="8" w:color="0000FF"/>
            </w:tcBorders>
            <w:gridSpan w:val="16"/>
          </w:tcPr>
          <w:p>
            <w:pPr>
              <w:spacing w:after="0"/>
              <w:rPr>
                <w:rFonts w:ascii="Arial" w:cs="Arial" w:eastAsia="Arial" w:hAnsi="Arial"/>
                <w:sz w:val="18"/>
                <w:szCs w:val="18"/>
                <w:color w:val="0000FF"/>
                <w:w w:val="91"/>
              </w:rPr>
            </w:pPr>
            <w:hyperlink r:id="rId137">
              <w:r>
                <w:rPr>
                  <w:rFonts w:ascii="Arial" w:cs="Arial" w:eastAsia="Arial" w:hAnsi="Arial"/>
                  <w:sz w:val="18"/>
                  <w:szCs w:val="18"/>
                  <w:color w:val="0000FF"/>
                  <w:w w:val="91"/>
                </w:rPr>
                <w:t>Employment Agreement between the Company and Dennis Bertolotti, dated March 13, 2018 (filed as Exhibit 10.2 to Quarterly</w:t>
              </w:r>
            </w:hyperlink>
          </w:p>
        </w:tc>
        <w:tc>
          <w:tcPr>
            <w:tcW w:w="240" w:type="dxa"/>
            <w:vAlign w:val="bottom"/>
            <w:gridSpan w:val="3"/>
          </w:tcPr>
          <w:p>
            <w:pPr>
              <w:spacing w:after="0"/>
              <w:rPr>
                <w:sz w:val="22"/>
                <w:szCs w:val="22"/>
                <w:color w:val="auto"/>
              </w:rPr>
            </w:pPr>
          </w:p>
        </w:tc>
        <w:tc>
          <w:tcPr>
            <w:tcW w:w="300" w:type="dxa"/>
            <w:vAlign w:val="bottom"/>
            <w:gridSpan w:val="5"/>
          </w:tcPr>
          <w:p>
            <w:pPr>
              <w:spacing w:after="0"/>
              <w:rPr>
                <w:sz w:val="22"/>
                <w:szCs w:val="22"/>
                <w:color w:val="auto"/>
              </w:rPr>
            </w:pPr>
          </w:p>
        </w:tc>
      </w:tr>
      <w:tr>
        <w:trPr>
          <w:trHeight w:val="156"/>
        </w:trPr>
        <w:tc>
          <w:tcPr>
            <w:tcW w:w="1500" w:type="dxa"/>
            <w:vAlign w:val="bottom"/>
          </w:tcPr>
          <w:p>
            <w:pPr>
              <w:spacing w:after="0"/>
              <w:rPr>
                <w:sz w:val="13"/>
                <w:szCs w:val="13"/>
                <w:color w:val="auto"/>
              </w:rPr>
            </w:pPr>
          </w:p>
        </w:tc>
        <w:tc>
          <w:tcPr>
            <w:tcW w:w="5660" w:type="dxa"/>
            <w:vAlign w:val="bottom"/>
            <w:tcBorders>
              <w:bottom w:val="single" w:sz="8" w:color="0000FF"/>
            </w:tcBorders>
            <w:gridSpan w:val="9"/>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Report on Form 10-Q filed May 8, 2018 and incorporated by reference herein)</w:t>
              </w:r>
            </w:hyperlink>
          </w:p>
        </w:tc>
        <w:tc>
          <w:tcPr>
            <w:tcW w:w="3520" w:type="dxa"/>
            <w:vAlign w:val="bottom"/>
            <w:gridSpan w:val="7"/>
          </w:tcPr>
          <w:p>
            <w:pPr>
              <w:spacing w:after="0"/>
              <w:rPr>
                <w:sz w:val="13"/>
                <w:szCs w:val="13"/>
                <w:color w:val="auto"/>
              </w:rPr>
            </w:pPr>
          </w:p>
        </w:tc>
        <w:tc>
          <w:tcPr>
            <w:tcW w:w="240" w:type="dxa"/>
            <w:vAlign w:val="bottom"/>
            <w:gridSpan w:val="3"/>
          </w:tcPr>
          <w:p>
            <w:pPr>
              <w:spacing w:after="0"/>
              <w:rPr>
                <w:sz w:val="13"/>
                <w:szCs w:val="13"/>
                <w:color w:val="auto"/>
              </w:rPr>
            </w:pPr>
          </w:p>
        </w:tc>
        <w:tc>
          <w:tcPr>
            <w:tcW w:w="300" w:type="dxa"/>
            <w:vAlign w:val="bottom"/>
            <w:gridSpan w:val="5"/>
          </w:tcPr>
          <w:p>
            <w:pPr>
              <w:spacing w:after="0"/>
              <w:rPr>
                <w:sz w:val="13"/>
                <w:szCs w:val="13"/>
                <w:color w:val="auto"/>
              </w:rPr>
            </w:pPr>
          </w:p>
        </w:tc>
      </w:tr>
      <w:tr>
        <w:trPr>
          <w:trHeight w:val="264"/>
        </w:trPr>
        <w:tc>
          <w:tcPr>
            <w:tcW w:w="1500" w:type="dxa"/>
            <w:vAlign w:val="bottom"/>
          </w:tcPr>
          <w:p>
            <w:pPr>
              <w:spacing w:after="0"/>
              <w:rPr>
                <w:sz w:val="20"/>
                <w:szCs w:val="20"/>
                <w:color w:val="auto"/>
              </w:rPr>
            </w:pPr>
            <w:r>
              <w:rPr>
                <w:rFonts w:ascii="Arial" w:cs="Arial" w:eastAsia="Arial" w:hAnsi="Arial"/>
                <w:sz w:val="18"/>
                <w:szCs w:val="18"/>
                <w:color w:val="auto"/>
              </w:rPr>
              <w:t>10.15</w:t>
            </w:r>
          </w:p>
        </w:tc>
        <w:tc>
          <w:tcPr>
            <w:tcW w:w="9720" w:type="dxa"/>
            <w:vAlign w:val="bottom"/>
            <w:gridSpan w:val="24"/>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Description of Compensation for Non-Employee Directors (filed as Exhibit 10.19 to Annual Report on Form 10-K filed March 14,</w:t>
              </w:r>
            </w:hyperlink>
          </w:p>
        </w:tc>
      </w:tr>
      <w:tr>
        <w:trPr>
          <w:trHeight w:val="155"/>
        </w:trPr>
        <w:tc>
          <w:tcPr>
            <w:tcW w:w="150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2018 and incorporated herein by reference)</w:t>
              </w:r>
            </w:hyperlink>
          </w:p>
        </w:tc>
        <w:tc>
          <w:tcPr>
            <w:tcW w:w="6300" w:type="dxa"/>
            <w:vAlign w:val="bottom"/>
            <w:tcBorders>
              <w:top w:val="single" w:sz="8" w:color="0000FF"/>
            </w:tcBorders>
            <w:gridSpan w:val="14"/>
          </w:tcPr>
          <w:p>
            <w:pPr>
              <w:spacing w:after="0"/>
              <w:rPr>
                <w:sz w:val="13"/>
                <w:szCs w:val="13"/>
                <w:color w:val="auto"/>
              </w:rPr>
            </w:pPr>
          </w:p>
        </w:tc>
        <w:tc>
          <w:tcPr>
            <w:tcW w:w="300" w:type="dxa"/>
            <w:vAlign w:val="bottom"/>
            <w:gridSpan w:val="5"/>
          </w:tcPr>
          <w:p>
            <w:pPr>
              <w:spacing w:after="0"/>
              <w:rPr>
                <w:sz w:val="13"/>
                <w:szCs w:val="13"/>
                <w:color w:val="auto"/>
              </w:rPr>
            </w:pPr>
          </w:p>
        </w:tc>
      </w:tr>
      <w:tr>
        <w:trPr>
          <w:trHeight w:val="263"/>
        </w:trPr>
        <w:tc>
          <w:tcPr>
            <w:tcW w:w="1500" w:type="dxa"/>
            <w:vAlign w:val="bottom"/>
          </w:tcPr>
          <w:p>
            <w:pPr>
              <w:spacing w:after="0"/>
              <w:rPr>
                <w:sz w:val="20"/>
                <w:szCs w:val="20"/>
                <w:color w:val="auto"/>
              </w:rPr>
            </w:pPr>
            <w:r>
              <w:rPr>
                <w:rFonts w:ascii="Arial" w:cs="Arial" w:eastAsia="Arial" w:hAnsi="Arial"/>
                <w:sz w:val="18"/>
                <w:szCs w:val="18"/>
                <w:color w:val="auto"/>
              </w:rPr>
              <w:t>21.1*</w:t>
            </w:r>
          </w:p>
        </w:tc>
        <w:tc>
          <w:tcPr>
            <w:tcW w:w="9720" w:type="dxa"/>
            <w:vAlign w:val="bottom"/>
            <w:gridSpan w:val="24"/>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Subsidiaries of the Registrant</w:t>
              </w:r>
            </w:hyperlink>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23.1*</w:t>
            </w:r>
          </w:p>
        </w:tc>
        <w:tc>
          <w:tcPr>
            <w:tcW w:w="17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Consent of KPMG LLP</w:t>
              </w:r>
            </w:hyperlink>
          </w:p>
        </w:tc>
        <w:tc>
          <w:tcPr>
            <w:tcW w:w="400" w:type="dxa"/>
            <w:vAlign w:val="bottom"/>
            <w:tcBorders>
              <w:top w:val="single" w:sz="8" w:color="0000FF"/>
            </w:tcBorders>
          </w:tcPr>
          <w:p>
            <w:pPr>
              <w:spacing w:after="0"/>
              <w:rPr>
                <w:sz w:val="24"/>
                <w:szCs w:val="24"/>
                <w:color w:val="auto"/>
              </w:rPr>
            </w:pPr>
          </w:p>
        </w:tc>
        <w:tc>
          <w:tcPr>
            <w:tcW w:w="7600" w:type="dxa"/>
            <w:vAlign w:val="bottom"/>
            <w:gridSpan w:val="20"/>
          </w:tcPr>
          <w:p>
            <w:pPr>
              <w:spacing w:after="0"/>
              <w:rPr>
                <w:sz w:val="24"/>
                <w:szCs w:val="24"/>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24.1*</w:t>
            </w:r>
          </w:p>
        </w:tc>
        <w:tc>
          <w:tcPr>
            <w:tcW w:w="9720" w:type="dxa"/>
            <w:vAlign w:val="bottom"/>
            <w:gridSpan w:val="24"/>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Power of Attorney (included as part of the signature page to this report)</w:t>
              </w:r>
            </w:hyperlink>
          </w:p>
        </w:tc>
      </w:tr>
      <w:tr>
        <w:trPr>
          <w:trHeight w:val="20"/>
        </w:trPr>
        <w:tc>
          <w:tcPr>
            <w:tcW w:w="1500" w:type="dxa"/>
            <w:vAlign w:val="bottom"/>
          </w:tcPr>
          <w:p>
            <w:pPr>
              <w:spacing w:after="0" w:line="20" w:lineRule="exact"/>
              <w:rPr>
                <w:sz w:val="1"/>
                <w:szCs w:val="1"/>
                <w:color w:val="auto"/>
              </w:rPr>
            </w:pPr>
          </w:p>
        </w:tc>
        <w:tc>
          <w:tcPr>
            <w:tcW w:w="51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11"/>
          </w:tcPr>
          <w:p>
            <w:pPr>
              <w:spacing w:after="0" w:line="20" w:lineRule="exact"/>
              <w:rPr>
                <w:sz w:val="1"/>
                <w:szCs w:val="1"/>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80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08">
              <w:r>
                <w:rPr>
                  <w:rFonts w:ascii="Arial" w:cs="Arial" w:eastAsia="Arial" w:hAnsi="Arial"/>
                  <w:sz w:val="18"/>
                  <w:szCs w:val="18"/>
                  <w:color w:val="0000FF"/>
                  <w:w w:val="91"/>
                </w:rPr>
                <w:t>Certification of Chief Executive Officer pursuant to Rule 13a-14(a) under the Securities Exchange Act of 1934</w:t>
              </w:r>
            </w:hyperlink>
          </w:p>
        </w:tc>
        <w:tc>
          <w:tcPr>
            <w:tcW w:w="1720" w:type="dxa"/>
            <w:vAlign w:val="bottom"/>
            <w:gridSpan w:val="11"/>
          </w:tcPr>
          <w:p>
            <w:pPr>
              <w:spacing w:after="0"/>
              <w:rPr>
                <w:sz w:val="24"/>
                <w:szCs w:val="24"/>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794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Certification of Chief Financial Officer pursuant to Rule 13a-14(a) under the Securities Exchange Act of 1934</w:t>
              </w:r>
            </w:hyperlink>
          </w:p>
        </w:tc>
        <w:tc>
          <w:tcPr>
            <w:tcW w:w="1780" w:type="dxa"/>
            <w:vAlign w:val="bottom"/>
            <w:gridSpan w:val="12"/>
          </w:tcPr>
          <w:p>
            <w:pPr>
              <w:spacing w:after="0"/>
              <w:rPr>
                <w:sz w:val="24"/>
                <w:szCs w:val="24"/>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52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Certification pursuant to Section 906 of the Sarbanes-Oxley Act of 2002</w:t>
              </w:r>
            </w:hyperlink>
          </w:p>
        </w:tc>
        <w:tc>
          <w:tcPr>
            <w:tcW w:w="4480" w:type="dxa"/>
            <w:vAlign w:val="bottom"/>
            <w:gridSpan w:val="16"/>
          </w:tcPr>
          <w:p>
            <w:pPr>
              <w:spacing w:after="0"/>
              <w:rPr>
                <w:sz w:val="24"/>
                <w:szCs w:val="24"/>
                <w:color w:val="auto"/>
              </w:rPr>
            </w:pPr>
          </w:p>
        </w:tc>
      </w:tr>
      <w:tr>
        <w:trPr>
          <w:trHeight w:val="520"/>
        </w:trPr>
        <w:tc>
          <w:tcPr>
            <w:tcW w:w="1500" w:type="dxa"/>
            <w:vAlign w:val="bottom"/>
          </w:tcPr>
          <w:p>
            <w:pPr>
              <w:spacing w:after="0"/>
              <w:rPr>
                <w:sz w:val="20"/>
                <w:szCs w:val="20"/>
                <w:color w:val="auto"/>
              </w:rPr>
            </w:pPr>
            <w:r>
              <w:rPr>
                <w:rFonts w:ascii="Arial" w:cs="Arial" w:eastAsia="Arial" w:hAnsi="Arial"/>
                <w:sz w:val="18"/>
                <w:szCs w:val="18"/>
                <w:color w:val="auto"/>
              </w:rPr>
              <w:t>32.2**</w:t>
            </w:r>
          </w:p>
        </w:tc>
        <w:tc>
          <w:tcPr>
            <w:tcW w:w="9720" w:type="dxa"/>
            <w:vAlign w:val="bottom"/>
            <w:gridSpan w:val="24"/>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Certification pursuant to Section 906 of the Sarbanes-Oxley Act of 2002</w:t>
              </w:r>
            </w:hyperlink>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52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XBRL Instance Document</w:t>
            </w:r>
          </w:p>
        </w:tc>
        <w:tc>
          <w:tcPr>
            <w:tcW w:w="4500" w:type="dxa"/>
            <w:vAlign w:val="bottom"/>
            <w:gridSpan w:val="17"/>
          </w:tcPr>
          <w:p>
            <w:pPr>
              <w:spacing w:after="0"/>
              <w:rPr>
                <w:sz w:val="24"/>
                <w:szCs w:val="24"/>
                <w:color w:val="auto"/>
              </w:rPr>
            </w:pP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24"/>
          </w:tcPr>
          <w:p>
            <w:pPr>
              <w:spacing w:after="0"/>
              <w:rPr>
                <w:sz w:val="20"/>
                <w:szCs w:val="20"/>
                <w:color w:val="auto"/>
              </w:rPr>
            </w:pPr>
            <w:r>
              <w:rPr>
                <w:rFonts w:ascii="Arial" w:cs="Arial" w:eastAsia="Arial" w:hAnsi="Arial"/>
                <w:sz w:val="18"/>
                <w:szCs w:val="18"/>
                <w:color w:val="auto"/>
              </w:rPr>
              <w:t>XBRL Schema Document</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24"/>
          </w:tcPr>
          <w:p>
            <w:pPr>
              <w:spacing w:after="0"/>
              <w:rPr>
                <w:sz w:val="20"/>
                <w:szCs w:val="20"/>
                <w:color w:val="auto"/>
              </w:rPr>
            </w:pPr>
            <w:r>
              <w:rPr>
                <w:rFonts w:ascii="Arial" w:cs="Arial" w:eastAsia="Arial" w:hAnsi="Arial"/>
                <w:sz w:val="18"/>
                <w:szCs w:val="18"/>
                <w:color w:val="auto"/>
              </w:rPr>
              <w:t>XBRL Calculation Linkbase Document</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24"/>
          </w:tcPr>
          <w:p>
            <w:pPr>
              <w:spacing w:after="0"/>
              <w:rPr>
                <w:sz w:val="20"/>
                <w:szCs w:val="20"/>
                <w:color w:val="auto"/>
              </w:rPr>
            </w:pPr>
            <w:r>
              <w:rPr>
                <w:rFonts w:ascii="Arial" w:cs="Arial" w:eastAsia="Arial" w:hAnsi="Arial"/>
                <w:sz w:val="18"/>
                <w:szCs w:val="18"/>
                <w:color w:val="auto"/>
              </w:rPr>
              <w:t>XBRL Labels Linkbase Document</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24"/>
          </w:tcPr>
          <w:p>
            <w:pPr>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24"/>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Exhibits 10.3 to 10.14 are management contracts or compensatory plans, contracts, or arrangements.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MISTRAS GROUP, INC.</w:t>
      </w:r>
    </w:p>
    <w:p>
      <w:pPr>
        <w:spacing w:after="0" w:line="63"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32143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2020</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the undersigned directors and officers of Mistras Group, Inc., hereby severally constitute Dennis Bertolotti, Edward J. Prajzner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power of attorney may only be revoked by a written document executed by the undersigned that expressly revokes this power by referring to the date and subject 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62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8117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Dr.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117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Sotirios J. Vahaviolos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117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Dennis Bertolotti</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117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Edward J. Prajzner</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Nicholas DeBenedictis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117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Nicholas DeBenedictis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James J. Forese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117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J. Forese</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H. Glanton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117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H. Glanton</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Michelle J. Lohmeier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117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Michelle J. Lohmeier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117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Manuel N. Stamatakis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 Curtis Weldon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117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 Curtis Weldon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1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w:t>
            </w:r>
          </w:p>
        </w:tc>
      </w:tr>
      <w:tr>
        <w:trPr>
          <w:trHeight w:val="51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Executive Chairman and 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27, 2020</w:t>
            </w:r>
          </w:p>
        </w:tc>
      </w:tr>
      <w:tr>
        <w:trPr>
          <w:trHeight w:val="769"/>
        </w:trPr>
        <w:tc>
          <w:tcPr>
            <w:tcW w:w="4560" w:type="dxa"/>
            <w:vAlign w:val="bottom"/>
            <w:gridSpan w:val="2"/>
          </w:tcPr>
          <w:p>
            <w:pPr>
              <w:ind w:left="20"/>
              <w:spacing w:after="0"/>
              <w:rPr>
                <w:sz w:val="20"/>
                <w:szCs w:val="20"/>
                <w:color w:val="auto"/>
              </w:rPr>
            </w:pPr>
            <w:r>
              <w:rPr>
                <w:rFonts w:ascii="Arial" w:cs="Arial" w:eastAsia="Arial" w:hAnsi="Arial"/>
                <w:sz w:val="18"/>
                <w:szCs w:val="18"/>
                <w:color w:val="auto"/>
                <w:w w:val="99"/>
              </w:rPr>
              <w:t xml:space="preserve">President, Chief Executive Officer and Director </w:t>
            </w:r>
            <w:r>
              <w:rPr>
                <w:rFonts w:ascii="Arial" w:cs="Arial" w:eastAsia="Arial" w:hAnsi="Arial"/>
                <w:sz w:val="18"/>
                <w:szCs w:val="18"/>
                <w:i w:val="1"/>
                <w:iCs w:val="1"/>
                <w:color w:val="auto"/>
                <w:w w:val="99"/>
              </w:rPr>
              <w:t>(Principal</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27, 2020</w:t>
            </w:r>
          </w:p>
        </w:tc>
      </w:tr>
      <w:tr>
        <w:trPr>
          <w:trHeight w:val="230"/>
        </w:trPr>
        <w:tc>
          <w:tcPr>
            <w:tcW w:w="4560" w:type="dxa"/>
            <w:vAlign w:val="bottom"/>
            <w:gridSpan w:val="2"/>
          </w:tcPr>
          <w:p>
            <w:pPr>
              <w:ind w:left="20"/>
              <w:spacing w:after="0"/>
              <w:rPr>
                <w:sz w:val="20"/>
                <w:szCs w:val="20"/>
                <w:color w:val="auto"/>
              </w:rPr>
            </w:pPr>
            <w:r>
              <w:rPr>
                <w:rFonts w:ascii="Arial" w:cs="Arial" w:eastAsia="Arial" w:hAnsi="Arial"/>
                <w:sz w:val="18"/>
                <w:szCs w:val="18"/>
                <w:i w:val="1"/>
                <w:iCs w:val="1"/>
                <w:color w:val="auto"/>
              </w:rPr>
              <w:t>Executive Officer)</w:t>
            </w:r>
          </w:p>
        </w:tc>
        <w:tc>
          <w:tcPr>
            <w:tcW w:w="2100" w:type="dxa"/>
            <w:vAlign w:val="bottom"/>
          </w:tcPr>
          <w:p>
            <w:pPr>
              <w:spacing w:after="0"/>
              <w:rPr>
                <w:sz w:val="20"/>
                <w:szCs w:val="20"/>
                <w:color w:val="auto"/>
              </w:rPr>
            </w:pPr>
          </w:p>
        </w:tc>
      </w:tr>
      <w:tr>
        <w:trPr>
          <w:trHeight w:val="59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 and</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27, 2020</w:t>
            </w:r>
          </w:p>
        </w:tc>
      </w:tr>
      <w:tr>
        <w:trPr>
          <w:trHeight w:val="162"/>
        </w:trPr>
        <w:tc>
          <w:tcPr>
            <w:tcW w:w="456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 xml:space="preserve">Treasurer </w:t>
            </w:r>
            <w:r>
              <w:rPr>
                <w:rFonts w:ascii="Arial" w:cs="Arial" w:eastAsia="Arial" w:hAnsi="Arial"/>
                <w:sz w:val="18"/>
                <w:szCs w:val="18"/>
                <w:i w:val="1"/>
                <w:iCs w:val="1"/>
                <w:color w:val="auto"/>
              </w:rPr>
              <w:t>(Principal Financial and</w:t>
            </w:r>
          </w:p>
        </w:tc>
        <w:tc>
          <w:tcPr>
            <w:tcW w:w="2100" w:type="dxa"/>
            <w:vAlign w:val="bottom"/>
          </w:tcPr>
          <w:p>
            <w:pPr>
              <w:spacing w:after="0"/>
              <w:rPr>
                <w:sz w:val="14"/>
                <w:szCs w:val="14"/>
                <w:color w:val="auto"/>
              </w:rPr>
            </w:pPr>
          </w:p>
        </w:tc>
      </w:tr>
      <w:tr>
        <w:trPr>
          <w:trHeight w:val="230"/>
        </w:trPr>
        <w:tc>
          <w:tcPr>
            <w:tcW w:w="4560" w:type="dxa"/>
            <w:vAlign w:val="bottom"/>
            <w:gridSpan w:val="2"/>
          </w:tcPr>
          <w:p>
            <w:pPr>
              <w:ind w:left="20"/>
              <w:spacing w:after="0"/>
              <w:rPr>
                <w:sz w:val="20"/>
                <w:szCs w:val="20"/>
                <w:color w:val="auto"/>
              </w:rPr>
            </w:pPr>
            <w:r>
              <w:rPr>
                <w:rFonts w:ascii="Arial" w:cs="Arial" w:eastAsia="Arial" w:hAnsi="Arial"/>
                <w:sz w:val="18"/>
                <w:szCs w:val="18"/>
                <w:i w:val="1"/>
                <w:iCs w:val="1"/>
                <w:color w:val="auto"/>
              </w:rPr>
              <w:t>Accounting Officer)</w:t>
            </w:r>
          </w:p>
        </w:tc>
        <w:tc>
          <w:tcPr>
            <w:tcW w:w="2100" w:type="dxa"/>
            <w:vAlign w:val="bottom"/>
          </w:tcPr>
          <w:p>
            <w:pPr>
              <w:spacing w:after="0"/>
              <w:rPr>
                <w:sz w:val="20"/>
                <w:szCs w:val="20"/>
                <w:color w:val="auto"/>
              </w:rPr>
            </w:pPr>
          </w:p>
        </w:tc>
      </w:tr>
      <w:tr>
        <w:trPr>
          <w:trHeight w:val="499"/>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27, 2020</w:t>
            </w:r>
          </w:p>
        </w:tc>
      </w:tr>
      <w:tr>
        <w:trPr>
          <w:trHeight w:val="810"/>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27, 2020</w:t>
            </w:r>
          </w:p>
        </w:tc>
      </w:tr>
      <w:tr>
        <w:trPr>
          <w:trHeight w:val="82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27, 2020</w:t>
            </w:r>
          </w:p>
        </w:tc>
      </w:tr>
      <w:tr>
        <w:trPr>
          <w:trHeight w:val="82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27, 2020</w:t>
            </w:r>
          </w:p>
        </w:tc>
      </w:tr>
      <w:tr>
        <w:trPr>
          <w:trHeight w:val="82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27, 2020</w:t>
            </w:r>
          </w:p>
        </w:tc>
      </w:tr>
      <w:tr>
        <w:trPr>
          <w:trHeight w:val="810"/>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27,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85</w:t>
      </w:r>
    </w:p>
    <w:p>
      <w:pPr>
        <w:sectPr>
          <w:pgSz w:w="11900" w:h="16838" w:orient="portrait"/>
          <w:cols w:equalWidth="0" w:num="2">
            <w:col w:w="3820" w:space="720"/>
            <w:col w:w="6660"/>
          </w:cols>
          <w:pgMar w:left="320" w:top="125"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Exhibit 4.2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12 of the Securities Exchange Act of 1934</w:t>
      </w:r>
    </w:p>
    <w:p>
      <w:pPr>
        <w:spacing w:after="0" w:line="10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Mistras Group, Inc. (“Mistras,” the “Company,” “we” or “our”) has one class of securities registered under Section 12 of the Securities Exchange Act of 1934 – common stock, par value $0.01 per share. The following is a summary of the material terms of the common stock of Mistras and does not purport to be complete and is subject to and qualified in its entirety by reference to our second amended and restated certificate of incorporation and bylaws, which are incorporated herein by reference and are included as exhibits to our most recent Annual Report on Form 10-K filed with the Securities and Exchange Commission. For a more complete understanding of our capital stock, we encourage you to read carefully our second amended and restated certificate of incorporation and bylaws, each as may be amended, and the applicable provisions of the Delaware General Corporation Law (“DGCL”).</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with a par value of $0.01 per share, and 10,000,000 shares of preferred stock, with a par value of $0.01 per share.</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In addition, holders of common stock are entitled to receive proportionately any dividends that may be declared by our board of directors, subject to any preferential dividend rights of outstanding preferred stock. Holders of common stock have no preemptive, subscription, redemption or conversion rights.</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Upon our liquidation, dissolution or winding-up, the holders of common stock are entitled to receive proportionately our net assets available after the payment of all debts and other liabilities and subject to the prior rights of any outstanding preferred stock.</w:t>
      </w:r>
    </w:p>
    <w:p>
      <w:pPr>
        <w:spacing w:after="0" w:line="6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Our outstanding shares of common stock are validly issued, fully paid and nonassessable. The rights, preferences and privileges of holders of common stock are subject to, and may be impacted by, the rights of the holders of shares of any series of preferred stock that we may designate and issue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certificate of incorporation authorizes the issuance of an aggregate of 10,000,000 shares of preferred stock. No shares of preferred stock are currently issued and outstanding.</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board of directors may, from time to time without shareholder approval, direct the issue of shares of preferred stock in series and may, at the time of issue, determine the designation, powers, rights, preferences and limitations of each series. Satisfaction of any dividend preferences of outstanding preferred stock would reduce the amount of funds available for the payment of dividends on shares of common stock. Holders of preferred stock may be entitled to receive a preference payment in the event of any liquidation, dissolution or winding-up of Mistras before any payment is made to the holders of common stock. Under certain circumstances, the issuance of preferred stock may render more difficult or tend to discourage a merger, tender offer or proxy contest, the assumption of control by a holder of a large block of securities of the Company or the removal of incumbent management. Upon the affirmative vote of a majority of the total number of directors then in office, the board of directors may issue shares of preferred stock with voting and conversion rights that could adversely affect the holders of shares of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our common stock are not entitled to preemptive rights to subscribe for additional issuances of common stock or any other class or series of stock or any security convertible into such stock.</w:t>
      </w:r>
    </w:p>
    <w:p>
      <w:pPr>
        <w:spacing w:after="0" w:line="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Certain provisions of Delaware law, our second amended and restated certificate of incorporation and our bylaws contain provisions that could have the effect of delaying, deferring or discouraging another party from acquiring control of us. These provisions, which are summarized below, may have the effect of discouraging takeover practices and takeover bids.</w:t>
      </w:r>
    </w:p>
    <w:p>
      <w:pPr>
        <w:sectPr>
          <w:pgSz w:w="11900" w:h="16838" w:orient="portrait"/>
          <w:cols w:equalWidth="0" w:num="1">
            <w:col w:w="11240"/>
          </w:cols>
          <w:pgMar w:left="320" w:top="1417" w:right="339" w:bottom="1440" w:gutter="0" w:footer="0" w:header="0"/>
        </w:sectPr>
      </w:pPr>
    </w:p>
    <w:bookmarkStart w:id="87" w:name="page88"/>
    <w:bookmarkEnd w:id="87"/>
    <w:p>
      <w:pPr>
        <w:ind w:right="120"/>
        <w:spacing w:after="0" w:line="263"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As discussed above, our board of directors has the ability to issue preferred stock with voting or other rights or preferences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that could impede the success of any attempt to change control of us. These and other provisions may have the effect of deferring hostile takeovers or delaying changes in control or management of our company.</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Inability of Stockholders to Act by Written Consent. </w:t>
      </w:r>
      <w:r>
        <w:rPr>
          <w:rFonts w:ascii="Arial" w:cs="Arial" w:eastAsia="Arial" w:hAnsi="Arial"/>
          <w:sz w:val="18"/>
          <w:szCs w:val="18"/>
          <w:color w:val="auto"/>
        </w:rPr>
        <w:t>We have provided in our second amended and restated certificate of incorporation that our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act by written consent. This limit on the ability of our stockholders to act by written consent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Calling of Special Meetings of Stockholders. </w:t>
      </w:r>
      <w:r>
        <w:rPr>
          <w:rFonts w:ascii="Arial" w:cs="Arial" w:eastAsia="Arial" w:hAnsi="Arial"/>
          <w:sz w:val="17"/>
          <w:szCs w:val="17"/>
          <w:color w:val="auto"/>
        </w:rPr>
        <w:t>Our bylaws provide that special meetings of the stockholders may be called by the Chairman of the Board,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or by the board of directors acting pursuant to a resolution adopted by a majority of the members. Additionally, our bylaws provide that only stockholders entitled to cast not less than 35% of all the votes entitled to be cast at a special meeting of stockholders can require the Secretary to call such a special meeting, subject to the satisfaction of certain procedural and informational requirements. These provisions may impair or prevent smaller stockholders from forcing consideration of a proposal, including the removal of directors.</w:t>
      </w:r>
    </w:p>
    <w:p>
      <w:pPr>
        <w:spacing w:after="0" w:line="10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Requirements for Advance Notification of Stockholder Nominations and Proposals</w:t>
      </w:r>
      <w:r>
        <w:rPr>
          <w:rFonts w:ascii="Arial" w:cs="Arial" w:eastAsia="Arial" w:hAnsi="Arial"/>
          <w:sz w:val="17"/>
          <w:szCs w:val="17"/>
          <w:color w:val="auto"/>
        </w:rPr>
        <w:t>. Our bylaws establish advance notice procedures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proposals and the nomination of candidates for election as directors, other than nominations made by or at the direction of the board of directors or a committee of the board of directors. However, our bylaws may have the effect of precluding the conduct of certain business at a meeting if the proper procedures are not followed. Any proposed business other than the nomination of persons for election to our board of directors must constitute a proper matter for stockholder action pursuant to the notice of meeting delivered to us. For notice to be timely, it must be received by our secretary not later than 90 nor earlier than 120 calendar days prior to the first anniversary of the previous year’s annual meeting (or if the date of the annual meeting is advanced more than 30 calendar days or delayed by more than 60 calendar days from such anniversary date, not later than 90 nor earlier than 120 calendar days prior to such meeting or the 10th calendar day after public disclosure of the date of such meeting is first made). These provisions may also discourage or deter a potential acquiror from conducting a solicitation of proxies to elect the acquiror’s own slate of directors or otherwise attempting to obtain control of our company.</w:t>
      </w:r>
    </w:p>
    <w:p>
      <w:pPr>
        <w:spacing w:after="0" w:line="11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Board Vacancies Filled Only by Majority of Directors Then in Office. </w:t>
      </w:r>
      <w:r>
        <w:rPr>
          <w:rFonts w:ascii="Arial" w:cs="Arial" w:eastAsia="Arial" w:hAnsi="Arial"/>
          <w:sz w:val="16"/>
          <w:szCs w:val="16"/>
          <w:color w:val="auto"/>
        </w:rPr>
        <w:t>Vacancies and newly created seats on our board may be filled only by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Only our board of directors may determine the number of directors on our board. The inability of stockholders to determine the number of directors or to fill vacancies or newly created seats on the board makes it more difficult to change the composition of our board of directors.</w:t>
      </w:r>
    </w:p>
    <w:p>
      <w:pPr>
        <w:spacing w:after="0" w:line="6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unless our second amended and restated certificate of incorporation provides otherwise. Our second amended and restated certificate of incorporation expressly prohibits cumulative voting.</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We are subject to the provisions of Section 203 of the Delaware General Corporation Law regulating corporate takeovers.</w:t>
      </w:r>
      <w:r>
        <w:rPr>
          <w:rFonts w:ascii="Arial" w:cs="Arial" w:eastAsia="Arial" w:hAnsi="Arial"/>
          <w:sz w:val="16"/>
          <w:szCs w:val="16"/>
          <w:i w:val="1"/>
          <w:iCs w:val="1"/>
          <w:color w:val="auto"/>
        </w:rPr>
        <w:t xml:space="preserve"> </w:t>
      </w:r>
      <w:r>
        <w:rPr>
          <w:rFonts w:ascii="Arial" w:cs="Arial" w:eastAsia="Arial" w:hAnsi="Arial"/>
          <w:sz w:val="16"/>
          <w:szCs w:val="16"/>
          <w:color w:val="auto"/>
        </w:rPr>
        <w:t>In general, Section 203 prohibits a publicly held Delaware corporation from engaging, under certain circumstances, in a business combination with an interested stockholder for a period of three years following the date on which the person became an interested stockholder unless:</w:t>
      </w:r>
    </w:p>
    <w:p>
      <w:pPr>
        <w:spacing w:after="0" w:line="81" w:lineRule="exact"/>
        <w:rPr>
          <w:sz w:val="20"/>
          <w:szCs w:val="20"/>
          <w:color w:val="auto"/>
        </w:rPr>
      </w:pPr>
    </w:p>
    <w:p>
      <w:pPr>
        <w:ind w:left="660" w:right="3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jc w:val="both"/>
        <w:ind w:left="660" w:right="160" w:hanging="328"/>
        <w:spacing w:after="0" w:line="279"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w:t>
      </w:r>
    </w:p>
    <w:p>
      <w:pPr>
        <w:sectPr>
          <w:pgSz w:w="11900" w:h="16838" w:orient="portrait"/>
          <w:cols w:equalWidth="0" w:num="1">
            <w:col w:w="11220"/>
          </w:cols>
          <w:pgMar w:left="320" w:top="1421" w:right="359" w:bottom="1440" w:gutter="0" w:footer="0" w:header="0"/>
        </w:sectPr>
      </w:pPr>
    </w:p>
    <w:bookmarkStart w:id="88" w:name="page89"/>
    <w:bookmarkEnd w:id="88"/>
    <w:p>
      <w:pPr>
        <w:jc w:val="center"/>
        <w:ind w:right="40"/>
        <w:spacing w:after="0"/>
        <w:rPr>
          <w:sz w:val="20"/>
          <w:szCs w:val="20"/>
          <w:color w:val="auto"/>
        </w:rPr>
      </w:pPr>
      <w:r>
        <w:rPr>
          <w:rFonts w:ascii="Arial" w:cs="Arial" w:eastAsia="Arial" w:hAnsi="Arial"/>
          <w:sz w:val="18"/>
          <w:szCs w:val="18"/>
          <w:color w:val="auto"/>
        </w:rPr>
        <w:t>do not have the right to determine confidentially whether shares held subject to the plan will be tendered in a tender or exchange offer; or</w:t>
      </w:r>
    </w:p>
    <w:p>
      <w:pPr>
        <w:spacing w:after="0" w:line="252" w:lineRule="exact"/>
        <w:rPr>
          <w:sz w:val="20"/>
          <w:szCs w:val="20"/>
          <w:color w:val="auto"/>
        </w:rPr>
      </w:pPr>
    </w:p>
    <w:p>
      <w:pPr>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of directors and authorized at an annual or special meeting of stockholders, and not by written consent, by the affirmative vote of at least 66 2 / 3 % of the outstanding voting stock that is not owned by the interested stockholder.</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w:t>
      </w:r>
    </w:p>
    <w:p>
      <w:pPr>
        <w:sectPr>
          <w:pgSz w:w="11900" w:h="16838" w:orient="portrait"/>
          <w:cols w:equalWidth="0" w:num="1">
            <w:col w:w="11220"/>
          </w:cols>
          <w:pgMar w:left="320" w:top="1421"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b w:val="1"/>
          <w:bCs w:val="1"/>
          <w:u w:val="single" w:color="auto"/>
          <w:color w:val="auto"/>
        </w:rPr>
        <w:t>FIRST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FIFTH AMENDED AND RESTATED CREDIT AGREEMENT</w:t>
      </w:r>
    </w:p>
    <w:p>
      <w:pPr>
        <w:spacing w:after="0" w:line="22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THIS FIRST AMENDMENT TO FIFTH AMENDED AND RESTATED CREDIT AGREEMENT </w:t>
      </w:r>
      <w:r>
        <w:rPr>
          <w:rFonts w:ascii="Arial" w:cs="Arial" w:eastAsia="Arial" w:hAnsi="Arial"/>
          <w:sz w:val="20"/>
          <w:szCs w:val="20"/>
          <w:color w:val="auto"/>
        </w:rPr>
        <w:t>(hereinafter referred to as</w:t>
      </w:r>
      <w:r>
        <w:rPr>
          <w:rFonts w:ascii="Arial" w:cs="Arial" w:eastAsia="Arial" w:hAnsi="Arial"/>
          <w:sz w:val="20"/>
          <w:szCs w:val="20"/>
          <w:b w:val="1"/>
          <w:bCs w:val="1"/>
          <w:color w:val="auto"/>
        </w:rPr>
        <w:t xml:space="preserve"> </w:t>
      </w:r>
      <w:r>
        <w:rPr>
          <w:rFonts w:ascii="Arial" w:cs="Arial" w:eastAsia="Arial" w:hAnsi="Arial"/>
          <w:sz w:val="20"/>
          <w:szCs w:val="20"/>
          <w:color w:val="auto"/>
        </w:rPr>
        <w:t>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October 11, 2019, is executed by and among,</w:t>
      </w:r>
    </w:p>
    <w:p>
      <w:pPr>
        <w:spacing w:after="0" w:line="177"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 a corporation duly organized, validly existing and in good standing under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having its principal office located at 195 Clarksville Road, Princeton Junction, New Jersey 08550 (hereinafter referred to as the “</w:t>
      </w:r>
      <w:r>
        <w:rPr>
          <w:rFonts w:ascii="Arial" w:cs="Arial" w:eastAsia="Arial" w:hAnsi="Arial"/>
          <w:sz w:val="20"/>
          <w:szCs w:val="20"/>
          <w:u w:val="single" w:color="auto"/>
          <w:color w:val="auto"/>
        </w:rPr>
        <w:t>Borrower</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QUALITY SERVICES LABORATORIES, INC.</w:t>
      </w:r>
      <w:r>
        <w:rPr>
          <w:rFonts w:ascii="Arial" w:cs="Arial" w:eastAsia="Arial" w:hAnsi="Arial"/>
          <w:sz w:val="20"/>
          <w:szCs w:val="20"/>
          <w:color w:val="auto"/>
        </w:rPr>
        <w:t>, a corporation duly organized, validly existing and in good standing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Delaware, having an address at 195 Clarksville Road, Princeton Junction, New Jersey 08550 (hereinafter referred to as “</w:t>
      </w:r>
      <w:r>
        <w:rPr>
          <w:rFonts w:ascii="Arial" w:cs="Arial" w:eastAsia="Arial" w:hAnsi="Arial"/>
          <w:sz w:val="20"/>
          <w:szCs w:val="20"/>
          <w:u w:val="single" w:color="auto"/>
          <w:color w:val="auto"/>
        </w:rPr>
        <w:t>QSL</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MISTRAS INTERNATIONAL HOLDINGS INC.</w:t>
      </w:r>
      <w:r>
        <w:rPr>
          <w:rFonts w:ascii="Arial" w:cs="Arial" w:eastAsia="Arial" w:hAnsi="Arial"/>
          <w:sz w:val="20"/>
          <w:szCs w:val="20"/>
          <w:color w:val="auto"/>
        </w:rPr>
        <w:t>, a corporation duly organized, validly existing and in good standing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Delaware, having an address at 195 Clarksville Road, Princeton Junction, New Jersey 08550 (hereinafter referred to as “</w:t>
      </w:r>
      <w:r>
        <w:rPr>
          <w:rFonts w:ascii="Arial" w:cs="Arial" w:eastAsia="Arial" w:hAnsi="Arial"/>
          <w:sz w:val="20"/>
          <w:szCs w:val="20"/>
          <w:u w:val="single" w:color="auto"/>
          <w:color w:val="auto"/>
        </w:rPr>
        <w:t>MIH</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WEST PENN NON-DESTRUCTIVE TESTING, LLC</w:t>
      </w:r>
      <w:r>
        <w:rPr>
          <w:rFonts w:ascii="Arial" w:cs="Arial" w:eastAsia="Arial" w:hAnsi="Arial"/>
          <w:sz w:val="20"/>
          <w:szCs w:val="20"/>
          <w:color w:val="auto"/>
        </w:rPr>
        <w:t>, a limited liability company duly organized, validly existing and in good</w:t>
      </w:r>
      <w:r>
        <w:rPr>
          <w:rFonts w:ascii="Arial" w:cs="Arial" w:eastAsia="Arial" w:hAnsi="Arial"/>
          <w:sz w:val="20"/>
          <w:szCs w:val="20"/>
          <w:b w:val="1"/>
          <w:bCs w:val="1"/>
          <w:color w:val="auto"/>
        </w:rPr>
        <w:t xml:space="preserve"> </w:t>
      </w:r>
      <w:r>
        <w:rPr>
          <w:rFonts w:ascii="Arial" w:cs="Arial" w:eastAsia="Arial" w:hAnsi="Arial"/>
          <w:sz w:val="20"/>
          <w:szCs w:val="20"/>
          <w:color w:val="auto"/>
        </w:rPr>
        <w:t>standing under the laws of the Commonwealth of Pennsylvania, having an address at 195 Clarksville Road, Princeton Junction, New Jersey 08550 (hereinafter referred to as “</w:t>
      </w:r>
      <w:r>
        <w:rPr>
          <w:rFonts w:ascii="Arial" w:cs="Arial" w:eastAsia="Arial" w:hAnsi="Arial"/>
          <w:sz w:val="20"/>
          <w:szCs w:val="20"/>
          <w:u w:val="single" w:color="auto"/>
          <w:color w:val="auto"/>
        </w:rPr>
        <w:t>West Penn</w:t>
      </w:r>
      <w:r>
        <w:rPr>
          <w:rFonts w:ascii="Arial" w:cs="Arial" w:eastAsia="Arial" w:hAnsi="Arial"/>
          <w:sz w:val="20"/>
          <w:szCs w:val="20"/>
          <w:color w:val="auto"/>
        </w:rPr>
        <w:t>”, and hereinafter QSL, MIH, and West Penn shall be collectively referred to as the “</w:t>
      </w:r>
      <w:r>
        <w:rPr>
          <w:rFonts w:ascii="Arial" w:cs="Arial" w:eastAsia="Arial" w:hAnsi="Arial"/>
          <w:sz w:val="20"/>
          <w:szCs w:val="20"/>
          <w:u w:val="single" w:color="auto"/>
          <w:color w:val="auto"/>
        </w:rPr>
        <w:t>Guarantors</w:t>
      </w:r>
      <w:r>
        <w:rPr>
          <w:rFonts w:ascii="Arial" w:cs="Arial" w:eastAsia="Arial" w:hAnsi="Arial"/>
          <w:sz w:val="20"/>
          <w:szCs w:val="20"/>
          <w:color w:val="auto"/>
        </w:rPr>
        <w:t>” and sometimes individually referred to as a “</w:t>
      </w:r>
      <w:r>
        <w:rPr>
          <w:rFonts w:ascii="Arial" w:cs="Arial" w:eastAsia="Arial" w:hAnsi="Arial"/>
          <w:sz w:val="20"/>
          <w:szCs w:val="20"/>
          <w:u w:val="single" w:color="auto"/>
          <w:color w:val="auto"/>
        </w:rPr>
        <w:t>Guarantor</w:t>
      </w:r>
      <w:r>
        <w:rPr>
          <w:rFonts w:ascii="Arial" w:cs="Arial" w:eastAsia="Arial" w:hAnsi="Arial"/>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0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 national banking association duly organized and validly existing under the laws of the United States</w:t>
      </w:r>
      <w:r>
        <w:rPr>
          <w:rFonts w:ascii="Arial" w:cs="Arial" w:eastAsia="Arial" w:hAnsi="Arial"/>
          <w:sz w:val="20"/>
          <w:szCs w:val="20"/>
          <w:b w:val="1"/>
          <w:bCs w:val="1"/>
          <w:color w:val="auto"/>
        </w:rPr>
        <w:t xml:space="preserve"> </w:t>
      </w:r>
      <w:r>
        <w:rPr>
          <w:rFonts w:ascii="Arial" w:cs="Arial" w:eastAsia="Arial" w:hAnsi="Arial"/>
          <w:sz w:val="20"/>
          <w:szCs w:val="20"/>
          <w:color w:val="auto"/>
        </w:rPr>
        <w:t>of America, having an office located at 194 Wood Avenue South, Iselin, New Jersey 08830, in its capacity as a Lender and the letter of credit issuer (hereinafter referred to as “</w:t>
      </w:r>
      <w:r>
        <w:rPr>
          <w:rFonts w:ascii="Arial" w:cs="Arial" w:eastAsia="Arial" w:hAnsi="Arial"/>
          <w:sz w:val="20"/>
          <w:szCs w:val="20"/>
          <w:u w:val="single" w:color="auto"/>
          <w:color w:val="auto"/>
        </w:rPr>
        <w:t>Bank of America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0"/>
          <w:szCs w:val="20"/>
          <w:b w:val="1"/>
          <w:bCs w:val="1"/>
          <w:color w:val="auto"/>
        </w:rPr>
        <w:t xml:space="preserve">THOSE OTHER LENDERS SIGNATORY HERETO </w:t>
      </w:r>
      <w:r>
        <w:rPr>
          <w:rFonts w:ascii="Arial" w:cs="Arial" w:eastAsia="Arial" w:hAnsi="Arial"/>
          <w:sz w:val="20"/>
          <w:szCs w:val="20"/>
          <w:color w:val="auto"/>
        </w:rPr>
        <w:t>(hereinafter said lenders, together with Bank of America,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sometimes individually referred to as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referred to as the “</w:t>
      </w:r>
      <w:r>
        <w:rPr>
          <w:rFonts w:ascii="Arial" w:cs="Arial" w:eastAsia="Arial" w:hAnsi="Arial"/>
          <w:sz w:val="20"/>
          <w:szCs w:val="20"/>
          <w:u w:val="single" w:color="auto"/>
          <w:color w:val="auto"/>
        </w:rPr>
        <w:t>Lenders</w:t>
      </w:r>
      <w:r>
        <w:rPr>
          <w:rFonts w:ascii="Arial" w:cs="Arial" w:eastAsia="Arial" w:hAnsi="Arial"/>
          <w:sz w:val="20"/>
          <w:szCs w:val="20"/>
          <w:color w:val="auto"/>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 national banking association duly organized and validly existing under the laws of the United States</w:t>
      </w:r>
      <w:r>
        <w:rPr>
          <w:rFonts w:ascii="Arial" w:cs="Arial" w:eastAsia="Arial" w:hAnsi="Arial"/>
          <w:sz w:val="20"/>
          <w:szCs w:val="20"/>
          <w:b w:val="1"/>
          <w:bCs w:val="1"/>
          <w:color w:val="auto"/>
        </w:rPr>
        <w:t xml:space="preserve"> </w:t>
      </w:r>
      <w:r>
        <w:rPr>
          <w:rFonts w:ascii="Arial" w:cs="Arial" w:eastAsia="Arial" w:hAnsi="Arial"/>
          <w:sz w:val="20"/>
          <w:szCs w:val="20"/>
          <w:color w:val="auto"/>
        </w:rPr>
        <w:t>of America, having an office located 194 Wood Avenue South, Iselin, New Jersey 08830, in its capacity as administrative agent for the Lenders (hereinafter referred to as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[FIRST AMENDMENT TO FIFTH AMENDED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AND RESTATED CREDIT AGREEMENT]</w:t>
      </w:r>
    </w:p>
    <w:p>
      <w:pPr>
        <w:sectPr>
          <w:pgSz w:w="11900" w:h="16838" w:orient="portrait"/>
          <w:cols w:equalWidth="0" w:num="1">
            <w:col w:w="11240"/>
          </w:cols>
          <w:pgMar w:left="320" w:top="1413"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0"/>
          <w:szCs w:val="20"/>
          <w:b w:val="1"/>
          <w:bCs w:val="1"/>
          <w:u w:val="single" w:color="auto"/>
          <w:color w:val="auto"/>
        </w:rPr>
        <w:t>WITNESSETH</w:t>
      </w:r>
      <w:r>
        <w:rPr>
          <w:rFonts w:ascii="Arial" w:cs="Arial" w:eastAsia="Arial" w:hAnsi="Arial"/>
          <w:sz w:val="20"/>
          <w:szCs w:val="20"/>
          <w:b w:val="1"/>
          <w:bCs w:val="1"/>
          <w:color w:val="auto"/>
        </w:rPr>
        <w:t>:</w:t>
      </w:r>
    </w:p>
    <w:p>
      <w:pPr>
        <w:spacing w:after="0" w:line="229" w:lineRule="exact"/>
        <w:rPr>
          <w:sz w:val="20"/>
          <w:szCs w:val="20"/>
          <w:color w:val="auto"/>
        </w:rPr>
      </w:pPr>
    </w:p>
    <w:p>
      <w:pPr>
        <w:jc w:val="both"/>
        <w:ind w:firstLine="541"/>
        <w:spacing w:after="0" w:line="22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terms, conditions, and provisions of that certain Fifth Amended and Restated Credit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December 13, 2018, executed by and among, </w:t>
      </w:r>
      <w:r>
        <w:rPr>
          <w:rFonts w:ascii="Arial" w:cs="Arial" w:eastAsia="Arial" w:hAnsi="Arial"/>
          <w:sz w:val="19"/>
          <w:szCs w:val="19"/>
          <w:u w:val="single" w:color="auto"/>
          <w:color w:val="auto"/>
        </w:rPr>
        <w:t>inter alia</w:t>
      </w:r>
      <w:r>
        <w:rPr>
          <w:rFonts w:ascii="Arial" w:cs="Arial" w:eastAsia="Arial" w:hAnsi="Arial"/>
          <w:sz w:val="19"/>
          <w:szCs w:val="19"/>
          <w:color w:val="auto"/>
        </w:rPr>
        <w:t>, the Borrower, as borrower, the Lenders, as lenders, Bank of America, as letter of credit issuer, and the Administrative Agent, as administrative agent (hereinafter referred to as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Lenders made available to the Borrower (a) a five (5) year senior secured amended and restated revolving credit facility in the aggregate maximum principal amount of up to US$300,000,000.00 (hereinafter referred to as the “</w:t>
      </w:r>
      <w:r>
        <w:rPr>
          <w:rFonts w:ascii="Arial" w:cs="Arial" w:eastAsia="Arial" w:hAnsi="Arial"/>
          <w:sz w:val="19"/>
          <w:szCs w:val="19"/>
          <w:u w:val="single" w:color="auto"/>
          <w:color w:val="auto"/>
        </w:rPr>
        <w:t>Revolving Credit Facility</w:t>
      </w:r>
      <w:r>
        <w:rPr>
          <w:rFonts w:ascii="Arial" w:cs="Arial" w:eastAsia="Arial" w:hAnsi="Arial"/>
          <w:sz w:val="19"/>
          <w:szCs w:val="19"/>
          <w:color w:val="auto"/>
        </w:rPr>
        <w:t>”), which Revolving Credit Facility includes (i) a US$20,000,000.00 sublimit for the issuance of standby and commercial letters of credit and (ii) a US$100,000,000.00 sublimit for multicurrency borrowings in readily available and freely transferable and convertible currencies, including, but not limited to, Euros, Pounds Sterling, Canadian Dollars, and Japanese Yen, all to be made available to the Borrower for working capital and other lawful corporate purposes, and (b) a five (5) year senior secured term loan facility in the aggregate original principal amount of US$100,000,000.00 (hereinafter referred to as the “</w:t>
      </w:r>
      <w:r>
        <w:rPr>
          <w:rFonts w:ascii="Arial" w:cs="Arial" w:eastAsia="Arial" w:hAnsi="Arial"/>
          <w:sz w:val="19"/>
          <w:szCs w:val="19"/>
          <w:u w:val="single" w:color="auto"/>
          <w:color w:val="auto"/>
        </w:rPr>
        <w:t>Term Loan Facility</w:t>
      </w:r>
      <w:r>
        <w:rPr>
          <w:rFonts w:ascii="Arial" w:cs="Arial" w:eastAsia="Arial" w:hAnsi="Arial"/>
          <w:sz w:val="19"/>
          <w:szCs w:val="19"/>
          <w:color w:val="auto"/>
        </w:rPr>
        <w:t>”, and hereinafter the Revolving Credit Facility and the Term Loan Facility shall be collectively referred to as the “</w:t>
      </w:r>
      <w:r>
        <w:rPr>
          <w:rFonts w:ascii="Arial" w:cs="Arial" w:eastAsia="Arial" w:hAnsi="Arial"/>
          <w:sz w:val="19"/>
          <w:szCs w:val="19"/>
          <w:u w:val="single" w:color="auto"/>
          <w:color w:val="auto"/>
        </w:rPr>
        <w:t>Loan Facilities</w:t>
      </w:r>
      <w:r>
        <w:rPr>
          <w:rFonts w:ascii="Arial" w:cs="Arial" w:eastAsia="Arial" w:hAnsi="Arial"/>
          <w:sz w:val="19"/>
          <w:szCs w:val="19"/>
          <w:color w:val="auto"/>
        </w:rPr>
        <w:t>”); and</w:t>
      </w:r>
    </w:p>
    <w:p>
      <w:pPr>
        <w:spacing w:after="0" w:line="197" w:lineRule="exact"/>
        <w:rPr>
          <w:sz w:val="20"/>
          <w:szCs w:val="20"/>
          <w:color w:val="auto"/>
        </w:rPr>
      </w:pPr>
    </w:p>
    <w:p>
      <w:pPr>
        <w:jc w:val="both"/>
        <w:ind w:right="20" w:firstLine="571"/>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capitalized terms used herein but not otherwise expressly defined herein shall have the same meanings assigned and</w:t>
      </w:r>
      <w:r>
        <w:rPr>
          <w:rFonts w:ascii="Arial" w:cs="Arial" w:eastAsia="Arial" w:hAnsi="Arial"/>
          <w:sz w:val="20"/>
          <w:szCs w:val="20"/>
          <w:b w:val="1"/>
          <w:bCs w:val="1"/>
          <w:color w:val="auto"/>
        </w:rPr>
        <w:t xml:space="preserve"> </w:t>
      </w:r>
      <w:r>
        <w:rPr>
          <w:rFonts w:ascii="Arial" w:cs="Arial" w:eastAsia="Arial" w:hAnsi="Arial"/>
          <w:sz w:val="20"/>
          <w:szCs w:val="20"/>
          <w:color w:val="auto"/>
        </w:rPr>
        <w:t>ascribed to said terms as set forth in the Credit Agreement; and</w:t>
      </w:r>
    </w:p>
    <w:p>
      <w:pPr>
        <w:spacing w:after="0" w:line="190" w:lineRule="exact"/>
        <w:rPr>
          <w:sz w:val="20"/>
          <w:szCs w:val="20"/>
          <w:color w:val="auto"/>
        </w:rPr>
      </w:pPr>
    </w:p>
    <w:p>
      <w:pPr>
        <w:jc w:val="both"/>
        <w:ind w:firstLine="460"/>
        <w:spacing w:after="0" w:line="2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terms, conditions, and provisions of that certain Fifth Amended and Restated Guaranty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13, 2018, executed by the Guarantors, as guarantors, in favor of the Administrative Agent, for the benefit of the Lenders (hereinafter referred to as the “</w:t>
      </w:r>
      <w:r>
        <w:rPr>
          <w:rFonts w:ascii="Arial" w:cs="Arial" w:eastAsia="Arial" w:hAnsi="Arial"/>
          <w:sz w:val="19"/>
          <w:szCs w:val="19"/>
          <w:u w:val="single" w:color="auto"/>
          <w:color w:val="auto"/>
        </w:rPr>
        <w:t>Guaranty</w:t>
      </w:r>
      <w:r>
        <w:rPr>
          <w:rFonts w:ascii="Arial" w:cs="Arial" w:eastAsia="Arial" w:hAnsi="Arial"/>
          <w:sz w:val="19"/>
          <w:szCs w:val="19"/>
          <w:color w:val="auto"/>
        </w:rPr>
        <w:t>”), the Guarantors guarantied the payment and performance of all of the obligations of the Borrower owed to the Administrative Agent and the Lenders under the Credit Agreement and the other “Loan Documents” (as such term is defined in the Credit Agreement) (hereinafter collectively referred to as the “</w:t>
      </w:r>
      <w:r>
        <w:rPr>
          <w:rFonts w:ascii="Arial" w:cs="Arial" w:eastAsia="Arial" w:hAnsi="Arial"/>
          <w:sz w:val="19"/>
          <w:szCs w:val="19"/>
          <w:u w:val="single" w:color="auto"/>
          <w:color w:val="auto"/>
        </w:rPr>
        <w:t>Loan Documents</w:t>
      </w:r>
      <w:r>
        <w:rPr>
          <w:rFonts w:ascii="Arial" w:cs="Arial" w:eastAsia="Arial" w:hAnsi="Arial"/>
          <w:sz w:val="19"/>
          <w:szCs w:val="19"/>
          <w:color w:val="auto"/>
        </w:rPr>
        <w:t>”); and</w:t>
      </w:r>
    </w:p>
    <w:p>
      <w:pPr>
        <w:spacing w:after="0" w:line="190" w:lineRule="exact"/>
        <w:rPr>
          <w:sz w:val="20"/>
          <w:szCs w:val="20"/>
          <w:color w:val="auto"/>
        </w:rPr>
      </w:pPr>
    </w:p>
    <w:p>
      <w:pPr>
        <w:jc w:val="both"/>
        <w:ind w:firstLine="392"/>
        <w:spacing w:after="0" w:line="23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hereto have agreed to amend and modify the terms, conditions, and provisions of the Credit Agreement,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Loan Documents, pursuant to the terms, conditions, and provisions of this Amendment for the purposes more fully set forth and described herein; and</w:t>
      </w:r>
    </w:p>
    <w:p>
      <w:pPr>
        <w:spacing w:after="0" w:line="20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agreements hereinafter set forth, and for other good and valuable consideration,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adequacy of which are hereby acknowledged, the parties hereto agree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AMOUNTS OUTSTANDING UNDER THE LOAN FACILITIES</w:t>
      </w:r>
    </w:p>
    <w:p>
      <w:pPr>
        <w:spacing w:after="0" w:line="221" w:lineRule="exact"/>
        <w:rPr>
          <w:sz w:val="20"/>
          <w:szCs w:val="20"/>
          <w:color w:val="auto"/>
        </w:rPr>
      </w:pPr>
    </w:p>
    <w:p>
      <w:pPr>
        <w:jc w:val="both"/>
        <w:ind w:firstLine="477"/>
        <w:spacing w:after="0" w:line="244"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Amounts Outstanding under the Revolving Credit Facility</w:t>
      </w:r>
      <w:r>
        <w:rPr>
          <w:rFonts w:ascii="Arial" w:cs="Arial" w:eastAsia="Arial" w:hAnsi="Arial"/>
          <w:sz w:val="20"/>
          <w:szCs w:val="20"/>
          <w:color w:val="auto"/>
        </w:rPr>
        <w:t>. There is, as of October 11, 2019, due and owing on the 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Credit Facility the principal amount of US$172,207,936.17, consisting of (i) Committed Loans under the Revolving Credit Facility in the aggregate principal amount of US$166,768,084.17, and (ii) issued and outstanding Letters of Credit in the aggregate stated amount of US$5,439,852.00, in the case of each of the foregoing together with unpaid accrued interest, fees, costs and expenses due and owing to the Lenders under the Credit Agreement, all without offset, defense or counterclaim, all of which are hereby expressly waived by the Borrower and the Guarantors as of the date hereof. As of such date, there were no amounts due and owing to the Lenders in connection with any unreimbursed draws on any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[FIRST AMENDMENT TO FIFTH AMENDED</w:t>
      </w:r>
    </w:p>
    <w:p>
      <w:pPr>
        <w:jc w:val="right"/>
        <w:spacing w:after="0"/>
        <w:rPr>
          <w:sz w:val="20"/>
          <w:szCs w:val="20"/>
          <w:color w:val="auto"/>
        </w:rPr>
      </w:pPr>
      <w:r>
        <w:rPr>
          <w:rFonts w:ascii="Arial" w:cs="Arial" w:eastAsia="Arial" w:hAnsi="Arial"/>
          <w:sz w:val="13"/>
          <w:szCs w:val="13"/>
          <w:color w:val="auto"/>
        </w:rPr>
        <w:t>AND RESTATED CREDIT AGREEMENT]</w:t>
      </w:r>
    </w:p>
    <w:p>
      <w:pPr>
        <w:sectPr>
          <w:pgSz w:w="11900" w:h="16838" w:orient="portrait"/>
          <w:cols w:equalWidth="0" w:num="1">
            <w:col w:w="11240"/>
          </w:cols>
          <w:pgMar w:left="320" w:top="1413" w:right="339" w:bottom="1440" w:gutter="0" w:footer="0" w:header="0"/>
        </w:sectPr>
      </w:pPr>
    </w:p>
    <w:bookmarkStart w:id="91" w:name="page92"/>
    <w:bookmarkEnd w:id="91"/>
    <w:p>
      <w:pPr>
        <w:jc w:val="both"/>
        <w:ind w:firstLine="436"/>
        <w:spacing w:after="0" w:line="248"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Amount Outstanding under the Term Loan Facility</w:t>
      </w:r>
      <w:r>
        <w:rPr>
          <w:rFonts w:ascii="Arial" w:cs="Arial" w:eastAsia="Arial" w:hAnsi="Arial"/>
          <w:sz w:val="20"/>
          <w:szCs w:val="20"/>
          <w:color w:val="auto"/>
        </w:rPr>
        <w:t>. There is, as of October 11, 2019, due and owing on the Term Loan Facility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principal amount of US$96,250,000.00, together with unpaid accrued interest, fees, costs and expenses due and owing to the Lenders under the Credit Agreement, all without offset, defense or counterclaim, all of which are hereby expressly waived by the Borrower and the Guarantors as of the date hereof.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CREDIT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b w:val="1"/>
          <w:bCs w:val="1"/>
          <w:u w:val="single" w:color="auto"/>
          <w:color w:val="auto"/>
        </w:rPr>
        <w:t>New 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new defined terms are hereby added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Credit Agreement as follows:</w:t>
      </w:r>
    </w:p>
    <w:p>
      <w:pPr>
        <w:spacing w:after="0" w:line="260" w:lineRule="exact"/>
        <w:rPr>
          <w:sz w:val="20"/>
          <w:szCs w:val="20"/>
          <w:color w:val="auto"/>
        </w:rPr>
      </w:pPr>
    </w:p>
    <w:p>
      <w:pPr>
        <w:jc w:val="both"/>
        <w:ind w:left="1300" w:right="6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204" w:lineRule="exact"/>
        <w:rPr>
          <w:sz w:val="20"/>
          <w:szCs w:val="20"/>
          <w:color w:val="auto"/>
        </w:rPr>
      </w:pPr>
    </w:p>
    <w:p>
      <w:pPr>
        <w:jc w:val="both"/>
        <w:ind w:left="1300" w:right="64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10.24</w:t>
      </w:r>
      <w:r>
        <w:rPr>
          <w:rFonts w:ascii="Arial" w:cs="Arial" w:eastAsia="Arial" w:hAnsi="Arial"/>
          <w:sz w:val="20"/>
          <w:szCs w:val="20"/>
          <w:color w:val="auto"/>
        </w:rPr>
        <w:t>.</w:t>
      </w:r>
    </w:p>
    <w:p>
      <w:pPr>
        <w:spacing w:after="0" w:line="243" w:lineRule="exact"/>
        <w:rPr>
          <w:sz w:val="20"/>
          <w:szCs w:val="20"/>
          <w:color w:val="auto"/>
        </w:rPr>
      </w:pPr>
    </w:p>
    <w:p>
      <w:pPr>
        <w:jc w:val="both"/>
        <w:ind w:left="1300" w:right="6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Onstream</w:t>
      </w:r>
      <w:r>
        <w:rPr>
          <w:rFonts w:ascii="Arial" w:cs="Arial" w:eastAsia="Arial" w:hAnsi="Arial"/>
          <w:sz w:val="20"/>
          <w:szCs w:val="20"/>
          <w:color w:val="auto"/>
        </w:rPr>
        <w:t>” means Onstream Holdings Inc., a Canadian corporation.</w:t>
      </w:r>
    </w:p>
    <w:p>
      <w:pPr>
        <w:spacing w:after="0" w:line="243" w:lineRule="exact"/>
        <w:rPr>
          <w:sz w:val="20"/>
          <w:szCs w:val="20"/>
          <w:color w:val="auto"/>
        </w:rPr>
      </w:pPr>
    </w:p>
    <w:p>
      <w:pPr>
        <w:jc w:val="both"/>
        <w:ind w:left="1300" w:right="6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10.24</w:t>
      </w:r>
      <w:r>
        <w:rPr>
          <w:rFonts w:ascii="Arial" w:cs="Arial" w:eastAsia="Arial" w:hAnsi="Arial"/>
          <w:sz w:val="20"/>
          <w:szCs w:val="20"/>
          <w:color w:val="auto"/>
        </w:rPr>
        <w:t>.</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10.24</w:t>
      </w:r>
      <w:r>
        <w:rPr>
          <w:rFonts w:ascii="Arial" w:cs="Arial" w:eastAsia="Arial" w:hAnsi="Arial"/>
          <w:sz w:val="20"/>
          <w:szCs w:val="20"/>
          <w:color w:val="auto"/>
        </w:rPr>
        <w:t>.</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10.24</w:t>
      </w:r>
      <w:r>
        <w:rPr>
          <w:rFonts w:ascii="Arial" w:cs="Arial" w:eastAsia="Arial" w:hAnsi="Arial"/>
          <w:sz w:val="20"/>
          <w:szCs w:val="20"/>
          <w:color w:val="auto"/>
        </w:rPr>
        <w:t>.</w:t>
      </w:r>
    </w:p>
    <w:p>
      <w:pPr>
        <w:spacing w:after="0" w:line="237"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2.2 </w:t>
      </w:r>
      <w:r>
        <w:rPr>
          <w:rFonts w:ascii="Arial" w:cs="Arial" w:eastAsia="Arial" w:hAnsi="Arial"/>
          <w:sz w:val="20"/>
          <w:szCs w:val="20"/>
          <w:b w:val="1"/>
          <w:bCs w:val="1"/>
          <w:u w:val="single" w:color="auto"/>
          <w:color w:val="auto"/>
        </w:rPr>
        <w:t>Amendments to Definition of “Add Back Amounts” in the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defined term “Add Back Amounts” set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forth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restated in its entirety to read as follows:</w:t>
      </w:r>
    </w:p>
    <w:p>
      <w:pPr>
        <w:spacing w:after="0" w:line="196" w:lineRule="exact"/>
        <w:rPr>
          <w:sz w:val="20"/>
          <w:szCs w:val="20"/>
          <w:color w:val="auto"/>
        </w:rPr>
      </w:pPr>
    </w:p>
    <w:p>
      <w:pPr>
        <w:jc w:val="both"/>
        <w:ind w:left="660" w:right="660" w:firstLine="51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 Back Amounts</w:t>
      </w:r>
      <w:r>
        <w:rPr>
          <w:rFonts w:ascii="Arial" w:cs="Arial" w:eastAsia="Arial" w:hAnsi="Arial"/>
          <w:sz w:val="19"/>
          <w:szCs w:val="19"/>
          <w:color w:val="auto"/>
        </w:rPr>
        <w:t>” means, for the purposes of calculating EBITDA, to the extent that the Borrower or one of its Subsidiaries acquires a Person in accordance with the terms, conditions, and provisions of this Agreement, an amount to be included by the Administrative Agent in such calculation of EBITDA, determined as follows: (a) for the first quarterly test date following such acquisition, 100% of the TTM EBITDA with respect to such acquired Person; (b) for the second quarterly test date following such acquisition, 75% of the TTM EBITDA with respect to such acquired Person; (c) for the third quarterly test date following such acquisition, 50% of the TTM EBITDA with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[FIRST AMENDMENT TO FIFTH AMENDED</w:t>
      </w:r>
    </w:p>
    <w:p>
      <w:pPr>
        <w:jc w:val="right"/>
        <w:spacing w:after="0"/>
        <w:rPr>
          <w:sz w:val="20"/>
          <w:szCs w:val="20"/>
          <w:color w:val="auto"/>
        </w:rPr>
      </w:pPr>
      <w:r>
        <w:rPr>
          <w:rFonts w:ascii="Arial" w:cs="Arial" w:eastAsia="Arial" w:hAnsi="Arial"/>
          <w:sz w:val="13"/>
          <w:szCs w:val="13"/>
          <w:color w:val="auto"/>
        </w:rPr>
        <w:t>AND RESTATED CREDIT AGREEMENT]</w:t>
      </w:r>
    </w:p>
    <w:p>
      <w:pPr>
        <w:sectPr>
          <w:pgSz w:w="11900" w:h="16838" w:orient="portrait"/>
          <w:cols w:equalWidth="0" w:num="1">
            <w:col w:w="11240"/>
          </w:cols>
          <w:pgMar w:left="320" w:top="1413" w:right="339" w:bottom="1440" w:gutter="0" w:footer="0" w:header="0"/>
        </w:sectPr>
      </w:pPr>
    </w:p>
    <w:bookmarkStart w:id="92" w:name="page93"/>
    <w:bookmarkEnd w:id="92"/>
    <w:p>
      <w:pPr>
        <w:jc w:val="both"/>
        <w:ind w:left="660" w:right="660"/>
        <w:spacing w:after="0" w:line="260" w:lineRule="auto"/>
        <w:rPr>
          <w:sz w:val="20"/>
          <w:szCs w:val="20"/>
          <w:color w:val="auto"/>
        </w:rPr>
      </w:pPr>
      <w:r>
        <w:rPr>
          <w:rFonts w:ascii="Arial" w:cs="Arial" w:eastAsia="Arial" w:hAnsi="Arial"/>
          <w:sz w:val="20"/>
          <w:szCs w:val="20"/>
          <w:color w:val="auto"/>
        </w:rPr>
        <w:t>respect to such acquired Person; and (d) for the fourth quarterly test date following such acquisition, -0-% of the TTM EBITDA with respect to such acquired Person.</w:t>
      </w:r>
    </w:p>
    <w:p>
      <w:pPr>
        <w:spacing w:after="0" w:line="204" w:lineRule="exact"/>
        <w:rPr>
          <w:sz w:val="20"/>
          <w:szCs w:val="20"/>
          <w:color w:val="auto"/>
        </w:rPr>
      </w:pPr>
    </w:p>
    <w:p>
      <w:pPr>
        <w:jc w:val="both"/>
        <w:ind w:left="660" w:right="660"/>
        <w:spacing w:after="0" w:line="246" w:lineRule="auto"/>
        <w:rPr>
          <w:sz w:val="20"/>
          <w:szCs w:val="20"/>
          <w:color w:val="auto"/>
        </w:rPr>
      </w:pPr>
      <w:r>
        <w:rPr>
          <w:rFonts w:ascii="Arial" w:cs="Arial" w:eastAsia="Arial" w:hAnsi="Arial"/>
          <w:sz w:val="20"/>
          <w:szCs w:val="20"/>
          <w:color w:val="auto"/>
        </w:rPr>
        <w:t>Notwithstanding the foregoing to the contrary, solely with respect to the Borrower’s acquisition of Onstream, for the fourth quarterly test date (which is the September 30, 2019 test date) following such acquisition, the Administrative Agent shall include in its calculation of EBITDA, an amount equal to 25% of the acquired TTM EBITDA with respect to Onstream, as an “Add Back Amount” (which amount is equal to $3,000,000.00).</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Amendment to Section 1.02 of the Credit Agreement</w:t>
      </w:r>
      <w:r>
        <w:rPr>
          <w:rFonts w:ascii="Arial" w:cs="Arial" w:eastAsia="Arial" w:hAnsi="Arial"/>
          <w:sz w:val="18"/>
          <w:szCs w:val="18"/>
          <w:color w:val="auto"/>
        </w:rPr>
        <w:t>. The following new</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clause (d)</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inserted into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w:t>
      </w:r>
      <w:r>
        <w:rPr>
          <w:rFonts w:ascii="Arial" w:cs="Arial" w:eastAsia="Arial" w:hAnsi="Arial"/>
          <w:sz w:val="18"/>
          <w:szCs w:val="18"/>
          <w:b w:val="1"/>
          <w:bCs w:val="1"/>
          <w:color w:val="auto"/>
        </w:rPr>
        <w:t xml:space="preserve"> </w:t>
      </w:r>
      <w:r>
        <w:rPr>
          <w:rFonts w:ascii="Arial" w:cs="Arial" w:eastAsia="Arial" w:hAnsi="Arial"/>
          <w:sz w:val="18"/>
          <w:szCs w:val="18"/>
          <w:color w:val="auto"/>
        </w:rPr>
        <w:t>of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as follows:</w:t>
      </w:r>
    </w:p>
    <w:p>
      <w:pPr>
        <w:spacing w:after="0" w:line="227" w:lineRule="exact"/>
        <w:rPr>
          <w:sz w:val="20"/>
          <w:szCs w:val="20"/>
          <w:color w:val="auto"/>
        </w:rPr>
      </w:pPr>
    </w:p>
    <w:p>
      <w:pPr>
        <w:jc w:val="both"/>
        <w:ind w:left="660" w:right="660" w:firstLine="648"/>
        <w:spacing w:after="0" w:line="243" w:lineRule="auto"/>
        <w:rPr>
          <w:sz w:val="20"/>
          <w:szCs w:val="20"/>
          <w:color w:val="auto"/>
        </w:rPr>
      </w:pPr>
      <w:r>
        <w:rPr>
          <w:rFonts w:ascii="Arial" w:cs="Arial" w:eastAsia="Arial" w:hAnsi="Arial"/>
          <w:sz w:val="20"/>
          <w:szCs w:val="20"/>
          <w:color w:val="auto"/>
        </w:rPr>
        <w:t>“(d) 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1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0"/>
          <w:szCs w:val="20"/>
          <w:b w:val="1"/>
          <w:bCs w:val="1"/>
          <w:u w:val="single" w:color="auto"/>
          <w:color w:val="auto"/>
        </w:rPr>
        <w:t>Amendment to Section 1.03 of the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1.03</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Credit Agreement,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clause (a)</w:t>
      </w:r>
      <w:r>
        <w:rPr>
          <w:rFonts w:ascii="Arial" w:cs="Arial" w:eastAsia="Arial" w:hAnsi="Arial"/>
          <w:sz w:val="20"/>
          <w:szCs w:val="20"/>
          <w:b w:val="1"/>
          <w:bCs w:val="1"/>
          <w:color w:val="auto"/>
        </w:rPr>
        <w:t xml:space="preserve"> </w:t>
      </w:r>
      <w:r>
        <w:rPr>
          <w:rFonts w:ascii="Arial" w:cs="Arial" w:eastAsia="Arial" w:hAnsi="Arial"/>
          <w:sz w:val="20"/>
          <w:szCs w:val="20"/>
          <w:color w:val="auto"/>
        </w:rPr>
        <w:t>is hereby deleted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its entirety and the following new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is hereby inserted in its place and stead:</w:t>
      </w:r>
    </w:p>
    <w:p>
      <w:pPr>
        <w:spacing w:after="0" w:line="196" w:lineRule="exact"/>
        <w:rPr>
          <w:sz w:val="20"/>
          <w:szCs w:val="20"/>
          <w:color w:val="auto"/>
        </w:rPr>
      </w:pPr>
    </w:p>
    <w:p>
      <w:pPr>
        <w:jc w:val="both"/>
        <w:ind w:left="660" w:right="640" w:firstLine="648"/>
        <w:spacing w:after="0" w:line="269" w:lineRule="auto"/>
        <w:rPr>
          <w:sz w:val="20"/>
          <w:szCs w:val="20"/>
          <w:color w:val="auto"/>
        </w:rPr>
      </w:pPr>
      <w:r>
        <w:rPr>
          <w:rFonts w:ascii="Arial" w:cs="Arial" w:eastAsia="Arial" w:hAnsi="Arial"/>
          <w:sz w:val="18"/>
          <w:szCs w:val="18"/>
          <w:color w:val="auto"/>
        </w:rPr>
        <w:t>“(a)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Borrower and its Subsidiaries shall be deemed to be carried at 100% of the outstanding principal amount thereof, and the effects of FASB ASC 825 and FASB ASC 470–20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and (iii) all terms of an accounting or financial nature used herein shall be construed, and all computations of amounts and ratios referred to herein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[FIRST AMENDMENT TO FIFTH AMENDED</w:t>
      </w:r>
    </w:p>
    <w:p>
      <w:pPr>
        <w:jc w:val="right"/>
        <w:spacing w:after="0"/>
        <w:rPr>
          <w:sz w:val="20"/>
          <w:szCs w:val="20"/>
          <w:color w:val="auto"/>
        </w:rPr>
      </w:pPr>
      <w:r>
        <w:rPr>
          <w:rFonts w:ascii="Arial" w:cs="Arial" w:eastAsia="Arial" w:hAnsi="Arial"/>
          <w:sz w:val="13"/>
          <w:szCs w:val="13"/>
          <w:color w:val="auto"/>
        </w:rPr>
        <w:t>AND RESTATED CREDIT AGREEMENT]</w:t>
      </w:r>
    </w:p>
    <w:p>
      <w:pPr>
        <w:sectPr>
          <w:pgSz w:w="11900" w:h="16838" w:orient="portrait"/>
          <w:cols w:equalWidth="0" w:num="1">
            <w:col w:w="11240"/>
          </w:cols>
          <w:pgMar w:left="320" w:top="1419" w:right="339" w:bottom="1440" w:gutter="0" w:footer="0" w:header="0"/>
        </w:sectPr>
      </w:pPr>
    </w:p>
    <w:bookmarkStart w:id="93" w:name="page94"/>
    <w:bookmarkEnd w:id="93"/>
    <w:p>
      <w:pPr>
        <w:jc w:val="both"/>
        <w:ind w:left="660" w:right="640"/>
        <w:spacing w:after="0" w:line="256" w:lineRule="auto"/>
        <w:rPr>
          <w:sz w:val="20"/>
          <w:szCs w:val="20"/>
          <w:color w:val="auto"/>
        </w:rPr>
      </w:pPr>
      <w:r>
        <w:rPr>
          <w:rFonts w:ascii="Arial" w:cs="Arial" w:eastAsia="Arial" w:hAnsi="Arial"/>
          <w:sz w:val="19"/>
          <w:szCs w:val="19"/>
          <w:color w:val="auto"/>
        </w:rPr>
        <w:t>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(x) any election by the Borrower to measure an item of Indebtedness using fair value (as permitted by Financial Accounting Standards Board Accounting Standards Codification 825–10–25 (formerly known as FASB 159) or any similar accounting standard) or (y) any change in accounting for leases pursuant to GAAP resulting from the implementation of Financial Accounting Standards Board ASU No. 2016–02, Leases (Topic 842), to the extent such adoption would require recognition of a lease liability where such lease (or similar arrangement) would not have required a lease liability under GAAP as in effect on December 31, 2015.”</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Amendment to Section 1.05 of the Credit Agreement</w:t>
      </w:r>
      <w:r>
        <w:rPr>
          <w:rFonts w:ascii="Arial" w:cs="Arial" w:eastAsia="Arial" w:hAnsi="Arial"/>
          <w:sz w:val="18"/>
          <w:szCs w:val="18"/>
          <w:color w:val="auto"/>
        </w:rPr>
        <w:t>. The following new</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inserted into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1.05</w:t>
      </w:r>
      <w:r>
        <w:rPr>
          <w:rFonts w:ascii="Arial" w:cs="Arial" w:eastAsia="Arial" w:hAnsi="Arial"/>
          <w:sz w:val="18"/>
          <w:szCs w:val="18"/>
          <w:b w:val="1"/>
          <w:bCs w:val="1"/>
          <w:color w:val="auto"/>
        </w:rPr>
        <w:t xml:space="preserve"> </w:t>
      </w:r>
      <w:r>
        <w:rPr>
          <w:rFonts w:ascii="Arial" w:cs="Arial" w:eastAsia="Arial" w:hAnsi="Arial"/>
          <w:sz w:val="18"/>
          <w:szCs w:val="18"/>
          <w:color w:val="auto"/>
        </w:rPr>
        <w:t>of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as follows:</w:t>
      </w:r>
    </w:p>
    <w:p>
      <w:pPr>
        <w:spacing w:after="0" w:line="227" w:lineRule="exact"/>
        <w:rPr>
          <w:sz w:val="20"/>
          <w:szCs w:val="20"/>
          <w:color w:val="auto"/>
        </w:rPr>
      </w:pPr>
    </w:p>
    <w:p>
      <w:pPr>
        <w:jc w:val="both"/>
        <w:ind w:left="660" w:right="640" w:firstLine="648"/>
        <w:spacing w:after="0" w:line="243" w:lineRule="auto"/>
        <w:rPr>
          <w:sz w:val="20"/>
          <w:szCs w:val="20"/>
          <w:color w:val="auto"/>
        </w:rPr>
      </w:pPr>
      <w:r>
        <w:rPr>
          <w:rFonts w:ascii="Arial" w:cs="Arial" w:eastAsia="Arial" w:hAnsi="Arial"/>
          <w:sz w:val="20"/>
          <w:szCs w:val="20"/>
          <w:color w:val="auto"/>
        </w:rPr>
        <w:t>“(c) The Administrative Agent does not warrant, nor accept responsibility, nor shall the Administrative Agent have any liability with respect to the administration, submission or any other matter related to the rates in the definition of “Eurocurrency Rate” or with respect to any rate that is an alternative or replacement for or successor to any of such rates (including, without limitation, any LIBOR Successor Rate) or the effect of any of the foregoing, or of any LIBOR Successor Rate Conforming Changes, other than in the case of its own gross negligence or willful misconduct with respect to such administration, submission or other matter related to the “Eurocurrency Rate”, as determined by a court of competent jurisdiction by a final and nonappealable judgment.”</w:t>
      </w:r>
    </w:p>
    <w:p>
      <w:pPr>
        <w:spacing w:after="0" w:line="21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20"/>
          <w:szCs w:val="20"/>
          <w:b w:val="1"/>
          <w:bCs w:val="1"/>
          <w:u w:val="single" w:color="auto"/>
          <w:color w:val="auto"/>
        </w:rPr>
        <w:t>Amendment to Section 6.18 of the Credit Agreement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6.18</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Credit Agreement is hereby deleted in its entirety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the following new </w:t>
      </w:r>
      <w:r>
        <w:rPr>
          <w:rFonts w:ascii="Arial" w:cs="Arial" w:eastAsia="Arial" w:hAnsi="Arial"/>
          <w:sz w:val="20"/>
          <w:szCs w:val="20"/>
          <w:u w:val="single" w:color="auto"/>
          <w:color w:val="auto"/>
        </w:rPr>
        <w:t>Section 6.18</w:t>
      </w:r>
      <w:r>
        <w:rPr>
          <w:rFonts w:ascii="Arial" w:cs="Arial" w:eastAsia="Arial" w:hAnsi="Arial"/>
          <w:sz w:val="20"/>
          <w:szCs w:val="20"/>
          <w:color w:val="auto"/>
        </w:rPr>
        <w:t xml:space="preserve"> is hereby inserted in its place and stead:</w:t>
      </w:r>
    </w:p>
    <w:p>
      <w:pPr>
        <w:spacing w:after="0" w:line="190"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6.18</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Anti-Corruption Laws; Sanctions</w:t>
      </w:r>
      <w:r>
        <w:rPr>
          <w:rFonts w:ascii="Arial" w:cs="Arial" w:eastAsia="Arial" w:hAnsi="Arial"/>
          <w:sz w:val="20"/>
          <w:szCs w:val="20"/>
          <w:color w:val="auto"/>
        </w:rPr>
        <w:t>.</w:t>
      </w:r>
    </w:p>
    <w:p>
      <w:pPr>
        <w:spacing w:after="0" w:line="249" w:lineRule="exact"/>
        <w:rPr>
          <w:sz w:val="20"/>
          <w:szCs w:val="20"/>
          <w:color w:val="auto"/>
        </w:rPr>
      </w:pPr>
    </w:p>
    <w:p>
      <w:pPr>
        <w:jc w:val="both"/>
        <w:ind w:left="660" w:right="640" w:firstLine="648"/>
        <w:spacing w:after="0" w:line="246" w:lineRule="auto"/>
        <w:rPr>
          <w:sz w:val="20"/>
          <w:szCs w:val="20"/>
          <w:color w:val="auto"/>
        </w:rPr>
      </w:pPr>
      <w:r>
        <w:rPr>
          <w:rFonts w:ascii="Arial" w:cs="Arial" w:eastAsia="Arial" w:hAnsi="Arial"/>
          <w:sz w:val="20"/>
          <w:szCs w:val="20"/>
          <w:color w:val="auto"/>
        </w:rPr>
        <w:t>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Amendment to Article 10 of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new</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10.24</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inserted into Article 10 of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10.24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Acknowledgement Regarding Any Supported QFCs</w:t>
      </w:r>
    </w:p>
    <w:p>
      <w:pPr>
        <w:spacing w:after="0" w:line="249" w:lineRule="exact"/>
        <w:rPr>
          <w:sz w:val="20"/>
          <w:szCs w:val="20"/>
          <w:color w:val="auto"/>
        </w:rPr>
      </w:pPr>
    </w:p>
    <w:p>
      <w:pPr>
        <w:jc w:val="both"/>
        <w:ind w:left="660" w:right="660" w:firstLine="648"/>
        <w:spacing w:after="0" w:line="246" w:lineRule="auto"/>
        <w:rPr>
          <w:sz w:val="20"/>
          <w:szCs w:val="20"/>
          <w:color w:val="auto"/>
        </w:rPr>
      </w:pPr>
      <w:r>
        <w:rPr>
          <w:rFonts w:ascii="Arial" w:cs="Arial" w:eastAsia="Arial" w:hAnsi="Arial"/>
          <w:sz w:val="20"/>
          <w:szCs w:val="20"/>
          <w:color w:val="auto"/>
        </w:rPr>
        <w:t>To the extent that the Loan Documents provide support, through a guarantee or otherwise, for any Swap Contract or any other agreement or instrument that is a QFC (such support, “</w:t>
      </w:r>
      <w:r>
        <w:rPr>
          <w:rFonts w:ascii="Arial" w:cs="Arial" w:eastAsia="Arial" w:hAnsi="Arial"/>
          <w:sz w:val="20"/>
          <w:szCs w:val="20"/>
          <w:u w:val="single" w:color="auto"/>
          <w:color w:val="auto"/>
        </w:rPr>
        <w:t>QFC Credit Support</w:t>
      </w:r>
      <w:r>
        <w:rPr>
          <w:rFonts w:ascii="Arial" w:cs="Arial" w:eastAsia="Arial" w:hAnsi="Arial"/>
          <w:sz w:val="20"/>
          <w:szCs w:val="20"/>
          <w:color w:val="auto"/>
        </w:rPr>
        <w:t>”, and each such QFC, a “</w:t>
      </w:r>
      <w:r>
        <w:rPr>
          <w:rFonts w:ascii="Arial" w:cs="Arial" w:eastAsia="Arial" w:hAnsi="Arial"/>
          <w:sz w:val="20"/>
          <w:szCs w:val="20"/>
          <w:u w:val="single" w:color="auto"/>
          <w:color w:val="auto"/>
        </w:rPr>
        <w:t>Supported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QFC</w:t>
      </w:r>
      <w:r>
        <w:rPr>
          <w:rFonts w:ascii="Arial" w:cs="Arial" w:eastAsia="Arial" w:hAnsi="Arial"/>
          <w:sz w:val="20"/>
          <w:szCs w:val="20"/>
          <w:color w:val="auto"/>
        </w:rPr>
        <w:t>”), the parties acknowledge and agree as follows with respect to the resolution power of the Federal Deposit Insurance Corporation under the Federal Deposit Insurance Act and Title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[FIRST AMENDMENT TO FIFTH AMENDED</w:t>
      </w:r>
    </w:p>
    <w:p>
      <w:pPr>
        <w:jc w:val="right"/>
        <w:spacing w:after="0"/>
        <w:rPr>
          <w:sz w:val="20"/>
          <w:szCs w:val="20"/>
          <w:color w:val="auto"/>
        </w:rPr>
      </w:pPr>
      <w:r>
        <w:rPr>
          <w:rFonts w:ascii="Arial" w:cs="Arial" w:eastAsia="Arial" w:hAnsi="Arial"/>
          <w:sz w:val="13"/>
          <w:szCs w:val="13"/>
          <w:color w:val="auto"/>
        </w:rPr>
        <w:t>AND RESTATED CREDIT AGREEMENT]</w:t>
      </w:r>
    </w:p>
    <w:p>
      <w:pPr>
        <w:sectPr>
          <w:pgSz w:w="11900" w:h="16838" w:orient="portrait"/>
          <w:cols w:equalWidth="0" w:num="1">
            <w:col w:w="11240"/>
          </w:cols>
          <w:pgMar w:left="320" w:top="1419" w:right="339" w:bottom="1440" w:gutter="0" w:footer="0" w:header="0"/>
        </w:sectPr>
      </w:pPr>
    </w:p>
    <w:bookmarkStart w:id="94" w:name="page95"/>
    <w:bookmarkEnd w:id="94"/>
    <w:p>
      <w:pPr>
        <w:jc w:val="both"/>
        <w:ind w:left="660" w:right="640" w:hanging="4"/>
        <w:spacing w:after="0" w:line="269" w:lineRule="auto"/>
        <w:tabs>
          <w:tab w:leader="none" w:pos="8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EFFECTIVENESS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b w:val="1"/>
          <w:bCs w:val="1"/>
          <w:u w:val="single" w:color="auto"/>
          <w:color w:val="auto"/>
        </w:rPr>
        <w:t>Closing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become effective as of the day and year set forth above (hereinafter referred to as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upon satisfaction of the following conditions (in each case, in form and substance reasonably acceptable to the Administrative Agent) on or prior to the Amendment Effective Date:</w:t>
      </w:r>
    </w:p>
    <w:p>
      <w:pPr>
        <w:spacing w:after="0" w:line="210" w:lineRule="exact"/>
        <w:rPr>
          <w:sz w:val="20"/>
          <w:szCs w:val="20"/>
          <w:color w:val="auto"/>
        </w:rPr>
      </w:pPr>
    </w:p>
    <w:p>
      <w:pPr>
        <w:ind w:right="20" w:firstLine="1304"/>
        <w:spacing w:after="0" w:line="260" w:lineRule="auto"/>
        <w:tabs>
          <w:tab w:leader="none" w:pos="1565"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Executed Amendment</w:t>
      </w:r>
      <w:r>
        <w:rPr>
          <w:rFonts w:ascii="Arial" w:cs="Arial" w:eastAsia="Arial" w:hAnsi="Arial"/>
          <w:sz w:val="20"/>
          <w:szCs w:val="20"/>
          <w:color w:val="auto"/>
        </w:rPr>
        <w:t>. The Administrative Agent shall have received a copy of this Amendment duly executed by each of the Loan Parties, the Lenders and the Administrative Agent.</w:t>
      </w:r>
    </w:p>
    <w:p>
      <w:pPr>
        <w:spacing w:after="0" w:line="203" w:lineRule="exact"/>
        <w:rPr>
          <w:rFonts w:ascii="Arial" w:cs="Arial" w:eastAsia="Arial" w:hAnsi="Arial"/>
          <w:sz w:val="20"/>
          <w:szCs w:val="20"/>
          <w:color w:val="auto"/>
        </w:rPr>
      </w:pPr>
    </w:p>
    <w:p>
      <w:pPr>
        <w:ind w:left="1580" w:hanging="276"/>
        <w:spacing w:after="0"/>
        <w:tabs>
          <w:tab w:leader="none" w:pos="158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 As of the Amendment Effective Date, no Default or Event of Default shall exist.</w:t>
      </w:r>
    </w:p>
    <w:p>
      <w:pPr>
        <w:spacing w:after="0" w:line="242" w:lineRule="exact"/>
        <w:rPr>
          <w:rFonts w:ascii="Arial" w:cs="Arial" w:eastAsia="Arial" w:hAnsi="Arial"/>
          <w:sz w:val="20"/>
          <w:szCs w:val="20"/>
          <w:color w:val="auto"/>
        </w:rPr>
      </w:pPr>
    </w:p>
    <w:p>
      <w:pPr>
        <w:ind w:left="1580" w:hanging="276"/>
        <w:spacing w:after="0"/>
        <w:tabs>
          <w:tab w:leader="none" w:pos="158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2180" w:hanging="228"/>
        <w:spacing w:after="0"/>
        <w:tabs>
          <w:tab w:leader="none" w:pos="218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line="291" w:lineRule="auto"/>
        <w:tabs>
          <w:tab w:leader="none" w:pos="22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Borrower such other fees and expenses that are payable in connection with the consummation of the transactions contemplated hereby and Administrative Agent’s counsel shall have received from the Borrower payment of all outstanding fees and expenses previously incurred and all fees and expenses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[FIRST AMENDMENT TO FIFTH AMENDED</w:t>
      </w:r>
    </w:p>
    <w:p>
      <w:pPr>
        <w:jc w:val="right"/>
        <w:spacing w:after="0"/>
        <w:rPr>
          <w:sz w:val="20"/>
          <w:szCs w:val="20"/>
          <w:color w:val="auto"/>
        </w:rPr>
      </w:pPr>
      <w:r>
        <w:rPr>
          <w:rFonts w:ascii="Arial" w:cs="Arial" w:eastAsia="Arial" w:hAnsi="Arial"/>
          <w:sz w:val="13"/>
          <w:szCs w:val="13"/>
          <w:color w:val="auto"/>
        </w:rPr>
        <w:t>AND RESTATED CREDIT AGREEMENT]</w:t>
      </w:r>
    </w:p>
    <w:p>
      <w:pPr>
        <w:sectPr>
          <w:pgSz w:w="11900" w:h="16838" w:orient="portrait"/>
          <w:cols w:equalWidth="0" w:num="1">
            <w:col w:w="11240"/>
          </w:cols>
          <w:pgMar w:left="320" w:top="1419" w:right="339" w:bottom="1440" w:gutter="0" w:footer="0" w:header="0"/>
        </w:sectPr>
      </w:pPr>
    </w:p>
    <w:bookmarkStart w:id="95" w:name="page96"/>
    <w:bookmarkEnd w:id="95"/>
    <w:p>
      <w:pPr>
        <w:jc w:val="center"/>
        <w:ind w:right="60"/>
        <w:spacing w:after="0"/>
        <w:rPr>
          <w:sz w:val="20"/>
          <w:szCs w:val="20"/>
          <w:color w:val="auto"/>
        </w:rPr>
      </w:pPr>
      <w:r>
        <w:rPr>
          <w:rFonts w:ascii="Arial" w:cs="Arial" w:eastAsia="Arial" w:hAnsi="Arial"/>
          <w:sz w:val="20"/>
          <w:szCs w:val="20"/>
          <w:color w:val="auto"/>
        </w:rPr>
        <w:t>incurred in connection with this Amendment, including, without limitation, the fees, costs, and expenses of Reed Smith LLP.</w:t>
      </w:r>
    </w:p>
    <w:p>
      <w:pPr>
        <w:spacing w:after="0" w:line="243" w:lineRule="exact"/>
        <w:rPr>
          <w:sz w:val="20"/>
          <w:szCs w:val="20"/>
          <w:color w:val="auto"/>
        </w:rPr>
      </w:pPr>
    </w:p>
    <w:p>
      <w:pPr>
        <w:ind w:firstLine="1304"/>
        <w:spacing w:after="0" w:line="260" w:lineRule="auto"/>
        <w:tabs>
          <w:tab w:leader="none" w:pos="163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All other documents and legal matters in connection with the transactions contemplated by this Amendment shall be reasonably satisfactory in form and substance to the Administrative Agent and its counsel.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21" w:lineRule="exact"/>
        <w:rPr>
          <w:sz w:val="20"/>
          <w:szCs w:val="20"/>
          <w:color w:val="auto"/>
        </w:rPr>
      </w:pPr>
    </w:p>
    <w:p>
      <w:pPr>
        <w:jc w:val="both"/>
        <w:ind w:right="20" w:firstLine="648"/>
        <w:spacing w:after="0" w:line="34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Amended Terms</w:t>
      </w:r>
      <w:r>
        <w:rPr>
          <w:rFonts w:ascii="Arial" w:cs="Arial" w:eastAsia="Arial" w:hAnsi="Arial"/>
          <w:sz w:val="16"/>
          <w:szCs w:val="16"/>
          <w:b w:val="1"/>
          <w:bCs w:val="1"/>
          <w:color w:val="auto"/>
        </w:rPr>
        <w:t xml:space="preserve">. </w:t>
      </w:r>
      <w:r>
        <w:rPr>
          <w:rFonts w:ascii="Arial" w:cs="Arial" w:eastAsia="Arial" w:hAnsi="Arial"/>
          <w:sz w:val="16"/>
          <w:szCs w:val="16"/>
          <w:color w:val="auto"/>
        </w:rPr>
        <w:t>On and after the Amendment Effective Date, all references to the Credit Agreement in each of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shall hereafter mean the Credit Agreement as amended and modified by this Amendment. Except as specifically amended hereby or otherwise agreed, the Credit Agreement is hereby ratified and confirmed and shall remain in full force and effect according to its terms.</w:t>
      </w:r>
    </w:p>
    <w:p>
      <w:pPr>
        <w:spacing w:after="0" w:line="1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u w:val="single" w:color="auto"/>
          <w:color w:val="auto"/>
        </w:rPr>
        <w:t>FATCA</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hereby certifies to the Administrative Agent and the Lenders that the obligations of the Borrower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the Credit Agreement, as modified by this Amendment, qualify as a “grandfathered obligation” within the meaning of Treasury Regulation Section 1.1471-2(b)(2)(i). From and after the effective date of this Amendment, the Borrower shall indemnify the Administrative Agent, and hold it harmless from, any and all losses, claims, damages, liabilities and related interest, penalties and expenses, including, without limitation, Taxes and the fees, charges and disbursements of any counsel for any of the foregoing, arising in connection with the Administrative Agent’s treating, for purposes of determining withholding Taxes imposed under the Foreign Account Tax Compliance Act (FATCA), the Credit Amendment as qualifying as a “grandfathered obligation” within the meaning of Treasury Regulation Section 1.1471-2(b)(2)(i). The Borrower’s obligations hereunder shall survive the resignation or replacement of the Administrative Agent or any assignment of rights by, or the replacement of, a Lender, the termination of the Commitments and the repayment, satisfaction or discharge of all of the Obligations.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b w:val="1"/>
          <w:bCs w:val="1"/>
          <w:u w:val="single" w:color="auto"/>
          <w:color w:val="auto"/>
        </w:rPr>
        <w:t>Representations and Warranties of Loan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Loan Parties represents and warrants as follows:</w:t>
      </w:r>
    </w:p>
    <w:p>
      <w:pPr>
        <w:spacing w:after="0" w:line="249" w:lineRule="exact"/>
        <w:rPr>
          <w:sz w:val="20"/>
          <w:szCs w:val="20"/>
          <w:color w:val="auto"/>
        </w:rPr>
      </w:pPr>
    </w:p>
    <w:p>
      <w:pPr>
        <w:ind w:left="1580" w:hanging="276"/>
        <w:spacing w:after="0"/>
        <w:tabs>
          <w:tab w:leader="none" w:pos="15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It has taken all necessary action to authorize the execution, delivery and performance of this Amendment;</w:t>
      </w:r>
    </w:p>
    <w:p>
      <w:pPr>
        <w:spacing w:after="0" w:line="242" w:lineRule="exact"/>
        <w:rPr>
          <w:rFonts w:ascii="Arial" w:cs="Arial" w:eastAsia="Arial" w:hAnsi="Arial"/>
          <w:sz w:val="20"/>
          <w:szCs w:val="20"/>
          <w:color w:val="auto"/>
        </w:rPr>
      </w:pPr>
    </w:p>
    <w:p>
      <w:pPr>
        <w:jc w:val="both"/>
        <w:ind w:firstLine="1304"/>
        <w:spacing w:after="0" w:line="282" w:lineRule="auto"/>
        <w:tabs>
          <w:tab w:leader="none" w:pos="15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such Loan Party and constitutes such Loan Party’s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88" w:lineRule="exact"/>
        <w:rPr>
          <w:rFonts w:ascii="Arial" w:cs="Arial" w:eastAsia="Arial" w:hAnsi="Arial"/>
          <w:sz w:val="18"/>
          <w:szCs w:val="18"/>
          <w:color w:val="auto"/>
        </w:rPr>
      </w:pPr>
    </w:p>
    <w:p>
      <w:pPr>
        <w:ind w:firstLine="1304"/>
        <w:spacing w:after="0" w:line="316" w:lineRule="auto"/>
        <w:tabs>
          <w:tab w:leader="none" w:pos="15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registration or qualification with, any court or governmental authority or third party is required in connection with the execution, delivery or performance of this Amendment by such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[FIRST AMENDMENT TO FIFTH AMENDED</w:t>
      </w:r>
    </w:p>
    <w:p>
      <w:pPr>
        <w:jc w:val="right"/>
        <w:spacing w:after="0"/>
        <w:rPr>
          <w:sz w:val="20"/>
          <w:szCs w:val="20"/>
          <w:color w:val="auto"/>
        </w:rPr>
      </w:pPr>
      <w:r>
        <w:rPr>
          <w:rFonts w:ascii="Arial" w:cs="Arial" w:eastAsia="Arial" w:hAnsi="Arial"/>
          <w:sz w:val="13"/>
          <w:szCs w:val="13"/>
          <w:color w:val="auto"/>
        </w:rPr>
        <w:t>AND RESTATED CREDIT AGREEMENT]</w:t>
      </w:r>
    </w:p>
    <w:p>
      <w:pPr>
        <w:sectPr>
          <w:pgSz w:w="11900" w:h="16838" w:orient="portrait"/>
          <w:cols w:equalWidth="0" w:num="1">
            <w:col w:w="11240"/>
          </w:cols>
          <w:pgMar w:left="320" w:top="1419" w:right="339" w:bottom="1440" w:gutter="0" w:footer="0" w:header="0"/>
        </w:sectPr>
      </w:pPr>
    </w:p>
    <w:bookmarkStart w:id="96" w:name="page97"/>
    <w:bookmarkEnd w:id="96"/>
    <w:p>
      <w:pPr>
        <w:ind w:firstLine="1304"/>
        <w:spacing w:after="0" w:line="260" w:lineRule="auto"/>
        <w:tabs>
          <w:tab w:leader="none" w:pos="1598"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of the Credit Agreement are true and correct as of the date hereof (except for those which expressly relate to an earlier date);</w:t>
      </w:r>
    </w:p>
    <w:p>
      <w:pPr>
        <w:spacing w:after="0" w:line="203" w:lineRule="exact"/>
        <w:rPr>
          <w:rFonts w:ascii="Arial" w:cs="Arial" w:eastAsia="Arial" w:hAnsi="Arial"/>
          <w:sz w:val="20"/>
          <w:szCs w:val="20"/>
          <w:color w:val="auto"/>
        </w:rPr>
      </w:pPr>
    </w:p>
    <w:p>
      <w:pPr>
        <w:ind w:left="1560" w:hanging="256"/>
        <w:spacing w:after="0"/>
        <w:tabs>
          <w:tab w:leader="none" w:pos="1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After giving effect to this Amendment, no event has occurred and is continuing which constitutes a Default or an Event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Default;</w:t>
      </w:r>
    </w:p>
    <w:p>
      <w:pPr>
        <w:spacing w:after="0" w:line="226" w:lineRule="exact"/>
        <w:rPr>
          <w:rFonts w:ascii="Arial" w:cs="Arial" w:eastAsia="Arial" w:hAnsi="Arial"/>
          <w:sz w:val="18"/>
          <w:szCs w:val="18"/>
          <w:color w:val="auto"/>
        </w:rPr>
      </w:pPr>
    </w:p>
    <w:p>
      <w:pPr>
        <w:ind w:left="1560" w:hanging="256"/>
        <w:spacing w:after="0"/>
        <w:tabs>
          <w:tab w:leader="none" w:pos="156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Intentionally omitted</w:t>
      </w:r>
      <w:r>
        <w:rPr>
          <w:rFonts w:ascii="Arial" w:cs="Arial" w:eastAsia="Arial" w:hAnsi="Arial"/>
          <w:sz w:val="20"/>
          <w:szCs w:val="20"/>
          <w:color w:val="auto"/>
        </w:rPr>
        <w:t>; and</w:t>
      </w:r>
    </w:p>
    <w:p>
      <w:pPr>
        <w:spacing w:after="0" w:line="242" w:lineRule="exact"/>
        <w:rPr>
          <w:rFonts w:ascii="Arial" w:cs="Arial" w:eastAsia="Arial" w:hAnsi="Arial"/>
          <w:sz w:val="20"/>
          <w:szCs w:val="20"/>
          <w:color w:val="auto"/>
        </w:rPr>
      </w:pPr>
    </w:p>
    <w:p>
      <w:pPr>
        <w:ind w:left="1620" w:hanging="316"/>
        <w:spacing w:after="0"/>
        <w:tabs>
          <w:tab w:leader="none" w:pos="16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Obligations are not reduced or modified by this Amendment and are not subject to any offsets, defenses or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counterclaims.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b w:val="1"/>
          <w:bCs w:val="1"/>
          <w:u w:val="single" w:color="auto"/>
          <w:color w:val="auto"/>
        </w:rPr>
        <w:t>Reaffirmation of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Each Loan Party hereby ratifies the Credit Agreement and each other Loan Document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acknowledges and reaffirms (a) that it is bound by all terms of the Credit Agreement and each other Loan Document applicable to it and (b) that it is responsible for the observance and full performance of its respective Obligations.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4.5 </w:t>
      </w:r>
      <w:r>
        <w:rPr>
          <w:rFonts w:ascii="Arial" w:cs="Arial" w:eastAsia="Arial" w:hAnsi="Arial"/>
          <w:sz w:val="20"/>
          <w:szCs w:val="20"/>
          <w:b w:val="1"/>
          <w:bCs w:val="1"/>
          <w:u w:val="single" w:color="auto"/>
          <w:color w:val="auto"/>
        </w:rPr>
        <w:t>Loan Document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constitute a Loan Document under the terms of the Credit Agreement.</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4.6 </w:t>
      </w:r>
      <w:r>
        <w:rPr>
          <w:rFonts w:ascii="Arial" w:cs="Arial" w:eastAsia="Arial" w:hAnsi="Arial"/>
          <w:sz w:val="20"/>
          <w:szCs w:val="20"/>
          <w:b w:val="1"/>
          <w:bCs w:val="1"/>
          <w:u w:val="single" w:color="auto"/>
          <w:color w:val="auto"/>
        </w:rPr>
        <w:t>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agrees to pay all reasonable costs and expenses of the Administrative Agent in connection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preparation, execution and delivery of this Amendment, including without limitation the reasonable fees and expenses of the Administrative Agent’s legal counsel.</w:t>
      </w:r>
    </w:p>
    <w:p>
      <w:pPr>
        <w:spacing w:after="0" w:line="20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4.7 </w:t>
      </w:r>
      <w:r>
        <w:rPr>
          <w:rFonts w:ascii="Arial" w:cs="Arial" w:eastAsia="Arial" w:hAnsi="Arial"/>
          <w:sz w:val="20"/>
          <w:szCs w:val="20"/>
          <w:b w:val="1"/>
          <w:bCs w:val="1"/>
          <w:u w:val="single" w:color="auto"/>
          <w:color w:val="auto"/>
        </w:rPr>
        <w:t>Further Assurances</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Parties agree to promptly take such action, upon the request of the Administrative Agent, as is</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to carry out the intent of this Amendment.</w:t>
      </w:r>
    </w:p>
    <w:p>
      <w:pPr>
        <w:spacing w:after="0" w:line="19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4.8 </w:t>
      </w:r>
      <w:r>
        <w:rPr>
          <w:rFonts w:ascii="Arial" w:cs="Arial" w:eastAsia="Arial" w:hAnsi="Arial"/>
          <w:sz w:val="20"/>
          <w:szCs w:val="20"/>
          <w:b w:val="1"/>
          <w:bCs w:val="1"/>
          <w:u w:val="single" w:color="auto"/>
          <w:color w:val="auto"/>
        </w:rPr>
        <w:t>Entirety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and the other Loan Documents embody the entire agreement among the parties hereto and supersede</w:t>
      </w:r>
      <w:r>
        <w:rPr>
          <w:rFonts w:ascii="Arial" w:cs="Arial" w:eastAsia="Arial" w:hAnsi="Arial"/>
          <w:sz w:val="20"/>
          <w:szCs w:val="20"/>
          <w:b w:val="1"/>
          <w:bCs w:val="1"/>
          <w:color w:val="auto"/>
        </w:rPr>
        <w:t xml:space="preserve"> </w:t>
      </w:r>
      <w:r>
        <w:rPr>
          <w:rFonts w:ascii="Arial" w:cs="Arial" w:eastAsia="Arial" w:hAnsi="Arial"/>
          <w:sz w:val="20"/>
          <w:szCs w:val="20"/>
          <w:color w:val="auto"/>
        </w:rPr>
        <w:t>all prior agreements and understandings, oral or written, if any, relating to the subject matter hereof.</w:t>
      </w:r>
    </w:p>
    <w:p>
      <w:pPr>
        <w:spacing w:after="0" w:line="19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u w:val="single" w:color="auto"/>
          <w:color w:val="auto"/>
        </w:rPr>
        <w:t>Counterparts; Telecopy</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counterparts, each of which when so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delivered shall be an original, but all of which shall constitute one and the same instrument. Delivery of an executed counterpart of a signature page of this Amendment or any other document required to be delivered hereunder, by fax transmission or e-mail transmission (e.g. “pdf” or “tif”) shall be effective as delivery of a manually executed counterpart of this Agreement. Without limiting the foregoing, upon the request of any party, such fax transmission or e-mail transmission shall be promptly followed by such manually executed counterpart.</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4.10 </w:t>
      </w:r>
      <w:r>
        <w:rPr>
          <w:rFonts w:ascii="Arial" w:cs="Arial" w:eastAsia="Arial" w:hAnsi="Arial"/>
          <w:sz w:val="20"/>
          <w:szCs w:val="20"/>
          <w:b w:val="1"/>
          <w:bCs w:val="1"/>
          <w:u w:val="single" w:color="auto"/>
          <w:color w:val="auto"/>
        </w:rPr>
        <w:t>No Actions, Claims, Etc</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date hereof, each of the Loan Parties hereby acknowledges and confirms that it has no</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of any actions, causes of action, claims, demands, damages and liabilities of whatever kind or nature, in law or in equity, against the Administrative Agent, the Lenders, or the Administrative Agent’s or the Lenders’ respective officers, employees, representatives, agents, counsel or directors arising from any action by such Persons, or failure of such Persons to act under the Credit Agreement on or prior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[FIRST AMENDMENT TO FIFTH AMENDED</w:t>
      </w:r>
    </w:p>
    <w:p>
      <w:pPr>
        <w:jc w:val="right"/>
        <w:spacing w:after="0"/>
        <w:rPr>
          <w:sz w:val="20"/>
          <w:szCs w:val="20"/>
          <w:color w:val="auto"/>
        </w:rPr>
      </w:pPr>
      <w:r>
        <w:rPr>
          <w:rFonts w:ascii="Arial" w:cs="Arial" w:eastAsia="Arial" w:hAnsi="Arial"/>
          <w:sz w:val="13"/>
          <w:szCs w:val="13"/>
          <w:color w:val="auto"/>
        </w:rPr>
        <w:t>AND RESTATED CREDIT AGREEMENT]</w:t>
      </w:r>
    </w:p>
    <w:p>
      <w:pPr>
        <w:sectPr>
          <w:pgSz w:w="11900" w:h="16838" w:orient="portrait"/>
          <w:cols w:equalWidth="0" w:num="1">
            <w:col w:w="11240"/>
          </w:cols>
          <w:pgMar w:left="320" w:top="1419" w:right="339" w:bottom="1440" w:gutter="0" w:footer="0" w:header="0"/>
        </w:sectPr>
      </w:pPr>
    </w:p>
    <w:bookmarkStart w:id="97" w:name="page98"/>
    <w:bookmarkEnd w:id="97"/>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4.11 </w:t>
      </w: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AMENDMENT SHALL BE GOVERNED BY, AND SHALL BE CONSTRUED AND ENFORCED IN ACCORDANCE WITH THE LAWS OF THE STATE OF NEW YORK.</w:t>
      </w:r>
    </w:p>
    <w:p>
      <w:pPr>
        <w:spacing w:after="0" w:line="1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4.12 </w:t>
      </w: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be binding upon and inure to the benefit of the parties hereto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successors and assigns.</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b w:val="1"/>
          <w:bCs w:val="1"/>
          <w:u w:val="single" w:color="auto"/>
          <w:color w:val="auto"/>
        </w:rPr>
        <w:t>General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Administrative Agent’s willingness to enter into this Amendment,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each Loan Party hereby releases and forever discharges the Administrative Agent, the L/C Issuer, the Lenders and the Administrative Agent’s, the L/C Issuer’s and each Lender’s respective predecessors, successors, assigns, officers, managers, directors, employees, agents, attorneys, representatives, and affiliates (hereinafter all of the above collectively referred to as the “</w:t>
      </w:r>
      <w:r>
        <w:rPr>
          <w:rFonts w:ascii="Arial" w:cs="Arial" w:eastAsia="Arial" w:hAnsi="Arial"/>
          <w:sz w:val="18"/>
          <w:szCs w:val="18"/>
          <w:u w:val="single" w:color="auto"/>
          <w:color w:val="auto"/>
        </w:rPr>
        <w:t>Bank</w:t>
      </w:r>
      <w:r>
        <w:rPr>
          <w:rFonts w:ascii="Arial" w:cs="Arial" w:eastAsia="Arial" w:hAnsi="Arial"/>
          <w:sz w:val="18"/>
          <w:szCs w:val="18"/>
          <w:color w:val="auto"/>
        </w:rPr>
        <w:t xml:space="preserve"> </w:t>
      </w:r>
      <w:r>
        <w:rPr>
          <w:rFonts w:ascii="Arial" w:cs="Arial" w:eastAsia="Arial" w:hAnsi="Arial"/>
          <w:sz w:val="18"/>
          <w:szCs w:val="18"/>
          <w:u w:val="single" w:color="auto"/>
          <w:color w:val="auto"/>
        </w:rPr>
        <w:t>Group</w:t>
      </w:r>
      <w:r>
        <w:rPr>
          <w:rFonts w:ascii="Arial" w:cs="Arial" w:eastAsia="Arial" w:hAnsi="Arial"/>
          <w:sz w:val="18"/>
          <w:szCs w:val="18"/>
          <w:color w:val="auto"/>
        </w:rPr>
        <w:t>”), from any and all claims, counterclaims, demands, damages, debts, suits, liabilities, actions and causes of action of any nature whatsoever, including, without limitation, all claims, demands, and causes of action for contribution and indemnity, whether arising at law or in equity, whether known or unknown, whether liability be direct or indirect, liquidated or unliquidated, whether absolute or contingent, foreseen or unforeseen, and whether or not heretofore asserted, which any Loan Party may have or claim to have against any of the Bank Group in any way related to or connected with the Loan Documents and the transactions contemplated thereby.</w:t>
      </w:r>
    </w:p>
    <w:p>
      <w:pPr>
        <w:spacing w:after="0" w:line="18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b w:val="1"/>
          <w:bCs w:val="1"/>
          <w:u w:val="single" w:color="auto"/>
          <w:color w:val="auto"/>
        </w:rPr>
        <w:t>Consent to Jurisdiction; Service of Process; Waiver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The jurisdiction, service of process and waiver of jury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trial provisions set forth in </w:t>
      </w:r>
      <w:r>
        <w:rPr>
          <w:rFonts w:ascii="Arial" w:cs="Arial" w:eastAsia="Arial" w:hAnsi="Arial"/>
          <w:sz w:val="18"/>
          <w:szCs w:val="18"/>
          <w:u w:val="single" w:color="auto"/>
          <w:color w:val="auto"/>
        </w:rPr>
        <w:t>Sections 10.14 and 10.15</w:t>
      </w:r>
      <w:r>
        <w:rPr>
          <w:rFonts w:ascii="Arial" w:cs="Arial" w:eastAsia="Arial" w:hAnsi="Arial"/>
          <w:sz w:val="18"/>
          <w:szCs w:val="18"/>
          <w:color w:val="auto"/>
        </w:rPr>
        <w:t xml:space="preserve"> of the Credit Agreement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[FIRST AMENDMENT TO FIFTH AMENDED</w:t>
      </w:r>
    </w:p>
    <w:p>
      <w:pPr>
        <w:jc w:val="right"/>
        <w:spacing w:after="0"/>
        <w:rPr>
          <w:sz w:val="20"/>
          <w:szCs w:val="20"/>
          <w:color w:val="auto"/>
        </w:rPr>
      </w:pPr>
      <w:r>
        <w:rPr>
          <w:rFonts w:ascii="Arial" w:cs="Arial" w:eastAsia="Arial" w:hAnsi="Arial"/>
          <w:sz w:val="13"/>
          <w:szCs w:val="13"/>
          <w:color w:val="auto"/>
        </w:rPr>
        <w:t>AND RESTATED CREDIT AGREEMENT]</w:t>
      </w:r>
    </w:p>
    <w:p>
      <w:pPr>
        <w:sectPr>
          <w:pgSz w:w="11900" w:h="16838" w:orient="portrait"/>
          <w:cols w:equalWidth="0" w:num="1">
            <w:col w:w="11240"/>
          </w:cols>
          <w:pgMar w:left="320" w:top="1413"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as of the date first above written.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color w:val="auto"/>
        </w:rPr>
        <w:t>:</w:t>
      </w:r>
    </w:p>
    <w:p>
      <w:pPr>
        <w:spacing w:after="0" w:line="189"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 as Borrower</w:t>
      </w:r>
    </w:p>
    <w:p>
      <w:pPr>
        <w:spacing w:after="0" w:line="200" w:lineRule="exact"/>
        <w:rPr>
          <w:sz w:val="20"/>
          <w:szCs w:val="20"/>
          <w:color w:val="auto"/>
        </w:rPr>
      </w:pPr>
    </w:p>
    <w:p>
      <w:pPr>
        <w:spacing w:after="0" w:line="25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By:_____________________________</w:t>
      </w:r>
    </w:p>
    <w:p>
      <w:pPr>
        <w:ind w:left="4140"/>
        <w:spacing w:after="0" w:line="211" w:lineRule="auto"/>
        <w:rPr>
          <w:sz w:val="20"/>
          <w:szCs w:val="20"/>
          <w:color w:val="auto"/>
        </w:rPr>
      </w:pPr>
      <w:r>
        <w:rPr>
          <w:rFonts w:ascii="Arial" w:cs="Arial" w:eastAsia="Arial" w:hAnsi="Arial"/>
          <w:sz w:val="20"/>
          <w:szCs w:val="20"/>
          <w:color w:val="auto"/>
        </w:rPr>
        <w:t>Edward J. Prajzner</w:t>
      </w:r>
    </w:p>
    <w:p>
      <w:pPr>
        <w:ind w:left="4140"/>
        <w:spacing w:after="0" w:line="211" w:lineRule="auto"/>
        <w:rPr>
          <w:sz w:val="20"/>
          <w:szCs w:val="20"/>
          <w:color w:val="auto"/>
        </w:rPr>
      </w:pPr>
      <w:r>
        <w:rPr>
          <w:rFonts w:ascii="Arial" w:cs="Arial" w:eastAsia="Arial" w:hAnsi="Arial"/>
          <w:sz w:val="20"/>
          <w:szCs w:val="20"/>
          <w:color w:val="auto"/>
        </w:rPr>
        <w:t>Senior Vice President, Chief Financial</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Officer and Treasurer</w:t>
      </w:r>
    </w:p>
    <w:p>
      <w:pPr>
        <w:spacing w:after="0" w:line="194" w:lineRule="exact"/>
        <w:rPr>
          <w:sz w:val="20"/>
          <w:szCs w:val="20"/>
          <w:color w:val="auto"/>
        </w:rPr>
      </w:pPr>
    </w:p>
    <w:p>
      <w:pPr>
        <w:ind w:left="3500"/>
        <w:spacing w:after="0"/>
        <w:rPr>
          <w:sz w:val="20"/>
          <w:szCs w:val="20"/>
          <w:color w:val="auto"/>
        </w:rPr>
      </w:pPr>
      <w:r>
        <w:rPr>
          <w:rFonts w:ascii="Arial" w:cs="Arial" w:eastAsia="Arial" w:hAnsi="Arial"/>
          <w:sz w:val="20"/>
          <w:szCs w:val="20"/>
          <w:b w:val="1"/>
          <w:bCs w:val="1"/>
          <w:u w:val="single" w:color="auto"/>
          <w:color w:val="auto"/>
        </w:rPr>
        <w:t>GUARANTORS</w:t>
      </w:r>
      <w:r>
        <w:rPr>
          <w:rFonts w:ascii="Arial" w:cs="Arial" w:eastAsia="Arial" w:hAnsi="Arial"/>
          <w:sz w:val="20"/>
          <w:szCs w:val="20"/>
          <w:b w:val="1"/>
          <w:bCs w:val="1"/>
          <w:color w:val="auto"/>
        </w:rPr>
        <w:t>:</w:t>
      </w:r>
    </w:p>
    <w:p>
      <w:pPr>
        <w:spacing w:after="0" w:line="216"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QUALITY SERVICES LABORATORIES, INC.</w:t>
      </w:r>
      <w:r>
        <w:rPr>
          <w:rFonts w:ascii="Arial" w:cs="Arial" w:eastAsia="Arial" w:hAnsi="Arial"/>
          <w:sz w:val="20"/>
          <w:szCs w:val="20"/>
          <w:color w:val="auto"/>
        </w:rPr>
        <w:t>, a Delaware corporation</w:t>
      </w:r>
    </w:p>
    <w:p>
      <w:pPr>
        <w:spacing w:after="0" w:line="210"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By:_____________________________</w:t>
      </w:r>
    </w:p>
    <w:p>
      <w:pPr>
        <w:ind w:left="4140"/>
        <w:spacing w:after="0" w:line="211" w:lineRule="auto"/>
        <w:rPr>
          <w:sz w:val="20"/>
          <w:szCs w:val="20"/>
          <w:color w:val="auto"/>
        </w:rPr>
      </w:pPr>
      <w:r>
        <w:rPr>
          <w:rFonts w:ascii="Arial" w:cs="Arial" w:eastAsia="Arial" w:hAnsi="Arial"/>
          <w:sz w:val="20"/>
          <w:szCs w:val="20"/>
          <w:color w:val="auto"/>
        </w:rPr>
        <w:t>Edward J. Prajzner</w:t>
      </w:r>
    </w:p>
    <w:p>
      <w:pPr>
        <w:ind w:left="4140"/>
        <w:spacing w:after="0"/>
        <w:rPr>
          <w:sz w:val="20"/>
          <w:szCs w:val="20"/>
          <w:color w:val="auto"/>
        </w:rPr>
      </w:pPr>
      <w:r>
        <w:rPr>
          <w:rFonts w:ascii="Arial" w:cs="Arial" w:eastAsia="Arial" w:hAnsi="Arial"/>
          <w:sz w:val="20"/>
          <w:szCs w:val="20"/>
          <w:color w:val="auto"/>
        </w:rPr>
        <w:t>Vice President and Treasurer</w:t>
      </w: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MISTRAS INTERNATIONAL HOLDINGS INC.</w:t>
      </w:r>
      <w:r>
        <w:rPr>
          <w:rFonts w:ascii="Arial" w:cs="Arial" w:eastAsia="Arial" w:hAnsi="Arial"/>
          <w:sz w:val="20"/>
          <w:szCs w:val="20"/>
          <w:color w:val="auto"/>
        </w:rPr>
        <w:t>, a Delaware corporation</w:t>
      </w:r>
    </w:p>
    <w:p>
      <w:pPr>
        <w:spacing w:after="0" w:line="210"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By:_____________________________</w:t>
      </w:r>
    </w:p>
    <w:p>
      <w:pPr>
        <w:ind w:left="4140"/>
        <w:spacing w:after="0" w:line="211" w:lineRule="auto"/>
        <w:rPr>
          <w:sz w:val="20"/>
          <w:szCs w:val="20"/>
          <w:color w:val="auto"/>
        </w:rPr>
      </w:pPr>
      <w:r>
        <w:rPr>
          <w:rFonts w:ascii="Arial" w:cs="Arial" w:eastAsia="Arial" w:hAnsi="Arial"/>
          <w:sz w:val="20"/>
          <w:szCs w:val="20"/>
          <w:color w:val="auto"/>
        </w:rPr>
        <w:t>Edward J. Prajzner</w:t>
      </w:r>
    </w:p>
    <w:p>
      <w:pPr>
        <w:ind w:left="4140"/>
        <w:spacing w:after="0"/>
        <w:rPr>
          <w:sz w:val="20"/>
          <w:szCs w:val="20"/>
          <w:color w:val="auto"/>
        </w:rPr>
      </w:pPr>
      <w:r>
        <w:rPr>
          <w:rFonts w:ascii="Arial" w:cs="Arial" w:eastAsia="Arial" w:hAnsi="Arial"/>
          <w:sz w:val="20"/>
          <w:szCs w:val="20"/>
          <w:color w:val="auto"/>
        </w:rPr>
        <w:t>Vice President and Treasurer</w:t>
      </w:r>
    </w:p>
    <w:p>
      <w:pPr>
        <w:spacing w:after="0" w:line="200" w:lineRule="exact"/>
        <w:rPr>
          <w:sz w:val="20"/>
          <w:szCs w:val="20"/>
          <w:color w:val="auto"/>
        </w:rPr>
      </w:pPr>
    </w:p>
    <w:p>
      <w:pPr>
        <w:spacing w:after="0" w:line="237" w:lineRule="exact"/>
        <w:rPr>
          <w:sz w:val="20"/>
          <w:szCs w:val="20"/>
          <w:color w:val="auto"/>
        </w:rPr>
      </w:pPr>
    </w:p>
    <w:p>
      <w:pPr>
        <w:ind w:left="3500"/>
        <w:spacing w:after="0" w:line="239" w:lineRule="auto"/>
        <w:rPr>
          <w:sz w:val="20"/>
          <w:szCs w:val="20"/>
          <w:color w:val="auto"/>
        </w:rPr>
      </w:pPr>
      <w:r>
        <w:rPr>
          <w:rFonts w:ascii="Arial" w:cs="Arial" w:eastAsia="Arial" w:hAnsi="Arial"/>
          <w:sz w:val="20"/>
          <w:szCs w:val="20"/>
          <w:b w:val="1"/>
          <w:bCs w:val="1"/>
          <w:color w:val="auto"/>
        </w:rPr>
        <w:t>WEST PENN NON-DESTRUCTIVE TESTING, LLC</w:t>
      </w:r>
      <w:r>
        <w:rPr>
          <w:rFonts w:ascii="Arial" w:cs="Arial" w:eastAsia="Arial" w:hAnsi="Arial"/>
          <w:sz w:val="20"/>
          <w:szCs w:val="20"/>
          <w:color w:val="auto"/>
        </w:rPr>
        <w:t>, a Pennsylvania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184"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By:_____________________________</w:t>
      </w:r>
    </w:p>
    <w:p>
      <w:pPr>
        <w:ind w:left="4140"/>
        <w:spacing w:after="0" w:line="211" w:lineRule="auto"/>
        <w:rPr>
          <w:sz w:val="20"/>
          <w:szCs w:val="20"/>
          <w:color w:val="auto"/>
        </w:rPr>
      </w:pPr>
      <w:r>
        <w:rPr>
          <w:rFonts w:ascii="Arial" w:cs="Arial" w:eastAsia="Arial" w:hAnsi="Arial"/>
          <w:sz w:val="20"/>
          <w:szCs w:val="20"/>
          <w:color w:val="auto"/>
        </w:rPr>
        <w:t>Edward J. Prajzner</w:t>
      </w:r>
    </w:p>
    <w:p>
      <w:pPr>
        <w:ind w:left="4140"/>
        <w:spacing w:after="0"/>
        <w:rPr>
          <w:sz w:val="20"/>
          <w:szCs w:val="20"/>
          <w:color w:val="auto"/>
        </w:rPr>
      </w:pPr>
      <w:r>
        <w:rPr>
          <w:rFonts w:ascii="Arial" w:cs="Arial" w:eastAsia="Arial" w:hAnsi="Arial"/>
          <w:sz w:val="20"/>
          <w:szCs w:val="20"/>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SIGNATURE PAGE TO FIRST AMENDMENT TO FIFTH AMENDED AND RESTATED CREDIT AGREEMENT</w:t>
      </w:r>
    </w:p>
    <w:p>
      <w:pPr>
        <w:sectPr>
          <w:pgSz w:w="11900" w:h="16838" w:orient="portrait"/>
          <w:cols w:equalWidth="0" w:num="1">
            <w:col w:w="10640"/>
          </w:cols>
          <w:pgMar w:left="720" w:top="1399" w:right="539" w:bottom="1440" w:gutter="0" w:footer="0" w:header="0"/>
        </w:sectPr>
      </w:pPr>
    </w:p>
    <w:bookmarkStart w:id="99" w:name="page100"/>
    <w:bookmarkEnd w:id="99"/>
    <w:p>
      <w:pPr>
        <w:ind w:left="27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w:t>
      </w:r>
    </w:p>
    <w:p>
      <w:pPr>
        <w:spacing w:after="0" w:line="21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By:_____________________________</w:t>
      </w:r>
    </w:p>
    <w:p>
      <w:pPr>
        <w:ind w:left="3020"/>
        <w:spacing w:after="0" w:line="211" w:lineRule="auto"/>
        <w:rPr>
          <w:sz w:val="20"/>
          <w:szCs w:val="20"/>
          <w:color w:val="auto"/>
        </w:rPr>
      </w:pPr>
      <w:r>
        <w:rPr>
          <w:rFonts w:ascii="Arial" w:cs="Arial" w:eastAsia="Arial" w:hAnsi="Arial"/>
          <w:sz w:val="20"/>
          <w:szCs w:val="20"/>
          <w:color w:val="auto"/>
        </w:rPr>
        <w:t>Name:</w:t>
      </w:r>
    </w:p>
    <w:p>
      <w:pPr>
        <w:ind w:left="3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FIRST AMENDMENT TO FIFTH AMENDED AND RESTATED CREDIT AGREEMENT</w:t>
      </w:r>
    </w:p>
    <w:p>
      <w:pPr>
        <w:sectPr>
          <w:pgSz w:w="11900" w:h="16838" w:orient="portrait"/>
          <w:cols w:equalWidth="0" w:num="1">
            <w:col w:w="9019"/>
          </w:cols>
          <w:pgMar w:left="1440" w:top="1399" w:right="1440" w:bottom="1440" w:gutter="0" w:footer="0" w:header="0"/>
        </w:sectPr>
      </w:pPr>
    </w:p>
    <w:bookmarkStart w:id="100" w:name="page101"/>
    <w:bookmarkEnd w:id="100"/>
    <w:p>
      <w:pPr>
        <w:spacing w:after="0" w:line="200" w:lineRule="exact"/>
        <w:rPr>
          <w:sz w:val="20"/>
          <w:szCs w:val="20"/>
          <w:color w:val="auto"/>
        </w:rPr>
      </w:pPr>
    </w:p>
    <w:p>
      <w:pPr>
        <w:spacing w:after="0" w:line="24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Lender and as the</w:t>
      </w:r>
    </w:p>
    <w:p>
      <w:pPr>
        <w:ind w:left="2780"/>
        <w:spacing w:after="0"/>
        <w:rPr>
          <w:sz w:val="20"/>
          <w:szCs w:val="20"/>
          <w:color w:val="auto"/>
        </w:rPr>
      </w:pPr>
      <w:r>
        <w:rPr>
          <w:rFonts w:ascii="Arial" w:cs="Arial" w:eastAsia="Arial" w:hAnsi="Arial"/>
          <w:sz w:val="20"/>
          <w:szCs w:val="20"/>
          <w:color w:val="auto"/>
        </w:rPr>
        <w:t>L/C Issuer</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By:_____________________________</w:t>
      </w:r>
    </w:p>
    <w:p>
      <w:pPr>
        <w:ind w:left="3020"/>
        <w:spacing w:after="0" w:line="211" w:lineRule="auto"/>
        <w:rPr>
          <w:sz w:val="20"/>
          <w:szCs w:val="20"/>
          <w:color w:val="auto"/>
        </w:rPr>
      </w:pPr>
      <w:r>
        <w:rPr>
          <w:rFonts w:ascii="Arial" w:cs="Arial" w:eastAsia="Arial" w:hAnsi="Arial"/>
          <w:sz w:val="20"/>
          <w:szCs w:val="20"/>
          <w:color w:val="auto"/>
        </w:rPr>
        <w:t>Name:</w:t>
      </w:r>
    </w:p>
    <w:p>
      <w:pPr>
        <w:ind w:left="3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FIRST AMENDMENT TO FIFTH AMENDED AND RESTATED CREDIT AGREEMENT</w:t>
      </w:r>
    </w:p>
    <w:p>
      <w:pPr>
        <w:sectPr>
          <w:pgSz w:w="11900" w:h="16838" w:orient="portrait"/>
          <w:cols w:equalWidth="0" w:num="1">
            <w:col w:w="9019"/>
          </w:cols>
          <w:pgMar w:left="1440" w:top="1440" w:right="1440" w:bottom="1440" w:gutter="0" w:footer="0" w:header="0"/>
        </w:sectPr>
      </w:pPr>
    </w:p>
    <w:bookmarkStart w:id="101" w:name="page102"/>
    <w:bookmarkEnd w:id="101"/>
    <w:p>
      <w:pPr>
        <w:ind w:left="278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 Lender</w:t>
      </w:r>
    </w:p>
    <w:p>
      <w:pPr>
        <w:spacing w:after="0" w:line="21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By:_____________________________</w:t>
      </w:r>
    </w:p>
    <w:p>
      <w:pPr>
        <w:ind w:left="3020"/>
        <w:spacing w:after="0" w:line="211" w:lineRule="auto"/>
        <w:rPr>
          <w:sz w:val="20"/>
          <w:szCs w:val="20"/>
          <w:color w:val="auto"/>
        </w:rPr>
      </w:pPr>
      <w:r>
        <w:rPr>
          <w:rFonts w:ascii="Arial" w:cs="Arial" w:eastAsia="Arial" w:hAnsi="Arial"/>
          <w:sz w:val="20"/>
          <w:szCs w:val="20"/>
          <w:color w:val="auto"/>
        </w:rPr>
        <w:t>Name:</w:t>
      </w:r>
    </w:p>
    <w:p>
      <w:pPr>
        <w:ind w:left="3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FIRST AMENDMENT TO FIFTH AMENDED AND RESTATED CREDIT AGREEMENT</w:t>
      </w:r>
    </w:p>
    <w:p>
      <w:pPr>
        <w:sectPr>
          <w:pgSz w:w="11900" w:h="16838" w:orient="portrait"/>
          <w:cols w:equalWidth="0" w:num="1">
            <w:col w:w="9019"/>
          </w:cols>
          <w:pgMar w:left="1440" w:top="1399" w:right="1440" w:bottom="1440" w:gutter="0" w:footer="0" w:header="0"/>
        </w:sectPr>
      </w:pPr>
    </w:p>
    <w:bookmarkStart w:id="102" w:name="page103"/>
    <w:bookmarkEnd w:id="102"/>
    <w:p>
      <w:pPr>
        <w:ind w:left="2780"/>
        <w:spacing w:after="0"/>
        <w:rPr>
          <w:sz w:val="20"/>
          <w:szCs w:val="20"/>
          <w:color w:val="auto"/>
        </w:rPr>
      </w:pPr>
      <w:r>
        <w:rPr>
          <w:rFonts w:ascii="Arial" w:cs="Arial" w:eastAsia="Arial" w:hAnsi="Arial"/>
          <w:sz w:val="20"/>
          <w:szCs w:val="20"/>
          <w:b w:val="1"/>
          <w:bCs w:val="1"/>
          <w:color w:val="auto"/>
        </w:rPr>
        <w:t>KEYBANK NATIONAL ASSOCIATION</w:t>
      </w:r>
      <w:r>
        <w:rPr>
          <w:rFonts w:ascii="Arial" w:cs="Arial" w:eastAsia="Arial" w:hAnsi="Arial"/>
          <w:sz w:val="20"/>
          <w:szCs w:val="20"/>
          <w:color w:val="auto"/>
        </w:rPr>
        <w:t>, as a Lender</w:t>
      </w:r>
    </w:p>
    <w:p>
      <w:pPr>
        <w:spacing w:after="0" w:line="21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By:_____________________________</w:t>
      </w:r>
    </w:p>
    <w:p>
      <w:pPr>
        <w:ind w:left="3020"/>
        <w:spacing w:after="0" w:line="211" w:lineRule="auto"/>
        <w:rPr>
          <w:sz w:val="20"/>
          <w:szCs w:val="20"/>
          <w:color w:val="auto"/>
        </w:rPr>
      </w:pPr>
      <w:r>
        <w:rPr>
          <w:rFonts w:ascii="Arial" w:cs="Arial" w:eastAsia="Arial" w:hAnsi="Arial"/>
          <w:sz w:val="20"/>
          <w:szCs w:val="20"/>
          <w:color w:val="auto"/>
        </w:rPr>
        <w:t>Name:</w:t>
      </w:r>
    </w:p>
    <w:p>
      <w:pPr>
        <w:ind w:left="3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FIRST AMENDMENT TO FIFTH AMENDED AND RESTATED CREDIT AGREEMENT</w:t>
      </w:r>
    </w:p>
    <w:p>
      <w:pPr>
        <w:sectPr>
          <w:pgSz w:w="11900" w:h="16838" w:orient="portrait"/>
          <w:cols w:equalWidth="0" w:num="1">
            <w:col w:w="9019"/>
          </w:cols>
          <w:pgMar w:left="1440" w:top="1399" w:right="1440" w:bottom="1440" w:gutter="0" w:footer="0" w:header="0"/>
        </w:sectPr>
      </w:pPr>
    </w:p>
    <w:bookmarkStart w:id="103" w:name="page104"/>
    <w:bookmarkEnd w:id="103"/>
    <w:p>
      <w:pPr>
        <w:ind w:left="2780"/>
        <w:spacing w:after="0"/>
        <w:rPr>
          <w:sz w:val="20"/>
          <w:szCs w:val="20"/>
          <w:color w:val="auto"/>
        </w:rPr>
      </w:pPr>
      <w:r>
        <w:rPr>
          <w:rFonts w:ascii="Arial" w:cs="Arial" w:eastAsia="Arial" w:hAnsi="Arial"/>
          <w:sz w:val="19"/>
          <w:szCs w:val="19"/>
          <w:b w:val="1"/>
          <w:bCs w:val="1"/>
          <w:color w:val="auto"/>
        </w:rPr>
        <w:t>WELLS FARGO BANK, NATIONAL ASSOCIATION</w:t>
      </w:r>
      <w:r>
        <w:rPr>
          <w:rFonts w:ascii="Arial" w:cs="Arial" w:eastAsia="Arial" w:hAnsi="Arial"/>
          <w:sz w:val="19"/>
          <w:szCs w:val="19"/>
          <w:color w:val="auto"/>
        </w:rPr>
        <w:t>, as a Lender</w:t>
      </w: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By:_____________________________</w:t>
      </w:r>
    </w:p>
    <w:p>
      <w:pPr>
        <w:ind w:left="3020"/>
        <w:spacing w:after="0" w:line="211" w:lineRule="auto"/>
        <w:rPr>
          <w:sz w:val="20"/>
          <w:szCs w:val="20"/>
          <w:color w:val="auto"/>
        </w:rPr>
      </w:pPr>
      <w:r>
        <w:rPr>
          <w:rFonts w:ascii="Arial" w:cs="Arial" w:eastAsia="Arial" w:hAnsi="Arial"/>
          <w:sz w:val="20"/>
          <w:szCs w:val="20"/>
          <w:color w:val="auto"/>
        </w:rPr>
        <w:t>Name:</w:t>
      </w:r>
    </w:p>
    <w:p>
      <w:pPr>
        <w:ind w:left="3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FIRST AMENDMENT TO FIFTH AMENDED AND RESTATED CREDIT AGREEMENT</w:t>
      </w:r>
    </w:p>
    <w:p>
      <w:pPr>
        <w:sectPr>
          <w:pgSz w:w="11900" w:h="16838" w:orient="portrait"/>
          <w:cols w:equalWidth="0" w:num="1">
            <w:col w:w="9019"/>
          </w:cols>
          <w:pgMar w:left="1440" w:top="1399" w:right="1440" w:bottom="1440" w:gutter="0" w:footer="0" w:header="0"/>
        </w:sectPr>
      </w:pPr>
    </w:p>
    <w:bookmarkStart w:id="104" w:name="page105"/>
    <w:bookmarkEnd w:id="104"/>
    <w:p>
      <w:pPr>
        <w:ind w:left="2780"/>
        <w:spacing w:after="0"/>
        <w:rPr>
          <w:sz w:val="20"/>
          <w:szCs w:val="20"/>
          <w:color w:val="auto"/>
        </w:rPr>
      </w:pPr>
      <w:r>
        <w:rPr>
          <w:rFonts w:ascii="Arial" w:cs="Arial" w:eastAsia="Arial" w:hAnsi="Arial"/>
          <w:sz w:val="20"/>
          <w:szCs w:val="20"/>
          <w:b w:val="1"/>
          <w:bCs w:val="1"/>
          <w:color w:val="auto"/>
        </w:rPr>
        <w:t>TD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5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By:_____________________________</w:t>
      </w:r>
    </w:p>
    <w:p>
      <w:pPr>
        <w:ind w:left="3020"/>
        <w:spacing w:after="0" w:line="211" w:lineRule="auto"/>
        <w:rPr>
          <w:sz w:val="20"/>
          <w:szCs w:val="20"/>
          <w:color w:val="auto"/>
        </w:rPr>
      </w:pPr>
      <w:r>
        <w:rPr>
          <w:rFonts w:ascii="Arial" w:cs="Arial" w:eastAsia="Arial" w:hAnsi="Arial"/>
          <w:sz w:val="20"/>
          <w:szCs w:val="20"/>
          <w:color w:val="auto"/>
        </w:rPr>
        <w:t>Name:</w:t>
      </w:r>
    </w:p>
    <w:p>
      <w:pPr>
        <w:ind w:left="3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[END OF SIGNATURE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FIRST AMENDMENT TO FIFTH AMENDED AND RESTATED CREDIT AGREEMENT</w:t>
      </w:r>
    </w:p>
    <w:p>
      <w:pPr>
        <w:sectPr>
          <w:pgSz w:w="11900" w:h="16838" w:orient="portrait"/>
          <w:cols w:equalWidth="0" w:num="1">
            <w:col w:w="9019"/>
          </w:cols>
          <w:pgMar w:left="1440" w:top="1399" w:right="1440" w:bottom="1440" w:gutter="0" w:footer="0" w:header="0"/>
        </w:sectPr>
      </w:pPr>
    </w:p>
    <w:bookmarkStart w:id="105" w:name="page106"/>
    <w:bookmarkEnd w:id="105"/>
    <w:p>
      <w:pPr>
        <w:ind w:left="10320"/>
        <w:spacing w:after="0"/>
        <w:rPr>
          <w:sz w:val="20"/>
          <w:szCs w:val="20"/>
          <w:color w:val="auto"/>
        </w:rPr>
      </w:pPr>
      <w:r>
        <w:rPr>
          <w:rFonts w:ascii="Arial" w:cs="Arial" w:eastAsia="Arial" w:hAnsi="Arial"/>
          <w:sz w:val="16"/>
          <w:szCs w:val="16"/>
          <w:b w:val="1"/>
          <w:bCs w:val="1"/>
          <w:color w:val="auto"/>
        </w:rPr>
        <w:t>Exhibit 21.1</w:t>
      </w:r>
    </w:p>
    <w:p>
      <w:pPr>
        <w:spacing w:after="0" w:line="27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is a list of subsidiaries of the registrant. The list omits some subsidiaries which, in the aggregate, would not constitute a significant subsidiary.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6"/>
                <w:szCs w:val="16"/>
                <w:color w:val="auto"/>
              </w:rPr>
            </w:pP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243"/>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Aetos Group, Inc.</w:t>
            </w:r>
          </w:p>
        </w:tc>
        <w:tc>
          <w:tcPr>
            <w:tcW w:w="26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Assistances Controles Technologies</w:t>
            </w:r>
          </w:p>
        </w:tc>
        <w:tc>
          <w:tcPr>
            <w:tcW w:w="26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CISMIS Springfield Corp.</w:t>
            </w:r>
          </w:p>
        </w:tc>
        <w:tc>
          <w:tcPr>
            <w:tcW w:w="26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Conam Inspection and Engineering Services, Inc.</w:t>
            </w:r>
          </w:p>
        </w:tc>
        <w:tc>
          <w:tcPr>
            <w:tcW w:w="26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Controles Industriels de L'entang</w:t>
            </w:r>
          </w:p>
        </w:tc>
        <w:tc>
          <w:tcPr>
            <w:tcW w:w="26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GMA Aeronautica S.L.U.</w:t>
            </w:r>
          </w:p>
        </w:tc>
        <w:tc>
          <w:tcPr>
            <w:tcW w:w="26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GMA Engineering GmbH</w:t>
            </w:r>
          </w:p>
        </w:tc>
        <w:tc>
          <w:tcPr>
            <w:tcW w:w="26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GMA Holding B.V.</w:t>
            </w:r>
          </w:p>
        </w:tc>
        <w:tc>
          <w:tcPr>
            <w:tcW w:w="260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GMA Werkstoffprufung GmbH</w:t>
            </w:r>
          </w:p>
        </w:tc>
        <w:tc>
          <w:tcPr>
            <w:tcW w:w="26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Arizona Inspection Services Inc.</w:t>
            </w:r>
          </w:p>
        </w:tc>
        <w:tc>
          <w:tcPr>
            <w:tcW w:w="26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Canada,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Engineering Services Inc.</w:t>
            </w:r>
          </w:p>
        </w:tc>
        <w:tc>
          <w:tcPr>
            <w:tcW w:w="260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GMA Holdings GmbH</w:t>
            </w:r>
          </w:p>
        </w:tc>
        <w:tc>
          <w:tcPr>
            <w:tcW w:w="26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Group B.V.</w:t>
            </w:r>
          </w:p>
        </w:tc>
        <w:tc>
          <w:tcPr>
            <w:tcW w:w="260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Group BVBA</w:t>
            </w:r>
          </w:p>
        </w:tc>
        <w:tc>
          <w:tcPr>
            <w:tcW w:w="260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Group GmbH</w:t>
            </w:r>
          </w:p>
        </w:tc>
        <w:tc>
          <w:tcPr>
            <w:tcW w:w="26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Group Hellas A.B.E.E.</w:t>
            </w:r>
          </w:p>
        </w:tc>
        <w:tc>
          <w:tcPr>
            <w:tcW w:w="260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Group Limited</w:t>
            </w:r>
          </w:p>
        </w:tc>
        <w:tc>
          <w:tcPr>
            <w:tcW w:w="260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Group SAS</w:t>
            </w:r>
          </w:p>
        </w:tc>
        <w:tc>
          <w:tcPr>
            <w:tcW w:w="26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Group South America Ltda</w:t>
            </w:r>
          </w:p>
        </w:tc>
        <w:tc>
          <w:tcPr>
            <w:tcW w:w="260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International Holdings Inc.</w:t>
            </w:r>
          </w:p>
        </w:tc>
        <w:tc>
          <w:tcPr>
            <w:tcW w:w="26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Services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Quebec Holdings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Ropeworks Training Corp.</w:t>
            </w:r>
          </w:p>
        </w:tc>
        <w:tc>
          <w:tcPr>
            <w:tcW w:w="26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Mistras Western Canada Holdings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MWC Management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NDT do Brasil Ltd.</w:t>
            </w:r>
          </w:p>
        </w:tc>
        <w:tc>
          <w:tcPr>
            <w:tcW w:w="260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Onstream Holdings,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Onstream Pipeline Inspection Services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Onstream Pipeline Inspection USA Inc.</w:t>
            </w:r>
          </w:p>
        </w:tc>
        <w:tc>
          <w:tcPr>
            <w:tcW w:w="26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Physical Acoustics India Private Ltd.</w:t>
            </w:r>
          </w:p>
        </w:tc>
        <w:tc>
          <w:tcPr>
            <w:tcW w:w="26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Physical Acoustics South America LTDA</w:t>
            </w:r>
          </w:p>
        </w:tc>
        <w:tc>
          <w:tcPr>
            <w:tcW w:w="260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Quality Services Laboratories, Inc. (1)</w:t>
            </w:r>
          </w:p>
        </w:tc>
        <w:tc>
          <w:tcPr>
            <w:tcW w:w="26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QSL NDT Inc.</w:t>
            </w:r>
          </w:p>
        </w:tc>
        <w:tc>
          <w:tcPr>
            <w:tcW w:w="26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QSL Quebec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R.A.C. Group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Rope Access Calgary, Inc.</w:t>
            </w:r>
          </w:p>
        </w:tc>
        <w:tc>
          <w:tcPr>
            <w:tcW w:w="26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West Penn Non-Destructive Testing, LLC</w:t>
            </w:r>
          </w:p>
        </w:tc>
        <w:tc>
          <w:tcPr>
            <w:tcW w:w="2600" w:type="dxa"/>
            <w:vAlign w:val="bottom"/>
          </w:tcPr>
          <w:p>
            <w:pPr>
              <w:ind w:left="20"/>
              <w:spacing w:after="0"/>
              <w:rPr>
                <w:sz w:val="20"/>
                <w:szCs w:val="20"/>
                <w:color w:val="auto"/>
              </w:rPr>
            </w:pPr>
            <w:r>
              <w:rPr>
                <w:rFonts w:ascii="Arial" w:cs="Arial" w:eastAsia="Arial" w:hAnsi="Arial"/>
                <w:sz w:val="18"/>
                <w:szCs w:val="18"/>
                <w:color w:val="auto"/>
              </w:rPr>
              <w:t>Pennsylvania</w:t>
            </w: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(1) Also does business under the names QSL and QSL Plus.</w:t>
      </w:r>
    </w:p>
    <w:p>
      <w:pPr>
        <w:sectPr>
          <w:pgSz w:w="11900" w:h="16838" w:orient="portrait"/>
          <w:cols w:equalWidth="0" w:num="1">
            <w:col w:w="11240"/>
          </w:cols>
          <w:pgMar w:left="320" w:top="1417" w:right="3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3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 (Nos. 333-164688 and 333-217047) on Form S-8 of Mistras Group, Inc. of our reports dated March 27, 2020, with respect to the consolidated balance sheets of Mistras Group, Inc. and subsidiaries (the Company) as of December 31, 2019 and 2018, the related consolidated statements of income (loss), comprehensive income (loss), equity, and cash flows for each of the years in the three-year period ended December 31, 2019, and the related notes (collectively, the consolidated financial statements), and the effectiveness of internal control over financial reporting as of December 31, 2019, which reports appear in the December 31, 2019 annual report on Form 10-K of Mistras Group, Inc.</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report dated March 27, 2020, on the effectiveness of internal control over financial reporting as of December 31, 2019, expresses our opinion that the Company did not maintain effective internal control over financial reporting as of December 31, 2019 because of the effect of material weaknesses on the achievement of the objectives of the control criteria and contains an explanatory paragraph that states material weaknesses have been identified and included in management’s assessment related to risk assessment not sufficiently considering changes in business processes and not having a sufficient complement of trained resources with knowledge of financial reporting processes and internal control related to accounting for income taxes. As a consequence, process level controls over the completeness, existence, accuracy, valuation and presentation of the income tax provision, including deferred tax assets and liabilities and valuation allowance, were not effective.</w:t>
      </w:r>
    </w:p>
    <w:p>
      <w:pPr>
        <w:spacing w:after="0" w:line="2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report dated March 27, 2020, on the effectiveness of internal control over financial reporting as of December 31, 2019, also includes an explanatory paragraph indicating that management excluded from its assessment of the effectiveness of the Company’s internal control over financial reporting as of December 31, 2019, New Century Software, LLC’s internal control over financial reporting associated with total assets of 0.2% and total revenues of 0.3% included in the consolidated financial statements of the Company as of and for the year ended December 31, 2019. Our audit of internal control over financial reporting of the Company also excluded an evaluation of the internal control over financial reporting of New Century Software,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ectPr>
          <w:pgSz w:w="11900" w:h="16838" w:orient="portrait"/>
          <w:cols w:equalWidth="0" w:num="1">
            <w:col w:w="11240"/>
          </w:cols>
          <w:pgMar w:left="320" w:top="141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06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Bertolotti, certify that:</w:t>
      </w:r>
    </w:p>
    <w:p>
      <w:pPr>
        <w:spacing w:after="0" w:line="225"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right="260" w:firstLine="8"/>
        <w:spacing w:after="0" w:line="342" w:lineRule="auto"/>
        <w:tabs>
          <w:tab w:leader="none" w:pos="3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8"/>
        <w:spacing w:after="0" w:line="277" w:lineRule="auto"/>
        <w:tabs>
          <w:tab w:leader="none" w:pos="3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3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8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3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8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79" w:lineRule="exact"/>
        <w:rPr>
          <w:sz w:val="20"/>
          <w:szCs w:val="20"/>
          <w:color w:val="auto"/>
        </w:rPr>
      </w:pPr>
    </w:p>
    <w:p>
      <w:pPr>
        <w:ind w:left="55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31750</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Dennis Bertolotti</w:t>
      </w:r>
    </w:p>
    <w:p>
      <w:pPr>
        <w:spacing w:after="0" w:line="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Chief Executive Officer and Director</w:t>
      </w: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06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Edward J. Prajzner, certify that:</w:t>
      </w:r>
    </w:p>
    <w:p>
      <w:pPr>
        <w:spacing w:after="0" w:line="225"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right="260" w:firstLine="8"/>
        <w:spacing w:after="0" w:line="342" w:lineRule="auto"/>
        <w:tabs>
          <w:tab w:leader="none" w:pos="3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8"/>
        <w:spacing w:after="0" w:line="277" w:lineRule="auto"/>
        <w:tabs>
          <w:tab w:leader="none" w:pos="3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3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3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8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pacing w:after="0" w:line="279" w:lineRule="exact"/>
        <w:rPr>
          <w:sz w:val="20"/>
          <w:szCs w:val="20"/>
          <w:color w:val="auto"/>
        </w:rPr>
      </w:pPr>
    </w:p>
    <w:p>
      <w:pPr>
        <w:ind w:left="55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31750</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109" w:name="page110"/>
    <w:bookmarkEnd w:id="10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Annual Report on Form 10-K of Mistras Group, Inc. (the Company) for the year ended December 31, 2019, I, Dennis Bertolotti, President and Chief Executive Officer, hereby certify pursuant to 18 U.S.C. Section 1350, as adopted pursuant to Section 906 of the Sarbanes-Oxley Act of 2002, to the best of my knowledge and belief, that:</w:t>
      </w:r>
    </w:p>
    <w:p>
      <w:pPr>
        <w:spacing w:after="0" w:line="184" w:lineRule="exact"/>
        <w:rPr>
          <w:sz w:val="20"/>
          <w:szCs w:val="20"/>
          <w:color w:val="auto"/>
        </w:rPr>
      </w:pPr>
    </w:p>
    <w:p>
      <w:pPr>
        <w:ind w:right="180" w:firstLine="453"/>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2019,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40" w:firstLine="453"/>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2019, fairly presents, in all material respects, the financial condition and results of operations of the Company.</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2019,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3" w:lineRule="exact"/>
        <w:rPr>
          <w:sz w:val="20"/>
          <w:szCs w:val="20"/>
          <w:color w:val="auto"/>
        </w:rPr>
      </w:pPr>
    </w:p>
    <w:p>
      <w:pPr>
        <w:ind w:left="20"/>
        <w:spacing w:after="0"/>
        <w:tabs>
          <w:tab w:leader="none" w:pos="700" w:val="left"/>
          <w:tab w:leader="none" w:pos="7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27, 2020</w:t>
      </w:r>
      <w:r>
        <w:rPr>
          <w:sz w:val="20"/>
          <w:szCs w:val="20"/>
          <w:color w:val="auto"/>
        </w:rPr>
        <w:tab/>
      </w:r>
      <w:r>
        <w:rPr>
          <w:rFonts w:ascii="Arial" w:cs="Arial" w:eastAsia="Arial" w:hAnsi="Arial"/>
          <w:sz w:val="17"/>
          <w:szCs w:val="17"/>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31750</wp:posOffset>
            </wp:positionV>
            <wp:extent cx="33343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December 31, 2019, I, Edward J. Prajzner, Principal Financial and Accounting Officer, hereby certify pursuant to 18 U.S.C. Section 1350, as adopted pursuant to Section 906 of the Sarbanes-Oxley Act of 2002, to the best of my knowledge and belief, that:</w:t>
      </w:r>
    </w:p>
    <w:p>
      <w:pPr>
        <w:spacing w:after="0" w:line="184" w:lineRule="exact"/>
        <w:rPr>
          <w:sz w:val="20"/>
          <w:szCs w:val="20"/>
          <w:color w:val="auto"/>
        </w:rPr>
      </w:pPr>
    </w:p>
    <w:p>
      <w:pPr>
        <w:ind w:right="180" w:firstLine="453"/>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2019,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40" w:firstLine="453"/>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2019, fairly presents, in all material respects, the financial condition and results of operations of the Company.</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2019,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3" w:lineRule="exact"/>
        <w:rPr>
          <w:sz w:val="20"/>
          <w:szCs w:val="20"/>
          <w:color w:val="auto"/>
        </w:rPr>
      </w:pPr>
    </w:p>
    <w:p>
      <w:pPr>
        <w:ind w:left="20"/>
        <w:spacing w:after="0"/>
        <w:tabs>
          <w:tab w:leader="none" w:pos="700" w:val="left"/>
          <w:tab w:leader="none" w:pos="7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27, 2020</w:t>
      </w:r>
      <w:r>
        <w:rPr>
          <w:sz w:val="20"/>
          <w:szCs w:val="20"/>
          <w:color w:val="auto"/>
        </w:rPr>
        <w:tab/>
      </w:r>
      <w:r>
        <w:rPr>
          <w:rFonts w:ascii="Arial" w:cs="Arial" w:eastAsia="Arial" w:hAnsi="Arial"/>
          <w:sz w:val="16"/>
          <w:szCs w:val="16"/>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31750</wp:posOffset>
            </wp:positionV>
            <wp:extent cx="33343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2"/>
    </w:lvl>
  </w:abstractNum>
  <w:abstractNum w:abstractNumId="22">
    <w:nsid w:val="7C3DBD3D"/>
    <w:multiLevelType w:val="hybridMultilevel"/>
    <w:lvl w:ilvl="0">
      <w:lvlJc w:val="left"/>
      <w:lvlText w:val="1"/>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upperLetter"/>
      <w:start w:val="35"/>
    </w:lvl>
  </w:abstractNum>
  <w:abstractNum w:abstractNumId="31">
    <w:nsid w:val="440BADFC"/>
    <w:multiLevelType w:val="hybridMultilevel"/>
    <w:lvl w:ilvl="0">
      <w:lvlJc w:val="left"/>
      <w:lvlText w:val="(%1)"/>
      <w:numFmt w:val="lowerLetter"/>
      <w:start w:val="1"/>
    </w:lvl>
    <w:lvl w:ilvl="1">
      <w:lvlJc w:val="left"/>
      <w:lvlText w:val="(%2)"/>
      <w:numFmt w:val="lowerRoman"/>
      <w:start w:val="1"/>
    </w:lvl>
  </w:abstractNum>
  <w:abstractNum w:abstractNumId="32">
    <w:nsid w:val="5072367"/>
    <w:multiLevelType w:val="hybridMultilevel"/>
    <w:lvl w:ilvl="0">
      <w:lvlJc w:val="left"/>
      <w:lvlText w:val="(%1)"/>
      <w:numFmt w:val="lowerLetter"/>
      <w:start w:val="4"/>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4"/>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7"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17" Type="http://schemas.openxmlformats.org/officeDocument/2006/relationships/hyperlink" Target="http://www.sec.gov/Archives/edgar/data/1436126/000143612617000059/westpennacqagreement.htm" TargetMode="External"/><Relationship Id="rId118" Type="http://schemas.openxmlformats.org/officeDocument/2006/relationships/hyperlink" Target="http://www.sec.gov/Archives/edgar/data/1436126/000143612618000050/sharepurchaseagreement.htm" TargetMode="External"/><Relationship Id="rId119" Type="http://schemas.openxmlformats.org/officeDocument/2006/relationships/hyperlink" Target="http://www.sec.gov/Archives/edgar/data/1436126/000143612618000050/sharepurchaseagreement-5ow.htm" TargetMode="External"/><Relationship Id="rId120" Type="http://schemas.openxmlformats.org/officeDocument/2006/relationships/hyperlink" Target="http://www.sec.gov/Archives/edgar/data/1436126/000095012309044623/y02145a4exv3w1.htm" TargetMode="External"/><Relationship Id="rId121" Type="http://schemas.openxmlformats.org/officeDocument/2006/relationships/hyperlink" Target="http://www.sec.gov/Archives/edgar/data/1436126/000143612617000011/fy17q2exhibit31.htm" TargetMode="External"/><Relationship Id="rId122" Type="http://schemas.openxmlformats.org/officeDocument/2006/relationships/hyperlink" Target="http://www.sec.gov/Archives/edgar/data/1436126/000143612616000069/fy17q1exhibit31.htm" TargetMode="External"/><Relationship Id="rId123" Type="http://schemas.openxmlformats.org/officeDocument/2006/relationships/hyperlink" Target="http://www.sec.gov/Archives/edgar/data/1436126/000095012309045063/y02145a5exv4w1.htm" TargetMode="External"/><Relationship Id="rId124" Type="http://schemas.openxmlformats.org/officeDocument/2006/relationships/hyperlink" Target="http://www.sec.gov/Archives/edgar/data/1436126/000143612618000017/creditagreement.htm" TargetMode="External"/><Relationship Id="rId125" Type="http://schemas.openxmlformats.org/officeDocument/2006/relationships/hyperlink" Target="http://www.sec.gov/Archives/edgar/data/1436126/000143612618000050/fifthamendedandrestatedcre.htm" TargetMode="External"/><Relationship Id="rId126" Type="http://schemas.openxmlformats.org/officeDocument/2006/relationships/hyperlink" Target="http://www.sec.gov/Archives/edgar/data/1436126/000095012309044623/y02145a4exv10w1.htm" TargetMode="External"/><Relationship Id="rId128" Type="http://schemas.openxmlformats.org/officeDocument/2006/relationships/hyperlink" Target="http://www.sec.gov/Archives/edgar/data/1436126/000095012309044623/y02145a4exv10w5.htm" TargetMode="External"/><Relationship Id="rId129" Type="http://schemas.openxmlformats.org/officeDocument/2006/relationships/hyperlink" Target="http://www.sec.gov/Archives/edgar/data/1436126/000095012309044623/y02145a4exv10w6.htm" TargetMode="External"/><Relationship Id="rId130" Type="http://schemas.openxmlformats.org/officeDocument/2006/relationships/hyperlink" Target="http://www.sec.gov/Archives/edgar/data/1436126/000095012309044623/y02145a4exv10w7.htm" TargetMode="External"/><Relationship Id="rId131" Type="http://schemas.openxmlformats.org/officeDocument/2006/relationships/hyperlink" Target="http://www.sec.gov/Archives/edgar/data/1436126/000095012309044623/y02145a4exv10w8.htm" TargetMode="External"/><Relationship Id="rId132" Type="http://schemas.openxmlformats.org/officeDocument/2006/relationships/hyperlink" Target="http://www.sec.gov/Archives/edgar/data/1436126/000101905611000062/ex10_1.htm" TargetMode="External"/><Relationship Id="rId133" Type="http://schemas.openxmlformats.org/officeDocument/2006/relationships/hyperlink" Target="http://www.sec.gov/Archives/edgar/data/1436126/000162612916000819/my-def14a_090716.htm" TargetMode="External"/><Relationship Id="rId134" Type="http://schemas.openxmlformats.org/officeDocument/2006/relationships/hyperlink" Target="http://www.sec.gov/Archives/edgar/data/1436126/000143612617000024/mg-2016123110kexhibit1016.htm" TargetMode="External"/><Relationship Id="rId135" Type="http://schemas.openxmlformats.org/officeDocument/2006/relationships/hyperlink" Target="http://www.sec.gov/Archives/edgar/data/1436126/000143612619000014/mistrasgroupseveranceplan.htm" TargetMode="External"/><Relationship Id="rId136" Type="http://schemas.openxmlformats.org/officeDocument/2006/relationships/hyperlink" Target="http://www.sec.gov/Archives/edgar/data/1436126/000143612618000027/sjv2-28x18employmentagreem.htm" TargetMode="External"/><Relationship Id="rId137" Type="http://schemas.openxmlformats.org/officeDocument/2006/relationships/hyperlink" Target="http://www.sec.gov/Archives/edgar/data/1436126/000143612618000027/db3-13x18employmentagreeme.htm" TargetMode="External"/><Relationship Id="rId138" Type="http://schemas.openxmlformats.org/officeDocument/2006/relationships/hyperlink" Target="http://www.sec.gov/Archives/edgar/data/1436126/000143612618000017/mg-2017123110kexhibit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2020-03-27T16:25:07Z</dcterms:created>
  <dcterms:modified xsi:type="dcterms:W3CDTF">2020-03-27T16:25:07Z</dcterms:modified>
</cp:coreProperties>
</file>