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__ to 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191135</wp:posOffset>
            </wp:positionV>
            <wp:extent cx="31629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47625</wp:posOffset>
            </wp:positionV>
            <wp:extent cx="31629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181" w:lineRule="exact"/>
        <w:rPr>
          <w:sz w:val="24"/>
          <w:szCs w:val="24"/>
          <w:color w:val="auto"/>
        </w:rPr>
      </w:pPr>
    </w:p>
    <w:tbl>
      <w:tblPr>
        <w:tblLayout w:type="fixed"/>
        <w:tblInd w:w="3440" w:type="dxa"/>
        <w:tblCellMar>
          <w:top w:w="0" w:type="dxa"/>
          <w:left w:w="0" w:type="dxa"/>
          <w:bottom w:w="0" w:type="dxa"/>
          <w:right w:w="0" w:type="dxa"/>
        </w:tblCellMar>
      </w:tblPr>
      <w:tr>
        <w:trPr>
          <w:trHeight w:val="238"/>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22-3341267</w:t>
            </w:r>
          </w:p>
        </w:tc>
      </w:tr>
      <w:tr>
        <w:trPr>
          <w:trHeight w:val="196"/>
        </w:trPr>
        <w:tc>
          <w:tcPr>
            <w:tcW w:w="2960" w:type="dxa"/>
            <w:vAlign w:val="bottom"/>
          </w:tcPr>
          <w:p>
            <w:pPr>
              <w:jc w:val="center"/>
              <w:ind w:right="50"/>
              <w:spacing w:after="0" w:line="195"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1460" w:type="dxa"/>
            <w:vAlign w:val="bottom"/>
          </w:tcPr>
          <w:p>
            <w:pPr>
              <w:jc w:val="center"/>
              <w:ind w:left="50"/>
              <w:spacing w:after="0" w:line="195"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8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195 Clarksville Road</w:t>
            </w:r>
          </w:p>
        </w:tc>
        <w:tc>
          <w:tcPr>
            <w:tcW w:w="1460" w:type="dxa"/>
            <w:vAlign w:val="bottom"/>
          </w:tcPr>
          <w:p>
            <w:pPr>
              <w:spacing w:after="0"/>
              <w:rPr>
                <w:sz w:val="24"/>
                <w:szCs w:val="24"/>
                <w:color w:val="auto"/>
              </w:rPr>
            </w:pPr>
          </w:p>
        </w:tc>
      </w:tr>
      <w:tr>
        <w:trPr>
          <w:trHeight w:val="250"/>
        </w:trPr>
        <w:tc>
          <w:tcPr>
            <w:tcW w:w="2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Princeton Junction, New Jersey</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08550</w:t>
            </w:r>
          </w:p>
        </w:tc>
      </w:tr>
      <w:tr>
        <w:trPr>
          <w:trHeight w:val="236"/>
        </w:trPr>
        <w:tc>
          <w:tcPr>
            <w:tcW w:w="29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46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716-4000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0" w:lineRule="exact"/>
        <w:rPr>
          <w:sz w:val="24"/>
          <w:szCs w:val="24"/>
          <w:color w:val="auto"/>
        </w:rPr>
      </w:pP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56"/>
        </w:trPr>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8"/>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r>
      <w:tr>
        <w:trPr>
          <w:trHeight w:val="228"/>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8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MG</w:t>
            </w:r>
          </w:p>
        </w:tc>
        <w:tc>
          <w:tcPr>
            <w:tcW w:w="80" w:type="dxa"/>
            <w:vAlign w:val="bottom"/>
          </w:tcPr>
          <w:p>
            <w:pPr>
              <w:spacing w:after="0"/>
              <w:rPr>
                <w:sz w:val="19"/>
                <w:szCs w:val="19"/>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0" w:lineRule="exact"/>
        <w:rPr>
          <w:sz w:val="24"/>
          <w:szCs w:val="24"/>
          <w:color w:val="auto"/>
        </w:rPr>
      </w:pPr>
    </w:p>
    <w:p>
      <w:pPr>
        <w:spacing w:after="0" w:line="236"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189"/>
        </w:trPr>
        <w:tc>
          <w:tcPr>
            <w:tcW w:w="1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Large accelerated filer</w:t>
            </w:r>
          </w:p>
        </w:tc>
        <w:tc>
          <w:tcPr>
            <w:tcW w:w="2520" w:type="dxa"/>
            <w:vAlign w:val="bottom"/>
          </w:tcPr>
          <w:p>
            <w:pPr>
              <w:ind w:left="340"/>
              <w:spacing w:after="0" w:line="189" w:lineRule="exact"/>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line="189" w:lineRule="exact"/>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00"/>
              <w:spacing w:after="0" w:line="189" w:lineRule="exact"/>
              <w:rPr>
                <w:sz w:val="20"/>
                <w:szCs w:val="20"/>
                <w:color w:val="auto"/>
              </w:rPr>
            </w:pPr>
            <w:r>
              <w:rPr>
                <w:rFonts w:ascii="Wingdings" w:cs="Wingdings" w:eastAsia="Wingdings" w:hAnsi="Wingdings"/>
                <w:sz w:val="18"/>
                <w:szCs w:val="18"/>
                <w:b w:val="1"/>
                <w:bCs w:val="1"/>
                <w:color w:val="auto"/>
                <w:w w:val="83"/>
              </w:rPr>
              <w:t>x</w:t>
            </w:r>
          </w:p>
        </w:tc>
      </w:t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20" w:type="dxa"/>
            <w:vAlign w:val="bottom"/>
          </w:tcPr>
          <w:p>
            <w:pPr>
              <w:ind w:left="340"/>
              <w:spacing w:after="0"/>
              <w:rPr>
                <w:sz w:val="20"/>
                <w:szCs w:val="20"/>
                <w:color w:val="auto"/>
              </w:rPr>
            </w:pPr>
            <w:r>
              <w:rPr>
                <w:rFonts w:ascii="Wingdings" w:cs="Wingdings" w:eastAsia="Wingdings" w:hAnsi="Wingdings"/>
                <w:sz w:val="18"/>
                <w:szCs w:val="18"/>
                <w:b w:val="1"/>
                <w:bCs w:val="1"/>
                <w:color w:val="auto"/>
              </w:rPr>
              <w:t>o</w:t>
            </w: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4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6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240"/>
          </w:cols>
          <w:pgMar w:left="320" w:top="225" w:right="339" w:bottom="231" w:gutter="0" w:footer="0" w:header="0"/>
        </w:sect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5, 2025, the registrant had 31,329,814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231"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410845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98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FF"/>
                <w:w w:val="98"/>
              </w:rPr>
              <w:t>PART I—FINANCIAL INFORMATION</w:t>
            </w:r>
          </w:p>
        </w:tc>
        <w:tc>
          <w:tcPr>
            <w:tcW w:w="7520" w:type="dxa"/>
            <w:vAlign w:val="bottom"/>
            <w:gridSpan w:val="13"/>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FF"/>
            </w:tcBorders>
            <w:gridSpan w:val="12"/>
            <w:vMerge w:val="continue"/>
          </w:tcPr>
          <w:p>
            <w:pPr>
              <w:spacing w:after="0"/>
              <w:rPr>
                <w:sz w:val="14"/>
                <w:szCs w:val="14"/>
                <w:color w:val="auto"/>
              </w:rPr>
            </w:pPr>
          </w:p>
        </w:tc>
        <w:tc>
          <w:tcPr>
            <w:tcW w:w="7520" w:type="dxa"/>
            <w:vAlign w:val="bottom"/>
            <w:gridSpan w:val="13"/>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Unaudited Condensed Consolidated Balance Sheets as of March 31, 2025 and December 31, 2024</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Income (Loss) for the three months ended March 31, 2025 and March</w:t>
            </w: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Borders>
              <w:top w:val="single" w:sz="8" w:color="0E32E1"/>
              <w:bottom w:val="single" w:sz="8" w:color="0E32E1"/>
            </w:tcBorders>
            <w:gridSpan w:val="3"/>
          </w:tcPr>
          <w:p>
            <w:pPr>
              <w:spacing w:after="0" w:line="142" w:lineRule="exact"/>
              <w:rPr>
                <w:sz w:val="20"/>
                <w:szCs w:val="20"/>
                <w:color w:val="auto"/>
              </w:rPr>
            </w:pPr>
            <w:r>
              <w:rPr>
                <w:rFonts w:ascii="Times New Roman" w:cs="Times New Roman" w:eastAsia="Times New Roman" w:hAnsi="Times New Roman"/>
                <w:sz w:val="16"/>
                <w:szCs w:val="16"/>
                <w:color w:val="0E32E1"/>
              </w:rPr>
              <w:t>31, 2024</w:t>
            </w:r>
          </w:p>
        </w:tc>
        <w:tc>
          <w:tcPr>
            <w:tcW w:w="280" w:type="dxa"/>
            <w:vAlign w:val="bottom"/>
            <w:tcBorders>
              <w:top w:val="single" w:sz="8" w:color="0E32E1"/>
            </w:tcBorders>
          </w:tcPr>
          <w:p>
            <w:pPr>
              <w:spacing w:after="0"/>
              <w:rPr>
                <w:sz w:val="13"/>
                <w:szCs w:val="13"/>
                <w:color w:val="auto"/>
              </w:rPr>
            </w:pPr>
          </w:p>
        </w:tc>
        <w:tc>
          <w:tcPr>
            <w:tcW w:w="16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100" w:type="dxa"/>
            <w:vAlign w:val="bottom"/>
            <w:tcBorders>
              <w:top w:val="single" w:sz="8" w:color="0E32E1"/>
            </w:tcBorders>
          </w:tcPr>
          <w:p>
            <w:pPr>
              <w:spacing w:after="0"/>
              <w:rPr>
                <w:sz w:val="13"/>
                <w:szCs w:val="13"/>
                <w:color w:val="auto"/>
              </w:rPr>
            </w:pPr>
          </w:p>
        </w:tc>
        <w:tc>
          <w:tcPr>
            <w:tcW w:w="460" w:type="dxa"/>
            <w:vAlign w:val="bottom"/>
            <w:tcBorders>
              <w:top w:val="single" w:sz="8" w:color="0E32E1"/>
            </w:tcBorders>
          </w:tcPr>
          <w:p>
            <w:pPr>
              <w:spacing w:after="0"/>
              <w:rPr>
                <w:sz w:val="13"/>
                <w:szCs w:val="13"/>
                <w:color w:val="auto"/>
              </w:rPr>
            </w:pPr>
          </w:p>
        </w:tc>
        <w:tc>
          <w:tcPr>
            <w:tcW w:w="19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440" w:type="dxa"/>
            <w:vAlign w:val="bottom"/>
            <w:tcBorders>
              <w:top w:val="single" w:sz="8" w:color="0E32E1"/>
            </w:tcBorders>
          </w:tcPr>
          <w:p>
            <w:pPr>
              <w:spacing w:after="0"/>
              <w:rPr>
                <w:sz w:val="13"/>
                <w:szCs w:val="13"/>
                <w:color w:val="auto"/>
              </w:rPr>
            </w:pPr>
          </w:p>
        </w:tc>
        <w:tc>
          <w:tcPr>
            <w:tcW w:w="1680" w:type="dxa"/>
            <w:vAlign w:val="bottom"/>
            <w:tcBorders>
              <w:top w:val="single" w:sz="8" w:color="0E32E1"/>
            </w:tcBorders>
          </w:tcPr>
          <w:p>
            <w:pPr>
              <w:spacing w:after="0"/>
              <w:rPr>
                <w:sz w:val="13"/>
                <w:szCs w:val="13"/>
                <w:color w:val="auto"/>
              </w:rPr>
            </w:pPr>
          </w:p>
        </w:tc>
        <w:tc>
          <w:tcPr>
            <w:tcW w:w="600" w:type="dxa"/>
            <w:vAlign w:val="bottom"/>
            <w:tcBorders>
              <w:top w:val="single" w:sz="8" w:color="0E32E1"/>
            </w:tcBorders>
          </w:tcPr>
          <w:p>
            <w:pPr>
              <w:spacing w:after="0"/>
              <w:rPr>
                <w:sz w:val="13"/>
                <w:szCs w:val="13"/>
                <w:color w:val="auto"/>
              </w:rPr>
            </w:pPr>
          </w:p>
        </w:tc>
        <w:tc>
          <w:tcPr>
            <w:tcW w:w="15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9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E32E1"/>
              </w:rPr>
              <w:t>Unaudited Condensed Consolidated Statements of Comprehensive Income (Loss) for the three months ended March 31,</w:t>
            </w: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vMerge w:val="continue"/>
          </w:tcPr>
          <w:p>
            <w:pPr>
              <w:spacing w:after="0"/>
              <w:rPr>
                <w:sz w:val="24"/>
                <w:szCs w:val="24"/>
                <w:color w:val="auto"/>
              </w:rPr>
            </w:pP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20" w:type="dxa"/>
            <w:vAlign w:val="bottom"/>
            <w:tcBorders>
              <w:top w:val="single" w:sz="8" w:color="0E32E1"/>
            </w:tcBorders>
            <w:gridSpan w:val="11"/>
          </w:tcPr>
          <w:p>
            <w:pPr>
              <w:spacing w:after="0" w:line="142" w:lineRule="exact"/>
              <w:rPr>
                <w:sz w:val="20"/>
                <w:szCs w:val="20"/>
                <w:color w:val="auto"/>
              </w:rPr>
            </w:pPr>
            <w:r>
              <w:rPr>
                <w:rFonts w:ascii="Times New Roman" w:cs="Times New Roman" w:eastAsia="Times New Roman" w:hAnsi="Times New Roman"/>
                <w:sz w:val="16"/>
                <w:szCs w:val="16"/>
                <w:color w:val="0E32E1"/>
              </w:rPr>
              <w:t>2025 and March 31, 2024</w:t>
            </w:r>
          </w:p>
        </w:tc>
        <w:tc>
          <w:tcPr>
            <w:tcW w:w="6320" w:type="dxa"/>
            <w:vAlign w:val="bottom"/>
            <w:tcBorders>
              <w:top w:val="single" w:sz="8" w:color="0E32E1"/>
            </w:tcBorders>
            <w:gridSpan w:val="6"/>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E32E1"/>
          </w:tcPr>
          <w:p>
            <w:pPr>
              <w:spacing w:after="0"/>
              <w:rPr>
                <w:sz w:val="2"/>
                <w:szCs w:val="2"/>
                <w:color w:val="auto"/>
              </w:rPr>
            </w:pPr>
          </w:p>
        </w:tc>
        <w:tc>
          <w:tcPr>
            <w:tcW w:w="240" w:type="dxa"/>
            <w:vAlign w:val="bottom"/>
            <w:shd w:val="clear" w:color="auto" w:fill="0E32E1"/>
          </w:tcPr>
          <w:p>
            <w:pPr>
              <w:spacing w:after="0"/>
              <w:rPr>
                <w:sz w:val="2"/>
                <w:szCs w:val="2"/>
                <w:color w:val="auto"/>
              </w:rPr>
            </w:pPr>
          </w:p>
        </w:tc>
        <w:tc>
          <w:tcPr>
            <w:tcW w:w="300" w:type="dxa"/>
            <w:vAlign w:val="bottom"/>
            <w:gridSpan w:val="2"/>
            <w:shd w:val="clear" w:color="auto" w:fill="0E32E1"/>
          </w:tcPr>
          <w:p>
            <w:pPr>
              <w:spacing w:after="0"/>
              <w:rPr>
                <w:sz w:val="2"/>
                <w:szCs w:val="2"/>
                <w:color w:val="auto"/>
              </w:rPr>
            </w:pPr>
          </w:p>
        </w:tc>
        <w:tc>
          <w:tcPr>
            <w:tcW w:w="160" w:type="dxa"/>
            <w:vAlign w:val="bottom"/>
            <w:shd w:val="clear" w:color="auto" w:fill="0E32E1"/>
          </w:tcPr>
          <w:p>
            <w:pPr>
              <w:spacing w:after="0"/>
              <w:rPr>
                <w:sz w:val="2"/>
                <w:szCs w:val="2"/>
                <w:color w:val="auto"/>
              </w:rPr>
            </w:pPr>
          </w:p>
        </w:tc>
        <w:tc>
          <w:tcPr>
            <w:tcW w:w="260" w:type="dxa"/>
            <w:vAlign w:val="bottom"/>
            <w:shd w:val="clear" w:color="auto" w:fill="0E32E1"/>
          </w:tcPr>
          <w:p>
            <w:pPr>
              <w:spacing w:after="0"/>
              <w:rPr>
                <w:sz w:val="2"/>
                <w:szCs w:val="2"/>
                <w:color w:val="auto"/>
              </w:rPr>
            </w:pPr>
          </w:p>
        </w:tc>
        <w:tc>
          <w:tcPr>
            <w:tcW w:w="440" w:type="dxa"/>
            <w:vAlign w:val="bottom"/>
            <w:tcBorders>
              <w:left w:val="single" w:sz="8" w:color="0E32E1"/>
            </w:tcBorders>
            <w:gridSpan w:val="3"/>
            <w:shd w:val="clear" w:color="auto" w:fill="0E32E1"/>
          </w:tcPr>
          <w:p>
            <w:pPr>
              <w:spacing w:after="0"/>
              <w:rPr>
                <w:sz w:val="2"/>
                <w:szCs w:val="2"/>
                <w:color w:val="auto"/>
              </w:rPr>
            </w:pPr>
          </w:p>
        </w:tc>
        <w:tc>
          <w:tcPr>
            <w:tcW w:w="560" w:type="dxa"/>
            <w:vAlign w:val="bottom"/>
            <w:gridSpan w:val="2"/>
            <w:shd w:val="clear" w:color="auto" w:fill="0E32E1"/>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w w:val="99"/>
              </w:rPr>
              <w:t>Unaudited Condensed Consolidated Statements of Equity for the three months ended March 31, 2025 and March 31, 2024</w:t>
            </w:r>
          </w:p>
        </w:tc>
        <w:tc>
          <w:tcPr>
            <w:tcW w:w="10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60" w:type="dxa"/>
            <w:vAlign w:val="bottom"/>
            <w:shd w:val="clear" w:color="auto" w:fill="0E32E1"/>
          </w:tcPr>
          <w:p>
            <w:pPr>
              <w:spacing w:after="0" w:line="20" w:lineRule="exact"/>
              <w:rPr>
                <w:sz w:val="1"/>
                <w:szCs w:val="1"/>
                <w:color w:val="auto"/>
              </w:rPr>
            </w:pPr>
          </w:p>
        </w:tc>
        <w:tc>
          <w:tcPr>
            <w:tcW w:w="19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5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20" w:type="dxa"/>
            <w:vAlign w:val="bottom"/>
            <w:tcBorders>
              <w:right w:val="single" w:sz="8" w:color="0E32E1"/>
            </w:tcBorders>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w w:val="99"/>
              </w:rPr>
              <w:t>Unaudited Condensed Consolidated Statements of Cash Flows for the three months ended March 31, 2025 and March 31,</w:t>
            </w:r>
          </w:p>
        </w:tc>
        <w:tc>
          <w:tcPr>
            <w:tcW w:w="100" w:type="dxa"/>
            <w:vAlign w:val="bottom"/>
          </w:tcPr>
          <w:p>
            <w:pPr>
              <w:spacing w:after="0"/>
              <w:rPr>
                <w:sz w:val="24"/>
                <w:szCs w:val="24"/>
                <w:color w:val="auto"/>
              </w:rPr>
            </w:pPr>
          </w:p>
        </w:tc>
        <w:tc>
          <w:tcPr>
            <w:tcW w:w="6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0E32E1"/>
            </w:tcBorders>
          </w:tcPr>
          <w:p>
            <w:pPr>
              <w:spacing w:after="0" w:line="142" w:lineRule="exact"/>
              <w:rPr>
                <w:sz w:val="20"/>
                <w:szCs w:val="20"/>
                <w:color w:val="auto"/>
              </w:rPr>
            </w:pPr>
            <w:r>
              <w:rPr>
                <w:rFonts w:ascii="Times New Roman" w:cs="Times New Roman" w:eastAsia="Times New Roman" w:hAnsi="Times New Roman"/>
                <w:sz w:val="16"/>
                <w:szCs w:val="16"/>
                <w:color w:val="0E32E1"/>
              </w:rPr>
              <w:t>2024</w:t>
            </w:r>
          </w:p>
        </w:tc>
        <w:tc>
          <w:tcPr>
            <w:tcW w:w="240" w:type="dxa"/>
            <w:vAlign w:val="bottom"/>
            <w:tcBorders>
              <w:top w:val="single" w:sz="8" w:color="0E32E1"/>
            </w:tcBorders>
          </w:tcPr>
          <w:p>
            <w:pPr>
              <w:spacing w:after="0"/>
              <w:rPr>
                <w:sz w:val="13"/>
                <w:szCs w:val="13"/>
                <w:color w:val="auto"/>
              </w:rPr>
            </w:pPr>
          </w:p>
        </w:tc>
        <w:tc>
          <w:tcPr>
            <w:tcW w:w="20" w:type="dxa"/>
            <w:vAlign w:val="bottom"/>
            <w:tcBorders>
              <w:top w:val="single" w:sz="8" w:color="0E32E1"/>
            </w:tcBorders>
          </w:tcPr>
          <w:p>
            <w:pPr>
              <w:spacing w:after="0"/>
              <w:rPr>
                <w:sz w:val="13"/>
                <w:szCs w:val="13"/>
                <w:color w:val="auto"/>
              </w:rPr>
            </w:pPr>
          </w:p>
        </w:tc>
        <w:tc>
          <w:tcPr>
            <w:tcW w:w="280" w:type="dxa"/>
            <w:vAlign w:val="bottom"/>
            <w:tcBorders>
              <w:top w:val="single" w:sz="8" w:color="0E32E1"/>
            </w:tcBorders>
          </w:tcPr>
          <w:p>
            <w:pPr>
              <w:spacing w:after="0"/>
              <w:rPr>
                <w:sz w:val="13"/>
                <w:szCs w:val="13"/>
                <w:color w:val="auto"/>
              </w:rPr>
            </w:pPr>
          </w:p>
        </w:tc>
        <w:tc>
          <w:tcPr>
            <w:tcW w:w="16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260" w:type="dxa"/>
            <w:vAlign w:val="bottom"/>
            <w:tcBorders>
              <w:top w:val="single" w:sz="8" w:color="0E32E1"/>
            </w:tcBorders>
          </w:tcPr>
          <w:p>
            <w:pPr>
              <w:spacing w:after="0"/>
              <w:rPr>
                <w:sz w:val="13"/>
                <w:szCs w:val="13"/>
                <w:color w:val="auto"/>
              </w:rPr>
            </w:pPr>
          </w:p>
        </w:tc>
        <w:tc>
          <w:tcPr>
            <w:tcW w:w="100" w:type="dxa"/>
            <w:vAlign w:val="bottom"/>
            <w:tcBorders>
              <w:top w:val="single" w:sz="8" w:color="0E32E1"/>
            </w:tcBorders>
          </w:tcPr>
          <w:p>
            <w:pPr>
              <w:spacing w:after="0"/>
              <w:rPr>
                <w:sz w:val="13"/>
                <w:szCs w:val="13"/>
                <w:color w:val="auto"/>
              </w:rPr>
            </w:pPr>
          </w:p>
        </w:tc>
        <w:tc>
          <w:tcPr>
            <w:tcW w:w="460" w:type="dxa"/>
            <w:vAlign w:val="bottom"/>
            <w:tcBorders>
              <w:top w:val="single" w:sz="8" w:color="0E32E1"/>
            </w:tcBorders>
          </w:tcPr>
          <w:p>
            <w:pPr>
              <w:spacing w:after="0"/>
              <w:rPr>
                <w:sz w:val="13"/>
                <w:szCs w:val="13"/>
                <w:color w:val="auto"/>
              </w:rPr>
            </w:pPr>
          </w:p>
        </w:tc>
        <w:tc>
          <w:tcPr>
            <w:tcW w:w="19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440" w:type="dxa"/>
            <w:vAlign w:val="bottom"/>
            <w:tcBorders>
              <w:top w:val="single" w:sz="8" w:color="0E32E1"/>
            </w:tcBorders>
          </w:tcPr>
          <w:p>
            <w:pPr>
              <w:spacing w:after="0"/>
              <w:rPr>
                <w:sz w:val="13"/>
                <w:szCs w:val="13"/>
                <w:color w:val="auto"/>
              </w:rPr>
            </w:pPr>
          </w:p>
        </w:tc>
        <w:tc>
          <w:tcPr>
            <w:tcW w:w="1680" w:type="dxa"/>
            <w:vAlign w:val="bottom"/>
            <w:tcBorders>
              <w:top w:val="single" w:sz="8" w:color="0E32E1"/>
            </w:tcBorders>
          </w:tcPr>
          <w:p>
            <w:pPr>
              <w:spacing w:after="0"/>
              <w:rPr>
                <w:sz w:val="13"/>
                <w:szCs w:val="13"/>
                <w:color w:val="auto"/>
              </w:rPr>
            </w:pPr>
          </w:p>
        </w:tc>
        <w:tc>
          <w:tcPr>
            <w:tcW w:w="600" w:type="dxa"/>
            <w:vAlign w:val="bottom"/>
            <w:tcBorders>
              <w:top w:val="single" w:sz="8" w:color="0E32E1"/>
            </w:tcBorders>
          </w:tcPr>
          <w:p>
            <w:pPr>
              <w:spacing w:after="0"/>
              <w:rPr>
                <w:sz w:val="13"/>
                <w:szCs w:val="13"/>
                <w:color w:val="auto"/>
              </w:rPr>
            </w:pPr>
          </w:p>
        </w:tc>
        <w:tc>
          <w:tcPr>
            <w:tcW w:w="158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120" w:type="dxa"/>
            <w:vAlign w:val="bottom"/>
            <w:tcBorders>
              <w:top w:val="single" w:sz="8" w:color="0E32E1"/>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2"/>
            <w:shd w:val="clear" w:color="auto" w:fill="0E32E1"/>
          </w:tcPr>
          <w:p>
            <w:pPr>
              <w:spacing w:after="0"/>
              <w:rPr>
                <w:sz w:val="2"/>
                <w:szCs w:val="2"/>
                <w:color w:val="auto"/>
              </w:rPr>
            </w:pPr>
          </w:p>
        </w:tc>
        <w:tc>
          <w:tcPr>
            <w:tcW w:w="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560" w:type="dxa"/>
            <w:vAlign w:val="bottom"/>
            <w:gridSpan w:val="2"/>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40" w:type="dxa"/>
            <w:vAlign w:val="bottom"/>
            <w:gridSpan w:val="5"/>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540" w:type="dxa"/>
            <w:vAlign w:val="bottom"/>
            <w:gridSpan w:val="2"/>
          </w:tcPr>
          <w:p>
            <w:pPr>
              <w:spacing w:after="0"/>
              <w:rPr>
                <w:sz w:val="24"/>
                <w:szCs w:val="24"/>
                <w:color w:val="auto"/>
              </w:rPr>
            </w:pP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4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0000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23</w:t>
            </w: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4</w:t>
            </w:r>
          </w:p>
        </w:tc>
        <w:tc>
          <w:tcPr>
            <w:tcW w:w="540" w:type="dxa"/>
            <w:vAlign w:val="bottom"/>
            <w:gridSpan w:val="2"/>
          </w:tcPr>
          <w:p>
            <w:pPr>
              <w:spacing w:after="0"/>
              <w:rPr>
                <w:sz w:val="24"/>
                <w:szCs w:val="24"/>
                <w:color w:val="auto"/>
              </w:rPr>
            </w:pPr>
          </w:p>
        </w:tc>
        <w:tc>
          <w:tcPr>
            <w:tcW w:w="4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0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32</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5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w:t>
            </w:r>
          </w:p>
        </w:tc>
        <w:tc>
          <w:tcPr>
            <w:tcW w:w="540" w:type="dxa"/>
            <w:vAlign w:val="bottom"/>
            <w:gridSpan w:val="2"/>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58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1.A.</w:t>
            </w: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3.</w:t>
            </w:r>
          </w:p>
        </w:tc>
        <w:tc>
          <w:tcPr>
            <w:tcW w:w="540" w:type="dxa"/>
            <w:vAlign w:val="bottom"/>
            <w:gridSpan w:val="2"/>
          </w:tcPr>
          <w:p>
            <w:pPr>
              <w:spacing w:after="0"/>
              <w:rPr>
                <w:sz w:val="24"/>
                <w:szCs w:val="24"/>
                <w:color w:val="auto"/>
              </w:rPr>
            </w:pP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56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4.</w:t>
            </w:r>
          </w:p>
        </w:tc>
        <w:tc>
          <w:tcPr>
            <w:tcW w:w="540" w:type="dxa"/>
            <w:vAlign w:val="bottom"/>
            <w:gridSpan w:val="2"/>
          </w:tcPr>
          <w:p>
            <w:pPr>
              <w:spacing w:after="0"/>
              <w:rPr>
                <w:sz w:val="24"/>
                <w:szCs w:val="24"/>
                <w:color w:val="auto"/>
              </w:rPr>
            </w:pPr>
          </w:p>
        </w:tc>
        <w:tc>
          <w:tcPr>
            <w:tcW w:w="2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58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714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5.</w:t>
            </w:r>
          </w:p>
        </w:tc>
        <w:tc>
          <w:tcPr>
            <w:tcW w:w="540" w:type="dxa"/>
            <w:vAlign w:val="bottom"/>
            <w:gridSpan w:val="2"/>
          </w:tcPr>
          <w:p>
            <w:pPr>
              <w:spacing w:after="0"/>
              <w:rPr>
                <w:sz w:val="24"/>
                <w:szCs w:val="24"/>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3"/>
          </w:tcPr>
          <w:p>
            <w:pPr>
              <w:spacing w:after="0"/>
              <w:rPr>
                <w:sz w:val="24"/>
                <w:szCs w:val="24"/>
                <w:color w:val="auto"/>
              </w:rPr>
            </w:pPr>
          </w:p>
        </w:tc>
        <w:tc>
          <w:tcPr>
            <w:tcW w:w="714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758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6.</w:t>
            </w:r>
          </w:p>
        </w:tc>
        <w:tc>
          <w:tcPr>
            <w:tcW w:w="540" w:type="dxa"/>
            <w:vAlign w:val="bottom"/>
            <w:gridSpan w:val="2"/>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4"/>
          </w:tcPr>
          <w:p>
            <w:pPr>
              <w:spacing w:after="0"/>
              <w:rPr>
                <w:sz w:val="24"/>
                <w:szCs w:val="24"/>
                <w:color w:val="auto"/>
              </w:rPr>
            </w:pPr>
          </w:p>
        </w:tc>
        <w:tc>
          <w:tcPr>
            <w:tcW w:w="758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127,281</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172,470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80,892</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181,442</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42,259</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526,789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523,038</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158,056</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34,027</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324,143</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2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9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200,000,000 shares authorized, 31,325,787 and 31,010,375 shares issued</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outstanding</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250,832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(42,682)</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198,568</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198,895</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526,789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523,038</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67"/>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184,442</w:t>
            </w: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132,355</w:t>
            </w: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46,153</w:t>
            </w: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36,252</w:t>
            </w:r>
          </w:p>
        </w:tc>
      </w:tr>
      <w:tr>
        <w:trPr>
          <w:trHeight w:val="230"/>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29"/>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Environmental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engineering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before (benefit) provision for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3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net of taxes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Mistras Group, Inc.</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7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0"/>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30,680</w:t>
            </w:r>
          </w:p>
        </w:tc>
      </w:tr>
      <w:tr>
        <w:trPr>
          <w:trHeight w:val="230"/>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31,356</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r>
      <w:tr>
        <w:trPr>
          <w:trHeight w:val="23"/>
        </w:trPr>
        <w:tc>
          <w:tcPr>
            <w:tcW w:w="7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79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r>
      <w:tr>
        <w:trPr>
          <w:trHeight w:val="202"/>
        </w:trPr>
        <w:tc>
          <w:tcPr>
            <w:tcW w:w="7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00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r>
      <w:tr>
        <w:trPr>
          <w:trHeight w:val="229"/>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Foreign currency translation adjustments attributable to noncontrolling interests</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Mistras Group, Inc.</w:t>
            </w:r>
          </w:p>
        </w:tc>
        <w:tc>
          <w:tcPr>
            <w:tcW w:w="100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25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2500" w:type="dxa"/>
            <w:vAlign w:val="bottom"/>
          </w:tcPr>
          <w:p>
            <w:pPr>
              <w:spacing w:after="0"/>
              <w:rPr>
                <w:sz w:val="24"/>
                <w:szCs w:val="24"/>
                <w:color w:val="auto"/>
              </w:rPr>
            </w:pPr>
          </w:p>
        </w:tc>
        <w:tc>
          <w:tcPr>
            <w:tcW w:w="1680" w:type="dxa"/>
            <w:vAlign w:val="bottom"/>
            <w:gridSpan w:val="5"/>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68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3"/>
                <w:szCs w:val="13"/>
                <w:b w:val="1"/>
                <w:bCs w:val="1"/>
                <w:color w:val="auto"/>
                <w:w w:val="95"/>
              </w:rPr>
              <w:t>Mistras Group,</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50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center"/>
              <w:ind w:right="200"/>
              <w:spacing w:after="0" w:line="85" w:lineRule="exact"/>
              <w:rPr>
                <w:sz w:val="20"/>
                <w:szCs w:val="20"/>
                <w:color w:val="auto"/>
              </w:rPr>
            </w:pPr>
            <w:r>
              <w:rPr>
                <w:rFonts w:ascii="Times New Roman" w:cs="Times New Roman" w:eastAsia="Times New Roman" w:hAnsi="Times New Roman"/>
                <w:sz w:val="9"/>
                <w:szCs w:val="9"/>
                <w:b w:val="1"/>
                <w:bCs w:val="1"/>
                <w:color w:val="auto"/>
              </w:rPr>
              <w:t>Additional</w:t>
            </w:r>
          </w:p>
        </w:tc>
        <w:tc>
          <w:tcPr>
            <w:tcW w:w="120" w:type="dxa"/>
            <w:vAlign w:val="bottom"/>
          </w:tcPr>
          <w:p>
            <w:pPr>
              <w:spacing w:after="0"/>
              <w:rPr>
                <w:sz w:val="7"/>
                <w:szCs w:val="7"/>
                <w:color w:val="auto"/>
              </w:rPr>
            </w:pPr>
          </w:p>
        </w:tc>
        <w:tc>
          <w:tcPr>
            <w:tcW w:w="880" w:type="dxa"/>
            <w:vAlign w:val="bottom"/>
          </w:tcPr>
          <w:p>
            <w:pPr>
              <w:jc w:val="right"/>
              <w:ind w:right="78"/>
              <w:spacing w:after="0" w:line="85"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tcPr>
          <w:p>
            <w:pPr>
              <w:jc w:val="center"/>
              <w:ind w:right="180"/>
              <w:spacing w:after="0" w:line="85" w:lineRule="exact"/>
              <w:rPr>
                <w:sz w:val="20"/>
                <w:szCs w:val="20"/>
                <w:color w:val="auto"/>
              </w:rPr>
            </w:pPr>
            <w:r>
              <w:rPr>
                <w:rFonts w:ascii="Times New Roman" w:cs="Times New Roman" w:eastAsia="Times New Roman" w:hAnsi="Times New Roman"/>
                <w:sz w:val="9"/>
                <w:szCs w:val="9"/>
                <w:b w:val="1"/>
                <w:bCs w:val="1"/>
                <w:color w:val="auto"/>
              </w:rPr>
              <w:t>other</w:t>
            </w:r>
          </w:p>
        </w:tc>
        <w:tc>
          <w:tcPr>
            <w:tcW w:w="140" w:type="dxa"/>
            <w:vAlign w:val="bottom"/>
          </w:tcPr>
          <w:p>
            <w:pPr>
              <w:spacing w:after="0"/>
              <w:rPr>
                <w:sz w:val="7"/>
                <w:szCs w:val="7"/>
                <w:color w:val="auto"/>
              </w:rPr>
            </w:pPr>
          </w:p>
        </w:tc>
        <w:tc>
          <w:tcPr>
            <w:tcW w:w="1140" w:type="dxa"/>
            <w:vAlign w:val="bottom"/>
            <w:gridSpan w:val="2"/>
          </w:tcPr>
          <w:p>
            <w:pPr>
              <w:jc w:val="center"/>
              <w:ind w:right="240"/>
              <w:spacing w:after="0" w:line="85" w:lineRule="exact"/>
              <w:rPr>
                <w:sz w:val="20"/>
                <w:szCs w:val="20"/>
                <w:color w:val="auto"/>
              </w:rPr>
            </w:pPr>
            <w:r>
              <w:rPr>
                <w:rFonts w:ascii="Times New Roman" w:cs="Times New Roman" w:eastAsia="Times New Roman" w:hAnsi="Times New Roman"/>
                <w:sz w:val="9"/>
                <w:szCs w:val="9"/>
                <w:b w:val="1"/>
                <w:bCs w:val="1"/>
                <w:color w:val="auto"/>
              </w:rPr>
              <w:t>Inc.</w:t>
            </w:r>
          </w:p>
        </w:tc>
        <w:tc>
          <w:tcPr>
            <w:tcW w:w="120" w:type="dxa"/>
            <w:vAlign w:val="bottom"/>
          </w:tcPr>
          <w:p>
            <w:pPr>
              <w:spacing w:after="0"/>
              <w:rPr>
                <w:sz w:val="7"/>
                <w:szCs w:val="7"/>
                <w:color w:val="auto"/>
              </w:rPr>
            </w:pPr>
          </w:p>
        </w:tc>
        <w:tc>
          <w:tcPr>
            <w:tcW w:w="1160" w:type="dxa"/>
            <w:vAlign w:val="bottom"/>
            <w:gridSpan w:val="2"/>
          </w:tcPr>
          <w:p>
            <w:pPr>
              <w:jc w:val="center"/>
              <w:ind w:right="220"/>
              <w:spacing w:after="0" w:line="85" w:lineRule="exact"/>
              <w:rPr>
                <w:sz w:val="20"/>
                <w:szCs w:val="20"/>
                <w:color w:val="auto"/>
              </w:rPr>
            </w:pPr>
            <w:r>
              <w:rPr>
                <w:rFonts w:ascii="Times New Roman" w:cs="Times New Roman" w:eastAsia="Times New Roman" w:hAnsi="Times New Roman"/>
                <w:sz w:val="9"/>
                <w:szCs w:val="9"/>
                <w:b w:val="1"/>
                <w:bCs w:val="1"/>
                <w:color w:val="auto"/>
              </w:rPr>
              <w:t>Non-controlling</w:t>
            </w: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20" w:type="dxa"/>
            <w:vAlign w:val="bottom"/>
          </w:tcPr>
          <w:p>
            <w:pPr>
              <w:spacing w:after="0"/>
              <w:rPr>
                <w:sz w:val="16"/>
                <w:szCs w:val="16"/>
                <w:color w:val="auto"/>
              </w:rPr>
            </w:pPr>
          </w:p>
        </w:tc>
        <w:tc>
          <w:tcPr>
            <w:tcW w:w="880" w:type="dxa"/>
            <w:vAlign w:val="bottom"/>
          </w:tcPr>
          <w:p>
            <w:pPr>
              <w:jc w:val="right"/>
              <w:ind w:right="27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20" w:type="dxa"/>
            <w:vAlign w:val="bottom"/>
          </w:tcPr>
          <w:p>
            <w:pPr>
              <w:spacing w:after="0"/>
              <w:rPr>
                <w:sz w:val="16"/>
                <w:szCs w:val="16"/>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257"/>
        </w:trPr>
        <w:tc>
          <w:tcPr>
            <w:tcW w:w="25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250,832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198,568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198,895</w:t>
            </w: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(3,168)</w:t>
            </w:r>
          </w:p>
        </w:tc>
        <w:tc>
          <w:tcPr>
            <w:tcW w:w="0" w:type="dxa"/>
            <w:vAlign w:val="bottom"/>
          </w:tcPr>
          <w:p>
            <w:pPr>
              <w:spacing w:after="0"/>
              <w:rPr>
                <w:sz w:val="1"/>
                <w:szCs w:val="1"/>
                <w:color w:val="auto"/>
              </w:rPr>
            </w:pPr>
          </w:p>
        </w:tc>
      </w:tr>
      <w:tr>
        <w:trPr>
          <w:trHeight w:val="18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2,473</w:t>
            </w: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0" w:type="dxa"/>
            <w:vAlign w:val="bottom"/>
          </w:tcPr>
          <w:p>
            <w:pPr>
              <w:spacing w:after="0"/>
              <w:rPr>
                <w:sz w:val="1"/>
                <w:szCs w:val="1"/>
                <w:color w:val="auto"/>
              </w:rPr>
            </w:pPr>
          </w:p>
        </w:tc>
      </w:tr>
      <w:tr>
        <w:trPr>
          <w:trHeight w:val="18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w:t>
            </w:r>
          </w:p>
        </w:tc>
        <w:tc>
          <w:tcPr>
            <w:tcW w:w="0" w:type="dxa"/>
            <w:vAlign w:val="bottom"/>
          </w:tcPr>
          <w:p>
            <w:pPr>
              <w:spacing w:after="0"/>
              <w:rPr>
                <w:sz w:val="1"/>
                <w:szCs w:val="1"/>
                <w:color w:val="auto"/>
              </w:rPr>
            </w:pPr>
          </w:p>
        </w:tc>
      </w:tr>
      <w:tr>
        <w:trPr>
          <w:trHeight w:val="169"/>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31,326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251,629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(13,170)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(40,200)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198,665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199,001</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0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30,598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247,165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(28,942)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(28,336)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190,192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190,503</w:t>
            </w:r>
          </w:p>
        </w:tc>
        <w:tc>
          <w:tcPr>
            <w:tcW w:w="0" w:type="dxa"/>
            <w:vAlign w:val="bottom"/>
          </w:tcPr>
          <w:p>
            <w:pPr>
              <w:spacing w:after="0"/>
              <w:rPr>
                <w:sz w:val="1"/>
                <w:szCs w:val="1"/>
                <w:color w:val="auto"/>
              </w:rPr>
            </w:pPr>
          </w:p>
        </w:tc>
      </w:tr>
      <w:tr>
        <w:trPr>
          <w:trHeight w:val="18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w:t>
            </w: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(4,229)</w:t>
            </w:r>
          </w:p>
        </w:tc>
        <w:tc>
          <w:tcPr>
            <w:tcW w:w="0" w:type="dxa"/>
            <w:vAlign w:val="bottom"/>
          </w:tcPr>
          <w:p>
            <w:pPr>
              <w:spacing w:after="0"/>
              <w:rPr>
                <w:sz w:val="1"/>
                <w:szCs w:val="1"/>
                <w:color w:val="auto"/>
              </w:rPr>
            </w:pPr>
          </w:p>
        </w:tc>
      </w:tr>
      <w:tr>
        <w:trPr>
          <w:trHeight w:val="18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payments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w:t>
            </w:r>
          </w:p>
        </w:tc>
        <w:tc>
          <w:tcPr>
            <w:tcW w:w="0" w:type="dxa"/>
            <w:vAlign w:val="bottom"/>
          </w:tcPr>
          <w:p>
            <w:pPr>
              <w:spacing w:after="0"/>
              <w:rPr>
                <w:sz w:val="1"/>
                <w:szCs w:val="1"/>
                <w:color w:val="auto"/>
              </w:rPr>
            </w:pPr>
          </w:p>
        </w:tc>
      </w:tr>
      <w:tr>
        <w:trPr>
          <w:trHeight w:val="200"/>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30,911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247,329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187,145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187,465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272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23"/>
        </w:trPr>
        <w:tc>
          <w:tcPr>
            <w:tcW w:w="7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9"/>
        </w:trPr>
        <w:tc>
          <w:tcPr>
            <w:tcW w:w="78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22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r>
      <w:tr>
        <w:trPr>
          <w:trHeight w:val="195"/>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8,381</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Bad debt provision for troubled customers, net of recoveries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loss (gain)</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 of acquisitions and dispositions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(8,696)</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(6,593)</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6,905</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5,645</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(4,555)</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r>
      <w:tr>
        <w:trPr>
          <w:trHeight w:val="19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w:t>
            </w:r>
          </w:p>
        </w:tc>
      </w:tr>
      <w:tr>
        <w:trPr>
          <w:trHeight w:val="20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(5,414)</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(5,648)</w:t>
            </w: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finance lease obligations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revolver</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revolver</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paid related to net share settlement of share-based awards</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r>
      <w:tr>
        <w:trPr>
          <w:trHeight w:val="189"/>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18,317</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17,646</w:t>
            </w:r>
          </w:p>
        </w:tc>
      </w:tr>
      <w:tr>
        <w:trPr>
          <w:trHeight w:val="19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0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18,536</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16,855</w:t>
            </w:r>
          </w:p>
        </w:tc>
      </w:tr>
      <w:tr>
        <w:trPr>
          <w:trHeight w:val="18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paid</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r>
      <w:tr>
        <w:trPr>
          <w:trHeight w:val="195"/>
        </w:trPr>
        <w:tc>
          <w:tcPr>
            <w:tcW w:w="7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net</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3,087</w:t>
            </w:r>
          </w:p>
        </w:tc>
        <w:tc>
          <w:tcPr>
            <w:tcW w:w="120" w:type="dxa"/>
            <w:vAlign w:val="bottom"/>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4,029</w:t>
            </w:r>
          </w:p>
        </w:tc>
      </w:tr>
      <w:tr>
        <w:trPr>
          <w:trHeight w:val="21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r>
      <w:tr>
        <w:trPr>
          <w:trHeight w:val="196"/>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Equipment acquired through finance lease obligations</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w:t>
            </w:r>
          </w:p>
        </w:tc>
      </w:tr>
    </w:tbl>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Mistras Group, Inc., together with its subsidiaries (the "Company"), is a leading "one source" multinational provider of integrated technology-enabled asset protection solutions helping to maximize the safety and operational uptime for civilization’s most critical industrial and civil assets.</w:t>
      </w:r>
    </w:p>
    <w:p>
      <w:pPr>
        <w:spacing w:after="0" w:line="175"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and decades-long legacy of industry leadership, the Company helps customers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building real-time monitoring equipment to enable safe travel across bridges; and helping to propel sustainability, the Company helps the world at large.</w:t>
      </w:r>
    </w:p>
    <w:p>
      <w:pPr>
        <w:spacing w:after="0" w:line="211"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2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core capabilities also include non-destructive testing ("NDT") field inspections enhanced by advanced robotics, laboratory quality control, laboratory materials services, shop laboratory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operating segments. Our segments are as follows:</w:t>
      </w:r>
    </w:p>
    <w:p>
      <w:pPr>
        <w:spacing w:after="0" w:line="250" w:lineRule="exact"/>
        <w:rPr>
          <w:sz w:val="20"/>
          <w:szCs w:val="20"/>
          <w:color w:val="auto"/>
        </w:rPr>
      </w:pPr>
    </w:p>
    <w:p>
      <w:pPr>
        <w:ind w:left="900" w:right="20" w:hanging="244"/>
        <w:spacing w:after="0" w:line="261" w:lineRule="auto"/>
        <w:tabs>
          <w:tab w:leader="none" w:pos="89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40" w:hanging="244"/>
        <w:spacing w:after="0" w:line="267"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60" w:hanging="244"/>
        <w:spacing w:after="0" w:line="284"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t>We may experience increased costs associated with tariffs or trade barriers (including recent U.S. tariffs imposed or threatened to be imposed on China, Canada, Mexico and other countries and any retaliatory actions taken by such countries). The Company will continue to monitor market conditions and respond accordingly.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contained in this report have been prepared in conformity with U.S. generally accepted accounting principles ("GAAP") and Securities and Exchange Commission ("SEC") guidance allowing for reduced disclosure for interim periods. In the opinion of management, the Unaudited Condensed Consolidated Financial Statements include all adjustments, which are of a normal recurring nature, necessary for a fair presentation of the results for the interim periods of the years ending December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Annual Report on Form 10-K for the year ended December 31, 2024 (the "2024 Annual Report").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Mistras Group, Inc. as well as its wholly-owned subsidiaries, majority-owned subsidiaries and consolidated variable interest entities (VIE). For consolidated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Income (Loss). All significant intercompany accounts and transactions have been eliminated in consolidation.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Principle</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year presentation. The impacts of the reclassifications are shown in the tables below. Any reclassifications not shown below did not have a material effect on the Company's financial condition or results of operations as previously reported.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Classification of Certain Expenses from Selling, General and Administrative Expenses to Cost of Revenue</w:t>
      </w:r>
    </w:p>
    <w:p>
      <w:pPr>
        <w:spacing w:after="0" w:line="24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During the period from January 1, 2025 through March 31, 2025, the Company changed the presentation of certain costs incurred at its operational labs as well as the costs for certain personnel that indirectly support the Company’s delivery of services on its Unaudited Condensed Consolidated Statements of Income (Loss). This voluntary change in classification of certain overhead and personnel costs, which were determined to be directly related to the Company’s delivery of services, resulted in a decrease in selling, general and administrative expenses and an offsetting increase in cost of revenue. The Company believes this presentation is preferable as it will provide greater transparency regarding its cost of revenue and better align with how the business is managed.</w:t>
      </w:r>
    </w:p>
    <w:p>
      <w:pPr>
        <w:spacing w:after="0" w:line="22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change in classification has been applied retrospectively to all periods presented and affects Selling, general and administrative expenses; Cost of revenue; and Gross profit on the Company's Unaudited Condensed Consolidated Statements of Income (Loss). This change in presentation had no impact to Revenue, Income (loss) from operations, Income (loss) before provision (benefit) for income taxes, Provision (benefit) for income taxes, Net income (loss), Earnings (loss) per common share, or other components of equity, net assets or cash flows. In addition, Selling, general and administrative expenses and Other Expenses information disclosed in Note 14 Segment Disclosure was updated for this change. The impacts of the update to the presentation of certain indirect costs on the Company’s Condensed Consolidated Financial Statements for the three months ended March 31, 2025 and 2024 are reflected below under the "Effect of change" columns</w:t>
      </w:r>
      <w:r>
        <w:rPr>
          <w:rFonts w:ascii="Times New Roman" w:cs="Times New Roman" w:eastAsia="Times New Roman" w:hAnsi="Times New Roman"/>
          <w:sz w:val="19"/>
          <w:szCs w:val="19"/>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4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3"/>
        </w:trPr>
        <w:tc>
          <w:tcPr>
            <w:tcW w:w="4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0"/>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Prior Presentation Method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Effect of change</w:t>
            </w:r>
          </w:p>
        </w:tc>
        <w:tc>
          <w:tcPr>
            <w:tcW w:w="420" w:type="dxa"/>
            <w:vAlign w:val="bottom"/>
          </w:tcPr>
          <w:p>
            <w:pPr>
              <w:spacing w:after="0"/>
              <w:rPr>
                <w:sz w:val="16"/>
                <w:szCs w:val="16"/>
                <w:color w:val="auto"/>
              </w:rPr>
            </w:pPr>
          </w:p>
        </w:tc>
        <w:tc>
          <w:tcPr>
            <w:tcW w:w="18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As Reported</w:t>
            </w: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center"/>
              <w:ind w:left="1275"/>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115,286</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jc w:val="center"/>
              <w:ind w:left="1255"/>
              <w:spacing w:after="0"/>
              <w:rPr>
                <w:sz w:val="20"/>
                <w:szCs w:val="20"/>
                <w:color w:val="auto"/>
              </w:rPr>
            </w:pPr>
            <w:r>
              <w:rPr>
                <w:rFonts w:ascii="Times New Roman" w:cs="Times New Roman" w:eastAsia="Times New Roman" w:hAnsi="Times New Roman"/>
                <w:sz w:val="18"/>
                <w:szCs w:val="18"/>
                <w:color w:val="auto"/>
                <w:w w:val="98"/>
              </w:rPr>
              <w:t>(5,986)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40,892</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center"/>
              <w:ind w:left="1255"/>
              <w:spacing w:after="0"/>
              <w:rPr>
                <w:sz w:val="20"/>
                <w:szCs w:val="20"/>
                <w:color w:val="auto"/>
              </w:rPr>
            </w:pPr>
            <w:r>
              <w:rPr>
                <w:rFonts w:ascii="Times New Roman" w:cs="Times New Roman" w:eastAsia="Times New Roman" w:hAnsi="Times New Roman"/>
                <w:sz w:val="18"/>
                <w:szCs w:val="18"/>
                <w:color w:val="auto"/>
                <w:w w:val="98"/>
              </w:rPr>
              <w:t>(5,986)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35,652</w:t>
            </w:r>
          </w:p>
        </w:tc>
      </w:tr>
      <w:tr>
        <w:trPr>
          <w:trHeight w:val="543"/>
        </w:trPr>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
        </w:trPr>
        <w:tc>
          <w:tcPr>
            <w:tcW w:w="4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0"/>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Effect of change</w:t>
            </w:r>
          </w:p>
        </w:tc>
        <w:tc>
          <w:tcPr>
            <w:tcW w:w="420" w:type="dxa"/>
            <w:vAlign w:val="bottom"/>
          </w:tcPr>
          <w:p>
            <w:pPr>
              <w:spacing w:after="0"/>
              <w:rPr>
                <w:sz w:val="16"/>
                <w:szCs w:val="16"/>
                <w:color w:val="auto"/>
              </w:rPr>
            </w:pPr>
          </w:p>
        </w:tc>
        <w:tc>
          <w:tcPr>
            <w:tcW w:w="18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center"/>
              <w:ind w:left="1275"/>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132,355</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jc w:val="center"/>
              <w:ind w:left="1255"/>
              <w:spacing w:after="0"/>
              <w:rPr>
                <w:sz w:val="20"/>
                <w:szCs w:val="20"/>
                <w:color w:val="auto"/>
              </w:rPr>
            </w:pPr>
            <w:r>
              <w:rPr>
                <w:rFonts w:ascii="Times New Roman" w:cs="Times New Roman" w:eastAsia="Times New Roman" w:hAnsi="Times New Roman"/>
                <w:sz w:val="18"/>
                <w:szCs w:val="18"/>
                <w:color w:val="auto"/>
                <w:w w:val="98"/>
              </w:rPr>
              <w:t>(4,937)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46,153</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center"/>
              <w:ind w:left="1255"/>
              <w:spacing w:after="0"/>
              <w:rPr>
                <w:sz w:val="20"/>
                <w:szCs w:val="20"/>
                <w:color w:val="auto"/>
              </w:rPr>
            </w:pPr>
            <w:r>
              <w:rPr>
                <w:rFonts w:ascii="Times New Roman" w:cs="Times New Roman" w:eastAsia="Times New Roman" w:hAnsi="Times New Roman"/>
                <w:sz w:val="18"/>
                <w:szCs w:val="18"/>
                <w:color w:val="auto"/>
                <w:w w:val="98"/>
              </w:rPr>
              <w:t>(4,937)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Note 1–</w:t>
      </w:r>
      <w:r>
        <w:rPr>
          <w:rFonts w:ascii="Times New Roman" w:cs="Times New Roman" w:eastAsia="Times New Roman" w:hAnsi="Times New Roman"/>
          <w:sz w:val="18"/>
          <w:szCs w:val="18"/>
          <w:b w:val="1"/>
          <w:bCs w:val="1"/>
          <w:i w:val="1"/>
          <w:iCs w:val="1"/>
          <w:color w:val="auto"/>
        </w:rPr>
        <w:t>Summary of Significant Accounting Policies and Practices</w:t>
      </w:r>
      <w:r>
        <w:rPr>
          <w:rFonts w:ascii="Times New Roman" w:cs="Times New Roman" w:eastAsia="Times New Roman" w:hAnsi="Times New Roman"/>
          <w:sz w:val="18"/>
          <w:szCs w:val="18"/>
          <w:color w:val="auto"/>
        </w:rPr>
        <w:t xml:space="preserve"> in the 2024 Annual Report. On an ongoing basis, the Company evaluates its estimates and assumptions, including among other things, those related to revenue recognition, long-lived assets, goodwill and acquisitions. Since the date of the 2024 Annual Report, there have been no material changes to the Company’s significant accounting policies.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 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management concluded that it is more likely than not that a substantial portion of the Company's deferred tax assets will be realized.</w:t>
      </w:r>
    </w:p>
    <w:p>
      <w:pPr>
        <w:spacing w:after="0" w:line="25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20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approximately 26.9% and 10.6% for the three months ended March 31, 2025 and 2024, respectively. The effective income tax rate benefit for the three months ended March 31, 2025 was higher than the statutory rate primarily due to the impact of a favorable discrete item related to stock compensation.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to expand the disclosures about a public entity's reportable segments and address requests from investors for additional, more detailed information about a reportable segment's expenses. The new standard is effective for fiscal years beginning after December 15, 2023, and interim periods within fiscal years beginning after December 15, 2024. We adopted the provisions of this ASU in the fourth quarter of 2024 and applied the provisions retrospectively to each period presented in the consolidated financial statements. Adoption of the new standard did not have a material impact on our condensed consolidated financial statements.</w:t>
      </w:r>
    </w:p>
    <w:p>
      <w:pPr>
        <w:spacing w:after="0" w:line="21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to enhance the transparency and decision usefulness of income tax disclosures, primarily related to the rate reconciliation and income taxes paid disclosures. The new standard is effective for fiscal years beginning after December 15, 2024. We are currently evaluating the impacts this standard will have on our disclosures.</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November 4, 2024, the FASB issued ASU 2024-03, Income Statement - Reporting Comprehensive Income (Topic 220): Expense Disaggregation Disclosures, to require disaggregation of certain expense captions into specified categories in disclosures within the notes of the financial statements. The standard is effective for fiscal years beginning after December 31, 2026 and early adoption is permitted. The guidance is required to be applied prospectively and amendments in the ASU may be applied prospectively or retrospectively. We are currently evaluating the impacts this standard will have on our disclosures.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6, 2024, the SEC adopted the final rule under SEC Release No. 33-11275, The Enhancement and Standardization of Climate-Related Disclosures for Investors, which will require registrants to provide certain climate-related information in their registration statements and periodic reports. The required disclosures will include, but are not limited to, specific disclosures about climate-related risks and their actual or likely material impacts on the registrant’s business, strategy, and outlook; the governance of climate-related risks and relevant risk management processes; Scope 1 and 2 greenhouse gas (GHG) emissions, if material or included in announced emission targets; certain climate-related financial statement metrics and related disclosures in a note to the audited financial statements; and information about climate-related targets and goals. The rules are effective 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rolling basis for various fiscal years, beginning for the Company with annual reports for the year ending December 31, 2025. However, in response to various legal challenges, the SEC voluntarily stayed the rules on April 4, 2024, which may impact the ultimate effective date of the rules. We will continue to monitor any developments on these rules and expected timing for compliance.</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Revenue</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The Company derives the majority of its revenue by providing services on a time and material basis, and are short-term in nature. 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any significant remaining performance obligations to be satisfied within one 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industry was as follows:</w:t>
      </w:r>
    </w:p>
    <w:p>
      <w:pPr>
        <w:spacing w:after="0" w:line="4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60" w:type="dxa"/>
            <w:vAlign w:val="bottom"/>
          </w:tcPr>
          <w:p>
            <w:pPr>
              <w:spacing w:after="0"/>
              <w:rPr>
                <w:sz w:val="16"/>
                <w:szCs w:val="16"/>
                <w:color w:val="auto"/>
              </w:rPr>
            </w:pP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96,564</w:t>
            </w: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20,404</w:t>
            </w:r>
          </w:p>
        </w:tc>
      </w:tr>
      <w:tr>
        <w:trPr>
          <w:trHeight w:val="229"/>
        </w:trPr>
        <w:tc>
          <w:tcPr>
            <w:tcW w:w="2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18,570</w:t>
            </w: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w:t>
            </w: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r>
      <w:tr>
        <w:trPr>
          <w:trHeight w:val="229"/>
        </w:trPr>
        <w:tc>
          <w:tcPr>
            <w:tcW w:w="20" w:type="dxa"/>
            <w:vAlign w:val="bottom"/>
          </w:tcPr>
          <w:p>
            <w:pPr>
              <w:spacing w:after="0"/>
              <w:rPr>
                <w:sz w:val="19"/>
                <w:szCs w:val="19"/>
                <w:color w:val="auto"/>
              </w:rPr>
            </w:pPr>
          </w:p>
        </w:tc>
        <w:tc>
          <w:tcPr>
            <w:tcW w:w="3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r>
      <w:tr>
        <w:trPr>
          <w:trHeight w:val="248"/>
        </w:trPr>
        <w:tc>
          <w:tcPr>
            <w:tcW w:w="20" w:type="dxa"/>
            <w:vAlign w:val="bottom"/>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161,615</w:t>
            </w: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60" w:type="dxa"/>
            <w:vAlign w:val="bottom"/>
          </w:tcPr>
          <w:p>
            <w:pPr>
              <w:spacing w:after="0"/>
              <w:rPr>
                <w:sz w:val="24"/>
                <w:szCs w:val="24"/>
                <w:color w:val="auto"/>
              </w:rPr>
            </w:pP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&amp; Gas</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113,165</w:t>
            </w: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22,118</w:t>
            </w:r>
          </w:p>
        </w:tc>
      </w:tr>
      <w:tr>
        <w:trPr>
          <w:trHeight w:val="229"/>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w:t>
            </w: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w:t>
            </w: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29"/>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w:t>
            </w: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r>
      <w:tr>
        <w:trPr>
          <w:trHeight w:val="230"/>
        </w:trPr>
        <w:tc>
          <w:tcPr>
            <w:tcW w:w="20" w:type="dxa"/>
            <w:vAlign w:val="bottom"/>
            <w:tcBorders>
              <w:bottom w:val="single" w:sz="8" w:color="CCEEFF"/>
            </w:tcBorders>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w:t>
            </w:r>
          </w:p>
        </w:tc>
      </w:tr>
      <w:tr>
        <w:trPr>
          <w:trHeight w:val="243"/>
        </w:trPr>
        <w:tc>
          <w:tcPr>
            <w:tcW w:w="20" w:type="dxa"/>
            <w:vAlign w:val="bottom"/>
            <w:shd w:val="clear" w:color="auto" w:fill="CCEEFF"/>
          </w:tcPr>
          <w:p>
            <w:pPr>
              <w:spacing w:after="0"/>
              <w:rPr>
                <w:sz w:val="21"/>
                <w:szCs w:val="21"/>
                <w:color w:val="auto"/>
              </w:rPr>
            </w:pPr>
          </w:p>
        </w:tc>
        <w:tc>
          <w:tcPr>
            <w:tcW w:w="3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per key geographic location was as follows:</w:t>
      </w: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118,264</w:t>
            </w: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Americas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w:t>
            </w:r>
          </w:p>
        </w:tc>
      </w:tr>
      <w:tr>
        <w:trPr>
          <w:trHeight w:val="22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28,202</w:t>
            </w:r>
          </w:p>
        </w:tc>
      </w:tr>
      <w:tr>
        <w:trPr>
          <w:trHeight w:val="230"/>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48"/>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161,615</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160" w:type="dxa"/>
            <w:vAlign w:val="bottom"/>
          </w:tcPr>
          <w:p>
            <w:pPr>
              <w:spacing w:after="0"/>
              <w:rPr>
                <w:sz w:val="24"/>
                <w:szCs w:val="24"/>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129,839</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19,361</w:t>
            </w: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30,121</w:t>
            </w:r>
          </w:p>
        </w:tc>
      </w:tr>
      <w:tr>
        <w:trPr>
          <w:trHeight w:val="230"/>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w:t>
            </w:r>
          </w:p>
        </w:tc>
      </w:tr>
      <w:tr>
        <w:trPr>
          <w:trHeight w:val="248"/>
        </w:trPr>
        <w:tc>
          <w:tcPr>
            <w:tcW w:w="3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184,442</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recognized during the three months ended March 31, 2025 and 2024 that was included in the contract liability balance at the beginning of the year was $3.3 million and $2.9 million, respectively. Changes in the contract asset and liability balances during these periods were not materially impacted by any other factors. The Company applies the practical expedient to expense incremental costs incurred related to obtaining a contract when the amortization period of the asset that the Company otherwise would have recognized is one year or less.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grants share-based incentive awards to its eligible employees and non-employee directors under its 2016 Long-Term Incentive Plan (the "2016 Plan"). Awards granted under the 2016 Plan may be in the form of stock options, restricted stock units and other forms of share-based incentives, including performance-based restricted stock units, stock appreciation rights and deferred stock rights. At the annual shareholders meeting on May 14, 2024, the Company’s shareholders approved an amendment to increase the total number of shares that may be issued under the 2016 Plan by 1.3 million, for a total of 6.2 million shares that are authorized for issuance under the 2016 Plan, of which approximately 665,000 shares were available for future grants as of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31, 2024, the Compensation Committee (the "Compensation Committee") of the Company's Board of Directors approved the grant to Mr. Stamatakis, of a stock option for the purchase of 375,000 shares of the Company's common stock at an exercise price per share equal to the closing price of the common stock, as reported on the New York Stock Exchange (the "NYSE"), on the grant date of January 6, 2025 (the "Grant Date"). This stock option will vest and become exercisable on the first anniversary of the Grant Date, subject to accelerated vesting and exercisability upon termination of Mr. Stamatakis's employment due to his death or disability. In addition, if Mr. Stamatakis' employment ceases due to his termination by the Company without cause or his resignation with good reason then pursuant to his employment agreement with the Company, the vesting and exercisability of this stock option will also accelerate. The outside expiration date of this stock option is the tenth anniversary of the Grant Date.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stock option activity, weighted-average exercise prices and options outstanding as of March 31, 2025 (in thousands, except per share amounts and years):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5320" w:type="dxa"/>
            <w:vAlign w:val="bottom"/>
          </w:tcPr>
          <w:p>
            <w:pPr>
              <w:spacing w:after="0"/>
              <w:rPr>
                <w:sz w:val="11"/>
                <w:szCs w:val="11"/>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1"/>
                <w:szCs w:val="11"/>
                <w:color w:val="auto"/>
              </w:rPr>
            </w:pPr>
          </w:p>
        </w:tc>
        <w:tc>
          <w:tcPr>
            <w:tcW w:w="1120" w:type="dxa"/>
            <w:vAlign w:val="bottom"/>
          </w:tcPr>
          <w:p>
            <w:pPr>
              <w:jc w:val="center"/>
              <w:ind w:right="179"/>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3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2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3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8"/>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Expired or forfeited</w:t>
            </w: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recognized $0.5 million of share-based compensation expense within Reorganization and other costs related to the stock options granted in the first quarter of 2025 and $1.5 million of share-based compensation expense related to stock options remains unrecognized as of the end of the current period, which is all expected to be recognized during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Issuances to Non-Employee Directors</w:t>
      </w:r>
    </w:p>
    <w:p>
      <w:pPr>
        <w:spacing w:after="0" w:line="243"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As part of its compensation program for non-employee directors, the Company issues fully-vested common stock to its non-employee directors. Prior to 2025, the shares of common stock were issued in semi-annual awards during the quarters ended March 31 and September 30. In 2025, non-employee directors will receive a single award during the quarter ended June 30, 2025. A summary of the fully-vested common stock the Company issued to its non-employee directors, in connection with its non-employee director compensation,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68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issued</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 of awards issued</w:t>
            </w:r>
          </w:p>
        </w:tc>
        <w:tc>
          <w:tcPr>
            <w:tcW w:w="1100" w:type="dxa"/>
            <w:vAlign w:val="bottom"/>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2025 and March 31, 2024, the Company recognized share-based compensation expense within Selling, general and administrative expenses related to restricted stock unit awards of $1.1 million and $1.0 million, respectively. For the three months ended March 31, 2025, the Company recognized share-based compensation expense within Reorganization and other costs related to restricted stock unit awards of $0.5 million. As of March 31, 2025, there was $8.8 million of unrecognized compensation costs, net of estimated forfeitures, related to restricted stock unit awards, which is expected to be recognized over a remaining weighted-average period of 2.5 years. Upon vesting, restricted stock units are generally net share-settled to cover the required withholding tax and the remaining amount is converted into an equivalent number of shares of common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vesting activity of restricted stock unit awards, with the respective fair value of the awards,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62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 vested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awards vested</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20" w:type="dxa"/>
            <w:vAlign w:val="bottom"/>
          </w:tcPr>
          <w:p>
            <w:pPr>
              <w:spacing w:after="0"/>
              <w:rPr>
                <w:sz w:val="20"/>
                <w:szCs w:val="20"/>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non-vested restricted share units is as follows:</w:t>
      </w:r>
    </w:p>
    <w:p>
      <w:pPr>
        <w:spacing w:after="0" w:line="4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0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5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8"/>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7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29"/>
        </w:trPr>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2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5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maintains Performance Restricted Stock Units ("PRSUs") that have been granted to select executives and senior officers, the ultimate payout of which may vary between zero and 200% of the target award, based on the Company’s performance over a one-year period based on specific metrics approved by the Compensation Committee of the Board of Directors of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2024, the Compensation Committee used the following three performance metrics for PRSUs awarded in that year.</w:t>
      </w:r>
    </w:p>
    <w:p>
      <w:pPr>
        <w:spacing w:after="0" w:line="250" w:lineRule="exact"/>
        <w:rPr>
          <w:sz w:val="20"/>
          <w:szCs w:val="20"/>
          <w:color w:val="auto"/>
        </w:rPr>
      </w:pPr>
    </w:p>
    <w:p>
      <w:pPr>
        <w:ind w:left="660" w:hanging="328"/>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defined as net cash provided by operating activities less purchases of property, plant, equipment and intangible assets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adjustments approved by the Compensation Committee.</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defined as net income attributable to the Company plus: interest expense, provision for income taxes,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PRSUs awarded in 2025, the Compensation Committee utilized the same metrics as 2024 PRSUs, but with revised performance goals.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PRSUs are equity-classified and compensation costs related to PRSUs with performance conditions are initially measured using the fair value of the underlying stock at the date of grant. Compensation costs related to the PRSUs with performance conditions are subsequently adjusted for changes in the expected outcomes of the performance conditions. Compensation cost related to the PRSUs with a market condition is not reversed if the market condition is not achieved, provided the employee requisite service has been rendered. Earned PRSUs generally vest ratably in four equal annual installments over the four years following completion of the performance period, for a total requisite service period of up to five years, and have no dividend equivalent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is as follows:</w:t>
      </w:r>
    </w:p>
    <w:p>
      <w:pPr>
        <w:spacing w:after="0" w:line="4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0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0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7"/>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58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9"/>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Performance condition adjustments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and March 31, 2024, the Company recognized aggregate share-based compensation expense related to the awards described above of approximately $0.2 million and $0.1 million, respectively. At March 31, 2025, there was $5.5 million of total unrecognized compensation costs related to approximately 620,000 non-vested PRSUs, which is expected to be recognized over a remaining weighted-average period of 3.2 years.</w:t>
      </w:r>
    </w:p>
    <w:p>
      <w:pPr>
        <w:spacing w:after="0" w:line="200" w:lineRule="exact"/>
        <w:rPr>
          <w:sz w:val="20"/>
          <w:szCs w:val="20"/>
          <w:color w:val="auto"/>
        </w:rPr>
      </w:pPr>
    </w:p>
    <w:p>
      <w:pPr>
        <w:spacing w:after="0" w:line="2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(Loss) earnings per Share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Basic (loss) earnings per share is computed by dividing net (loss) income by the weighted-average number of shares outstanding during the period. Diluted (loss) earnings per share is computed by dividing net (loss) income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 (i) the exercise of options to acquire common stock to the extent that the options’ exercise prices are less than the average market price of common shares during the period and (ii) the pro forma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(loss) earnings per share: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40"/>
        </w:trPr>
        <w:tc>
          <w:tcPr>
            <w:tcW w:w="8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(loss) earnings per share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Mistras Group, Inc.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(loss) earnings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57"/>
        </w:trPr>
        <w:tc>
          <w:tcPr>
            <w:tcW w:w="8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earnings per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Mistras Group, Inc.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Dilutive effect of stock options outstanding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Dilutive effect of restricted stock units outstanding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48"/>
        </w:trPr>
        <w:tc>
          <w:tcPr>
            <w:tcW w:w="80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40" w:type="dxa"/>
            <w:vAlign w:val="bottom"/>
            <w:vMerge w:val="continue"/>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9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right="140" w:hanging="172"/>
        <w:spacing w:after="0" w:line="236" w:lineRule="auto"/>
        <w:tabs>
          <w:tab w:leader="none" w:pos="183"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three months ended March 31, 2025, 145,000 shares, related to stock options and 808,000 shares, related to restricted stock units were excluded from the calculation of diluted (loss) earnings per share due to the net loss for the period.</w:t>
      </w:r>
    </w:p>
    <w:p>
      <w:pPr>
        <w:spacing w:after="0" w:line="200" w:lineRule="exact"/>
        <w:rPr>
          <w:sz w:val="20"/>
          <w:szCs w:val="20"/>
          <w:color w:val="auto"/>
        </w:rPr>
      </w:pPr>
    </w:p>
    <w:p>
      <w:pPr>
        <w:spacing w:after="0" w:line="2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 (in thousands):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129,894</w:t>
            </w:r>
          </w:p>
        </w:tc>
      </w:tr>
      <w:tr>
        <w:trPr>
          <w:trHeight w:val="230"/>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48"/>
        </w:trPr>
        <w:tc>
          <w:tcPr>
            <w:tcW w:w="7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had $34.4 million and $21.3 million of unbilled revenue accrued as of March 31, 2025 and December 31, 2024, respectively. These amounts are included in the trade accounts receivable balances above. Unbilled revenue is generally billed in the subsequent quarter to their revenue recognition. The Company considers unbilled receivables as short-term in nature as they are normally converted to trade receivables within 90 days, thus future changes in economic conditions will not have a significant effect on the credit loss estimate.</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Consumable supplies</w:t>
            </w: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6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284,453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331,223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(248,427)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2025 and 2024 was approximately $6.0 million and $6.5 million, respectively.</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is shown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 and Systems</w:t>
            </w: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181,442</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181,530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20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performed a quantitative annual impairment test as of October 1, 2024 and the Company did not identify any changes in circumstances that would indicate the carrying value of goodwill may not be recoverable. Additionally, through March 31, 2025,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amount, accumulated amortization and net carrying amount of intangible assets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5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0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93"/>
        </w:trPr>
        <w:tc>
          <w:tcPr>
            <w:tcW w:w="304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23,484</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three months ended March 31, 2025 and 2024 was approximately $1.8 million and $1.9 million, respectively.</w:t>
      </w:r>
    </w:p>
    <w:p>
      <w:pPr>
        <w:spacing w:after="0" w:line="23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tab/>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27,990</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workers’ compensation and health benefits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accrual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liability - Operating</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Long-Term Debt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7"/>
                <w:szCs w:val="17"/>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credit facility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59,650</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net of unamortized debt issuance costs of $0.2 million and $0.3 million, respectively</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169,647</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159,500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158,056</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2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On August 1, 2022, the Company entered into a credit agreement (the “Credit Agreement”), which provides the Company with a $190 million 5-year committed revolving credit facility and a $125 million term loan with a balance of $105.2 million as of March 31, 2025. The Credit Agreement permits the Company to borrow up to $100 million in non-U.S. dollar currencies and to use up to $20 million of the credit limit for the issuance of letters of credit. Both the revolving line of credit and the term loan under the Credit Agreement have a maturity date of July 30, 2027.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has the following key terms, conditions and financial covenants:</w:t>
      </w:r>
    </w:p>
    <w:p>
      <w:pPr>
        <w:spacing w:after="0" w:line="225" w:lineRule="exact"/>
        <w:rPr>
          <w:sz w:val="20"/>
          <w:szCs w:val="20"/>
          <w:color w:val="auto"/>
        </w:rPr>
      </w:pPr>
    </w:p>
    <w:p>
      <w:pPr>
        <w:ind w:left="660" w:right="340" w:hanging="328"/>
        <w:spacing w:after="0" w:line="24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bear interest at Secured Overnight Financing Rate ("SOFR") plus a credit spread adjustment and applicable SOFR margin ranging from 1.25% to 2.75%, based upon our Total Consolidated Debt Leverage Ratio (defined below).</w:t>
      </w:r>
    </w:p>
    <w:p>
      <w:pPr>
        <w:ind w:left="1300" w:right="720" w:hanging="320"/>
        <w:spacing w:after="0" w:line="226"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Leverage Ratio means the ratio of (a) Total Consolidated Debt to (b) EBITDA (as defined in the Credit Agreement) for the trailing four consecutive fiscal quarters.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means all indebtedness (including subordinated debt) of the Company on a consolidated basis.</w:t>
      </w:r>
    </w:p>
    <w:p>
      <w:pPr>
        <w:spacing w:after="0" w:line="205" w:lineRule="exact"/>
        <w:rPr>
          <w:rFonts w:ascii="Times New Roman" w:cs="Times New Roman" w:eastAsia="Times New Roman" w:hAnsi="Times New Roman"/>
          <w:sz w:val="18"/>
          <w:szCs w:val="18"/>
          <w:color w:val="auto"/>
        </w:rPr>
      </w:pPr>
    </w:p>
    <w:p>
      <w:pPr>
        <w:jc w:val="both"/>
        <w:ind w:left="660" w:right="40" w:hanging="328"/>
        <w:spacing w:after="0" w:line="24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benefit of the lowest SOFR margin if its Total Consolidated Debt Leverage Ratio is equal to or less than 1.25 to 1.0, and the margin increases as the ratio increases, to the maximum margin if the ratio is greater than 3.75 to 1.0. The Credit Agreement is secured by liens on substantially all the assets of the Company and certain of its U.S subsidiaries and is guaranteed by those U.S. subsidiaries.</w:t>
      </w:r>
    </w:p>
    <w:p>
      <w:pPr>
        <w:spacing w:after="0" w:line="197"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maintain a Total Consolidated Debt Leverage Ratio of no more than 4.0 to 1.0 at the end of each quarter through June 30, 2023 and stepping down to a maximum permitted ratio of no more than 3.75 to 1.0 for the remainder of the term.</w:t>
      </w:r>
    </w:p>
    <w:p>
      <w:pPr>
        <w:spacing w:after="0" w:line="189"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maintain a Fixed Charge Coverage Ratio of 1.25 to 1.0 for the duration of the Credit Agreement, as defined in the Credit Agreement.</w:t>
      </w:r>
    </w:p>
    <w:p>
      <w:pPr>
        <w:spacing w:after="0" w:line="189" w:lineRule="exact"/>
        <w:rPr>
          <w:rFonts w:ascii="Times New Roman" w:cs="Times New Roman" w:eastAsia="Times New Roman" w:hAnsi="Times New Roman"/>
          <w:sz w:val="18"/>
          <w:szCs w:val="18"/>
          <w:color w:val="auto"/>
        </w:rPr>
      </w:pPr>
    </w:p>
    <w:p>
      <w:pPr>
        <w:jc w:val="both"/>
        <w:ind w:left="660" w:right="340" w:hanging="328"/>
        <w:spacing w:after="0" w:line="24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limits the Company’s ability to, among other things, create liens, make investments, incur more indebtedness, merge or consolidate, make dispositions of property, pay dividends, make distributions to stockholders or repurchase our stock, enter into a new line of business, enter into transactions with affiliates and enter into burdensome agreements.</w:t>
      </w:r>
    </w:p>
    <w:p>
      <w:pPr>
        <w:spacing w:after="0" w:line="197" w:lineRule="exact"/>
        <w:rPr>
          <w:rFonts w:ascii="Times New Roman" w:cs="Times New Roman" w:eastAsia="Times New Roman" w:hAnsi="Times New Roman"/>
          <w:sz w:val="18"/>
          <w:szCs w:val="18"/>
          <w:color w:val="auto"/>
        </w:rPr>
      </w:pPr>
    </w:p>
    <w:p>
      <w:pPr>
        <w:ind w:left="660" w:right="180" w:hanging="328"/>
        <w:spacing w:after="0" w:line="23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the Company must provide written notice at least five business days prior to the date of an acquisition of $10 million or more.</w:t>
      </w:r>
    </w:p>
    <w:p>
      <w:pPr>
        <w:spacing w:after="0" w:line="198"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payments on the term loan of $1.56 million through June 30, 2024, then increasing to $2.34 million through June 30, 2025, and to $3.12 million for each quarterly payment thereafter through maturity.</w:t>
      </w:r>
    </w:p>
    <w:p>
      <w:pPr>
        <w:spacing w:after="0" w:line="21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As of March 31, 2025, the Company had borrowings of $169.6 million and a total of $3.1 million of letters of credit outstanding under the Credit Agreement. The Company has capitalized costs associated with debt modifications of $0.8 million as of March 31, 2025, which is included in Other Assets on the Condensed Consolidated Balance Sheets and will be amortized into interest expense over the remaining term of the Credit Agreement through July 30, 2027.</w:t>
      </w:r>
    </w:p>
    <w:p>
      <w:pPr>
        <w:spacing w:after="0" w:line="20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As of March 31, 2025, the Company was in compliance with the terms and covenants of the Credit Agreement. The Company continuously monitors compliance with the covenants contained in the Credit Agreement. The Company believes that it is probable that the Company will be able to comply with the financial covenants in the Credit Agreement and that sufficient credit remains available under the Credit Agreement to meet the Company's liquidity needs. However, such matters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25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Company's other debt includes bank financing provided at the local subsidiary level used to support working capital requirements and fund capital expenditures. At March 31, 2025, there was an aggregate of approximately $2.2 million outstanding, payable at various times through 2030. Monthly payments range from $0.7 thousand to $16.0 thousand and interest rates range from 0.4% to 3.5%.</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t xml:space="preserve">The Company performs fair value measurements in accordance with the guidance provided by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 on a recurring basis</w:t>
      </w:r>
    </w:p>
    <w:p>
      <w:pPr>
        <w:spacing w:after="0" w:line="22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Government Investigations</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is periodically involved in lawsuits, investigations and claims. While uncertainties exist with respect to the ultimate resolution of lawsuits, investigations and claims asserted against it, the Company, based on currently available information, does not believe that any currently pending or threatened legal proceeding to which the Company is a party, or is likely to become a party, including those proceedings identified in this Note 13,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Commercial Claims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and a subsidiary of the Company, Mistras Arizona Inspection Services LLC (“Mistras Arizona”), are subject to a lawsuit filed by the State of Arizona and the Arizona Department of Environmental Quality (collectively “DEQ”). The lawsuit, captioned State of Arizona v. Mistras Group, Inc., Mistras Arizona Inspection Services, LLC and Naiman Phoenix, Ltd., was originally filed on February 27, 2024, in the Superior Court of the State of Arizona for Maricopa County, CV 2024-003866 (the "DEQ Complaint"). The DEQ Complaint alleges various violations of Arizona environmental laws and regulations by the Company and Mistras Arizona in connection with the operation by Mistras Arizona of its testing facility in Phoenix, Arizona. The DEQ Complaint seeks, through injunctive relief, the closing of a chromic acid plating line at the testing facility, implementation of a site assessment plan approved by the DEQ, and corrective and remedial action to bring the testing facility into compliance with laws and regulations. In addition, the DEQ Complaint seeks unspecified penalties and costs.</w:t>
      </w:r>
    </w:p>
    <w:p>
      <w:pPr>
        <w:spacing w:after="0" w:line="20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Superior Court held a hearing September 2024 regarding the DEQ’s request for a preliminary injunction. On October 23, 2024, the Superior Court issued a ruling, which declined to issue the preliminary injunction requested by the DEQ, but imposed the following conditions on the Company and Mistras Arizona unless and until modified by the Superior Court or entry of a final judgement: (1) the Company and Mistras Arizona are prohibited from releasing or permitting any release of chromic acid from the facility; (2) within a reasonable time, the Company and Mistras Arizona must complete improvements to the testing facility designed to prevent future discharges of chromium or chromic acid; (3) the Company must notify the DEQ upon completion of the improvement to enable the DEQ to conduct an inspection; and (4) the Company and Mistras Arizona are prohibited from engaging in any chrome plating operations at the testing facility until they notify the DEQ that the improvements have been completed. The DEQ may seek relief if it determines that the improvements are not sufficient to prevent discharges. In April 2025, Mistras Arizona notified the DEQ of its completed improvements, and the DEQ inspected the improvements. Following the DEQ site visit, Mistras Arizona commenced its chrome plating operations on April 28, 2025.</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intends to continue complying with the Superior Court's ruling. This matter is still in the relatively early stages, including as to factual and expert discovery. It is probable that remediation costs, fines and penalties may be imposed related to this lawsuit. However, the Company is unable to estimate the range of loss that it may incur.</w:t>
      </w:r>
    </w:p>
    <w:p>
      <w:pPr>
        <w:spacing w:after="0" w:line="18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In addition, Mistras Arizona’s operations in Phoenix are located at a leased site within the footprint of the Motorola 52nd Street Superfund Site (the “Motorola Site”). Mistras Arizona received a General Notice Letter from the US Environmental Protection Agency (the "EPA"), dated May 21, 2024, informing Mistras Arizona that the EPA has identified it as a potentially responsible party in relation to the Motorola Site. On April 29, 2025, the Company received a notice from the EPA requesting information regarding the improvements and other matters related to Phoenix testing facility.</w:t>
      </w:r>
    </w:p>
    <w:p>
      <w:pPr>
        <w:spacing w:after="0" w:line="2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it relates to this lawsuit, the recorded probable losses remain an estimate, and actual costs arising from this matter could materially differ depending on the actual costs incurred as well as the availability of additional insurance coverage.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Related Contingencies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Company’s subsidiaries had significant reductions in their unionized workers in 2018. The collective bargaining agreements for the</w:t>
      </w:r>
    </w:p>
    <w:p>
      <w:pPr>
        <w:spacing w:after="0" w:line="5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color w:val="auto"/>
        </w:rPr>
        <w:t>employees of these subsidiaries required contributions for these employees to two national multi-employer pension funds. The reduction in employees resulted in one of the Company's subsidiaries incurring a complete withdrawal to one of the pension funds under the Employee Retirement Income Security</w:t>
      </w:r>
    </w:p>
    <w:p>
      <w:pPr>
        <w:ind w:right="240"/>
        <w:spacing w:after="0" w:line="266" w:lineRule="auto"/>
        <w:rPr>
          <w:sz w:val="20"/>
          <w:szCs w:val="20"/>
          <w:color w:val="auto"/>
        </w:rPr>
      </w:pPr>
      <w:r>
        <w:rPr>
          <w:rFonts w:ascii="Times New Roman" w:cs="Times New Roman" w:eastAsia="Times New Roman" w:hAnsi="Times New Roman"/>
          <w:sz w:val="18"/>
          <w:szCs w:val="18"/>
          <w:color w:val="auto"/>
        </w:rPr>
        <w:t>Act of 1974 ("ERISA"), which was fully satisfied in 2019. The Company has determined that the subsidiary is likely to incur partial or complete withdrawal liability to the other pension fund. The balance of the estimated total amount of this potential liability as of March 31, 2025 is approximately $2.5 million, which were incurred in 2018 and 2019.</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operating segments, which are also the Company's reportable segments, are:</w:t>
      </w:r>
    </w:p>
    <w:p>
      <w:pPr>
        <w:spacing w:after="0" w:line="223" w:lineRule="exact"/>
        <w:rPr>
          <w:sz w:val="20"/>
          <w:szCs w:val="20"/>
          <w:color w:val="auto"/>
        </w:rPr>
      </w:pPr>
    </w:p>
    <w:p>
      <w:pPr>
        <w:ind w:left="900" w:right="40" w:hanging="244"/>
        <w:spacing w:after="0" w:line="261" w:lineRule="auto"/>
        <w:tabs>
          <w:tab w:leader="none" w:pos="89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60" w:hanging="244"/>
        <w:spacing w:after="0" w:line="267"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80" w:hanging="244"/>
        <w:spacing w:after="0" w:line="284"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6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North America and International segments by the Products and Systems segment are reflected in the operating performance of each segment.</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chief operating decision maker ("CODM") reviews financial information at the operating segment level to allocate resources and to assess the operating results and financial performance for each operating segment. For the year ended December 31, 2024, our CODM was identified as Manny Stamatakis, the Interim Chief Executive Officer, because he has final authority over performance assessment and resource allocation decisions. Beginning January 1, 2025, our CODM was identified as Natalia Shuman, upon her appointment as our Chief Executive Officer effective January 1, 2025, as she has final authority over performance assessment and resource allocation decisions. Our segments are based on the type and concentration of customers served, service requirements, methods of distribution and major product 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Segment income (loss) from operations is the primary performance measure used by the CODM to evaluate segment performance and allocate resources, including considering budget-to-actual variances and prior year-to-actual variances on a monthly basis in accordance with GAAP under ASC 280, Segment Reporting. Segment income (loss) from operations for each of the Company's reportable segments are comprised of revenue, selling, general &amp; administrative expenses, and "other expenses." "Other expenses" include cost of revenue, bad debt provision for troubled customers, goodwill impairment charges, reorganization and environmental costs, legal settlements and recoveries, acquisition-related expenses, depreciation and amortization and research and engineering.</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 These items of our operating profit are managed centrally at the corporate level and are excluded from the measure of segment income reviewed by the CODM, as well as the measure of segment performance used for incentive compensation purposes.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accounting policies of the reportable segments are the same as those described in Note 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Description of Business and Basis of Presentation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Income (loss) from operations by operating segment includes intercompany transactions, which are eliminated in Corporate and eliminations</w:t>
      </w:r>
      <w:r>
        <w:rPr>
          <w:rFonts w:ascii="Times New Roman" w:cs="Times New Roman" w:eastAsia="Times New Roman" w:hAnsi="Times New Roman"/>
          <w:sz w:val="21"/>
          <w:szCs w:val="21"/>
          <w:color w:val="008080"/>
        </w:rPr>
        <w:t>.</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Products and</w:t>
            </w: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Corporate and</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spacing w:after="0"/>
              <w:rPr>
                <w:sz w:val="16"/>
                <w:szCs w:val="16"/>
                <w:color w:val="auto"/>
              </w:rPr>
            </w:pPr>
          </w:p>
        </w:tc>
        <w:tc>
          <w:tcPr>
            <w:tcW w:w="138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6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4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Reportable</w:t>
            </w:r>
          </w:p>
        </w:tc>
        <w:tc>
          <w:tcPr>
            <w:tcW w:w="12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380" w:type="dxa"/>
            <w:vAlign w:val="bottom"/>
            <w:gridSpan w:val="3"/>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128,902</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165,207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161,615</w:t>
            </w: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5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35,652</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126,975</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Products and</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Corporate and</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spacing w:after="0"/>
              <w:rPr>
                <w:sz w:val="15"/>
                <w:szCs w:val="15"/>
                <w:color w:val="auto"/>
              </w:rPr>
            </w:pPr>
          </w:p>
        </w:tc>
        <w:tc>
          <w:tcPr>
            <w:tcW w:w="138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40" w:type="dxa"/>
            <w:vAlign w:val="bottom"/>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Reportable</w:t>
            </w:r>
          </w:p>
        </w:tc>
        <w:tc>
          <w:tcPr>
            <w:tcW w:w="12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spacing w:after="0"/>
              <w:rPr>
                <w:sz w:val="21"/>
                <w:szCs w:val="21"/>
                <w:color w:val="auto"/>
              </w:rPr>
            </w:pPr>
          </w:p>
        </w:tc>
        <w:tc>
          <w:tcPr>
            <w:tcW w:w="1380" w:type="dxa"/>
            <w:vAlign w:val="bottom"/>
            <w:gridSpan w:val="3"/>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26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150,349</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186,606</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184,442</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5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5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36,252</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116,780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142,637</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tables above only reconcile to income (loss) from operations as our measure of segment profitability and the remainder of the reconciliation to net income (loss) can be seen on the Unaudited Condensed Consolidated Statement of Income (Loss). Products and Systems segment revenue was comprised of approximately $1.0 million and $0.9 million of sales to the International segment, which were eliminated upon consolidation, for the three months ended March 31, 2025 and March 31, 2024, respectively. Intersegment revenue related to sales between other segments was immaterial for each of the three month periods ended March 31, 2025 and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(with intercompany transactions eliminated in Corporate and eliminations):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30,869</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3"/>
        </w:trPr>
        <w:tc>
          <w:tcPr>
            <w:tcW w:w="8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389,526</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390,052</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24,160</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523,038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6"/>
        </w:trPr>
        <w:tc>
          <w:tcPr>
            <w:tcW w:w="8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268,134</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268,608</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24,822</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302,042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2 - </w:t>
      </w: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revenue by geographic area for the three months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(“MD&amp;A”) provides a discussion of our results of operations and financial position for the three months ended March 31, 2025 and 2024. The MD&amp;A should be read together with our Unaudited Condensed Consolidated Financial Statements and related notes included in Item 1 in this Quarterly Report on Form 10-Q (the "Quarterly Report") and our audited consolidated financial statements and related notes included in our 2024 Annual Report. Unless otherwise specified or the context otherwise requires, “Mistras,” “the Company,” “we,” “us” and “our” refer to Mistras Group, Inc. and its consolidated subsidiaries. The MD&amp;A includes the following sections:</w:t>
      </w:r>
    </w:p>
    <w:p>
      <w:pPr>
        <w:spacing w:after="0" w:line="18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about Non-GAAP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including any impacts from the imposition of tariffs or other trade restrictions and changes to the</w:t>
      </w:r>
    </w:p>
    <w:p>
      <w:pPr>
        <w:spacing w:after="0" w:line="3"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U.S. trade policy, include, without limitation, those discussed in the “Business—Forward-Looking Statements,” and “Risk Factors” sections of our 2024 Annual Report as well as those discussed in this Quarterly Report and in our other filings with the SEC. In addition, there are various developments discussed below which could create risks and uncertainty about our business, results of operations or liquidity.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are a leading "one source" multinational provider of integrated technology-enabled asset protection solutions, helping to maximize the safety and operational uptime for civilization’s most critical industrial and civil assets.</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Backed by an innovative, data-driven asset protection portfolio, proprietary technologies, and a decades-long legacy of industry leadership, the Company helps customers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building real-time monitoring equipment to enable safe travel across bridges; and helping to propel sustainability, the Company helps the world at large.</w:t>
      </w:r>
    </w:p>
    <w:p>
      <w:pPr>
        <w:spacing w:after="0" w:line="20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three reportable segments: North America, International, and Products and Systems.</w:t>
      </w:r>
    </w:p>
    <w:p>
      <w:pPr>
        <w:spacing w:after="0" w:line="61" w:lineRule="exact"/>
        <w:rPr>
          <w:sz w:val="20"/>
          <w:szCs w:val="20"/>
          <w:color w:val="auto"/>
        </w:rPr>
      </w:pPr>
    </w:p>
    <w:p>
      <w:pPr>
        <w:ind w:left="660" w:hanging="328"/>
        <w:spacing w:after="0" w:line="251"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provides asset protection solutions predominantly in North America, with the largest concentration in the United States, followed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200"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the other segments to select markets within Europe, the Middle East, Africa,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and South America, but not to customers in China and South Korea, which are served by the Products and Systems segment.</w:t>
      </w:r>
    </w:p>
    <w:p>
      <w:pPr>
        <w:spacing w:after="0" w:line="185" w:lineRule="exact"/>
        <w:rPr>
          <w:rFonts w:ascii="Times New Roman" w:cs="Times New Roman" w:eastAsia="Times New Roman" w:hAnsi="Times New Roman"/>
          <w:sz w:val="18"/>
          <w:szCs w:val="18"/>
          <w:i w:val="1"/>
          <w:iCs w:val="1"/>
          <w:color w:val="auto"/>
        </w:rPr>
      </w:pPr>
    </w:p>
    <w:p>
      <w:pPr>
        <w:ind w:left="660" w:right="740" w:hanging="328"/>
        <w:spacing w:after="0" w:line="284"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the Company’s asset protection products and systems,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instrumentation, predominantly in the United States.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the past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enhance our advantages over our competition.</w:t>
      </w:r>
    </w:p>
    <w:p>
      <w:pPr>
        <w:spacing w:after="0" w:line="21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believe long-term growth can be realized in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continued providing our customers with an innovative asset protection software ecosystem through our OneSuite platform. The software platform offers functions of our software and services brands as integrated apps on a cloud environment. OneSuite serves as a single access portal for customers' data activities and provides access to 90 plus applications being offered on one centralized platform.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4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cash position and liquidity remains strong. As of March 31, 2025, our cash balance was approximately $18.5 million and, with our Credit Agreement, provides us with significant liquidity.</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discussed above in Note 1 - Description of Business and Basis of Presentation, we changed the presentation of certain costs incurred at our operational labs as well as for certain lab personnel on our Unaudited Condensed Consolidated Statements of Income (Loss). This voluntary change in classification of certain overhead and personnel costs, which were determined to be directly related to the delivery of our services, resulted in a decrease in from selling, general and administrative expenses and an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offsetting increase in cost of revenue. We believe this presentation is preferable as it will provide greater transparency regarding our cost of revenue and better align with how our business is managed.</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currently unable to predict with certainty the overall impact of continuing inflationary pressures or increased costs due to the imposition of tariffs and other trade barriers or changes to U.S. trade policy may have on its business, results of operations or liquidity or in other ways which the Company cannot yet determine. The Company’s European operations are currently experiencing higher energy costs, among other increased costs, due in part to the on-going war between Russia and Ukraine and the conflict in the Middle East between Israel and Hamas. The Company will continue to monitor market conditions and respond accordingly.</w:t>
      </w:r>
    </w:p>
    <w:p>
      <w:pPr>
        <w:spacing w:after="0" w:line="2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December 5, 2024, our Board of Directors (the “Board”), in furtherance of its management succession planning, appointed Natalia Shuman, as the Company’s President and Chief Executive Officer, with Manny Stamatakis continuing as the Executive Chairman of the Company effective as of January 1, 2025. Mr. Stamatakis served as our Chairman of the Board and Interim President and Chief Executive Officer until December 31, 2024.</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December 12, 2024, we announced the appointment of Hani Hammad to the position of Executive Vice President and Chief Operating Officer effective as of January 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6, 2025, we announced the passing of Dr. Sotirios J. Vahaviolos, our founder and Chairman Emeritus.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13, 2025, we announced the termination of John A. Smith as our Executive Vice President and President of Services as of February 7,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About Non-GAAP Measures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GAAP. In this MD&amp;A under the heading "Income (loss) from Operations", the non-GAAP financial performance measure "Income (loss) from operations before special items” is used for each of our three operating segments, the Corporate segment and the "Total Company", with tables reconciling the measure to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 Any measure that eliminates the foregoing items has material limitations as a performance or liquidity measure and should not be considered alternatives to net income (loss) or any other measures derived in accordance with GAAP. Because Income (loss) from operations before special items may not be calculated in the same manner by all companies, this measure may not be comparable to other similarly 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results of operations for the three months ended March 31, 2025 and 2024 were as follows: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161,615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184,442</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40,892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46,153</w:t>
            </w: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25.0 %</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4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5,553</w:t>
            </w: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(Loss) income from operations as a % of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3.0 %</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before benefit for income taxes</w:t>
            </w:r>
          </w:p>
        </w:tc>
        <w:tc>
          <w:tcPr>
            <w:tcW w:w="40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(4,336)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1,123</w:t>
            </w: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1,004</w:t>
            </w:r>
          </w:p>
        </w:tc>
      </w:t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Mistras Group, Inc.</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995</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Revenue was $161.6 million for the three months ended March 31, 2025, a decrease of $22.8 million, or 12.4%, compared with the three months ended March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 for the three months ended March 31, 2025 and 2024 were as follows: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150,349</w:t>
            </w: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33,047</w:t>
            </w:r>
          </w:p>
        </w:tc>
      </w:tr>
      <w:tr>
        <w:trPr>
          <w:trHeight w:val="230"/>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Products and Systems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30"/>
        </w:trPr>
        <w:tc>
          <w:tcPr>
            <w:tcW w:w="8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r>
      <w:tr>
        <w:trPr>
          <w:trHeight w:val="248"/>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three months ended March 31, 2025, total revenue decreased 12.4% versus the prior year comparable period due predominantly to a high single-digit organic decrease. North America segment revenue decreased 14.3%, driven predominantly by a decrease in our Oil and Gas market revenue and declines in demand in other key markets due to macroeconomic factors such as uncertainties driven by continuing inflationary pressures and increased costs due to the imposition of tariffs. International segment revenue increased 0.5%, due predominantly to low double-digit organic growth and low single-digit favorable impact of foreign exchange rates. Products and Systems segment revenue decreased by 3.7%, due to decreased sales volume and shipments as compared to the prior year comparable period.</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Oil and gas customer revenue comprised approximately 60% and 61% of total revenue for the three months ended March 31, 2025 and 2024, respectively. Aerospace and defense customer revenue comprised approximately 13% and 12% of total revenue for the three months ended March 31, 2025 and 2024, respectively. The Company’s top ten customers comprised approximately 37% of total revenue for the three months ended March 31, 2025, as compared to 39% for the three months ended March 31, 2024, with no customer accounting for 10% or more of total revenue in either three-month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160" w:type="dxa"/>
            <w:vAlign w:val="bottom"/>
            <w:gridSpan w:val="5"/>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Oil and Gas Revenue by sub-category</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Upstream</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41,767</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Midstream</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21,392</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Downstream</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50,006</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96,564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113,165</w:t>
            </w:r>
          </w:p>
        </w:tc>
      </w:tr>
      <w:tr>
        <w:trPr>
          <w:trHeight w:val="20"/>
        </w:trPr>
        <w:tc>
          <w:tcPr>
            <w:tcW w:w="8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Oil and gas upstream customer revenue decreased approximately $1.5 million, or 4%, due primarily to market share losses and decreased exploration activity as compared to the prior year comparable period. Midstream customer revenues decreased approximately $5.6 million, or 26%, due to decreased pipe inspection services performed as compared to the prior year comparable period. Downstream customer revenues decreased $9.5 million or, 19%, primarily due to decreased customer turnarounds in the current year that were delayed in the prior year comparable period.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type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6"/>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Services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126,355</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Shop Laboratories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17,195</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Data Analytical Solutions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w:t>
            </w: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25,353</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presenting the allocation of revenue by type in the table above, management makes certain assumptions in its allocation of revenue from laboratories that provide more than one type of service. The allocation methodology and assumptions made are consistent for the years presented.</w:t>
      </w:r>
    </w:p>
    <w:p>
      <w:pPr>
        <w:spacing w:after="0" w:line="17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Field Services revenue is comprised of revenue derived primarily by technicians performing asset inspections and maintenance services for our customers at locations other than Mistras properties. Field Services revenue decreased by $16.2 million as compared to the prior year comparable period, primarily due to decreases in sales volume in our oil and gas, industrials and infrastructure, research and engineering end markets within our North America segment and oil and gas end market within our International segment.</w:t>
      </w:r>
    </w:p>
    <w:p>
      <w:pPr>
        <w:spacing w:after="0" w:line="204"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Shop Laboratory revenue is comprised of quality assurance inspections of components and materials at our Mistras in house laboratory facilities. Shop Laboratory revenue decreased by $2.2 million as compared to the prior year comparable period due to decreased sales volumes in our aerospace and defense end market in our North America and International segments.</w:t>
      </w:r>
    </w:p>
    <w:p>
      <w:pPr>
        <w:spacing w:after="0" w:line="19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Data Analytical Solutions revenue is comprised of revenue derived from data software sales &amp; subscriptions, implementation services and analytics which offer insights and generate value from asset protection. Data Analytical Solutions revenue is derived from work performed by our employees in our facilities, or at customer locations. Data Analytical Solutions revenue decreased by $1.6 million as compared to the prior year comparable period due to decreased sales volume within PCMS and other Data Analytical Solutions offerings within our North America segment.</w:t>
      </w:r>
    </w:p>
    <w:p>
      <w:pPr>
        <w:spacing w:after="0" w:line="21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Other revenue is comprised of locations that perform both asset inspection services and testing of components and materials at in house Mistras laboratories. Other revenue decreased by $2.9 million as compared to the prior year comparable period primarily due to decreased sales within the defense sector within the North America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which reflects the reclassification of certain overhead and personnel costs from selling, general and administrative</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expenses to cost of revenue (see Note 1 - Description of Business and Basis of Presentation), decreased by $5.3 million, or 11.4%, in the three months ended March 31, 2025 versus the prior year comparable period primarily due to a decrease in revenue of 12.4%, partially offset by lower healthcare claims expense in the current year period and a favorable sales mix.</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three months ended March 31, 2025 and 2024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8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9"/>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8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23"/>
                <w:szCs w:val="23"/>
                <w:b w:val="1"/>
                <w:bCs w:val="1"/>
                <w:color w:val="auto"/>
                <w:vertAlign w:val="superscript"/>
              </w:rPr>
              <w:t>(1)</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30,165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35,245</w:t>
            </w:r>
          </w:p>
        </w:tc>
      </w:tr>
      <w:tr>
        <w:trPr>
          <w:trHeight w:val="229"/>
        </w:trPr>
        <w:tc>
          <w:tcPr>
            <w:tcW w:w="78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23.4 %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23.4 %</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9,088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9,269</w:t>
            </w:r>
          </w:p>
        </w:tc>
      </w:tr>
      <w:tr>
        <w:trPr>
          <w:trHeight w:val="230"/>
        </w:trPr>
        <w:tc>
          <w:tcPr>
            <w:tcW w:w="78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27.4 %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28.0 %</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1,613</w:t>
            </w:r>
          </w:p>
        </w:tc>
      </w:tr>
      <w:tr>
        <w:trPr>
          <w:trHeight w:val="230"/>
        </w:trPr>
        <w:tc>
          <w:tcPr>
            <w:tcW w:w="78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52.5 %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50.2 %</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78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40,892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46,153</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25.3 %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25.0 %</w:t>
            </w:r>
          </w:p>
        </w:tc>
      </w:tr>
    </w:tbl>
    <w:p>
      <w:pPr>
        <w:spacing w:after="0" w:line="262" w:lineRule="exact"/>
        <w:rPr>
          <w:sz w:val="20"/>
          <w:szCs w:val="20"/>
          <w:color w:val="auto"/>
        </w:rPr>
      </w:pPr>
    </w:p>
    <w:p>
      <w:pPr>
        <w:ind w:firstLine="8"/>
        <w:spacing w:after="0" w:line="257" w:lineRule="auto"/>
        <w:tabs>
          <w:tab w:leader="none" w:pos="165"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noted in Note 1, the Company changed the presentation of certain costs incurred at its operational labs as well as the costs for certain personnel that indirectly support the Company’s delivery of services on its Consolidated Statements of Income (Loss). This voluntary change in classification of certain overhead and employee costs, which, were determined to be directly related to the Company’s delivery of services, resulted in a decrease in Selling, general and administrative expenses and an offsetting increase in Cost of revenue. The impact on gross profit of this change in classification for the year ended December 31, 2024 was approximately $20.9 million.</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Gross profit margin was 25.3% and 25.0% for the three-month periods ended March 31, 2025 and 2024, respectively. Gross profit margin for the North America segment was flat during the three months ended March 31, 2025 as compared to the prior year comparable period. International segment realized a 0.6% decline in gross profit margin to 27.4% during the three months ended March 31, 2025 as compared to the prior year comparable period due primarily to an unfavorable sales mix and increased energy costs in the current year period. Products and Systems segment gross margin had an increase of 2.3% in gross profit margin to 52.5% during the three months ended March 31, 2025 due to increased sales volume as compared to the prior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three months ended March 31, 2025 and 2024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5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9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36,252</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4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Operating expenses increased $1.3 million, or 3.2%, for the three months ended March 31, 2025 compared to the three months ended March 31, 2024. Selling, general and administrative expenses decreased $0.6 million during the three months ended March 31, 2025 compared to the three months ended</w:t>
      </w:r>
    </w:p>
    <w:p>
      <w:pPr>
        <w:ind w:right="100"/>
        <w:spacing w:after="0" w:line="245" w:lineRule="auto"/>
        <w:rPr>
          <w:sz w:val="20"/>
          <w:szCs w:val="20"/>
          <w:color w:val="auto"/>
        </w:rPr>
      </w:pPr>
      <w:r>
        <w:rPr>
          <w:rFonts w:ascii="Times New Roman" w:cs="Times New Roman" w:eastAsia="Times New Roman" w:hAnsi="Times New Roman"/>
          <w:sz w:val="18"/>
          <w:szCs w:val="18"/>
          <w:color w:val="auto"/>
        </w:rPr>
        <w:t>March 31, 2024, due to continued cost discipline and our focus on the calibration of our overhead costs relative to revenue achieved, partially offset by an unfavorable foreign exchange impact as compared to the prior year comparable period. As discussed in Note 1 - Description of Business and Basis of Presentation,</w:t>
      </w:r>
    </w:p>
    <w:p>
      <w:pPr>
        <w:spacing w:after="0" w:line="1"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selling, general and administrative expenses reflect the classification change for certain overhead and personnel costs from selling, general and administrative expenses to cost of revenue. Environmental expense increased by $0.5 million as compared to the prior year comparable period due to environmental costs incurred for the current period, which were not incurred during the prior year comparable period. Reorganization and other costs increased by $1.5 million to $3.1 million as compared to the prior year comparable period due to continued calibration of the Company’s headcount and other related costs. Depreciation and amortization decreased $0.1 million during the three months ended March 31, 2025 compared to the three months ended March 31,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p>
      <w:pPr>
        <w:spacing w:after="0" w:line="256"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8"/>
          <w:szCs w:val="18"/>
          <w:color w:val="auto"/>
        </w:rPr>
        <w:t>The following table shows a reconciliation of the income from operations to income (loss) from operations before special items for each of our three segments, Corporate and Elimination and for the Company in total:</w:t>
      </w: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2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13,561</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2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13,561</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94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12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 before special items (non-GAAP)</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income from operations (GAAP)</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special items (non-GAAP)</w:t>
            </w:r>
          </w:p>
        </w:tc>
        <w:tc>
          <w:tcPr>
            <w:tcW w:w="9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w:t>
            </w:r>
          </w:p>
        </w:tc>
      </w:tr>
      <w:tr>
        <w:trPr>
          <w:trHeight w:val="20"/>
        </w:trPr>
        <w:tc>
          <w:tcPr>
            <w:tcW w:w="8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section </w:t>
      </w:r>
      <w:r>
        <w:rPr>
          <w:rFonts w:ascii="Times New Roman" w:cs="Times New Roman" w:eastAsia="Times New Roman" w:hAnsi="Times New Roman"/>
          <w:sz w:val="18"/>
          <w:szCs w:val="18"/>
          <w:b w:val="1"/>
          <w:bCs w:val="1"/>
          <w:i w:val="1"/>
          <w:iCs w:val="1"/>
          <w:color w:val="auto"/>
        </w:rPr>
        <w:t>Note About Non-GAAP Measures</w:t>
      </w:r>
      <w:r>
        <w:rPr>
          <w:rFonts w:ascii="Times New Roman" w:cs="Times New Roman" w:eastAsia="Times New Roman" w:hAnsi="Times New Roman"/>
          <w:sz w:val="18"/>
          <w:szCs w:val="18"/>
          <w:color w:val="auto"/>
        </w:rPr>
        <w:t xml:space="preserve"> in this Quarterly Report for an explanation of the use of non-GAAP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(loss) income from operations (GAAP) decreased $6.6 million or 118.2%, compared with the three months ended March 31, 2024, while the income from operations before special items (non-GAAP) decreased by $4.5 million, or 63.2%. As a percentage of revenue, income (loss) before special items decreased by 230 basis points to 1.6% in the three months ended March 31, 2025 compared to 3.9% in the three months ended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expense was approximately $3.3 million and $4.4 million for the three months ended March 31, 2025 and 2024, respectively. The decrease was a result of lower overall borrowings in comparison to the prior period.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income tax rate was approximately 26.9% and 10.6% for the three months ended March 31, 2025 and 2024, respectively.</w:t>
      </w:r>
    </w:p>
    <w:p>
      <w:pPr>
        <w:spacing w:after="0" w:line="25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three months ended March 31, 2025 was higher than the statutory rate primarily due to the impact of favorable discrete items related to stock compensation. The effective income tax rate for the three months ended March 31, 2024 was lower than the statutory rate primarily due to the impact of a favorable discrete item related to stock compensation.</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are summarized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cash provided by operating activities was $5.6 million, representing a year-on-year increase of $5.0 million, or 835%. The increase was primarily attributable to a decrease in days sales outstanding and movements in working capital, as compared to the prior year comparable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cash used in investing activities was $5.4 million, representing a $0.2 million decrease, primarily attributable to decreased expenditures for property, plant, and equipment.</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(tabular dollars are in thousands)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$0.7 million for the three months ended March 31, 2025, compared to net cash provided by financing activities of $5.1 million for the three months ended March 31, 2024. During the three months ended March 31, 2025, net borrowings of debt were approximately $6.0 million lower as compared to the prior year comparable period resulting in net debt borrowings during the period. The decrease in net cash provided by financing activities is partially offset by $0.1 million less taxes paid related to net share settlement of share-based awards during the three months ended March 31, 2025.</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 of exchange rate changes on our cash and cash equivalents was an increase of $0.7 million in the three months ended March 31, 2025, compared to an decrease of $0.9 million for the three months ended March 31,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1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March 31, 2025, we had cash and cash equivalents totaling $18.5 million and $114.0 million of unused commitments under our Credit Agreement with borrowings of $169.6 million and $3.1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March 31, 2025, we were in compliance with the terms of the Credit Agreement and will continuously monitor our compliance with the covenants contained in the Credit Agreement.</w:t>
      </w:r>
    </w:p>
    <w:p>
      <w:pPr>
        <w:spacing w:after="0" w:line="18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color w:val="auto"/>
        </w:rPr>
        <w:t xml:space="preserve">The terms of our Credit Agreement are described in Note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i w:val="1"/>
          <w:iCs w:val="1"/>
          <w:color w:val="auto"/>
        </w:rPr>
        <w:t>Long-Term Debt</w:t>
      </w:r>
      <w:r>
        <w:rPr>
          <w:rFonts w:ascii="Times New Roman" w:cs="Times New Roman" w:eastAsia="Times New Roman" w:hAnsi="Times New Roman"/>
          <w:sz w:val="18"/>
          <w:szCs w:val="18"/>
          <w:color w:val="auto"/>
        </w:rPr>
        <w:t xml:space="preserve"> of the Notes to the Unaudited Condensed Consolidated Financial Statements, under the heading "</w:t>
      </w:r>
      <w:r>
        <w:rPr>
          <w:rFonts w:ascii="Times New Roman" w:cs="Times New Roman" w:eastAsia="Times New Roman" w:hAnsi="Times New Roman"/>
          <w:sz w:val="18"/>
          <w:szCs w:val="18"/>
          <w:i w:val="1"/>
          <w:iCs w:val="1"/>
          <w:color w:val="auto"/>
        </w:rPr>
        <w:t>Senior Credit Facility</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in our contractual obligations and outstanding indebtedness as disclosed in the 2024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2024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quantitative and qualitative disclosures about market risk as discussed in Part II, Item 7A “Quantitative and Qualitative Disclosures About Market Risk,” included in the 2024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Pursuant to Rule 13a-15(b) under the Exchange Act, our management carried out an evaluation, under the supervision and with the participation of our President and Chief Executive Officer and our Executive Vice President, Chief Financial Officer and Treasurer, of the effectiveness of the design and operation of our disclosure controls (as defined in Rule 13a-15(e) of the Exchange Act) and procedures. Based upon that evaluation, our President and Chief Executive Officer and our Executive Vice President, Chief Financial Officer and Treasurer concluded that, as of March 31, 2025, our disclosure controls and procedures were effective.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March 31, 2025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See Note 13 - </w:t>
      </w:r>
      <w:r>
        <w:rPr>
          <w:rFonts w:ascii="Times New Roman" w:cs="Times New Roman" w:eastAsia="Times New Roman" w:hAnsi="Times New Roman"/>
          <w:sz w:val="18"/>
          <w:szCs w:val="18"/>
          <w:b w:val="1"/>
          <w:bCs w:val="1"/>
          <w:i w:val="1"/>
          <w:iCs w:val="1"/>
          <w:color w:val="auto"/>
        </w:rPr>
        <w:t>Commitments and Contingencies</w:t>
      </w:r>
      <w:r>
        <w:rPr>
          <w:rFonts w:ascii="Times New Roman" w:cs="Times New Roman" w:eastAsia="Times New Roman" w:hAnsi="Times New Roman"/>
          <w:sz w:val="18"/>
          <w:szCs w:val="18"/>
          <w:color w:val="auto"/>
        </w:rPr>
        <w:t xml:space="preserve"> to the Notes to Unaudited Condensed Consolidated Financial Statements included in this Quarterly Report for a description of our legal proceedings. There have been no material legal proceedings and no material developments with regard to any matters disclosed under Part I, Item 3 "Legal Proceedings" in our 2024 Annual Report, except as disclosed herein under Note 13 - </w:t>
      </w:r>
      <w:r>
        <w:rPr>
          <w:rFonts w:ascii="Times New Roman" w:cs="Times New Roman" w:eastAsia="Times New Roman" w:hAnsi="Times New Roman"/>
          <w:sz w:val="18"/>
          <w:szCs w:val="18"/>
          <w:b w:val="1"/>
          <w:bCs w:val="1"/>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Contingencies </w:t>
      </w:r>
      <w:r>
        <w:rPr>
          <w:rFonts w:ascii="Times New Roman" w:cs="Times New Roman" w:eastAsia="Times New Roman" w:hAnsi="Times New Roman"/>
          <w:sz w:val="18"/>
          <w:szCs w:val="18"/>
          <w:color w:val="auto"/>
        </w:rPr>
        <w:t>to the Notes to the Unaudited Condensed Consolidated Financial Statements.</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discussed under the “Risk Factors” section included in our 2024 Annual Report. There have been no material changes to the risk factors previously disclosed in the 2024 Annual Report.</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 and Use of Proceeds</w:t>
      </w:r>
    </w:p>
    <w:p>
      <w:pPr>
        <w:spacing w:after="0" w:line="225" w:lineRule="exact"/>
        <w:rPr>
          <w:sz w:val="20"/>
          <w:szCs w:val="20"/>
          <w:color w:val="auto"/>
        </w:rPr>
      </w:pPr>
    </w:p>
    <w:p>
      <w:pPr>
        <w:ind w:left="660" w:right="8620" w:hanging="652"/>
        <w:spacing w:after="0" w:line="500" w:lineRule="auto"/>
        <w:tabs>
          <w:tab w:leader="none" w:pos="267"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660" w:right="6800" w:hanging="652"/>
        <w:spacing w:after="0" w:line="500" w:lineRule="auto"/>
        <w:tabs>
          <w:tab w:leader="none" w:pos="267"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i w:val="1"/>
          <w:iCs w:val="1"/>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Repurchases of Our Equity Securities</w:t>
      </w:r>
    </w:p>
    <w:p>
      <w:pPr>
        <w:spacing w:after="0" w:line="229"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shares of our common stock we acquired during the quarter as a result of the surrender of shares by employees to satisfy tax withholding obligations in connection with the vesting or settlement of restricted stock units.</w:t>
      </w: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Month Ending</w:t>
            </w:r>
          </w:p>
        </w:tc>
        <w:tc>
          <w:tcPr>
            <w:tcW w:w="220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60" w:type="dxa"/>
            <w:vAlign w:val="bottom"/>
          </w:tcPr>
          <w:p>
            <w:pPr>
              <w:jc w:val="right"/>
              <w:ind w:right="837"/>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700" w:type="dxa"/>
            <w:vAlign w:val="bottom"/>
            <w:tcBorders>
              <w:bottom w:val="single" w:sz="8" w:color="auto"/>
            </w:tcBorders>
            <w:gridSpan w:val="2"/>
            <w:vMerge w:val="continue"/>
          </w:tcPr>
          <w:p>
            <w:pPr>
              <w:spacing w:after="0"/>
              <w:rPr>
                <w:sz w:val="16"/>
                <w:szCs w:val="16"/>
                <w:color w:val="auto"/>
              </w:rPr>
            </w:pPr>
          </w:p>
        </w:tc>
        <w:tc>
          <w:tcPr>
            <w:tcW w:w="220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jc w:val="right"/>
              <w:ind w:right="1097"/>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31, 2025</w:t>
            </w:r>
          </w:p>
        </w:tc>
        <w:tc>
          <w:tcPr>
            <w:tcW w:w="2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February 28, 2025</w:t>
            </w:r>
          </w:p>
        </w:tc>
        <w:tc>
          <w:tcPr>
            <w:tcW w:w="2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2025</w:t>
            </w:r>
          </w:p>
        </w:tc>
        <w:tc>
          <w:tcPr>
            <w:tcW w:w="2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141,651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810"/>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7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None.</w:t>
            </w:r>
          </w:p>
        </w:tc>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31"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none of the Company's directors or officers, as defined in Section 16 of the Securities Exchange Act of 1934, adopted or terminated a "Rule 10b5-1 trading arrangement" or a "non-Rule 10b5-1 trading arrangement," as each term is defined in Item 408(a) of Regulation S-K of the Securities Exchange Act of 1934.</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2025, the Company did not adopt, terminate or modify a 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2"/>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5"/>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183"/>
        </w:trPr>
        <w:tc>
          <w:tcPr>
            <w:tcW w:w="3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32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Stock Option Award Agreement between the registrant and Manuel Stamatakis dated January 6, 2025</w:t>
            </w:r>
          </w:p>
        </w:tc>
        <w:tc>
          <w:tcPr>
            <w:tcW w:w="2700" w:type="dxa"/>
            <w:vAlign w:val="bottom"/>
            <w:gridSpan w:val="3"/>
          </w:tcPr>
          <w:p>
            <w:pPr>
              <w:spacing w:after="0"/>
              <w:rPr>
                <w:sz w:val="15"/>
                <w:szCs w:val="15"/>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18.</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Preferability Letter from Independent Registered Public Accounting Firm</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under the Securities Exchange Act of 1934.</w:t>
            </w:r>
          </w:p>
        </w:tc>
        <w:tc>
          <w:tcPr>
            <w:tcW w:w="1980" w:type="dxa"/>
            <w:vAlign w:val="bottom"/>
          </w:tcPr>
          <w:p>
            <w:pPr>
              <w:spacing w:after="0"/>
              <w:rPr>
                <w:sz w:val="24"/>
                <w:szCs w:val="24"/>
                <w:color w:val="auto"/>
              </w:rPr>
            </w:pPr>
          </w:p>
        </w:tc>
      </w:tr>
      <w:tr>
        <w:trPr>
          <w:trHeight w:val="439"/>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under the Securities Exchange Act of 1934.</w:t>
            </w: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2040" w:type="dxa"/>
            <w:vAlign w:val="bottom"/>
            <w:gridSpan w:val="2"/>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720" w:type="dxa"/>
            <w:vAlign w:val="bottom"/>
            <w:gridSpan w:val="4"/>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256" w:lineRule="exact"/>
        <w:rPr>
          <w:sz w:val="20"/>
          <w:szCs w:val="20"/>
          <w:color w:val="auto"/>
        </w:rPr>
      </w:pPr>
    </w:p>
    <w:p>
      <w:pPr>
        <w:ind w:left="486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630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0"/>
          </w:cols>
          <w:pgMar w:left="320" w:top="118" w:right="6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2"/>
          <w:szCs w:val="22"/>
          <w:b w:val="1"/>
          <w:bCs w:val="1"/>
          <w:color w:val="auto"/>
        </w:rPr>
        <w:t>MISTRAS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OPTION AWARD AGREEMENT</w:t>
      </w:r>
    </w:p>
    <w:p>
      <w:pPr>
        <w:spacing w:after="0" w:line="263"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color w:val="auto"/>
        </w:rPr>
        <w:t>This Option Award Agreement (this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effective as of the Date of Grant set forth below, represents the grant of an option (the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to purchase shares of common stock, par value $.01 per share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of Mistras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Manuel N. Stamatakis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subject to the terms and conditions set forth below. The grant of the Option has been made by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the Company and the Compensation</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Committee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of the Board. The number of shares of Common Stock that may be purchased pursuant to the Option, and the per share exercise price (the “</w:t>
      </w:r>
      <w:r>
        <w:rPr>
          <w:rFonts w:ascii="Times New Roman" w:cs="Times New Roman" w:eastAsia="Times New Roman" w:hAnsi="Times New Roman"/>
          <w:sz w:val="21"/>
          <w:szCs w:val="21"/>
          <w:u w:val="single" w:color="auto"/>
          <w:color w:val="auto"/>
        </w:rPr>
        <w:t>Exercise Price</w:t>
      </w:r>
      <w:r>
        <w:rPr>
          <w:rFonts w:ascii="Times New Roman" w:cs="Times New Roman" w:eastAsia="Times New Roman" w:hAnsi="Times New Roman"/>
          <w:sz w:val="21"/>
          <w:szCs w:val="21"/>
          <w:color w:val="auto"/>
        </w:rPr>
        <w:t>”) payable for shares of Common Stock upon exercise of the Option,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are set forth in Article I of this Award Agreement.</w:t>
      </w: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grant of the Option pursuant to this Award Agreement is being made pursuant to the terms and provisions of the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Mistras Group, Inc. Amended and Restated 2016 Long-Term Incentive Plan (the “Plan”) relating to Options (as the term “Options” is defined in the Plan), which terms and provisions are hereby incorporated into this Award Agreement by this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reference, as though fully set forth herein, except as and to the extent expressly provided to the contrary in this Award Agreement. Unless the context herein otherwise requires, the terms defined in the Plan shall have the same meanings herein. A copy of the Plan has been provided to the Participant along with this Award Agreement.</w:t>
      </w:r>
    </w:p>
    <w:p>
      <w:pPr>
        <w:spacing w:after="0" w:line="94"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STOCK OPTION GRANT AWARD TERMS</w:t>
      </w:r>
    </w:p>
    <w:p>
      <w:pPr>
        <w:spacing w:after="0" w:line="1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The Participant has been granted, for service as Executive Chairman of the Board of the Company, the Option to</w:t>
      </w:r>
    </w:p>
    <w:p>
      <w:pPr>
        <w:spacing w:after="0" w:line="1" w:lineRule="exact"/>
        <w:rPr>
          <w:sz w:val="20"/>
          <w:szCs w:val="20"/>
          <w:color w:val="auto"/>
        </w:rPr>
      </w:pPr>
    </w:p>
    <w:p>
      <w:pPr>
        <w:ind w:left="20" w:right="20"/>
        <w:spacing w:after="0" w:line="225" w:lineRule="auto"/>
        <w:rPr>
          <w:sz w:val="20"/>
          <w:szCs w:val="20"/>
          <w:color w:val="auto"/>
        </w:rPr>
      </w:pPr>
      <w:r>
        <w:rPr>
          <w:rFonts w:ascii="Times New Roman" w:cs="Times New Roman" w:eastAsia="Times New Roman" w:hAnsi="Times New Roman"/>
          <w:sz w:val="22"/>
          <w:szCs w:val="22"/>
          <w:color w:val="auto"/>
        </w:rPr>
        <w:t>purchase shares of Common Stock, subject to the terms and conditions of this Award Agreement, as set forth above and as follows:</w:t>
      </w:r>
    </w:p>
    <w:p>
      <w:pPr>
        <w:spacing w:after="0" w:line="69" w:lineRule="exact"/>
        <w:rPr>
          <w:sz w:val="20"/>
          <w:szCs w:val="20"/>
          <w:color w:val="auto"/>
        </w:rPr>
      </w:pPr>
    </w:p>
    <w:tbl>
      <w:tblPr>
        <w:tblLayout w:type="fixed"/>
        <w:tblInd w:w="720" w:type="dxa"/>
        <w:tblCellMar>
          <w:top w:w="0" w:type="dxa"/>
          <w:left w:w="0" w:type="dxa"/>
          <w:bottom w:w="0" w:type="dxa"/>
          <w:right w:w="0" w:type="dxa"/>
        </w:tblCellMar>
      </w:tblPr>
      <w:tr>
        <w:trPr>
          <w:trHeight w:val="282"/>
        </w:trPr>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Date of Grant:</w:t>
            </w:r>
          </w:p>
        </w:tc>
        <w:tc>
          <w:tcPr>
            <w:tcW w:w="592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January 6, 2025</w:t>
            </w:r>
          </w:p>
        </w:tc>
      </w:tr>
      <w:tr>
        <w:trPr>
          <w:trHeight w:val="42"/>
        </w:trPr>
        <w:tc>
          <w:tcPr>
            <w:tcW w:w="4600" w:type="dxa"/>
            <w:vAlign w:val="bottom"/>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r>
      <w:tr>
        <w:trPr>
          <w:trHeight w:val="303"/>
        </w:trPr>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Vesting Date:</w:t>
            </w:r>
          </w:p>
        </w:tc>
        <w:tc>
          <w:tcPr>
            <w:tcW w:w="592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January 6, 2026</w:t>
            </w:r>
          </w:p>
        </w:tc>
      </w:tr>
      <w:tr>
        <w:trPr>
          <w:trHeight w:val="42"/>
        </w:trPr>
        <w:tc>
          <w:tcPr>
            <w:tcW w:w="4600" w:type="dxa"/>
            <w:vAlign w:val="bottom"/>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r>
      <w:tr>
        <w:trPr>
          <w:trHeight w:val="299"/>
        </w:trPr>
        <w:tc>
          <w:tcPr>
            <w:tcW w:w="4600" w:type="dxa"/>
            <w:vAlign w:val="bottom"/>
          </w:tcPr>
          <w:p>
            <w:pPr>
              <w:spacing w:after="0"/>
              <w:rPr>
                <w:sz w:val="20"/>
                <w:szCs w:val="20"/>
                <w:color w:val="auto"/>
              </w:rPr>
            </w:pPr>
            <w:r>
              <w:rPr>
                <w:rFonts w:ascii="Times New Roman" w:cs="Times New Roman" w:eastAsia="Times New Roman" w:hAnsi="Times New Roman"/>
                <w:sz w:val="21"/>
                <w:szCs w:val="21"/>
                <w:color w:val="auto"/>
              </w:rPr>
              <w:t>Exercise Price per Share:</w:t>
            </w:r>
          </w:p>
        </w:tc>
        <w:tc>
          <w:tcPr>
            <w:tcW w:w="270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$9.06</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2"/>
        </w:trPr>
        <w:tc>
          <w:tcPr>
            <w:tcW w:w="46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0"/>
        </w:trPr>
        <w:tc>
          <w:tcPr>
            <w:tcW w:w="4600" w:type="dxa"/>
            <w:vAlign w:val="bottom"/>
          </w:tcPr>
          <w:p>
            <w:pPr>
              <w:spacing w:after="0"/>
              <w:rPr>
                <w:sz w:val="20"/>
                <w:szCs w:val="20"/>
                <w:color w:val="auto"/>
              </w:rPr>
            </w:pPr>
            <w:r>
              <w:rPr>
                <w:rFonts w:ascii="Times New Roman" w:cs="Times New Roman" w:eastAsia="Times New Roman" w:hAnsi="Times New Roman"/>
                <w:sz w:val="21"/>
                <w:szCs w:val="21"/>
                <w:color w:val="auto"/>
              </w:rPr>
              <w:t>Total Number of Shares Granted:</w:t>
            </w:r>
          </w:p>
        </w:tc>
        <w:tc>
          <w:tcPr>
            <w:tcW w:w="5920" w:type="dxa"/>
            <w:vAlign w:val="bottom"/>
            <w:gridSpan w:val="5"/>
          </w:tcPr>
          <w:p>
            <w:pPr>
              <w:ind w:left="80"/>
              <w:spacing w:after="0"/>
              <w:rPr>
                <w:sz w:val="20"/>
                <w:szCs w:val="20"/>
                <w:color w:val="auto"/>
              </w:rPr>
            </w:pPr>
            <w:r>
              <w:rPr>
                <w:rFonts w:ascii="Times New Roman" w:cs="Times New Roman" w:eastAsia="Times New Roman" w:hAnsi="Times New Roman"/>
                <w:sz w:val="21"/>
                <w:szCs w:val="21"/>
                <w:color w:val="auto"/>
              </w:rPr>
              <w:t>375,000 shares of Common Stock (the “Shares”)</w:t>
            </w:r>
          </w:p>
        </w:tc>
      </w:tr>
      <w:tr>
        <w:trPr>
          <w:trHeight w:val="61"/>
        </w:trPr>
        <w:tc>
          <w:tcPr>
            <w:tcW w:w="4600" w:type="dxa"/>
            <w:vAlign w:val="bottom"/>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r>
      <w:tr>
        <w:trPr>
          <w:trHeight w:val="300"/>
        </w:trPr>
        <w:tc>
          <w:tcPr>
            <w:tcW w:w="4600" w:type="dxa"/>
            <w:vAlign w:val="bottom"/>
          </w:tcPr>
          <w:p>
            <w:pPr>
              <w:spacing w:after="0"/>
              <w:rPr>
                <w:sz w:val="20"/>
                <w:szCs w:val="20"/>
                <w:color w:val="auto"/>
              </w:rPr>
            </w:pPr>
            <w:r>
              <w:rPr>
                <w:rFonts w:ascii="Times New Roman" w:cs="Times New Roman" w:eastAsia="Times New Roman" w:hAnsi="Times New Roman"/>
                <w:sz w:val="21"/>
                <w:szCs w:val="21"/>
                <w:color w:val="auto"/>
              </w:rPr>
              <w:t>Total Exercise Price:</w:t>
            </w:r>
          </w:p>
        </w:tc>
        <w:tc>
          <w:tcPr>
            <w:tcW w:w="270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$3,397,500</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0"/>
        </w:trPr>
        <w:tc>
          <w:tcPr>
            <w:tcW w:w="46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0"/>
        </w:trPr>
        <w:tc>
          <w:tcPr>
            <w:tcW w:w="4600" w:type="dxa"/>
            <w:vAlign w:val="bottom"/>
          </w:tcPr>
          <w:p>
            <w:pPr>
              <w:spacing w:after="0"/>
              <w:rPr>
                <w:sz w:val="20"/>
                <w:szCs w:val="20"/>
                <w:color w:val="auto"/>
              </w:rPr>
            </w:pPr>
            <w:r>
              <w:rPr>
                <w:rFonts w:ascii="Times New Roman" w:cs="Times New Roman" w:eastAsia="Times New Roman" w:hAnsi="Times New Roman"/>
                <w:sz w:val="21"/>
                <w:szCs w:val="21"/>
                <w:color w:val="auto"/>
              </w:rPr>
              <w:t>Type of Option:</w:t>
            </w:r>
          </w:p>
        </w:tc>
        <w:tc>
          <w:tcPr>
            <w:tcW w:w="5920" w:type="dxa"/>
            <w:vAlign w:val="bottom"/>
            <w:gridSpan w:val="5"/>
          </w:tcPr>
          <w:p>
            <w:pPr>
              <w:ind w:left="80"/>
              <w:spacing w:after="0"/>
              <w:rPr>
                <w:sz w:val="20"/>
                <w:szCs w:val="20"/>
                <w:color w:val="auto"/>
              </w:rPr>
            </w:pPr>
            <w:r>
              <w:rPr>
                <w:rFonts w:ascii="Times New Roman" w:cs="Times New Roman" w:eastAsia="Times New Roman" w:hAnsi="Times New Roman"/>
                <w:sz w:val="21"/>
                <w:szCs w:val="21"/>
                <w:color w:val="auto"/>
              </w:rPr>
              <w:t>Non-Qualified Stock Option (“NSO”)</w:t>
            </w:r>
          </w:p>
        </w:tc>
      </w:tr>
      <w:tr>
        <w:trPr>
          <w:trHeight w:val="61"/>
        </w:trPr>
        <w:tc>
          <w:tcPr>
            <w:tcW w:w="4600" w:type="dxa"/>
            <w:vAlign w:val="bottom"/>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420" w:type="dxa"/>
            <w:vAlign w:val="bottom"/>
            <w:tcBorders>
              <w:top w:val="single" w:sz="8" w:color="auto"/>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r>
      <w:tr>
        <w:trPr>
          <w:trHeight w:val="303"/>
        </w:trPr>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Expiration Date:</w:t>
            </w:r>
          </w:p>
        </w:tc>
        <w:tc>
          <w:tcPr>
            <w:tcW w:w="592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Ten (10) years from Date of Grant</w:t>
            </w:r>
          </w:p>
        </w:tc>
      </w:tr>
      <w:tr>
        <w:trPr>
          <w:trHeight w:val="42"/>
        </w:trPr>
        <w:tc>
          <w:tcPr>
            <w:tcW w:w="4600" w:type="dxa"/>
            <w:vAlign w:val="bottom"/>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2"/>
          <w:szCs w:val="22"/>
          <w:color w:val="auto"/>
        </w:rPr>
        <w:t>The Option shall become fully vested and exercisable on the Vesting Date set forth above, provided the Participant remains in continuous employment or service with the Company from the Date of Grant through the Vesting Date. In addition,</w:t>
      </w:r>
    </w:p>
    <w:p>
      <w:pPr>
        <w:jc w:val="both"/>
        <w:spacing w:after="0" w:line="225" w:lineRule="auto"/>
        <w:rPr>
          <w:sz w:val="20"/>
          <w:szCs w:val="20"/>
          <w:color w:val="auto"/>
        </w:rPr>
      </w:pPr>
      <w:r>
        <w:rPr>
          <w:rFonts w:ascii="Times New Roman" w:cs="Times New Roman" w:eastAsia="Times New Roman" w:hAnsi="Times New Roman"/>
          <w:sz w:val="22"/>
          <w:szCs w:val="22"/>
          <w:color w:val="auto"/>
        </w:rPr>
        <w:t>the vesting and exercisability of the Option shall fully accelerate so that the Option is fully vested and exercisable upon termination of the Participant’s employment or service with the Company due to his death or</w:t>
      </w:r>
    </w:p>
    <w:p>
      <w:pPr>
        <w:sectPr>
          <w:pgSz w:w="11900" w:h="16838" w:orient="portrait"/>
          <w:cols w:equalWidth="0" w:num="1">
            <w:col w:w="11240"/>
          </w:cols>
          <w:pgMar w:left="320" w:top="1391" w:right="339" w:bottom="1440" w:gutter="0" w:footer="0" w:header="0"/>
        </w:sectPr>
      </w:pPr>
    </w:p>
    <w:bookmarkStart w:id="39" w:name="page40"/>
    <w:bookmarkEnd w:id="39"/>
    <w:p>
      <w:pPr>
        <w:jc w:val="both"/>
        <w:spacing w:after="0"/>
        <w:rPr>
          <w:sz w:val="20"/>
          <w:szCs w:val="20"/>
          <w:color w:val="auto"/>
        </w:rPr>
      </w:pPr>
      <w:r>
        <w:rPr>
          <w:rFonts w:ascii="Times New Roman" w:cs="Times New Roman" w:eastAsia="Times New Roman" w:hAnsi="Times New Roman"/>
          <w:sz w:val="21"/>
          <w:szCs w:val="21"/>
          <w:color w:val="auto"/>
        </w:rPr>
        <w:t>Disability, if such occurs prior to the Vesting Date. The vesting and exercisability of the Option will also fully accelerate so that the Option is fully vested and exercisable in connection with termination of Participant’s employment to the extent, and subject to</w:t>
      </w: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the conditions, described in Section 11(b) of that certain employment agreement between the Company and the Participant dated December 31, 2024.</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Exercise Period</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The Option shall be exercisable by the Participant (or the Participant’s estate or legal representative upon the Participant’s death) at any time from and after the Vesting Date (or earlier, if pursuant to the terms of this Award Agreement or the Plan, the Option is exercisable earlier) up to and including the earliest of (i) the Expiration Date set forth above, (ii) one year following the date on which Participant’s employment or service terminates, (iii) the date the Participant’s employment is terminated by the Company for Cause (or the date the Participant’s service ceases, if at such time there exist grounds for a termination for Cause); and (iv) immediately prior to the effective time of a Change in Control, to the extent Section 9.2 of the Plan is implicated. For the avoidance of doubt, for so long as the Participant is an employee and/or a director of the Company, the Participant’s employment or service to the Company shall not be deemed to have ceased.</w:t>
      </w:r>
    </w:p>
    <w:p>
      <w:pPr>
        <w:spacing w:after="0" w:line="255" w:lineRule="exact"/>
        <w:rPr>
          <w:sz w:val="20"/>
          <w:szCs w:val="20"/>
          <w:color w:val="auto"/>
        </w:rPr>
      </w:pPr>
    </w:p>
    <w:p>
      <w:pPr>
        <w:ind w:left="440" w:hanging="432"/>
        <w:spacing w:after="0"/>
        <w:tabs>
          <w:tab w:leader="none" w:pos="44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ADDITIONAL TERMS</w:t>
      </w:r>
    </w:p>
    <w:p>
      <w:pPr>
        <w:spacing w:after="0" w:line="291" w:lineRule="exact"/>
        <w:rPr>
          <w:rFonts w:ascii="Times New Roman" w:cs="Times New Roman" w:eastAsia="Times New Roman" w:hAnsi="Times New Roman"/>
          <w:sz w:val="22"/>
          <w:szCs w:val="22"/>
          <w:b w:val="1"/>
          <w:bCs w:val="1"/>
          <w:color w:val="auto"/>
        </w:rPr>
      </w:pPr>
    </w:p>
    <w:p>
      <w:pPr>
        <w:ind w:left="1300" w:hanging="320"/>
        <w:spacing w:after="0"/>
        <w:tabs>
          <w:tab w:leader="none" w:pos="1300"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287" w:lineRule="exact"/>
        <w:rPr>
          <w:rFonts w:ascii="Times New Roman" w:cs="Times New Roman" w:eastAsia="Times New Roman" w:hAnsi="Times New Roman"/>
          <w:sz w:val="22"/>
          <w:szCs w:val="22"/>
          <w:color w:val="auto"/>
        </w:rPr>
      </w:pPr>
    </w:p>
    <w:p>
      <w:pPr>
        <w:jc w:val="both"/>
        <w:ind w:firstLine="1304"/>
        <w:spacing w:after="0" w:line="224" w:lineRule="auto"/>
        <w:tabs>
          <w:tab w:leader="none" w:pos="1934" w:val="left"/>
        </w:tabs>
        <w:numPr>
          <w:ilvl w:val="3"/>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The Option shall be exercisable by delivery of an exercise notice or in a manner and pursuant to such procedures as the Committee may determine (the “</w:t>
      </w:r>
      <w:r>
        <w:rPr>
          <w:rFonts w:ascii="Times New Roman" w:cs="Times New Roman" w:eastAsia="Times New Roman" w:hAnsi="Times New Roman"/>
          <w:sz w:val="22"/>
          <w:szCs w:val="22"/>
          <w:u w:val="single" w:color="auto"/>
          <w:color w:val="auto"/>
        </w:rPr>
        <w:t>Exercise Notice</w:t>
      </w:r>
      <w:r>
        <w:rPr>
          <w:rFonts w:ascii="Times New Roman" w:cs="Times New Roman" w:eastAsia="Times New Roman" w:hAnsi="Times New Roman"/>
          <w:sz w:val="22"/>
          <w:szCs w:val="22"/>
          <w:color w:val="auto"/>
        </w:rPr>
        <w:t>”), which shall state the election to exercise the Option, the number of Shares with respect to which the Option is being exercised (the “</w:t>
      </w:r>
      <w:r>
        <w:rPr>
          <w:rFonts w:ascii="Times New Roman" w:cs="Times New Roman" w:eastAsia="Times New Roman" w:hAnsi="Times New Roman"/>
          <w:sz w:val="22"/>
          <w:szCs w:val="22"/>
          <w:u w:val="single" w:color="auto"/>
          <w:color w:val="auto"/>
        </w:rPr>
        <w:t>Exercised Shares</w:t>
      </w:r>
      <w:r>
        <w:rPr>
          <w:rFonts w:ascii="Times New Roman" w:cs="Times New Roman" w:eastAsia="Times New Roman" w:hAnsi="Times New Roman"/>
          <w:sz w:val="22"/>
          <w:szCs w:val="22"/>
          <w:color w:val="auto"/>
        </w:rPr>
        <w:t>”), and such other representations as may be required by the Company. The Exercise Notice shall be accompanied by payment of the aggregate Exercise Price as to all Exercised Shares, together with any applicable tax withholding. The Option shall be deemed to be exercised upon receipt by the Company of the Exercise Notice accompanied by the aggregate Exercise Price, together with any applicable tax withholding.</w:t>
      </w:r>
    </w:p>
    <w:p>
      <w:pPr>
        <w:spacing w:after="0" w:line="223" w:lineRule="exact"/>
        <w:rPr>
          <w:rFonts w:ascii="Times New Roman" w:cs="Times New Roman" w:eastAsia="Times New Roman" w:hAnsi="Times New Roman"/>
          <w:sz w:val="20"/>
          <w:szCs w:val="20"/>
          <w:color w:val="auto"/>
        </w:rPr>
      </w:pPr>
    </w:p>
    <w:p>
      <w:pPr>
        <w:ind w:firstLine="1304"/>
        <w:spacing w:after="0" w:line="245" w:lineRule="auto"/>
        <w:tabs>
          <w:tab w:leader="none" w:pos="1932" w:val="left"/>
        </w:tabs>
        <w:numPr>
          <w:ilvl w:val="3"/>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No Shares shall be issued pursuant to the exercise of the Option unless such issuance and such exercise comply with applicable laws.</w:t>
      </w:r>
    </w:p>
    <w:p>
      <w:pPr>
        <w:spacing w:after="0" w:line="253" w:lineRule="exact"/>
        <w:rPr>
          <w:rFonts w:ascii="Times New Roman" w:cs="Times New Roman" w:eastAsia="Times New Roman" w:hAnsi="Times New Roman"/>
          <w:sz w:val="20"/>
          <w:szCs w:val="20"/>
          <w:color w:val="auto"/>
        </w:rPr>
      </w:pPr>
    </w:p>
    <w:p>
      <w:pPr>
        <w:ind w:right="20" w:firstLine="656"/>
        <w:spacing w:after="0" w:line="245" w:lineRule="auto"/>
        <w:tabs>
          <w:tab w:leader="none" w:pos="1296"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Payment</w:t>
      </w:r>
      <w:r>
        <w:rPr>
          <w:rFonts w:ascii="Times New Roman" w:cs="Times New Roman" w:eastAsia="Times New Roman" w:hAnsi="Times New Roman"/>
          <w:sz w:val="22"/>
          <w:szCs w:val="22"/>
          <w:color w:val="auto"/>
        </w:rPr>
        <w:t>. Payment of the aggregate Exercise Price shall be by any of the following, or a combination thereof, at the election of the Participant:</w:t>
      </w:r>
    </w:p>
    <w:p>
      <w:pPr>
        <w:spacing w:after="0" w:line="18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3"/>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check, bank draft, electronic funds transfer or money order payable to the Company;</w:t>
      </w:r>
    </w:p>
    <w:p>
      <w:pPr>
        <w:spacing w:after="0" w:line="206" w:lineRule="exact"/>
        <w:rPr>
          <w:sz w:val="20"/>
          <w:szCs w:val="20"/>
          <w:color w:val="auto"/>
        </w:rPr>
      </w:pPr>
    </w:p>
    <w:p>
      <w:pPr>
        <w:jc w:val="both"/>
        <w:ind w:left="1960" w:hanging="656"/>
        <w:spacing w:after="0" w:line="230" w:lineRule="auto"/>
        <w:tabs>
          <w:tab w:leader="none" w:pos="195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delivery to the Company (either by actual delivery or attestation) of already-owned shares of Common Stock provided that such shares (x) shall be valued at Fair Market Value on the date of exercise, and (y) must be owned free and clear of any liens, claims, encumbrances or security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5" w:right="339" w:bottom="1440" w:gutter="0" w:footer="0" w:header="0"/>
        </w:sectPr>
      </w:pPr>
    </w:p>
    <w:bookmarkStart w:id="40" w:name="page41"/>
    <w:bookmarkEnd w:id="40"/>
    <w:p>
      <w:pPr>
        <w:ind w:left="1960" w:hanging="656"/>
        <w:spacing w:after="0" w:line="245" w:lineRule="auto"/>
        <w:tabs>
          <w:tab w:leader="none" w:pos="19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payment to the Company pursuant to a broker-assisted cashless exercise program established and maintained by the Company in connection with the Plan; or</w:t>
      </w:r>
    </w:p>
    <w:p>
      <w:pPr>
        <w:spacing w:after="0" w:line="172" w:lineRule="exact"/>
        <w:rPr>
          <w:rFonts w:ascii="Times New Roman" w:cs="Times New Roman" w:eastAsia="Times New Roman" w:hAnsi="Times New Roman"/>
          <w:sz w:val="22"/>
          <w:szCs w:val="22"/>
          <w:color w:val="auto"/>
        </w:rPr>
      </w:pPr>
    </w:p>
    <w:p>
      <w:pPr>
        <w:jc w:val="both"/>
        <w:ind w:left="1960" w:hanging="656"/>
        <w:spacing w:after="0" w:line="225" w:lineRule="auto"/>
        <w:tabs>
          <w:tab w:leader="none" w:pos="194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 “net exercise” pursuant to which the Company will reduce the number of shares of Common Stock issued upon exercise of the Option by the largest whole number of shares necessary to satisfy the Exercise Price, with such shares of Common Stock being valued at Fair Market Value as of the date of exercise, provided, that the Participant must pay any remaining balance of the aggregate Exercise Price not satisfied by the “net exercise” in another form of payment set forth herein.</w:t>
      </w:r>
    </w:p>
    <w:p>
      <w:pPr>
        <w:spacing w:after="0" w:line="177" w:lineRule="exact"/>
        <w:rPr>
          <w:rFonts w:ascii="Times New Roman" w:cs="Times New Roman" w:eastAsia="Times New Roman" w:hAnsi="Times New Roman"/>
          <w:sz w:val="22"/>
          <w:szCs w:val="22"/>
          <w:color w:val="auto"/>
        </w:rPr>
      </w:pPr>
    </w:p>
    <w:p>
      <w:pPr>
        <w:jc w:val="both"/>
        <w:ind w:firstLine="656"/>
        <w:spacing w:after="0" w:line="219" w:lineRule="auto"/>
        <w:tabs>
          <w:tab w:leader="none" w:pos="129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 of Option</w:t>
      </w:r>
      <w:r>
        <w:rPr>
          <w:rFonts w:ascii="Times New Roman" w:cs="Times New Roman" w:eastAsia="Times New Roman" w:hAnsi="Times New Roman"/>
          <w:sz w:val="22"/>
          <w:szCs w:val="22"/>
          <w:color w:val="auto"/>
        </w:rPr>
        <w:t>. Section 12.1 of the Plan shall be applicable to the Options and, consistent with Section 12.1 of the Plan, the Committee has determined that the Option may be transferred inter vivos by the Participant to any “family member” (within the meaning of Item A(1)(a)(5) of the General Instructions to SEC Form S-8 or a successor), including, without limitation, to one or more trusts, partnerships, limited liability companies or other entities which qualify as family members, provided that (i) such transfer is not a transfer for value; or (ii) such transfer is a transfer for value that the Committee determines is for estate planning purposes. Upon the Participant’s death, the Option will pass to the “beneficiary” designated by the Participant in accordance with Section 12.1 of the Plan (or, in the absence of such a designation, or if no designated beneficiary survives the Participant, to the Participant’s estate). Subject to the foregoing, the terms of this Award Agreement shall be binding upon the executors, administrators, heirs, successors and permitted assigns of the Participant.</w:t>
      </w:r>
    </w:p>
    <w:p>
      <w:pPr>
        <w:spacing w:after="0" w:line="19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Eligible Retirement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40" w:firstLine="656"/>
        <w:spacing w:after="0" w:line="249" w:lineRule="auto"/>
        <w:tabs>
          <w:tab w:leader="none" w:pos="11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terms shall govern if Participant retires pursuant to an Eligible Retirement. As used in this Section 4 “</w:t>
      </w:r>
      <w:r>
        <w:rPr>
          <w:rFonts w:ascii="Times New Roman" w:cs="Times New Roman" w:eastAsia="Times New Roman" w:hAnsi="Times New Roman"/>
          <w:sz w:val="22"/>
          <w:szCs w:val="22"/>
          <w:u w:val="single" w:color="auto"/>
          <w:color w:val="auto"/>
        </w:rPr>
        <w:t>Eligible Retirement</w:t>
      </w:r>
      <w:r>
        <w:rPr>
          <w:rFonts w:ascii="Times New Roman" w:cs="Times New Roman" w:eastAsia="Times New Roman" w:hAnsi="Times New Roman"/>
          <w:sz w:val="22"/>
          <w:szCs w:val="22"/>
          <w:color w:val="auto"/>
        </w:rPr>
        <w:t>” means that Participant has reached the age of 65. If Participant meets the Eligible Retirement terms, and Participant retires or resigns (other than on account of Good Reason) from providing service to the Company and its subsidiaries prior to the Vesting Date, Participant will be a “Retiree.” If Participant is a Retiree, the Option hereunder shall remain outstanding and shall become vested and fully exercisable on the original Vesting Date and such Option shall remain exercisable for the period as provided below under the Exercise Period, but only on the condition that Participant continuously complies with the restrictive covenants set forth below in (b) from the date Participant becomes a Retiree until the expiration of six (6) months following the Vesting Date of the Option.</w:t>
      </w:r>
    </w:p>
    <w:p>
      <w:pPr>
        <w:spacing w:after="0" w:line="235" w:lineRule="exact"/>
        <w:rPr>
          <w:rFonts w:ascii="Times New Roman" w:cs="Times New Roman" w:eastAsia="Times New Roman" w:hAnsi="Times New Roman"/>
          <w:sz w:val="22"/>
          <w:szCs w:val="22"/>
          <w:color w:val="auto"/>
        </w:rPr>
      </w:pPr>
    </w:p>
    <w:p>
      <w:pPr>
        <w:ind w:firstLine="656"/>
        <w:spacing w:after="0" w:line="249" w:lineRule="auto"/>
        <w:tabs>
          <w:tab w:leader="none" w:pos="111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Participant becoming a Retiree and the benefit of post-retirement vesting and exercisability of the Option on account of Participant becoming a Retiree, Participant agrees that continuously until 6 months following the Vesting Date (such period being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Participant shall not, directly or indirectly, on his own behalf or on behalf of any person other than the Company (i) engage in, have an equity or profit interest in, or lend money to, or manage, operate, or work for any person, firm, corporation, partnership, or business (whether as a director, officer, employee, agent, representative, partner, security holder, consultant, or otherwise) that engages in any business which competes in any respect with the Company or any of its Subsidiaries, or (ii) recruit or otherwise solicit or induce any employee, consultant, customer, client, or supplier of the Company or any of its Subsidiaries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5" w:right="339" w:bottom="1440" w:gutter="0" w:footer="0" w:header="0"/>
        </w:sectPr>
      </w:pPr>
    </w:p>
    <w:bookmarkStart w:id="41" w:name="page42"/>
    <w:bookmarkEnd w:id="41"/>
    <w:p>
      <w:pPr>
        <w:ind w:right="100"/>
        <w:spacing w:after="0" w:line="268" w:lineRule="auto"/>
        <w:rPr>
          <w:sz w:val="20"/>
          <w:szCs w:val="20"/>
          <w:color w:val="auto"/>
        </w:rPr>
      </w:pPr>
      <w:r>
        <w:rPr>
          <w:rFonts w:ascii="Times New Roman" w:cs="Times New Roman" w:eastAsia="Times New Roman" w:hAnsi="Times New Roman"/>
          <w:sz w:val="21"/>
          <w:szCs w:val="21"/>
          <w:color w:val="auto"/>
        </w:rPr>
        <w:t>terminate its employment or other business arrangement or relationship with the Company or any of its Subsidiaries, (B) otherwise change its relationship with the Company or any of its Subsidiaries or (C) establish any business relationship with him or person controlled by or related to him for any business purpose competitive with the Company or any of its Subsidiaries. A passive investment by Participant in a publicly traded company in which Participant exercises no operational or strategic control and which constitutes less than 2% of the outstanding shares of such entity shall not constitute a breach of this covenant.</w:t>
      </w:r>
    </w:p>
    <w:p>
      <w:pPr>
        <w:spacing w:after="0" w:line="204" w:lineRule="exact"/>
        <w:rPr>
          <w:sz w:val="20"/>
          <w:szCs w:val="20"/>
          <w:color w:val="auto"/>
        </w:rPr>
      </w:pPr>
    </w:p>
    <w:p>
      <w:pPr>
        <w:ind w:firstLine="656"/>
        <w:spacing w:after="0" w:line="272" w:lineRule="auto"/>
        <w:tabs>
          <w:tab w:leader="none" w:pos="1104"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Participant fails to meet the restrictive covenants set forth in (b) above continuously during the Restricted Period, then (i) any portion of the Option that is outstanding shall automatically be cancelled and forfeited, and (ii) Participant shall repay to the Company the value, if any, realized by him from an exercise of the Option where such Option is exercised during the Restricted Period without any reduction for taxes paid by or withheld on his behalf on account of any such value realized.</w:t>
      </w:r>
    </w:p>
    <w:p>
      <w:pPr>
        <w:spacing w:after="0" w:line="161" w:lineRule="exact"/>
        <w:rPr>
          <w:sz w:val="20"/>
          <w:szCs w:val="20"/>
          <w:color w:val="auto"/>
        </w:rPr>
      </w:pPr>
    </w:p>
    <w:p>
      <w:pPr>
        <w:jc w:val="both"/>
        <w:ind w:firstLine="656"/>
        <w:spacing w:after="0" w:line="229" w:lineRule="auto"/>
        <w:tabs>
          <w:tab w:leader="none" w:pos="129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The Company reserves the right to withhold, in accordance with applicable laws, from any consideration payable or property transferable to the Participant (including any Shares issuable to the Participant upon the exercise of the Option), any taxes required to be withheld by federal, state or local law as a result of the grant or exercise of the Option or the sale or other disposition of the Shares. If the amount of any consideration payable to the Participant is insufficient to pay such taxes or if no consideration is payable to the Participant, upon the request of the Company, the Participant will pay to the Company an amount sufficient for the Company to satisfy any federal, state or local tax withholding requirements applicable to and as a condition to the exercise of the Option. The minimum withholding obligations may be settled with the Shares.</w:t>
      </w:r>
    </w:p>
    <w:p>
      <w:pPr>
        <w:spacing w:after="0" w:line="263" w:lineRule="exact"/>
        <w:rPr>
          <w:rFonts w:ascii="Times New Roman" w:cs="Times New Roman" w:eastAsia="Times New Roman" w:hAnsi="Times New Roman"/>
          <w:sz w:val="21"/>
          <w:szCs w:val="21"/>
          <w:color w:val="auto"/>
        </w:rPr>
      </w:pPr>
    </w:p>
    <w:p>
      <w:pPr>
        <w:jc w:val="both"/>
        <w:ind w:firstLine="656"/>
        <w:spacing w:after="0" w:line="224"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Governing Law</w:t>
      </w:r>
      <w:r>
        <w:rPr>
          <w:rFonts w:ascii="Times New Roman" w:cs="Times New Roman" w:eastAsia="Times New Roman" w:hAnsi="Times New Roman"/>
          <w:sz w:val="22"/>
          <w:szCs w:val="22"/>
          <w:color w:val="auto"/>
        </w:rPr>
        <w:t>. This Award Agreement constitutes the entire agreement of the parties with respect to the subject matter hereof and supersedes any and all prior undertakings and agreements of the Company and the Participant with respect to the subject matter hereof. This Award Agreement may not be amended except by means of a writing signed by the Company and the Participant, and, for the avoidance of doubt, if any provision of the Plan that is incorporated by reference herein and applicable to the Option is amended, and such amendment would adversely affect the Participant’s interest, then such amended provision shall not be given effect hereunder unless reflected in a writing signed by the Company and the Participant. This Award Agreement is governed by the internal substantive laws but not the choice of law rules of the State of Delaware.</w:t>
      </w:r>
    </w:p>
    <w:p>
      <w:pPr>
        <w:spacing w:after="0" w:line="190" w:lineRule="exact"/>
        <w:rPr>
          <w:rFonts w:ascii="Times New Roman" w:cs="Times New Roman" w:eastAsia="Times New Roman" w:hAnsi="Times New Roman"/>
          <w:sz w:val="22"/>
          <w:szCs w:val="22"/>
          <w:color w:val="auto"/>
        </w:rPr>
      </w:pPr>
    </w:p>
    <w:p>
      <w:pPr>
        <w:jc w:val="both"/>
        <w:ind w:firstLine="656"/>
        <w:spacing w:after="0" w:line="223"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Continued Service</w:t>
      </w:r>
      <w:r>
        <w:rPr>
          <w:rFonts w:ascii="Times New Roman" w:cs="Times New Roman" w:eastAsia="Times New Roman" w:hAnsi="Times New Roman"/>
          <w:sz w:val="22"/>
          <w:szCs w:val="22"/>
          <w:color w:val="auto"/>
        </w:rPr>
        <w:t>. THE PARTICIPANT ACKNOWLEDGES AND AGREES THAT THIS AWARD AGREEMENT AND THE TRANSACTIONS CONTEMPLATED HEREUNDER DO NOT CONSTITUTE AN EXPRESS OR IMPLIED PROMISE OF CONTINUED ENGAGEMENT FOR ANY PERIOD, OR AT ALL, AND SHALL NOT INTERFERE IN ANY WAY WITH THE PARTICIPANT’S RIGHT OR THE RIGHT OF THE COMPANY TO TERMINATE THE PARTICIPANT’S RELATIONSHIP WITH THE COMPANY AT ANY TIME, WITH OR WITHOUT CAUSE.</w:t>
      </w:r>
    </w:p>
    <w:p>
      <w:pPr>
        <w:spacing w:after="0" w:line="196" w:lineRule="exact"/>
        <w:rPr>
          <w:rFonts w:ascii="Times New Roman" w:cs="Times New Roman" w:eastAsia="Times New Roman" w:hAnsi="Times New Roman"/>
          <w:sz w:val="22"/>
          <w:szCs w:val="22"/>
          <w:color w:val="auto"/>
        </w:rPr>
      </w:pPr>
    </w:p>
    <w:p>
      <w:pPr>
        <w:jc w:val="both"/>
        <w:ind w:firstLine="656"/>
        <w:spacing w:after="0" w:line="234"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The Option, this Award Agreement and the rights of the Participant hereunder are subject to such rules and regulations as the Committee may adopt for administration of the Plan. Consistent with Section 3 of the Plan, it is expressly understood that the Committee is authorized to administer, construe, and make all determinations necessary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22" w:right="339" w:bottom="1440" w:gutter="0" w:footer="0" w:header="0"/>
        </w:sectPr>
      </w:pPr>
    </w:p>
    <w:bookmarkStart w:id="42" w:name="page43"/>
    <w:bookmarkEnd w:id="42"/>
    <w:p>
      <w:pPr>
        <w:spacing w:after="0" w:line="245" w:lineRule="auto"/>
        <w:rPr>
          <w:sz w:val="20"/>
          <w:szCs w:val="20"/>
          <w:color w:val="auto"/>
        </w:rPr>
      </w:pPr>
      <w:r>
        <w:rPr>
          <w:rFonts w:ascii="Times New Roman" w:cs="Times New Roman" w:eastAsia="Times New Roman" w:hAnsi="Times New Roman"/>
          <w:sz w:val="22"/>
          <w:szCs w:val="22"/>
          <w:color w:val="auto"/>
        </w:rPr>
        <w:t>appropriate to the administration of the Option and this Award Agreement, all of which shall be binding upon the Participant and his successors.</w:t>
      </w:r>
    </w:p>
    <w:p>
      <w:pPr>
        <w:spacing w:after="0" w:line="186" w:lineRule="exact"/>
        <w:rPr>
          <w:sz w:val="20"/>
          <w:szCs w:val="20"/>
          <w:color w:val="auto"/>
        </w:rPr>
      </w:pPr>
    </w:p>
    <w:p>
      <w:pPr>
        <w:jc w:val="both"/>
        <w:ind w:firstLine="656"/>
        <w:spacing w:after="0" w:line="221"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of Documents</w:t>
      </w:r>
      <w:r>
        <w:rPr>
          <w:rFonts w:ascii="Times New Roman" w:cs="Times New Roman" w:eastAsia="Times New Roman" w:hAnsi="Times New Roman"/>
          <w:sz w:val="22"/>
          <w:szCs w:val="22"/>
          <w:color w:val="auto"/>
        </w:rPr>
        <w:t>. The Participant authorizes the Company and its affiliates to deliver electronically any prospectuses or other documentation related to the Option and any other compensation or benefit plan or arrangement in effect from time to time (including, without limitation, periodic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or the website of a third-party administrator designated by the Company. Upon written request, the Company will provide to the Participant a paper copy of any document also delivered to the Participant electronically. The authorization described in this paragraph may be revoked by the Participant at any time by written notice to the Company.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5"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21"/>
          <w:szCs w:val="21"/>
          <w:color w:val="auto"/>
        </w:rPr>
        <w:t>The Participant hereby accepts the Option subject to all of the terms and provisions of this Award Agreement.</w:t>
      </w:r>
    </w:p>
    <w:p>
      <w:pPr>
        <w:spacing w:after="0" w:line="326"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22"/>
          <w:szCs w:val="22"/>
          <w:color w:val="auto"/>
        </w:rPr>
        <w:t>PARTICIPANT</w:t>
      </w:r>
      <w:r>
        <w:rPr>
          <w:sz w:val="20"/>
          <w:szCs w:val="20"/>
          <w:color w:val="auto"/>
        </w:rPr>
        <w:tab/>
      </w:r>
      <w:r>
        <w:rPr>
          <w:rFonts w:ascii="Times New Roman" w:cs="Times New Roman" w:eastAsia="Times New Roman" w:hAnsi="Times New Roman"/>
          <w:sz w:val="22"/>
          <w:szCs w:val="22"/>
          <w:color w:val="auto"/>
        </w:rPr>
        <w:t>MISTRAS GROUP, INC.</w:t>
      </w:r>
    </w:p>
    <w:p>
      <w:pPr>
        <w:spacing w:after="0" w:line="200" w:lineRule="exact"/>
        <w:rPr>
          <w:sz w:val="20"/>
          <w:szCs w:val="20"/>
          <w:color w:val="auto"/>
        </w:rPr>
      </w:pPr>
    </w:p>
    <w:p>
      <w:pPr>
        <w:spacing w:after="0" w:line="371"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22"/>
          <w:szCs w:val="22"/>
          <w:color w:val="auto"/>
        </w:rPr>
        <w:t>___________________________</w:t>
      </w:r>
      <w:r>
        <w:rPr>
          <w:sz w:val="20"/>
          <w:szCs w:val="20"/>
          <w:color w:val="auto"/>
        </w:rPr>
        <w:tab/>
      </w:r>
      <w:r>
        <w:rPr>
          <w:rFonts w:ascii="Times New Roman" w:cs="Times New Roman" w:eastAsia="Times New Roman" w:hAnsi="Times New Roman"/>
          <w:sz w:val="22"/>
          <w:szCs w:val="22"/>
          <w:color w:val="auto"/>
        </w:rPr>
        <w:t>___________________________</w:t>
      </w:r>
    </w:p>
    <w:p>
      <w:pPr>
        <w:spacing w:after="0" w:line="2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22"/>
          <w:szCs w:val="22"/>
          <w:color w:val="auto"/>
        </w:rPr>
        <w:t>Manuel N. Stamatakis</w:t>
      </w:r>
      <w:r>
        <w:rPr>
          <w:sz w:val="20"/>
          <w:szCs w:val="20"/>
          <w:color w:val="auto"/>
        </w:rPr>
        <w:tab/>
      </w:r>
      <w:r>
        <w:rPr>
          <w:rFonts w:ascii="Times New Roman" w:cs="Times New Roman" w:eastAsia="Times New Roman" w:hAnsi="Times New Roman"/>
          <w:sz w:val="21"/>
          <w:szCs w:val="21"/>
          <w:color w:val="auto"/>
        </w:rPr>
        <w:t>By: Michael Keefe</w:t>
      </w:r>
    </w:p>
    <w:p>
      <w:pPr>
        <w:spacing w:after="0" w:line="1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Title: EVP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Award Agreement – Manuel N. Stamatakis</w:t>
      </w:r>
    </w:p>
    <w:p>
      <w:pPr>
        <w:sectPr>
          <w:pgSz w:w="11900" w:h="16838" w:orient="portrait"/>
          <w:cols w:equalWidth="0" w:num="1">
            <w:col w:w="10140"/>
          </w:cols>
          <w:pgMar w:left="320" w:top="143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140"/>
          </w:cols>
          <w:pgMar w:left="320" w:top="1435" w:right="1439" w:bottom="1440" w:gutter="0" w:footer="0" w:header="0"/>
          <w:type w:val="continuous"/>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1880870</wp:posOffset>
            </wp:positionV>
            <wp:extent cx="814070" cy="6172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8140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color w:val="auto"/>
        </w:rPr>
        <w:t>May 9, 2025</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Georgia" w:cs="Georgia" w:eastAsia="Georgia" w:hAnsi="Georgia"/>
          <w:sz w:val="18"/>
          <w:szCs w:val="18"/>
          <w:color w:val="auto"/>
        </w:rPr>
        <w:t>Board of Directors</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Mistras Group, Inc.</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195 Clarksville Road</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Princeton Junction, New Jersey 08550</w:t>
      </w: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color w:val="auto"/>
        </w:rPr>
        <w:t>Dear Directors:</w:t>
      </w:r>
    </w:p>
    <w:p>
      <w:pPr>
        <w:spacing w:after="0" w:line="256" w:lineRule="exact"/>
        <w:rPr>
          <w:sz w:val="20"/>
          <w:szCs w:val="20"/>
          <w:color w:val="auto"/>
        </w:rPr>
      </w:pPr>
    </w:p>
    <w:p>
      <w:pPr>
        <w:ind w:right="40"/>
        <w:spacing w:after="0" w:line="251" w:lineRule="auto"/>
        <w:rPr>
          <w:sz w:val="20"/>
          <w:szCs w:val="20"/>
          <w:color w:val="auto"/>
        </w:rPr>
      </w:pPr>
      <w:r>
        <w:rPr>
          <w:rFonts w:ascii="Georgia" w:cs="Georgia" w:eastAsia="Georgia" w:hAnsi="Georgia"/>
          <w:sz w:val="18"/>
          <w:szCs w:val="18"/>
          <w:color w:val="auto"/>
        </w:rPr>
        <w:t>We are providing this letter to you for inclusion as an exhibit to Mistras Group Inc.’s (the “Company”) Quarterly Report on Form 10-Q for the period ended March 31, 2025 (the “Form 10-Q”) pursuant to Item 601 of Regulation S-K.</w:t>
      </w:r>
    </w:p>
    <w:p>
      <w:pPr>
        <w:spacing w:after="0" w:line="247" w:lineRule="exact"/>
        <w:rPr>
          <w:sz w:val="20"/>
          <w:szCs w:val="20"/>
          <w:color w:val="auto"/>
        </w:rPr>
      </w:pPr>
    </w:p>
    <w:p>
      <w:pPr>
        <w:ind w:right="240"/>
        <w:spacing w:after="0" w:line="253" w:lineRule="auto"/>
        <w:rPr>
          <w:sz w:val="20"/>
          <w:szCs w:val="20"/>
          <w:color w:val="auto"/>
        </w:rPr>
      </w:pPr>
      <w:r>
        <w:rPr>
          <w:rFonts w:ascii="Georgia" w:cs="Georgia" w:eastAsia="Georgia" w:hAnsi="Georgia"/>
          <w:sz w:val="18"/>
          <w:szCs w:val="18"/>
          <w:color w:val="auto"/>
        </w:rPr>
        <w:t xml:space="preserve">We have been provided a copy of the Company’s Form 10-Q. Note 1 therein describes a change in accounting principle related to the presentation of certain costs incurred at its operational labs as well as the costs for certain personnel that indirectly support the Company’s delivery of services from Selling, general and administrative expenses to Cost of revenue within the unaudited condensed consolidated statements of income (loss). It should be understood that the preferability of one acceptable method of accounting over another for the presentation of these costs has not been addressed in any authoritative accounting literature, and in expressing our concurrence below we have relied on management’s determination that this change in accounting principle is preferable. Based on our reading of management’s stated reasons and justification for this change in accounting principle in the Form 10-Q, and our discussions with management as to their judgment about the relevant business planning factors relating to the change, we concur with management that such change represents, in the Company’s circumstances, a change to a preferable accounting principle in conformity with Accounting Standards Codification 250, </w:t>
      </w:r>
      <w:r>
        <w:rPr>
          <w:rFonts w:ascii="Georgia" w:cs="Georgia" w:eastAsia="Georgia" w:hAnsi="Georgia"/>
          <w:sz w:val="18"/>
          <w:szCs w:val="18"/>
          <w:i w:val="1"/>
          <w:iCs w:val="1"/>
          <w:color w:val="auto"/>
        </w:rPr>
        <w:t>Accounting Changes and Error Corrections</w:t>
      </w:r>
      <w:r>
        <w:rPr>
          <w:rFonts w:ascii="Georgia" w:cs="Georgia" w:eastAsia="Georgia" w:hAnsi="Georgia"/>
          <w:sz w:val="18"/>
          <w:szCs w:val="18"/>
          <w:color w:val="auto"/>
        </w:rPr>
        <w:t>.</w:t>
      </w:r>
    </w:p>
    <w:p>
      <w:pPr>
        <w:spacing w:after="0" w:line="247" w:lineRule="exact"/>
        <w:rPr>
          <w:sz w:val="20"/>
          <w:szCs w:val="20"/>
          <w:color w:val="auto"/>
        </w:rPr>
      </w:pPr>
    </w:p>
    <w:p>
      <w:pPr>
        <w:spacing w:after="0" w:line="251" w:lineRule="auto"/>
        <w:rPr>
          <w:sz w:val="20"/>
          <w:szCs w:val="20"/>
          <w:color w:val="auto"/>
        </w:rPr>
      </w:pPr>
      <w:r>
        <w:rPr>
          <w:rFonts w:ascii="Georgia" w:cs="Georgia" w:eastAsia="Georgia" w:hAnsi="Georgia"/>
          <w:sz w:val="18"/>
          <w:szCs w:val="18"/>
          <w:color w:val="auto"/>
        </w:rPr>
        <w:t>We have not audited any financial statements of the Company as of any date or for any period subsequent to December 31, 2024. Accordingly, our comments are subject to change upon completion of an audit of the financial statements covering the period of the accounting change.</w:t>
      </w:r>
    </w:p>
    <w:p>
      <w:pPr>
        <w:spacing w:after="0" w:line="246" w:lineRule="exact"/>
        <w:rPr>
          <w:sz w:val="20"/>
          <w:szCs w:val="20"/>
          <w:color w:val="auto"/>
        </w:rPr>
      </w:pPr>
    </w:p>
    <w:p>
      <w:pPr>
        <w:spacing w:after="0"/>
        <w:rPr>
          <w:sz w:val="20"/>
          <w:szCs w:val="20"/>
          <w:color w:val="auto"/>
        </w:rPr>
      </w:pPr>
      <w:r>
        <w:rPr>
          <w:rFonts w:ascii="Georgia" w:cs="Georgia" w:eastAsia="Georgia" w:hAnsi="Georgia"/>
          <w:sz w:val="18"/>
          <w:szCs w:val="18"/>
          <w:color w:val="auto"/>
        </w:rPr>
        <w:t>Very truly yours,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Philadelphia, Pennsylvania</w:t>
      </w:r>
    </w:p>
    <w:p>
      <w:pPr>
        <w:sectPr>
          <w:pgSz w:w="11900" w:h="16838" w:orient="portrait"/>
          <w:cols w:equalWidth="0" w:num="1">
            <w:col w:w="11240"/>
          </w:cols>
          <w:pgMar w:left="320" w:top="144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Natalia Shuman-Fabbri, certify that:</w:t>
      </w:r>
    </w:p>
    <w:p>
      <w:pPr>
        <w:spacing w:after="0" w:line="90"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Natalia Shuman-Fabbri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17145</wp:posOffset>
            </wp:positionV>
            <wp:extent cx="28460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Natalia Shuman-Fabbri</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8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J. Prajzner, certify that:</w:t>
      </w:r>
    </w:p>
    <w:p>
      <w:pPr>
        <w:spacing w:after="0" w:line="104"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17145</wp:posOffset>
            </wp:positionV>
            <wp:extent cx="38404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240"/>
          </w:cols>
          <w:pgMar w:left="320" w:top="130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March 31, 2025 (the “Report”), fully complies with the requirements of Section 13(a) or 15(d)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9, 2025</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Natalia Shuman-Fabbri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Natalia Shuman-Fabbri</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37973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lvl w:ilvl="1">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upperLetter"/>
      <w:start w:val="9"/>
    </w:lvl>
  </w:abstractNum>
  <w:abstractNum w:abstractNumId="12">
    <w:nsid w:val="431BD7B7"/>
    <w:multiLevelType w:val="hybridMultilevel"/>
    <w:lvl w:ilvl="0">
      <w:lvlJc w:val="left"/>
      <w:lvlText w:val="%1."/>
      <w:numFmt w:val="upperLetter"/>
      <w:start w:val="35"/>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13">
    <w:nsid w:val="3F2DBA31"/>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9"/>
    </w:lvl>
  </w:abstractNum>
  <w:abstractNum w:abstractNumId="14">
    <w:nsid w:val="7C83E458"/>
    <w:multiLevelType w:val="hybridMultilevel"/>
    <w:lvl w:ilvl="0">
      <w:lvlJc w:val="left"/>
      <w:lvlText w:val="(%1)"/>
      <w:numFmt w:val="lowerRoman"/>
      <w:start w:val="2"/>
    </w:lvl>
  </w:abstractNum>
  <w:abstractNum w:abstractNumId="15">
    <w:nsid w:val="257130A3"/>
    <w:multiLevelType w:val="hybridMultilevel"/>
    <w:lvl w:ilvl="0">
      <w:lvlJc w:val="left"/>
      <w:lvlText w:val="%1"/>
      <w:numFmt w:val="decimal"/>
      <w:start w:val="1"/>
    </w:lvl>
    <w:lvl w:ilvl="1">
      <w:lvlJc w:val="left"/>
      <w:lvlText w:val="(%2)"/>
      <w:numFmt w:val="lowerRoman"/>
      <w:start w:val="3"/>
    </w:lvl>
  </w:abstractNum>
  <w:abstractNum w:abstractNumId="16">
    <w:nsid w:val="62BBD95A"/>
    <w:multiLevelType w:val="hybridMultilevel"/>
    <w:lvl w:ilvl="0">
      <w:lvlJc w:val="left"/>
      <w:lvlText w:val="%1."/>
      <w:numFmt w:val="decimal"/>
      <w:start w:val="3"/>
    </w:lvl>
    <w:lvl w:ilvl="1">
      <w:lvlJc w:val="left"/>
      <w:lvlText w:val="%2"/>
      <w:numFmt w:val="lowerRoman"/>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3"/>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decimal"/>
      <w:start w:val="9"/>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2025-05-09T15:17:27Z</dcterms:created>
  <dcterms:modified xsi:type="dcterms:W3CDTF">2025-05-09T15:17:27Z</dcterms:modified>
</cp:coreProperties>
</file>