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309880</wp:posOffset>
            </wp:positionH>
            <wp:positionV relativeFrom="page">
              <wp:posOffset>701675</wp:posOffset>
            </wp:positionV>
            <wp:extent cx="69291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120" cy="8255"/>
                    </a:xfrm>
                    <a:prstGeom prst="rect">
                      <a:avLst/>
                    </a:prstGeom>
                    <a:noFill/>
                  </pic:spPr>
                </pic:pic>
              </a:graphicData>
            </a:graphic>
          </wp:anchor>
        </w:drawing>
        <w:drawing>
          <wp:anchor simplePos="0" relativeHeight="251657728" behindDoc="1" locked="0" layoutInCell="0" allowOverlap="1">
            <wp:simplePos x="0" y="0"/>
            <wp:positionH relativeFrom="page">
              <wp:posOffset>309880</wp:posOffset>
            </wp:positionH>
            <wp:positionV relativeFrom="page">
              <wp:posOffset>659130</wp:posOffset>
            </wp:positionV>
            <wp:extent cx="69291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120" cy="1714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54610</wp:posOffset>
            </wp:positionV>
            <wp:extent cx="2570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55"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16"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11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or</w:t>
      </w:r>
    </w:p>
    <w:p>
      <w:pPr>
        <w:spacing w:after="0" w:line="119" w:lineRule="exact"/>
        <w:rPr>
          <w:sz w:val="24"/>
          <w:szCs w:val="24"/>
          <w:color w:val="auto"/>
        </w:rPr>
      </w:pPr>
    </w:p>
    <w:p>
      <w:pPr>
        <w:ind w:left="660" w:right="460" w:hanging="653"/>
        <w:spacing w:after="0" w:line="290" w:lineRule="auto"/>
        <w:tabs>
          <w:tab w:leader="none" w:pos="356" w:val="left"/>
        </w:tabs>
        <w:numPr>
          <w:ilvl w:val="0"/>
          <w:numId w:val="2"/>
        </w:numPr>
        <w:rPr>
          <w:rFonts w:ascii="MS PGothic" w:cs="MS PGothic" w:eastAsia="MS PGothic" w:hAnsi="MS PGothic"/>
          <w:sz w:val="18"/>
          <w:szCs w:val="18"/>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0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182"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2294255</wp:posOffset>
            </wp:positionH>
            <wp:positionV relativeFrom="paragraph">
              <wp:posOffset>59055</wp:posOffset>
            </wp:positionV>
            <wp:extent cx="25704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0480" cy="17145"/>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Exact name of registrant as specified in its charter</w:t>
      </w:r>
      <w:r>
        <w:rPr>
          <w:rFonts w:ascii="Arial" w:cs="Arial" w:eastAsia="Arial" w:hAnsi="Arial"/>
          <w:sz w:val="18"/>
          <w:szCs w:val="18"/>
          <w:color w:val="auto"/>
        </w:rPr>
        <w: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120" w:type="dxa"/>
            <w:vAlign w:val="bottom"/>
            <w:gridSpan w:val="2"/>
          </w:tcPr>
          <w:p>
            <w:pPr>
              <w:jc w:val="center"/>
              <w:ind w:left="1351"/>
              <w:spacing w:after="0"/>
              <w:rPr>
                <w:sz w:val="20"/>
                <w:szCs w:val="20"/>
                <w:color w:val="auto"/>
              </w:rPr>
            </w:pPr>
            <w:r>
              <w:rPr>
                <w:rFonts w:ascii="Arial" w:cs="Arial" w:eastAsia="Arial" w:hAnsi="Arial"/>
                <w:sz w:val="18"/>
                <w:szCs w:val="18"/>
                <w:b w:val="1"/>
                <w:bCs w:val="1"/>
                <w:color w:val="auto"/>
                <w:w w:val="91"/>
              </w:rPr>
              <w:t>Delaware</w:t>
            </w: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40" w:type="dxa"/>
            <w:vAlign w:val="bottom"/>
          </w:tcPr>
          <w:p>
            <w:pPr>
              <w:jc w:val="center"/>
              <w:ind w:right="31"/>
              <w:spacing w:after="0"/>
              <w:rPr>
                <w:sz w:val="20"/>
                <w:szCs w:val="20"/>
                <w:color w:val="auto"/>
              </w:rPr>
            </w:pPr>
            <w:r>
              <w:rPr>
                <w:rFonts w:ascii="Arial" w:cs="Arial" w:eastAsia="Arial" w:hAnsi="Arial"/>
                <w:sz w:val="18"/>
                <w:szCs w:val="18"/>
                <w:b w:val="1"/>
                <w:bCs w:val="1"/>
                <w:color w:val="auto"/>
                <w:w w:val="91"/>
              </w:rPr>
              <w:t>22-3341267</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gridSpan w:val="2"/>
          </w:tcPr>
          <w:p>
            <w:pPr>
              <w:jc w:val="center"/>
              <w:ind w:left="1351"/>
              <w:spacing w:after="0" w:line="176"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State or other jurisdiction of</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40" w:type="dxa"/>
            <w:vAlign w:val="bottom"/>
            <w:gridSpan w:val="2"/>
          </w:tcPr>
          <w:p>
            <w:pPr>
              <w:jc w:val="center"/>
              <w:ind w:right="1820"/>
              <w:spacing w:after="0" w:line="176"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I.R.S. Employer</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20" w:type="dxa"/>
            <w:vAlign w:val="bottom"/>
            <w:gridSpan w:val="2"/>
          </w:tcPr>
          <w:p>
            <w:pPr>
              <w:jc w:val="center"/>
              <w:ind w:left="1351"/>
              <w:spacing w:after="0"/>
              <w:rPr>
                <w:sz w:val="20"/>
                <w:szCs w:val="20"/>
                <w:color w:val="auto"/>
              </w:rPr>
            </w:pPr>
            <w:r>
              <w:rPr>
                <w:rFonts w:ascii="Arial" w:cs="Arial" w:eastAsia="Arial" w:hAnsi="Arial"/>
                <w:sz w:val="18"/>
                <w:szCs w:val="18"/>
                <w:i w:val="1"/>
                <w:iCs w:val="1"/>
                <w:color w:val="auto"/>
                <w:w w:val="93"/>
              </w:rPr>
              <w:t>incorporation or organization</w:t>
            </w:r>
            <w:r>
              <w:rPr>
                <w:rFonts w:ascii="Arial" w:cs="Arial" w:eastAsia="Arial" w:hAnsi="Arial"/>
                <w:sz w:val="18"/>
                <w:szCs w:val="18"/>
                <w:color w:val="auto"/>
                <w:w w:val="93"/>
              </w:rPr>
              <w:t>)</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40" w:type="dxa"/>
            <w:vAlign w:val="bottom"/>
            <w:gridSpan w:val="2"/>
          </w:tcPr>
          <w:p>
            <w:pPr>
              <w:jc w:val="center"/>
              <w:ind w:right="1820"/>
              <w:spacing w:after="0"/>
              <w:rPr>
                <w:sz w:val="20"/>
                <w:szCs w:val="20"/>
                <w:color w:val="auto"/>
              </w:rPr>
            </w:pPr>
            <w:r>
              <w:rPr>
                <w:rFonts w:ascii="Arial" w:cs="Arial" w:eastAsia="Arial" w:hAnsi="Arial"/>
                <w:sz w:val="18"/>
                <w:szCs w:val="18"/>
                <w:i w:val="1"/>
                <w:iCs w:val="1"/>
                <w:color w:val="auto"/>
                <w:w w:val="93"/>
              </w:rPr>
              <w:t>Identification Number</w:t>
            </w: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1"/>
              </w:rPr>
              <w:t>195 Clarksville Road</w:t>
            </w:r>
          </w:p>
        </w:tc>
        <w:tc>
          <w:tcPr>
            <w:tcW w:w="2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Princeton Junction, New Jersey 08550</w:t>
            </w:r>
          </w:p>
        </w:tc>
        <w:tc>
          <w:tcPr>
            <w:tcW w:w="20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480" w:type="dxa"/>
            <w:vAlign w:val="bottom"/>
            <w:gridSpan w:val="7"/>
          </w:tcPr>
          <w:p>
            <w:pPr>
              <w:jc w:val="center"/>
              <w:ind w:left="3651"/>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Address of principal executive offices</w:t>
            </w:r>
            <w:r>
              <w:rPr>
                <w:rFonts w:ascii="Arial" w:cs="Arial" w:eastAsia="Arial" w:hAnsi="Arial"/>
                <w:sz w:val="18"/>
                <w:szCs w:val="18"/>
                <w:color w:val="auto"/>
                <w:w w:val="90"/>
              </w:rPr>
              <w:t>) (</w:t>
            </w:r>
            <w:r>
              <w:rPr>
                <w:rFonts w:ascii="Arial" w:cs="Arial" w:eastAsia="Arial" w:hAnsi="Arial"/>
                <w:sz w:val="18"/>
                <w:szCs w:val="18"/>
                <w:i w:val="1"/>
                <w:iCs w:val="1"/>
                <w:color w:val="auto"/>
                <w:w w:val="90"/>
              </w:rPr>
              <w:t>Zip Code</w:t>
            </w:r>
            <w:r>
              <w:rPr>
                <w:rFonts w:ascii="Arial" w:cs="Arial" w:eastAsia="Arial" w:hAnsi="Arial"/>
                <w:sz w:val="18"/>
                <w:szCs w:val="18"/>
                <w:color w:val="auto"/>
                <w:w w:val="90"/>
              </w:rPr>
              <w:t>)</w:t>
            </w:r>
          </w:p>
        </w:tc>
        <w:tc>
          <w:tcPr>
            <w:tcW w:w="20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90"/>
              </w:rPr>
              <w:t>(609) 716-4000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460" w:type="dxa"/>
            <w:vAlign w:val="bottom"/>
            <w:gridSpan w:val="4"/>
            <w:vMerge w:val="restart"/>
          </w:tcPr>
          <w:p>
            <w:pPr>
              <w:ind w:left="168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i w:val="1"/>
                <w:iCs w:val="1"/>
                <w:color w:val="auto"/>
                <w:w w:val="88"/>
              </w:rPr>
              <w:t>Registrant's telephone number, including area code</w:t>
            </w:r>
            <w:r>
              <w:rPr>
                <w:rFonts w:ascii="Arial" w:cs="Arial" w:eastAsia="Arial" w:hAnsi="Arial"/>
                <w:sz w:val="18"/>
                <w:szCs w:val="18"/>
                <w:color w:val="auto"/>
                <w:w w:val="88"/>
              </w:rPr>
              <w:t>)</w:t>
            </w:r>
          </w:p>
        </w:tc>
        <w:tc>
          <w:tcPr>
            <w:tcW w:w="1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vMerge w:val="continue"/>
          </w:tcPr>
          <w:p>
            <w:pPr>
              <w:spacing w:after="0"/>
              <w:rPr>
                <w:sz w:val="7"/>
                <w:szCs w:val="7"/>
                <w:color w:val="auto"/>
              </w:rPr>
            </w:pPr>
          </w:p>
        </w:tc>
        <w:tc>
          <w:tcPr>
            <w:tcW w:w="5460" w:type="dxa"/>
            <w:vAlign w:val="bottom"/>
            <w:gridSpan w:val="4"/>
            <w:vMerge w:val="continue"/>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9"/>
        </w:trPr>
        <w:tc>
          <w:tcPr>
            <w:tcW w:w="414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20" w:type="dxa"/>
            <w:vAlign w:val="bottom"/>
            <w:gridSpan w:val="2"/>
          </w:tcPr>
          <w:p>
            <w:pPr>
              <w:jc w:val="center"/>
              <w:ind w:right="40"/>
              <w:spacing w:after="0"/>
              <w:rPr>
                <w:sz w:val="20"/>
                <w:szCs w:val="20"/>
                <w:color w:val="auto"/>
              </w:rPr>
            </w:pPr>
            <w:r>
              <w:rPr>
                <w:rFonts w:ascii="Arial" w:cs="Arial" w:eastAsia="Arial" w:hAnsi="Arial"/>
                <w:sz w:val="18"/>
                <w:szCs w:val="18"/>
                <w:i w:val="1"/>
                <w:iCs w:val="1"/>
                <w:color w:val="auto"/>
                <w:w w:val="88"/>
              </w:rPr>
              <w:t>Title of each class</w:t>
            </w:r>
          </w:p>
        </w:tc>
        <w:tc>
          <w:tcPr>
            <w:tcW w:w="80" w:type="dxa"/>
            <w:vAlign w:val="bottom"/>
          </w:tcPr>
          <w:p>
            <w:pPr>
              <w:spacing w:after="0"/>
              <w:rPr>
                <w:sz w:val="22"/>
                <w:szCs w:val="22"/>
                <w:color w:val="auto"/>
              </w:rPr>
            </w:pPr>
          </w:p>
        </w:tc>
        <w:tc>
          <w:tcPr>
            <w:tcW w:w="3280" w:type="dxa"/>
            <w:vAlign w:val="bottom"/>
            <w:gridSpan w:val="4"/>
          </w:tcPr>
          <w:p>
            <w:pPr>
              <w:jc w:val="center"/>
              <w:ind w:right="500"/>
              <w:spacing w:after="0"/>
              <w:rPr>
                <w:sz w:val="20"/>
                <w:szCs w:val="20"/>
                <w:color w:val="auto"/>
              </w:rPr>
            </w:pPr>
            <w:r>
              <w:rPr>
                <w:rFonts w:ascii="Arial" w:cs="Arial" w:eastAsia="Arial" w:hAnsi="Arial"/>
                <w:sz w:val="18"/>
                <w:szCs w:val="18"/>
                <w:i w:val="1"/>
                <w:iCs w:val="1"/>
                <w:color w:val="auto"/>
                <w:w w:val="90"/>
              </w:rPr>
              <w:t>Trading Symbol</w:t>
            </w:r>
          </w:p>
        </w:tc>
        <w:tc>
          <w:tcPr>
            <w:tcW w:w="37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88"/>
              </w:rPr>
              <w:t>Name of each exchange on which registered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$.01 par 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MG</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2898775</wp:posOffset>
            </wp:positionH>
            <wp:positionV relativeFrom="paragraph">
              <wp:posOffset>-50800</wp:posOffset>
            </wp:positionV>
            <wp:extent cx="2570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93"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128"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74" w:lineRule="exact"/>
        <w:rPr>
          <w:sz w:val="24"/>
          <w:szCs w:val="24"/>
          <w:color w:val="auto"/>
        </w:rPr>
      </w:pPr>
    </w:p>
    <w:p>
      <w:pPr>
        <w:ind w:right="60" w:firstLine="322"/>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9" w:lineRule="exact"/>
        <w:rPr>
          <w:sz w:val="24"/>
          <w:szCs w:val="24"/>
          <w:color w:val="auto"/>
        </w:rPr>
      </w:pPr>
    </w:p>
    <w:p>
      <w:pPr>
        <w:ind w:right="120" w:firstLine="322"/>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2" w:lineRule="exact"/>
        <w:rPr>
          <w:sz w:val="24"/>
          <w:szCs w:val="24"/>
          <w:color w:val="auto"/>
        </w:rPr>
      </w:pPr>
    </w:p>
    <w:p>
      <w:pPr>
        <w:ind w:right="160" w:firstLine="322"/>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376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5040" w:type="dxa"/>
            <w:vAlign w:val="bottom"/>
          </w:tcPr>
          <w:p>
            <w:pPr>
              <w:ind w:left="2020"/>
              <w:spacing w:after="0"/>
              <w:rPr>
                <w:sz w:val="20"/>
                <w:szCs w:val="20"/>
                <w:color w:val="auto"/>
              </w:rPr>
            </w:pPr>
            <w:r>
              <w:rPr>
                <w:rFonts w:ascii="Arial" w:cs="Arial" w:eastAsia="Arial" w:hAnsi="Arial"/>
                <w:sz w:val="18"/>
                <w:szCs w:val="18"/>
                <w:color w:val="auto"/>
              </w:rPr>
              <w:t>Accelerated filer</w:t>
            </w:r>
          </w:p>
        </w:tc>
        <w:tc>
          <w:tcPr>
            <w:tcW w:w="1220" w:type="dxa"/>
            <w:vAlign w:val="bottom"/>
          </w:tcPr>
          <w:p>
            <w:pPr>
              <w:jc w:val="center"/>
              <w:ind w:left="971"/>
              <w:spacing w:after="0"/>
              <w:rPr>
                <w:sz w:val="20"/>
                <w:szCs w:val="20"/>
                <w:color w:val="auto"/>
              </w:rPr>
            </w:pPr>
            <w:r>
              <w:rPr>
                <w:rFonts w:ascii="Arial" w:cs="Arial" w:eastAsia="Arial" w:hAnsi="Arial"/>
                <w:sz w:val="18"/>
                <w:szCs w:val="18"/>
                <w:color w:val="auto"/>
                <w:w w:val="88"/>
              </w:rPr>
              <w:t>x</w:t>
            </w:r>
          </w:p>
        </w:tc>
      </w:tr>
      <w:tr>
        <w:trPr>
          <w:trHeight w:val="228"/>
        </w:trPr>
        <w:tc>
          <w:tcPr>
            <w:tcW w:w="3760" w:type="dxa"/>
            <w:vAlign w:val="bottom"/>
          </w:tcPr>
          <w:p>
            <w:pPr>
              <w:spacing w:after="0"/>
              <w:rPr>
                <w:sz w:val="20"/>
                <w:szCs w:val="20"/>
                <w:color w:val="auto"/>
              </w:rPr>
            </w:pPr>
            <w:r>
              <w:rPr>
                <w:rFonts w:ascii="Arial" w:cs="Arial" w:eastAsia="Arial" w:hAnsi="Arial"/>
                <w:sz w:val="18"/>
                <w:szCs w:val="18"/>
                <w:color w:val="auto"/>
              </w:rPr>
              <w:t>Non-accelerated filer o</w:t>
            </w:r>
          </w:p>
        </w:tc>
        <w:tc>
          <w:tcPr>
            <w:tcW w:w="5040" w:type="dxa"/>
            <w:vAlign w:val="bottom"/>
          </w:tcPr>
          <w:p>
            <w:pPr>
              <w:ind w:left="2020"/>
              <w:spacing w:after="0"/>
              <w:rPr>
                <w:sz w:val="20"/>
                <w:szCs w:val="20"/>
                <w:color w:val="auto"/>
              </w:rPr>
            </w:pPr>
            <w:r>
              <w:rPr>
                <w:rFonts w:ascii="Arial" w:cs="Arial" w:eastAsia="Arial" w:hAnsi="Arial"/>
                <w:sz w:val="18"/>
                <w:szCs w:val="18"/>
                <w:color w:val="auto"/>
              </w:rPr>
              <w:t>Smaller reporting company</w:t>
            </w:r>
          </w:p>
        </w:tc>
        <w:tc>
          <w:tcPr>
            <w:tcW w:w="1220" w:type="dxa"/>
            <w:vAlign w:val="bottom"/>
          </w:tcPr>
          <w:p>
            <w:pPr>
              <w:jc w:val="center"/>
              <w:ind w:left="971"/>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0"/>
        </w:trPr>
        <w:tc>
          <w:tcPr>
            <w:tcW w:w="3760" w:type="dxa"/>
            <w:vAlign w:val="bottom"/>
          </w:tcPr>
          <w:p>
            <w:pPr>
              <w:spacing w:after="0"/>
              <w:rPr>
                <w:sz w:val="24"/>
                <w:szCs w:val="24"/>
                <w:color w:val="auto"/>
              </w:rPr>
            </w:pPr>
          </w:p>
        </w:tc>
        <w:tc>
          <w:tcPr>
            <w:tcW w:w="5040" w:type="dxa"/>
            <w:vAlign w:val="bottom"/>
          </w:tcPr>
          <w:p>
            <w:pPr>
              <w:ind w:left="2020"/>
              <w:spacing w:after="0"/>
              <w:rPr>
                <w:sz w:val="20"/>
                <w:szCs w:val="20"/>
                <w:color w:val="auto"/>
              </w:rPr>
            </w:pPr>
            <w:r>
              <w:rPr>
                <w:rFonts w:ascii="Arial" w:cs="Arial" w:eastAsia="Arial" w:hAnsi="Arial"/>
                <w:sz w:val="18"/>
                <w:szCs w:val="18"/>
                <w:color w:val="auto"/>
              </w:rPr>
              <w:t>Emerging growth company</w:t>
            </w:r>
          </w:p>
        </w:tc>
        <w:tc>
          <w:tcPr>
            <w:tcW w:w="1220" w:type="dxa"/>
            <w:vAlign w:val="bottom"/>
          </w:tcPr>
          <w:p>
            <w:pPr>
              <w:jc w:val="center"/>
              <w:ind w:left="971"/>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02" w:lineRule="exact"/>
        <w:rPr>
          <w:sz w:val="24"/>
          <w:szCs w:val="24"/>
          <w:color w:val="auto"/>
        </w:rPr>
      </w:pPr>
    </w:p>
    <w:p>
      <w:pPr>
        <w:ind w:right="260" w:firstLine="322"/>
        <w:spacing w:after="0" w:line="27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1" w:lineRule="exact"/>
        <w:rPr>
          <w:sz w:val="24"/>
          <w:szCs w:val="24"/>
          <w:color w:val="auto"/>
        </w:rPr>
      </w:pPr>
    </w:p>
    <w:p>
      <w:pPr>
        <w:ind w:right="120" w:firstLine="322"/>
        <w:spacing w:after="0" w:line="226"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9" w:lineRule="exact"/>
        <w:rPr>
          <w:sz w:val="24"/>
          <w:szCs w:val="24"/>
          <w:color w:val="auto"/>
        </w:rPr>
      </w:pPr>
    </w:p>
    <w:p>
      <w:pPr>
        <w:ind w:right="60" w:firstLine="322"/>
        <w:spacing w:after="0" w:line="231"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ind w:right="500" w:firstLine="322"/>
        <w:spacing w:after="0" w:line="231"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6" w:lineRule="exact"/>
        <w:rPr>
          <w:sz w:val="24"/>
          <w:szCs w:val="24"/>
          <w:color w:val="auto"/>
        </w:rPr>
      </w:pPr>
    </w:p>
    <w:p>
      <w:pPr>
        <w:ind w:left="3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1180" w:right="339" w:bottom="0" w:gutter="0" w:footer="0" w:header="0"/>
        </w:sectPr>
      </w:pPr>
    </w:p>
    <w:bookmarkStart w:id="1" w:name="page2"/>
    <w:bookmarkEnd w:id="1"/>
    <w:p>
      <w:pPr>
        <w:ind w:firstLine="322"/>
        <w:spacing w:after="0" w:line="260"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based on the closing price of $5.94 on June 30, 2022, the last business day of the registrant's most recently completed second fiscal quarter, as reported on the New York Stock Exchange, was approximately $119.1 million.</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10, 2023, the Registrant had 29,926,879 shares of common stock outstanding.</w:t>
      </w:r>
    </w:p>
    <w:p>
      <w:pPr>
        <w:spacing w:after="0" w:line="12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46" w:lineRule="exact"/>
        <w:rPr>
          <w:sz w:val="20"/>
          <w:szCs w:val="20"/>
          <w:color w:val="auto"/>
        </w:rPr>
      </w:pPr>
    </w:p>
    <w:p>
      <w:pPr>
        <w:jc w:val="both"/>
        <w:ind w:right="100"/>
        <w:spacing w:after="0" w:line="307" w:lineRule="auto"/>
        <w:rPr>
          <w:sz w:val="20"/>
          <w:szCs w:val="20"/>
          <w:color w:val="auto"/>
        </w:rPr>
      </w:pPr>
      <w:r>
        <w:rPr>
          <w:rFonts w:ascii="Arial" w:cs="Arial" w:eastAsia="Arial" w:hAnsi="Arial"/>
          <w:sz w:val="16"/>
          <w:szCs w:val="16"/>
          <w:color w:val="auto"/>
        </w:rPr>
        <w:t>Information required by Part III (Items 10, 11, 12, 13 and 14) is incorporated by reference to portions of the registrant’s definitive proxy statement for its 2023 annual meeting of shareholders (the “Proxy Statement”), which is expected to be filed not later than 120 days after the registrant’s fiscal year ended December 31, 2022. Except as expressly incorporated by reference, the Proxy Statement shall not be deemed to be a part of this report on Form 10-K.</w:t>
      </w:r>
    </w:p>
    <w:p>
      <w:pPr>
        <w:spacing w:after="0" w:line="179" w:lineRule="exact"/>
        <w:rPr>
          <w:sz w:val="20"/>
          <w:szCs w:val="20"/>
          <w:color w:val="auto"/>
        </w:rPr>
      </w:pPr>
    </w:p>
    <w:p>
      <w:pPr>
        <w:spacing w:after="0"/>
        <w:tabs>
          <w:tab w:leader="none" w:pos="2200" w:val="left"/>
          <w:tab w:leader="none" w:pos="5640" w:val="left"/>
        </w:tabs>
        <w:rPr>
          <w:sz w:val="20"/>
          <w:szCs w:val="20"/>
          <w:color w:val="auto"/>
        </w:rPr>
      </w:pPr>
      <w:r>
        <w:rPr>
          <w:rFonts w:ascii="Arial" w:cs="Arial" w:eastAsia="Arial" w:hAnsi="Arial"/>
          <w:sz w:val="18"/>
          <w:szCs w:val="18"/>
          <w:color w:val="auto"/>
        </w:rPr>
        <w:t>Auditor Name: KPMG LLP</w:t>
        <w:tab/>
        <w:t>Auditor Location: Short Hills, New Jersey</w:t>
      </w:r>
      <w:r>
        <w:rPr>
          <w:sz w:val="20"/>
          <w:szCs w:val="20"/>
          <w:color w:val="auto"/>
        </w:rPr>
        <w:tab/>
      </w:r>
      <w:r>
        <w:rPr>
          <w:rFonts w:ascii="Arial" w:cs="Arial" w:eastAsia="Arial" w:hAnsi="Arial"/>
          <w:sz w:val="17"/>
          <w:szCs w:val="17"/>
          <w:color w:val="auto"/>
        </w:rPr>
        <w:t>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209550</wp:posOffset>
            </wp:positionV>
            <wp:extent cx="69291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12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184150</wp:posOffset>
            </wp:positionV>
            <wp:extent cx="6929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9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00" w:type="dxa"/>
            <w:vAlign w:val="bottom"/>
            <w:gridSpan w:val="11"/>
          </w:tcPr>
          <w:p>
            <w:pPr>
              <w:spacing w:after="0"/>
              <w:rPr>
                <w:sz w:val="20"/>
                <w:szCs w:val="20"/>
                <w:color w:val="auto"/>
              </w:rPr>
            </w:pPr>
            <w:r>
              <w:rPr>
                <w:rFonts w:ascii="Arial" w:cs="Arial" w:eastAsia="Arial" w:hAnsi="Arial"/>
                <w:sz w:val="18"/>
                <w:szCs w:val="18"/>
                <w:color w:val="0000FF"/>
              </w:rPr>
              <w:t>Table of Contents</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6"/>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20" w:type="dxa"/>
            <w:vAlign w:val="bottom"/>
            <w:gridSpan w:val="14"/>
          </w:tcPr>
          <w:p>
            <w:pPr>
              <w:jc w:val="center"/>
              <w:ind w:right="3940"/>
              <w:spacing w:after="0"/>
              <w:rPr>
                <w:sz w:val="20"/>
                <w:szCs w:val="20"/>
                <w:color w:val="auto"/>
              </w:rPr>
            </w:pPr>
            <w:r>
              <w:rPr>
                <w:rFonts w:ascii="Arial" w:cs="Arial" w:eastAsia="Arial" w:hAnsi="Arial"/>
                <w:sz w:val="18"/>
                <w:szCs w:val="18"/>
                <w:b w:val="1"/>
                <w:bCs w:val="1"/>
                <w:color w:val="auto"/>
                <w:w w:val="98"/>
              </w:rPr>
              <w:t>MISTRAS GROUP, INC.</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20" w:type="dxa"/>
            <w:vAlign w:val="bottom"/>
            <w:gridSpan w:val="16"/>
          </w:tcPr>
          <w:p>
            <w:pPr>
              <w:jc w:val="center"/>
              <w:ind w:right="3540"/>
              <w:spacing w:after="0"/>
              <w:rPr>
                <w:sz w:val="20"/>
                <w:szCs w:val="20"/>
                <w:color w:val="auto"/>
              </w:rPr>
            </w:pPr>
            <w:r>
              <w:rPr>
                <w:rFonts w:ascii="Arial" w:cs="Arial" w:eastAsia="Arial" w:hAnsi="Arial"/>
                <w:sz w:val="18"/>
                <w:szCs w:val="18"/>
                <w:b w:val="1"/>
                <w:bCs w:val="1"/>
                <w:color w:val="auto"/>
                <w:w w:val="99"/>
              </w:rPr>
              <w:t>ANNUAL REPORT ON FORM 10-K</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20" w:type="dxa"/>
            <w:vAlign w:val="bottom"/>
            <w:gridSpan w:val="14"/>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00" w:type="dxa"/>
            <w:vAlign w:val="bottom"/>
            <w:gridSpan w:val="11"/>
          </w:tcPr>
          <w:p>
            <w:pPr>
              <w:ind w:left="20"/>
              <w:spacing w:after="0"/>
              <w:rPr>
                <w:sz w:val="20"/>
                <w:szCs w:val="20"/>
                <w:color w:val="auto"/>
              </w:rPr>
            </w:pPr>
            <w:r>
              <w:rPr>
                <w:rFonts w:ascii="Arial" w:cs="Arial" w:eastAsia="Arial" w:hAnsi="Arial"/>
                <w:sz w:val="18"/>
                <w:szCs w:val="18"/>
                <w:color w:val="0000FF"/>
              </w:rPr>
              <w:t>PART I</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ITEM 1.</w:t>
            </w:r>
          </w:p>
        </w:tc>
        <w:tc>
          <w:tcPr>
            <w:tcW w:w="680" w:type="dxa"/>
            <w:vAlign w:val="bottom"/>
            <w:gridSpan w:val="5"/>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BUSINESS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6"/>
          </w:tcPr>
          <w:p>
            <w:pPr>
              <w:spacing w:after="0"/>
              <w:rPr>
                <w:sz w:val="20"/>
                <w:szCs w:val="20"/>
                <w:color w:val="auto"/>
              </w:rPr>
            </w:pPr>
            <w:r>
              <w:rPr>
                <w:rFonts w:ascii="Arial" w:cs="Arial" w:eastAsia="Arial" w:hAnsi="Arial"/>
                <w:sz w:val="18"/>
                <w:szCs w:val="18"/>
                <w:color w:val="0000FF"/>
                <w:w w:val="98"/>
              </w:rPr>
              <w:t>ITEM 1A.</w:t>
            </w:r>
          </w:p>
        </w:tc>
        <w:tc>
          <w:tcPr>
            <w:tcW w:w="540" w:type="dxa"/>
            <w:vAlign w:val="bottom"/>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RISK FACTORS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0000FF"/>
                <w:w w:val="93"/>
              </w:rPr>
              <w:t>ITEM 1B.</w:t>
            </w:r>
          </w:p>
        </w:tc>
        <w:tc>
          <w:tcPr>
            <w:tcW w:w="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UNRESOLVED STAFF COMMENTS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ITEM 2.</w:t>
            </w:r>
          </w:p>
        </w:tc>
        <w:tc>
          <w:tcPr>
            <w:tcW w:w="100" w:type="dxa"/>
            <w:vAlign w:val="bottom"/>
            <w:gridSpan w:val="2"/>
          </w:tcPr>
          <w:p>
            <w:pPr>
              <w:spacing w:after="0"/>
              <w:rPr>
                <w:sz w:val="18"/>
                <w:szCs w:val="18"/>
                <w:color w:val="auto"/>
              </w:rPr>
            </w:pPr>
          </w:p>
        </w:tc>
        <w:tc>
          <w:tcPr>
            <w:tcW w:w="580" w:type="dxa"/>
            <w:vAlign w:val="bottom"/>
            <w:gridSpan w:val="3"/>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PROPERTIES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ITEM 3.</w:t>
            </w:r>
          </w:p>
        </w:tc>
        <w:tc>
          <w:tcPr>
            <w:tcW w:w="680" w:type="dxa"/>
            <w:vAlign w:val="bottom"/>
            <w:gridSpan w:val="5"/>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LEGAL PROCEEDINGS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ITEM 4.</w:t>
            </w:r>
          </w:p>
        </w:tc>
        <w:tc>
          <w:tcPr>
            <w:tcW w:w="680" w:type="dxa"/>
            <w:vAlign w:val="bottom"/>
            <w:gridSpan w:val="5"/>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MINE SAFETY DISCLOSURES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436"/>
        </w:trPr>
        <w:tc>
          <w:tcPr>
            <w:tcW w:w="700" w:type="dxa"/>
            <w:vAlign w:val="bottom"/>
            <w:gridSpan w:val="4"/>
          </w:tcPr>
          <w:p>
            <w:pPr>
              <w:ind w:left="20"/>
              <w:spacing w:after="0"/>
              <w:rPr>
                <w:sz w:val="20"/>
                <w:szCs w:val="20"/>
                <w:color w:val="auto"/>
              </w:rPr>
            </w:pPr>
            <w:r>
              <w:rPr>
                <w:rFonts w:ascii="Arial" w:cs="Arial" w:eastAsia="Arial" w:hAnsi="Arial"/>
                <w:sz w:val="18"/>
                <w:szCs w:val="18"/>
                <w:color w:val="0000FF"/>
              </w:rPr>
              <w:t>PART II</w:t>
            </w:r>
          </w:p>
        </w:tc>
        <w:tc>
          <w:tcPr>
            <w:tcW w:w="620" w:type="dxa"/>
            <w:vAlign w:val="bottom"/>
            <w:tcBorders>
              <w:top w:val="single" w:sz="8" w:color="0000FF"/>
            </w:tcBorders>
            <w:gridSpan w:val="2"/>
          </w:tcPr>
          <w:p>
            <w:pPr>
              <w:spacing w:after="0"/>
              <w:rPr>
                <w:sz w:val="24"/>
                <w:szCs w:val="24"/>
                <w:color w:val="auto"/>
              </w:rPr>
            </w:pPr>
          </w:p>
        </w:tc>
        <w:tc>
          <w:tcPr>
            <w:tcW w:w="6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Arial" w:cs="Arial" w:eastAsia="Arial" w:hAnsi="Arial"/>
                <w:sz w:val="18"/>
                <w:szCs w:val="18"/>
                <w:color w:val="0000FF"/>
              </w:rPr>
              <w:t>ITEM 5.</w:t>
            </w:r>
          </w:p>
        </w:tc>
        <w:tc>
          <w:tcPr>
            <w:tcW w:w="8600" w:type="dxa"/>
            <w:vAlign w:val="bottom"/>
            <w:gridSpan w:val="25"/>
          </w:tcPr>
          <w:p>
            <w:pPr>
              <w:spacing w:after="0"/>
              <w:rPr>
                <w:sz w:val="20"/>
                <w:szCs w:val="20"/>
                <w:color w:val="auto"/>
              </w:rPr>
            </w:pPr>
            <w:r>
              <w:rPr>
                <w:rFonts w:ascii="Arial" w:cs="Arial" w:eastAsia="Arial" w:hAnsi="Arial"/>
                <w:sz w:val="18"/>
                <w:szCs w:val="18"/>
                <w:color w:val="0000FF"/>
              </w:rPr>
              <w:t>MARKET FOR REGISTRANT’S COMMON EQUITY, RELATED STOCKHOLDER MATTERS AND ISSUER</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13"/>
          </w:tcPr>
          <w:p>
            <w:pPr>
              <w:spacing w:after="0" w:line="141" w:lineRule="exact"/>
              <w:rPr>
                <w:sz w:val="20"/>
                <w:szCs w:val="20"/>
                <w:color w:val="auto"/>
              </w:rPr>
            </w:pPr>
            <w:r>
              <w:rPr>
                <w:rFonts w:ascii="Arial" w:cs="Arial" w:eastAsia="Arial" w:hAnsi="Arial"/>
                <w:sz w:val="16"/>
                <w:szCs w:val="16"/>
                <w:color w:val="0000FF"/>
              </w:rPr>
              <w:t>PURCHASES OF EQUITY SECURITIES</w:t>
            </w:r>
          </w:p>
        </w:tc>
        <w:tc>
          <w:tcPr>
            <w:tcW w:w="4300" w:type="dxa"/>
            <w:vAlign w:val="bottom"/>
            <w:tcBorders>
              <w:top w:val="single" w:sz="8" w:color="0000FF"/>
            </w:tcBorders>
            <w:gridSpan w:val="10"/>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6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680" w:type="dxa"/>
            <w:vAlign w:val="bottom"/>
            <w:gridSpan w:val="2"/>
            <w:shd w:val="clear" w:color="auto" w:fill="0000FF"/>
          </w:tcPr>
          <w:p>
            <w:pPr>
              <w:spacing w:after="0"/>
              <w:rPr>
                <w:sz w:val="2"/>
                <w:szCs w:val="2"/>
                <w:color w:val="auto"/>
              </w:rPr>
            </w:pPr>
          </w:p>
        </w:tc>
        <w:tc>
          <w:tcPr>
            <w:tcW w:w="42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760" w:type="dxa"/>
            <w:vAlign w:val="bottom"/>
            <w:gridSpan w:val="2"/>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320" w:type="dxa"/>
            <w:vAlign w:val="bottom"/>
            <w:gridSpan w:val="3"/>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ITEM 6.</w:t>
            </w:r>
          </w:p>
        </w:tc>
        <w:tc>
          <w:tcPr>
            <w:tcW w:w="680" w:type="dxa"/>
            <w:vAlign w:val="bottom"/>
            <w:gridSpan w:val="5"/>
          </w:tcPr>
          <w:p>
            <w:pPr>
              <w:spacing w:after="0"/>
              <w:rPr>
                <w:sz w:val="18"/>
                <w:szCs w:val="18"/>
                <w:color w:val="auto"/>
              </w:rPr>
            </w:pPr>
          </w:p>
        </w:tc>
        <w:tc>
          <w:tcPr>
            <w:tcW w:w="3900" w:type="dxa"/>
            <w:vAlign w:val="bottom"/>
            <w:gridSpan w:val="14"/>
          </w:tcPr>
          <w:p>
            <w:pPr>
              <w:spacing w:after="0"/>
              <w:rPr>
                <w:sz w:val="20"/>
                <w:szCs w:val="20"/>
                <w:color w:val="auto"/>
              </w:rPr>
            </w:pPr>
            <w:r>
              <w:rPr>
                <w:rFonts w:ascii="Arial" w:cs="Arial" w:eastAsia="Arial" w:hAnsi="Arial"/>
                <w:sz w:val="18"/>
                <w:szCs w:val="18"/>
                <w:color w:val="0000FF"/>
              </w:rPr>
              <w:t>Reserved</w:t>
            </w:r>
          </w:p>
        </w:tc>
        <w:tc>
          <w:tcPr>
            <w:tcW w:w="4700" w:type="dxa"/>
            <w:vAlign w:val="bottom"/>
            <w:gridSpan w:val="11"/>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ITEM 7.</w:t>
            </w:r>
          </w:p>
        </w:tc>
        <w:tc>
          <w:tcPr>
            <w:tcW w:w="680" w:type="dxa"/>
            <w:vAlign w:val="bottom"/>
            <w:gridSpan w:val="5"/>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MANAGEMENT’S DISCUSSION AND ANALYSIS OF FINANCIAL CONDITION AND RESULTS OF</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0000FF"/>
            </w:tcBorders>
            <w:gridSpan w:val="5"/>
          </w:tcPr>
          <w:p>
            <w:pPr>
              <w:spacing w:after="0" w:line="141" w:lineRule="exact"/>
              <w:rPr>
                <w:sz w:val="20"/>
                <w:szCs w:val="20"/>
                <w:color w:val="auto"/>
              </w:rPr>
            </w:pPr>
            <w:r>
              <w:rPr>
                <w:rFonts w:ascii="Arial" w:cs="Arial" w:eastAsia="Arial" w:hAnsi="Arial"/>
                <w:sz w:val="16"/>
                <w:szCs w:val="16"/>
                <w:color w:val="0000FF"/>
              </w:rPr>
              <w:t>OPERATIONS</w:t>
            </w:r>
          </w:p>
        </w:tc>
        <w:tc>
          <w:tcPr>
            <w:tcW w:w="6600" w:type="dxa"/>
            <w:vAlign w:val="bottom"/>
            <w:tcBorders>
              <w:top w:val="single" w:sz="8" w:color="0000FF"/>
            </w:tcBorders>
            <w:gridSpan w:val="15"/>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6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1120" w:type="dxa"/>
            <w:vAlign w:val="bottom"/>
            <w:gridSpan w:val="6"/>
            <w:shd w:val="clear" w:color="auto" w:fill="0000FF"/>
          </w:tcPr>
          <w:p>
            <w:pPr>
              <w:spacing w:after="0"/>
              <w:rPr>
                <w:sz w:val="2"/>
                <w:szCs w:val="2"/>
                <w:color w:val="auto"/>
              </w:rPr>
            </w:pPr>
          </w:p>
        </w:tc>
        <w:tc>
          <w:tcPr>
            <w:tcW w:w="7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6"/>
          </w:tcPr>
          <w:p>
            <w:pPr>
              <w:spacing w:after="0"/>
              <w:rPr>
                <w:sz w:val="20"/>
                <w:szCs w:val="20"/>
                <w:color w:val="auto"/>
              </w:rPr>
            </w:pPr>
            <w:r>
              <w:rPr>
                <w:rFonts w:ascii="Arial" w:cs="Arial" w:eastAsia="Arial" w:hAnsi="Arial"/>
                <w:sz w:val="18"/>
                <w:szCs w:val="18"/>
                <w:color w:val="0000FF"/>
                <w:w w:val="98"/>
              </w:rPr>
              <w:t>ITEM 7A.</w:t>
            </w:r>
          </w:p>
        </w:tc>
        <w:tc>
          <w:tcPr>
            <w:tcW w:w="540" w:type="dxa"/>
            <w:vAlign w:val="bottom"/>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ITEM 8.</w:t>
            </w:r>
          </w:p>
        </w:tc>
        <w:tc>
          <w:tcPr>
            <w:tcW w:w="140" w:type="dxa"/>
            <w:vAlign w:val="bottom"/>
            <w:gridSpan w:val="4"/>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FINANCIAL STATEMENTS AND SUPPLEMENTARY DATA</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1"/>
              </w:rPr>
              <w:t>ITEM 9.</w:t>
            </w:r>
          </w:p>
        </w:tc>
        <w:tc>
          <w:tcPr>
            <w:tcW w:w="680" w:type="dxa"/>
            <w:vAlign w:val="bottom"/>
            <w:gridSpan w:val="5"/>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CHANGES IN AND DISAGREEMENTS WITH ACCOUNTANTS ON ACCOUNTING AND FINANCIAL</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78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top w:val="single" w:sz="8" w:color="0000FF"/>
            </w:tcBorders>
            <w:gridSpan w:val="7"/>
          </w:tcPr>
          <w:p>
            <w:pPr>
              <w:spacing w:after="0" w:line="141" w:lineRule="exact"/>
              <w:rPr>
                <w:sz w:val="20"/>
                <w:szCs w:val="20"/>
                <w:color w:val="auto"/>
              </w:rPr>
            </w:pPr>
            <w:r>
              <w:rPr>
                <w:rFonts w:ascii="Arial" w:cs="Arial" w:eastAsia="Arial" w:hAnsi="Arial"/>
                <w:sz w:val="16"/>
                <w:szCs w:val="16"/>
                <w:color w:val="0000FF"/>
              </w:rPr>
              <w:t>DISCLOSURE</w:t>
            </w:r>
          </w:p>
        </w:tc>
        <w:tc>
          <w:tcPr>
            <w:tcW w:w="6020" w:type="dxa"/>
            <w:vAlign w:val="bottom"/>
            <w:tcBorders>
              <w:top w:val="single" w:sz="8" w:color="0000FF"/>
            </w:tcBorders>
            <w:gridSpan w:val="14"/>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6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1880" w:type="dxa"/>
            <w:vAlign w:val="bottom"/>
            <w:gridSpan w:val="8"/>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6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6"/>
          </w:tcPr>
          <w:p>
            <w:pPr>
              <w:spacing w:after="0"/>
              <w:rPr>
                <w:sz w:val="20"/>
                <w:szCs w:val="20"/>
                <w:color w:val="auto"/>
              </w:rPr>
            </w:pPr>
            <w:r>
              <w:rPr>
                <w:rFonts w:ascii="Arial" w:cs="Arial" w:eastAsia="Arial" w:hAnsi="Arial"/>
                <w:sz w:val="18"/>
                <w:szCs w:val="18"/>
                <w:color w:val="0000FF"/>
                <w:w w:val="98"/>
              </w:rPr>
              <w:t>ITEM 9A.</w:t>
            </w:r>
          </w:p>
        </w:tc>
        <w:tc>
          <w:tcPr>
            <w:tcW w:w="540" w:type="dxa"/>
            <w:vAlign w:val="bottom"/>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CONTROLS AND PROCEDURES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5"/>
          </w:tcPr>
          <w:p>
            <w:pPr>
              <w:spacing w:after="0"/>
              <w:rPr>
                <w:sz w:val="20"/>
                <w:szCs w:val="20"/>
                <w:color w:val="auto"/>
              </w:rPr>
            </w:pPr>
            <w:r>
              <w:rPr>
                <w:rFonts w:ascii="Arial" w:cs="Arial" w:eastAsia="Arial" w:hAnsi="Arial"/>
                <w:sz w:val="18"/>
                <w:szCs w:val="18"/>
                <w:color w:val="0000FF"/>
                <w:w w:val="95"/>
              </w:rPr>
              <w:t>ITEM 9B.</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OTHER INFORMATION</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0000FF"/>
                <w:w w:val="92"/>
              </w:rPr>
              <w:t>ITEM 9C.</w:t>
            </w:r>
          </w:p>
        </w:tc>
        <w:tc>
          <w:tcPr>
            <w:tcW w:w="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3051F2"/>
              </w:rPr>
              <w:t>DISCLOSURES REGARDING FOREIGN JURISDICTIONS THAT PREVENT INSPECTIONS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79</w:t>
            </w:r>
          </w:p>
        </w:tc>
        <w:tc>
          <w:tcPr>
            <w:tcW w:w="0" w:type="dxa"/>
            <w:vAlign w:val="bottom"/>
          </w:tcPr>
          <w:p>
            <w:pPr>
              <w:spacing w:after="0"/>
              <w:rPr>
                <w:sz w:val="1"/>
                <w:szCs w:val="1"/>
                <w:color w:val="auto"/>
              </w:rPr>
            </w:pPr>
          </w:p>
        </w:tc>
      </w:tr>
      <w:tr>
        <w:trPr>
          <w:trHeight w:val="436"/>
        </w:trPr>
        <w:tc>
          <w:tcPr>
            <w:tcW w:w="700" w:type="dxa"/>
            <w:vAlign w:val="bottom"/>
            <w:gridSpan w:val="4"/>
          </w:tcPr>
          <w:p>
            <w:pPr>
              <w:ind w:left="20"/>
              <w:spacing w:after="0"/>
              <w:rPr>
                <w:sz w:val="20"/>
                <w:szCs w:val="20"/>
                <w:color w:val="auto"/>
              </w:rPr>
            </w:pPr>
            <w:r>
              <w:rPr>
                <w:rFonts w:ascii="Arial" w:cs="Arial" w:eastAsia="Arial" w:hAnsi="Arial"/>
                <w:sz w:val="18"/>
                <w:szCs w:val="18"/>
                <w:color w:val="0000FF"/>
                <w:w w:val="94"/>
              </w:rPr>
              <w:t>PART III</w:t>
            </w:r>
          </w:p>
        </w:tc>
        <w:tc>
          <w:tcPr>
            <w:tcW w:w="720" w:type="dxa"/>
            <w:vAlign w:val="bottom"/>
            <w:tcBorders>
              <w:top w:val="single" w:sz="8" w:color="0000FF"/>
            </w:tcBorders>
            <w:gridSpan w:val="4"/>
          </w:tcPr>
          <w:p>
            <w:pPr>
              <w:spacing w:after="0"/>
              <w:rPr>
                <w:sz w:val="24"/>
                <w:szCs w:val="24"/>
                <w:color w:val="auto"/>
              </w:rPr>
            </w:pPr>
          </w:p>
        </w:tc>
        <w:tc>
          <w:tcPr>
            <w:tcW w:w="5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top w:val="single" w:sz="8" w:color="3051F2"/>
            </w:tcBorders>
          </w:tcPr>
          <w:p>
            <w:pPr>
              <w:spacing w:after="0"/>
              <w:rPr>
                <w:sz w:val="24"/>
                <w:szCs w:val="24"/>
                <w:color w:val="auto"/>
              </w:rPr>
            </w:pPr>
          </w:p>
        </w:tc>
        <w:tc>
          <w:tcPr>
            <w:tcW w:w="18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640" w:type="dxa"/>
            <w:vAlign w:val="bottom"/>
            <w:tcBorders>
              <w:top w:val="single" w:sz="8" w:color="3051F2"/>
            </w:tcBorders>
          </w:tcPr>
          <w:p>
            <w:pPr>
              <w:spacing w:after="0"/>
              <w:rPr>
                <w:sz w:val="24"/>
                <w:szCs w:val="24"/>
                <w:color w:val="auto"/>
              </w:rPr>
            </w:pPr>
          </w:p>
        </w:tc>
        <w:tc>
          <w:tcPr>
            <w:tcW w:w="300" w:type="dxa"/>
            <w:vAlign w:val="bottom"/>
            <w:tcBorders>
              <w:top w:val="single" w:sz="8" w:color="3051F2"/>
            </w:tcBorders>
          </w:tcPr>
          <w:p>
            <w:pPr>
              <w:spacing w:after="0"/>
              <w:rPr>
                <w:sz w:val="24"/>
                <w:szCs w:val="24"/>
                <w:color w:val="auto"/>
              </w:rPr>
            </w:pPr>
          </w:p>
        </w:tc>
        <w:tc>
          <w:tcPr>
            <w:tcW w:w="260" w:type="dxa"/>
            <w:vAlign w:val="bottom"/>
            <w:tcBorders>
              <w:top w:val="single" w:sz="8" w:color="3051F2"/>
            </w:tcBorders>
          </w:tcPr>
          <w:p>
            <w:pPr>
              <w:spacing w:after="0"/>
              <w:rPr>
                <w:sz w:val="24"/>
                <w:szCs w:val="24"/>
                <w:color w:val="auto"/>
              </w:rPr>
            </w:pPr>
          </w:p>
        </w:tc>
        <w:tc>
          <w:tcPr>
            <w:tcW w:w="14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280" w:type="dxa"/>
            <w:vAlign w:val="bottom"/>
            <w:tcBorders>
              <w:top w:val="single" w:sz="8" w:color="3051F2"/>
            </w:tcBorders>
          </w:tcPr>
          <w:p>
            <w:pPr>
              <w:spacing w:after="0"/>
              <w:rPr>
                <w:sz w:val="24"/>
                <w:szCs w:val="24"/>
                <w:color w:val="auto"/>
              </w:rPr>
            </w:pPr>
          </w:p>
        </w:tc>
        <w:tc>
          <w:tcPr>
            <w:tcW w:w="820" w:type="dxa"/>
            <w:vAlign w:val="bottom"/>
            <w:tcBorders>
              <w:top w:val="single" w:sz="8" w:color="3051F2"/>
            </w:tcBorders>
          </w:tcPr>
          <w:p>
            <w:pPr>
              <w:spacing w:after="0"/>
              <w:rPr>
                <w:sz w:val="24"/>
                <w:szCs w:val="24"/>
                <w:color w:val="auto"/>
              </w:rPr>
            </w:pPr>
          </w:p>
        </w:tc>
        <w:tc>
          <w:tcPr>
            <w:tcW w:w="520" w:type="dxa"/>
            <w:vAlign w:val="bottom"/>
            <w:tcBorders>
              <w:top w:val="single" w:sz="8" w:color="3051F2"/>
            </w:tcBorders>
          </w:tcPr>
          <w:p>
            <w:pPr>
              <w:spacing w:after="0"/>
              <w:rPr>
                <w:sz w:val="24"/>
                <w:szCs w:val="24"/>
                <w:color w:val="auto"/>
              </w:rPr>
            </w:pPr>
          </w:p>
        </w:tc>
        <w:tc>
          <w:tcPr>
            <w:tcW w:w="220" w:type="dxa"/>
            <w:vAlign w:val="bottom"/>
            <w:tcBorders>
              <w:top w:val="single" w:sz="8" w:color="3051F2"/>
            </w:tcBorders>
          </w:tcPr>
          <w:p>
            <w:pPr>
              <w:spacing w:after="0"/>
              <w:rPr>
                <w:sz w:val="24"/>
                <w:szCs w:val="24"/>
                <w:color w:val="auto"/>
              </w:rPr>
            </w:pPr>
          </w:p>
        </w:tc>
        <w:tc>
          <w:tcPr>
            <w:tcW w:w="1120" w:type="dxa"/>
            <w:vAlign w:val="bottom"/>
            <w:tcBorders>
              <w:top w:val="single" w:sz="8" w:color="3051F2"/>
            </w:tcBorders>
          </w:tcPr>
          <w:p>
            <w:pPr>
              <w:spacing w:after="0"/>
              <w:rPr>
                <w:sz w:val="24"/>
                <w:szCs w:val="24"/>
                <w:color w:val="auto"/>
              </w:rPr>
            </w:pPr>
          </w:p>
        </w:tc>
        <w:tc>
          <w:tcPr>
            <w:tcW w:w="340" w:type="dxa"/>
            <w:vAlign w:val="bottom"/>
            <w:tcBorders>
              <w:top w:val="single" w:sz="8" w:color="3051F2"/>
            </w:tcBorders>
          </w:tcPr>
          <w:p>
            <w:pPr>
              <w:spacing w:after="0"/>
              <w:rPr>
                <w:sz w:val="24"/>
                <w:szCs w:val="24"/>
                <w:color w:val="auto"/>
              </w:rPr>
            </w:pPr>
          </w:p>
        </w:tc>
        <w:tc>
          <w:tcPr>
            <w:tcW w:w="920" w:type="dxa"/>
            <w:vAlign w:val="bottom"/>
            <w:tcBorders>
              <w:top w:val="single" w:sz="8" w:color="3051F2"/>
            </w:tcBorders>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300" w:type="dxa"/>
            <w:vAlign w:val="bottom"/>
            <w:gridSpan w:val="7"/>
          </w:tcPr>
          <w:p>
            <w:pPr>
              <w:spacing w:after="0"/>
              <w:rPr>
                <w:sz w:val="20"/>
                <w:szCs w:val="20"/>
                <w:color w:val="auto"/>
              </w:rPr>
            </w:pPr>
            <w:r>
              <w:rPr>
                <w:rFonts w:ascii="Arial" w:cs="Arial" w:eastAsia="Arial" w:hAnsi="Arial"/>
                <w:sz w:val="18"/>
                <w:szCs w:val="18"/>
                <w:color w:val="0000FF"/>
              </w:rPr>
              <w:t>ITEM 10.</w:t>
            </w:r>
          </w:p>
        </w:tc>
        <w:tc>
          <w:tcPr>
            <w:tcW w:w="8600" w:type="dxa"/>
            <w:vAlign w:val="bottom"/>
            <w:gridSpan w:val="25"/>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0000FF"/>
                <w:w w:val="87"/>
              </w:rPr>
              <w:t>ITEM 11.</w:t>
            </w:r>
          </w:p>
        </w:tc>
        <w:tc>
          <w:tcPr>
            <w:tcW w:w="620" w:type="dxa"/>
            <w:vAlign w:val="bottom"/>
            <w:gridSpan w:val="4"/>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EXECUTIVE COMPENSATION</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Arial" w:cs="Arial" w:eastAsia="Arial" w:hAnsi="Arial"/>
                <w:sz w:val="18"/>
                <w:szCs w:val="18"/>
                <w:color w:val="0000FF"/>
              </w:rPr>
              <w:t>ITEM 12.</w:t>
            </w:r>
          </w:p>
        </w:tc>
        <w:tc>
          <w:tcPr>
            <w:tcW w:w="8600" w:type="dxa"/>
            <w:vAlign w:val="bottom"/>
            <w:gridSpan w:val="25"/>
          </w:tcPr>
          <w:p>
            <w:pPr>
              <w:spacing w:after="0"/>
              <w:rPr>
                <w:sz w:val="20"/>
                <w:szCs w:val="20"/>
                <w:color w:val="auto"/>
              </w:rPr>
            </w:pPr>
            <w:r>
              <w:rPr>
                <w:rFonts w:ascii="Arial" w:cs="Arial" w:eastAsia="Arial" w:hAnsi="Arial"/>
                <w:sz w:val="18"/>
                <w:szCs w:val="18"/>
                <w:color w:val="0000FF"/>
              </w:rPr>
              <w:t>SECURITY OWNERSHIP OF CERTAIN BENEFICIAL OWNERS AND MANAGEMENT AND RELATED</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79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13"/>
          </w:tcPr>
          <w:p>
            <w:pPr>
              <w:spacing w:after="0" w:line="141" w:lineRule="exact"/>
              <w:rPr>
                <w:sz w:val="20"/>
                <w:szCs w:val="20"/>
                <w:color w:val="auto"/>
              </w:rPr>
            </w:pPr>
            <w:r>
              <w:rPr>
                <w:rFonts w:ascii="Arial" w:cs="Arial" w:eastAsia="Arial" w:hAnsi="Arial"/>
                <w:sz w:val="16"/>
                <w:szCs w:val="16"/>
                <w:color w:val="0000FF"/>
              </w:rPr>
              <w:t>STOCKHOLDER MATTERS</w:t>
            </w:r>
          </w:p>
        </w:tc>
        <w:tc>
          <w:tcPr>
            <w:tcW w:w="4060" w:type="dxa"/>
            <w:vAlign w:val="bottom"/>
            <w:tcBorders>
              <w:top w:val="single" w:sz="8" w:color="0000FF"/>
            </w:tcBorders>
            <w:gridSpan w:val="9"/>
          </w:tcPr>
          <w:p>
            <w:pPr>
              <w:spacing w:after="0"/>
              <w:rPr>
                <w:sz w:val="13"/>
                <w:szCs w:val="13"/>
                <w:color w:val="auto"/>
              </w:rPr>
            </w:pPr>
          </w:p>
        </w:tc>
        <w:tc>
          <w:tcPr>
            <w:tcW w:w="640" w:type="dxa"/>
            <w:vAlign w:val="bottom"/>
            <w:gridSpan w:val="2"/>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620" w:type="dxa"/>
            <w:vAlign w:val="bottom"/>
            <w:gridSpan w:val="4"/>
          </w:tcPr>
          <w:p>
            <w:pPr>
              <w:spacing w:after="0"/>
              <w:rPr>
                <w:sz w:val="2"/>
                <w:szCs w:val="2"/>
                <w:color w:val="auto"/>
              </w:rPr>
            </w:pPr>
          </w:p>
        </w:tc>
        <w:tc>
          <w:tcPr>
            <w:tcW w:w="1880" w:type="dxa"/>
            <w:vAlign w:val="bottom"/>
            <w:gridSpan w:val="8"/>
            <w:shd w:val="clear" w:color="auto" w:fill="0000FF"/>
          </w:tcPr>
          <w:p>
            <w:pPr>
              <w:spacing w:after="0"/>
              <w:rPr>
                <w:sz w:val="2"/>
                <w:szCs w:val="2"/>
                <w:color w:val="auto"/>
              </w:rPr>
            </w:pPr>
          </w:p>
        </w:tc>
        <w:tc>
          <w:tcPr>
            <w:tcW w:w="2020" w:type="dxa"/>
            <w:vAlign w:val="bottom"/>
            <w:gridSpan w:val="6"/>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3240" w:type="dxa"/>
            <w:vAlign w:val="bottom"/>
            <w:gridSpan w:val="5"/>
          </w:tcPr>
          <w:p>
            <w:pPr>
              <w:spacing w:after="0"/>
              <w:rPr>
                <w:sz w:val="2"/>
                <w:szCs w:val="2"/>
                <w:color w:val="auto"/>
              </w:rPr>
            </w:pPr>
          </w:p>
        </w:tc>
        <w:tc>
          <w:tcPr>
            <w:tcW w:w="940" w:type="dxa"/>
            <w:vAlign w:val="bottom"/>
            <w:gridSpan w:val="5"/>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Arial" w:cs="Arial" w:eastAsia="Arial" w:hAnsi="Arial"/>
                <w:sz w:val="18"/>
                <w:szCs w:val="18"/>
                <w:color w:val="0000FF"/>
              </w:rPr>
              <w:t>ITEM 13.</w:t>
            </w:r>
          </w:p>
        </w:tc>
        <w:tc>
          <w:tcPr>
            <w:tcW w:w="8600" w:type="dxa"/>
            <w:vAlign w:val="bottom"/>
            <w:gridSpan w:val="25"/>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40" w:type="dxa"/>
            <w:vAlign w:val="bottom"/>
            <w:gridSpan w:val="5"/>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Arial" w:cs="Arial" w:eastAsia="Arial" w:hAnsi="Arial"/>
                <w:sz w:val="18"/>
                <w:szCs w:val="18"/>
                <w:color w:val="0000FF"/>
              </w:rPr>
              <w:t>ITEM 14.</w:t>
            </w:r>
          </w:p>
        </w:tc>
        <w:tc>
          <w:tcPr>
            <w:tcW w:w="8600" w:type="dxa"/>
            <w:vAlign w:val="bottom"/>
            <w:gridSpan w:val="25"/>
          </w:tcPr>
          <w:p>
            <w:pPr>
              <w:spacing w:after="0"/>
              <w:rPr>
                <w:sz w:val="20"/>
                <w:szCs w:val="20"/>
                <w:color w:val="auto"/>
              </w:rPr>
            </w:pPr>
            <w:r>
              <w:rPr>
                <w:rFonts w:ascii="Arial" w:cs="Arial" w:eastAsia="Arial" w:hAnsi="Arial"/>
                <w:sz w:val="18"/>
                <w:szCs w:val="18"/>
                <w:color w:val="0000FF"/>
              </w:rPr>
              <w:t>PRINCIPAL ACCOUNTING FEES AND SERVICES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79</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FF"/>
            </w:tcBorders>
            <w:gridSpan w:val="4"/>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PART IV</w:t>
            </w:r>
          </w:p>
        </w:tc>
        <w:tc>
          <w:tcPr>
            <w:tcW w:w="130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0000FF"/>
                <w:w w:val="87"/>
              </w:rPr>
              <w:t>ITEM 15.</w:t>
            </w:r>
          </w:p>
        </w:tc>
        <w:tc>
          <w:tcPr>
            <w:tcW w:w="620" w:type="dxa"/>
            <w:vAlign w:val="bottom"/>
            <w:gridSpan w:val="4"/>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EXHIBITS AND FINANCIAL STATEMENT SCHEDULES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418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0000FF"/>
                <w:w w:val="87"/>
              </w:rPr>
              <w:t>ITEM 16.</w:t>
            </w:r>
          </w:p>
        </w:tc>
        <w:tc>
          <w:tcPr>
            <w:tcW w:w="620" w:type="dxa"/>
            <w:vAlign w:val="bottom"/>
            <w:gridSpan w:val="4"/>
          </w:tcPr>
          <w:p>
            <w:pPr>
              <w:spacing w:after="0"/>
              <w:rPr>
                <w:sz w:val="18"/>
                <w:szCs w:val="18"/>
                <w:color w:val="auto"/>
              </w:rPr>
            </w:pPr>
          </w:p>
        </w:tc>
        <w:tc>
          <w:tcPr>
            <w:tcW w:w="8600" w:type="dxa"/>
            <w:vAlign w:val="bottom"/>
            <w:gridSpan w:val="25"/>
          </w:tcPr>
          <w:p>
            <w:pPr>
              <w:spacing w:after="0"/>
              <w:rPr>
                <w:sz w:val="20"/>
                <w:szCs w:val="20"/>
                <w:color w:val="auto"/>
              </w:rPr>
            </w:pPr>
            <w:r>
              <w:rPr>
                <w:rFonts w:ascii="Arial" w:cs="Arial" w:eastAsia="Arial" w:hAnsi="Arial"/>
                <w:sz w:val="18"/>
                <w:szCs w:val="18"/>
                <w:color w:val="0000FF"/>
              </w:rPr>
              <w:t>FORM 10-K SUMMARY</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7"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6"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This Annual Report on Form 10-K (this "Annual Report") contains forward-looking statements within the meaning of Section 27A of the Securities Act of 1933, as amended (the "Securities Act"), and Section 21E of the Securities Exchange Act of 1934, as amended (the "Exchange Act"), regarding Mistras Group, Inc. ("Mistras," "MISTRAS," "the Company," "us," "we," "our" and similar expressions) and our business, financial condition, results of operations and prospects.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some cases, you can identify forward-looking statements by terminology, such as “goals,” “expects,” “anticipates,” “intends,” “plans,” “believes,” “seeks,” “estimates,” “may,” “could,” “should,” “would,” “predicts,” “appears,” “projects,” or the negative of such terms or other similar expressions, although the absence of such words does not mean that a statement is not forward-looking. Factors that could cause or contribute to differences in results and outcomes from those in our forward-looking statements include, without limitation, those discussed elsewhere in this Annual Report in Part I, Item 1A. “Risk Factors,” Part II, Item 7, “Management’s Discussion and Analysis of Financial Condition and Results of Operations” and in this Item 1. We undertake no obligation to (and expressly disclaim any obligation to) revise or update any forward-looking statements made herein whether as a result of new information, future events or otherwise, except as may be required under applicable securities laws. However, you should consult any further disclosures we may make on these or related topics in our reports on Form 8-K or Form 10-Q filed with the Securities and Exchange Commission ("SEC").</w:t>
      </w:r>
    </w:p>
    <w:p>
      <w:pPr>
        <w:spacing w:after="0" w:line="170" w:lineRule="exact"/>
        <w:rPr>
          <w:sz w:val="20"/>
          <w:szCs w:val="20"/>
          <w:color w:val="auto"/>
        </w:rPr>
      </w:pPr>
    </w:p>
    <w:p>
      <w:pPr>
        <w:ind w:right="600"/>
        <w:spacing w:after="0" w:line="272" w:lineRule="auto"/>
        <w:rPr>
          <w:sz w:val="20"/>
          <w:szCs w:val="20"/>
          <w:color w:val="auto"/>
        </w:rPr>
      </w:pPr>
      <w:r>
        <w:rPr>
          <w:rFonts w:ascii="Arial" w:cs="Arial" w:eastAsia="Arial" w:hAnsi="Arial"/>
          <w:sz w:val="18"/>
          <w:szCs w:val="18"/>
          <w:color w:val="auto"/>
        </w:rPr>
        <w:t>The following discussions should be read in conjunction with the sections of this Annual Report entitled “Management’s Discussion and Analysis of Financial Condition and Results of Operations” and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BUSINESS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9" w:lineRule="exact"/>
        <w:rPr>
          <w:sz w:val="20"/>
          <w:szCs w:val="20"/>
          <w:color w:val="auto"/>
        </w:rPr>
      </w:pPr>
    </w:p>
    <w:p>
      <w:pPr>
        <w:ind w:right="580"/>
        <w:spacing w:after="0" w:line="272" w:lineRule="auto"/>
        <w:rPr>
          <w:sz w:val="20"/>
          <w:szCs w:val="20"/>
          <w:color w:val="auto"/>
        </w:rPr>
      </w:pPr>
      <w:r>
        <w:rPr>
          <w:rFonts w:ascii="Arial" w:cs="Arial" w:eastAsia="Arial" w:hAnsi="Arial"/>
          <w:sz w:val="18"/>
          <w:szCs w:val="18"/>
          <w:color w:val="auto"/>
        </w:rPr>
        <w:t>We are a leading "one source" multinational provider of integrated technology-enabled asset protection solutions, helping to maximize the safety and operational uptime for civilization’s most critical industrial and civil assets.</w:t>
      </w:r>
    </w:p>
    <w:p>
      <w:pPr>
        <w:spacing w:after="0" w:line="20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Backed by an innovative, data-driven asset protection portfolio, proprietary technologies, and a decades-long legacy of industry leadership, we help clients with asset-intensive infrastructure in the oil and gas, petrochemical, aerospace and defense, renewable and non-renewable energy, civil infrastructure, and manufacturing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we help the world move, innovate and create a safe and sustainable future for generations to come.</w:t>
      </w:r>
    </w:p>
    <w:p>
      <w:pPr>
        <w:spacing w:after="0" w:line="19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core capabilities include Non-Destructive Testing (“NDT”) field inspections enhanced by advanced robotics, laboratory quality control and assurance testing, sensing technologies and NDT equipment, asset and mechanical integrity engineering services, and light mechanical maintenance and access services. We enhance value for our clients by integrating asset protection throughout supply chains and centralizing integrity data through a suite of Industrial Internet of Things ("IIoT") -connected digital software and monitoring solutions.</w:t>
      </w:r>
    </w:p>
    <w:p>
      <w:pPr>
        <w:spacing w:after="0" w:line="211"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color w:val="auto"/>
        </w:rPr>
        <w:t>We offer our customers “One Source for Asset Protection Solutions</w:t>
      </w:r>
      <w:r>
        <w:rPr>
          <w:rFonts w:ascii="Arial" w:cs="Arial" w:eastAsia="Arial" w:hAnsi="Arial"/>
          <w:sz w:val="23"/>
          <w:szCs w:val="23"/>
          <w:color w:val="auto"/>
          <w:vertAlign w:val="superscript"/>
        </w:rPr>
        <w:t>®</w:t>
      </w:r>
      <w:r>
        <w:rPr>
          <w:rFonts w:ascii="Arial" w:cs="Arial" w:eastAsia="Arial" w:hAnsi="Arial"/>
          <w:sz w:val="18"/>
          <w:szCs w:val="18"/>
          <w:color w:val="auto"/>
        </w:rPr>
        <w:t>” and are a leading global provider of technology-enabled asset protection solutions used to evaluate the safety, structural integrity and reliability of critical energy, industrial and public infrastructure.</w:t>
      </w:r>
    </w:p>
    <w:p>
      <w:pPr>
        <w:spacing w:after="0" w:line="136"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Our asset protection solutions are intended to help maximize safety and uptime of our customers' assets and facilities. These mission critical solutions enhance our customers’ ability to comply with governmental safety and environmental regulations, extend the useful life of their assets, increase productivity, minimize repair costs, manage risk and avoid catastrophic disasters.</w:t>
      </w:r>
    </w:p>
    <w:p>
      <w:pPr>
        <w:spacing w:after="0" w:line="10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deliver value through a comprehensive “OneSource™” portfolio of customized solutions, utilizing a proven systematic method that creates a closed-loop lifecycle for addressing continuous asset protection and improvement.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specialized asset protection solutions include: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left="640" w:hanging="31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Field Inspections</w:t>
      </w:r>
    </w:p>
    <w:p>
      <w:pPr>
        <w:spacing w:after="0" w:line="20" w:lineRule="exact"/>
        <w:rPr>
          <w:rFonts w:ascii="Arial" w:cs="Arial" w:eastAsia="Arial" w:hAnsi="Arial"/>
          <w:sz w:val="18"/>
          <w:szCs w:val="18"/>
          <w:color w:val="auto"/>
        </w:rPr>
      </w:pPr>
    </w:p>
    <w:p>
      <w:pPr>
        <w:ind w:left="640" w:hanging="31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Management and Services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Monitoring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Laboratory Testing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Engineering Consulting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Equipment</w:t>
      </w:r>
    </w:p>
    <w:p>
      <w:pPr>
        <w:spacing w:after="0" w:line="23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OneSource model emphasizes the integration of these solutions and the asset integrity data associated with them to service our customers throughout their assets’ lifetimes and are delivered to our customers in three primary ways: data services, field operations, and shop work. Under this business model, many customers outsource their inspection, integrity data management and other asset protection needs to us on a “run-and-maintain” basis to ensure the continued safety and structural and operational integrity of their assets. Revenue streams include data services revenue derived from the selling of licenses and analyzing and synthesizing customer data through our OneSuite™ platform; field operations revenue derived from work performed in the field at customer locations; and shop work revenue derived from inspecting and testing materials in our laboratories for our customers.</w:t>
      </w:r>
    </w:p>
    <w:p>
      <w:pPr>
        <w:spacing w:after="0" w:line="9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We have established long-term relationships as a critical solutions provider to many of the leading companies with asset-intensive infrastructure in our target markets. These markets primarily consist of:</w:t>
      </w:r>
    </w:p>
    <w:p>
      <w:pPr>
        <w:spacing w:after="0" w:line="94" w:lineRule="exact"/>
        <w:rPr>
          <w:sz w:val="20"/>
          <w:szCs w:val="20"/>
          <w:color w:val="auto"/>
        </w:rPr>
      </w:pPr>
    </w:p>
    <w:p>
      <w:pPr>
        <w:ind w:left="640" w:hanging="31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Oil and Gas (Downstream, Midstream and Upstream)</w:t>
      </w:r>
    </w:p>
    <w:p>
      <w:pPr>
        <w:spacing w:after="0" w:line="20" w:lineRule="exact"/>
        <w:rPr>
          <w:rFonts w:ascii="Arial" w:cs="Arial" w:eastAsia="Arial" w:hAnsi="Arial"/>
          <w:sz w:val="18"/>
          <w:szCs w:val="18"/>
          <w:color w:val="auto"/>
        </w:rPr>
      </w:pPr>
    </w:p>
    <w:p>
      <w:pPr>
        <w:ind w:left="640" w:hanging="31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Aerospace and Defense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Industrial</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Power Generation and Transmission</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Infrastructure, Research and Engineering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Process Industries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Petrochemical</w:t>
      </w:r>
    </w:p>
    <w:p>
      <w:pPr>
        <w:spacing w:after="0" w:line="236" w:lineRule="exact"/>
        <w:rPr>
          <w:sz w:val="20"/>
          <w:szCs w:val="20"/>
          <w:color w:val="auto"/>
        </w:rPr>
      </w:pPr>
    </w:p>
    <w:p>
      <w:pPr>
        <w:ind w:right="120"/>
        <w:spacing w:after="0" w:line="302" w:lineRule="auto"/>
        <w:rPr>
          <w:sz w:val="20"/>
          <w:szCs w:val="20"/>
          <w:color w:val="auto"/>
        </w:rPr>
      </w:pPr>
      <w:r>
        <w:rPr>
          <w:rFonts w:ascii="Arial" w:cs="Arial" w:eastAsia="Arial" w:hAnsi="Arial"/>
          <w:sz w:val="17"/>
          <w:szCs w:val="17"/>
          <w:color w:val="auto"/>
        </w:rPr>
        <w:t>A majority of our revenues are generated by deploying technicians at our customers' locations. Most of our revenues from aerospace and defense as well as certain manufacturing customers are generated by performing inspections and testing at our various in-house laboratories.</w:t>
      </w:r>
    </w:p>
    <w:p>
      <w:pPr>
        <w:spacing w:after="0" w:line="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generated revenues of $687.4 million, $677.1 million and $592.6 million for the years ended December 31, 2022, 2021 and 2020, respectively. We generated net income of $6.6 million, a net income of $3.9 million and net loss of $99.5 million for the years ended December 31, 2022, 2021, and 2020, respectively. For the years ended December 31, 2022, 2021 and 2020, we generated approximately 83%, 82% and 80%, respectively, of our revenues from our Services segment. Our revenues are diversified, with our top ten customers accounting for approximately 33%, 33% and 32% of our revenues during the years ended December 31, 2022, 2021 and 2020, respectively, with no customer accounting for greater than 10% of our revenues in any such year.</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SPECIALIZED SOLUTIONS</w:t>
      </w:r>
    </w:p>
    <w:p>
      <w:pPr>
        <w:spacing w:after="0" w:line="160"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As a OneSource provider of asset protection solutions, we combine our industry-leading services, products, data management solutions and technologies to provide a unique, custom-tailored solution for each customer’s individual asset protection needs, ranging from routine inspections to complex, plant-wide asset integrity management.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Field Inspections</w:t>
      </w:r>
    </w:p>
    <w:p>
      <w:pPr>
        <w:spacing w:after="0" w:line="159" w:lineRule="exact"/>
        <w:rPr>
          <w:sz w:val="20"/>
          <w:szCs w:val="20"/>
          <w:color w:val="auto"/>
        </w:rPr>
      </w:pPr>
    </w:p>
    <w:p>
      <w:pPr>
        <w:ind w:right="420"/>
        <w:spacing w:after="0" w:line="336" w:lineRule="auto"/>
        <w:rPr>
          <w:sz w:val="20"/>
          <w:szCs w:val="20"/>
          <w:color w:val="auto"/>
        </w:rPr>
      </w:pPr>
      <w:r>
        <w:rPr>
          <w:rFonts w:ascii="Arial" w:cs="Arial" w:eastAsia="Arial" w:hAnsi="Arial"/>
          <w:sz w:val="16"/>
          <w:szCs w:val="16"/>
          <w:color w:val="auto"/>
        </w:rPr>
        <w:t>Our field inspections portfolio includes traditional and advanced NDT techniques, along with predictive maintenance assessments of fixed and rotating assets and inline inspection for pipelines. We offer these solutions on an individual basis, or as parts of enterprise inspection and testing programs.</w:t>
      </w:r>
    </w:p>
    <w:p>
      <w:pPr>
        <w:spacing w:after="0" w:line="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NDT is the examination of an asset without materially impacting its integrity. The ability to inspect infrastructure assets and not interfere with their operating performance makes NDT a highly-attractive alternative to many traditional techniques, which may require shutting down an asset or entire facility. Typical issues for which our technicians inspect include corrosion, cracking, leaking, faults and flaws in piping, storage tanks and pressure vessels, as well as a wide range of other industrial assets and public infrastructure.</w:t>
      </w:r>
    </w:p>
    <w:p>
      <w:pPr>
        <w:spacing w:after="0" w:line="109"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color w:val="auto"/>
        </w:rPr>
        <w:t>Our automated data acquisition solutions utilize smart sensing and monitoring, robotic inspection systems, and digitized spot inspections to provide asset integrity data with greater insight into current and future asset conditions.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Field inspection services lend themselves to integration with our other offerings, and as such have often served as the initial entry point to more advanced customer engagements that require additional solutions. After an initial field inspection is performed, we are able to provide multiple supplemental solutions that further serve to solidify our relationships with our customers and drive additional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Solutions</w:t>
      </w:r>
    </w:p>
    <w:p>
      <w:pPr>
        <w:spacing w:after="0" w:line="14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asset protection solutions that we provide throughout our customers’ asset lifecycles generate asset integrity data that needs to be effectively archived, managed, and analyzed. A common difficulty that our customers face is the ability to easily access and analyze data from multiple data collection and input contractors. We recognize that this data is most valuable to our customers when it is accessible and integrated (regardless of vendor, tool, or facility), and have taken significant steps to digitalizing asset protection processes through the release of the first-ever asset protection software ecosystem MISTRAS OneSuite.</w:t>
      </w:r>
    </w:p>
    <w:p>
      <w:pPr>
        <w:spacing w:after="0" w:line="218" w:lineRule="exact"/>
        <w:rPr>
          <w:sz w:val="20"/>
          <w:szCs w:val="20"/>
          <w:color w:val="auto"/>
        </w:rPr>
      </w:pPr>
    </w:p>
    <w:p>
      <w:pPr>
        <w:ind w:right="40"/>
        <w:spacing w:after="0" w:line="336" w:lineRule="auto"/>
        <w:rPr>
          <w:sz w:val="20"/>
          <w:szCs w:val="20"/>
          <w:color w:val="auto"/>
        </w:rPr>
      </w:pPr>
      <w:r>
        <w:rPr>
          <w:rFonts w:ascii="Arial" w:cs="Arial" w:eastAsia="Arial" w:hAnsi="Arial"/>
          <w:sz w:val="16"/>
          <w:szCs w:val="16"/>
          <w:color w:val="auto"/>
        </w:rPr>
        <w:t>The OneSuite software platform offers functions of our popular software and services brands as integrated apps on a cloud environment. OneSuite serves as a single access portal for customers' data activities and provides access to 90 plus integrated applications being offered on one centralized platform.</w:t>
      </w:r>
    </w:p>
    <w:p>
      <w:pPr>
        <w:spacing w:after="0" w:line="15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i w:val="1"/>
          <w:iCs w:val="1"/>
          <w:color w:val="auto"/>
        </w:rPr>
        <w:t xml:space="preserve">Plant Condition Management Software (PCMS®). </w:t>
      </w:r>
      <w:r>
        <w:rPr>
          <w:rFonts w:ascii="Arial" w:cs="Arial" w:eastAsia="Arial" w:hAnsi="Arial"/>
          <w:sz w:val="18"/>
          <w:szCs w:val="18"/>
          <w:color w:val="auto"/>
        </w:rPr>
        <w:t>Our world-class enterprise inspection database management software ("IDMS") - Plant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Software ("PCMS") - was developed specifically for process industries and equipment, and enables the storage, organization and analysis of inspection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PCMS offers wide-ranging support for mechanical integrity programs, including:</w:t>
      </w:r>
    </w:p>
    <w:p>
      <w:pPr>
        <w:spacing w:after="0" w:line="20" w:lineRule="exact"/>
        <w:rPr>
          <w:sz w:val="20"/>
          <w:szCs w:val="20"/>
          <w:color w:val="auto"/>
        </w:rPr>
      </w:pPr>
    </w:p>
    <w:p>
      <w:pPr>
        <w:ind w:left="640" w:hanging="31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Comprehensive inspection tracking, scheduling and analysis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Corrosion analysis and trending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Integrated risk-based inspection ("RBI") calculators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Safety relief valve management</w:t>
      </w:r>
    </w:p>
    <w:p>
      <w:pPr>
        <w:spacing w:after="0" w:line="236" w:lineRule="exact"/>
        <w:rPr>
          <w:sz w:val="20"/>
          <w:szCs w:val="20"/>
          <w:color w:val="auto"/>
        </w:rPr>
      </w:pPr>
    </w:p>
    <w:p>
      <w:pPr>
        <w:jc w:val="both"/>
        <w:ind w:right="260"/>
        <w:spacing w:after="0" w:line="260" w:lineRule="auto"/>
        <w:rPr>
          <w:sz w:val="20"/>
          <w:szCs w:val="20"/>
          <w:color w:val="auto"/>
        </w:rPr>
      </w:pPr>
      <w:r>
        <w:rPr>
          <w:rFonts w:ascii="Arial" w:cs="Arial" w:eastAsia="Arial" w:hAnsi="Arial"/>
          <w:sz w:val="18"/>
          <w:szCs w:val="18"/>
          <w:color w:val="auto"/>
        </w:rPr>
        <w:t>PCMS compares data to prior operations, similar assets, industrial standards and specific risk conditions, such as use with highly-flammable or corrosive materials. It also develops asset integrity management plans based on RBI calculations that specify an optimal schedule for the testing, maintenance and retirement of assets.</w:t>
      </w:r>
    </w:p>
    <w:p>
      <w:pPr>
        <w:spacing w:after="0" w:line="118"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In many instances, customers of our field inspections and consulting services also have licensed PCMS for storage and analysis of collected inspection and Mechanical Integrity ("MI") data.</w:t>
      </w:r>
    </w:p>
    <w:p>
      <w:pPr>
        <w:spacing w:after="0" w:line="107" w:lineRule="exact"/>
        <w:rPr>
          <w:sz w:val="20"/>
          <w:szCs w:val="20"/>
          <w:color w:val="auto"/>
        </w:rPr>
      </w:pPr>
    </w:p>
    <w:p>
      <w:pPr>
        <w:jc w:val="both"/>
        <w:ind w:right="240"/>
        <w:spacing w:after="0" w:line="307" w:lineRule="auto"/>
        <w:rPr>
          <w:sz w:val="20"/>
          <w:szCs w:val="20"/>
          <w:color w:val="auto"/>
        </w:rPr>
      </w:pPr>
      <w:r>
        <w:rPr>
          <w:rFonts w:ascii="Arial" w:cs="Arial" w:eastAsia="Arial" w:hAnsi="Arial"/>
          <w:sz w:val="16"/>
          <w:szCs w:val="16"/>
          <w:color w:val="auto"/>
        </w:rPr>
        <w:t>We believe PCMS is one of the most widely used plant condition management software systems in North American refineries. We estimate it is currently used by approximately 50% of the U.S. refiners, as well as by leading midstream pipeline energy companies and major energy companies in Canada and Europe. This provides us with recurring maintenance and support fees and marketing opportunities for additional software and solutions.</w:t>
      </w:r>
    </w:p>
    <w:p>
      <w:pPr>
        <w:spacing w:after="0" w:line="17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Pipeline Data. </w:t>
      </w:r>
      <w:r>
        <w:rPr>
          <w:rFonts w:ascii="Arial" w:cs="Arial" w:eastAsia="Arial" w:hAnsi="Arial"/>
          <w:sz w:val="17"/>
          <w:szCs w:val="17"/>
          <w:color w:val="auto"/>
        </w:rPr>
        <w:t>Following our acquisitions of companies such as Onstream and New Century Software, that support the midstream sector of the oil and gas</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we believe we provide among the most comprehensive, data-driven pipeline protection solutions available to the industry. These proprietary pipeline data analysis solutions enable deep integration of inline inspection ("ILI") big data with real-time risk analytics and business intelligence ("BI") to provide capabilities for supporting pipeline integrity, which we believe provides us with an important competitive advantage.</w:t>
      </w:r>
    </w:p>
    <w:p>
      <w:pPr>
        <w:spacing w:after="0" w:line="93" w:lineRule="exact"/>
        <w:rPr>
          <w:sz w:val="20"/>
          <w:szCs w:val="20"/>
          <w:color w:val="auto"/>
        </w:rPr>
      </w:pPr>
    </w:p>
    <w:p>
      <w:pPr>
        <w:ind w:right="80"/>
        <w:spacing w:after="0"/>
        <w:rPr>
          <w:sz w:val="20"/>
          <w:szCs w:val="20"/>
          <w:color w:val="auto"/>
        </w:rPr>
      </w:pPr>
      <w:r>
        <w:rPr>
          <w:rFonts w:ascii="Arial" w:cs="Arial" w:eastAsia="Arial" w:hAnsi="Arial"/>
          <w:sz w:val="18"/>
          <w:szCs w:val="18"/>
          <w:i w:val="1"/>
          <w:iCs w:val="1"/>
          <w:color w:val="auto"/>
        </w:rPr>
        <w:t>MISTRAS Digital</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also invested resources in digitalizing and optimizing the collection, transfer, and visibility of field inspection data. MISTRAS</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is an electronic platform that digitally delivers field inspection assignments and related data, captures inspection results, and delivers electronic reporting and productivity tracking via relevant key performance indicators ("KPIs") to multiple members of a customer organization, including those not directly associated with the inspection function. Customers have made clear that the timely and accurate delivery of field data to their "IDMS" is an important feature for them. MISTRAS Digital integrates with PCMS and other inspection data management systems to provide additional productivity improvements.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Online Monitoring. </w:t>
      </w:r>
      <w:r>
        <w:rPr>
          <w:rFonts w:ascii="Arial" w:cs="Arial" w:eastAsia="Arial" w:hAnsi="Arial"/>
          <w:sz w:val="17"/>
          <w:szCs w:val="17"/>
          <w:color w:val="auto"/>
        </w:rPr>
        <w:t>Our online condition-monitoring solutions provide real-time reports and analysis of infrastructure to alert facility personnel to damages</w:t>
      </w:r>
      <w:r>
        <w:rPr>
          <w:rFonts w:ascii="Arial" w:cs="Arial" w:eastAsia="Arial" w:hAnsi="Arial"/>
          <w:sz w:val="17"/>
          <w:szCs w:val="17"/>
          <w:i w:val="1"/>
          <w:iCs w:val="1"/>
          <w:color w:val="auto"/>
        </w:rPr>
        <w:t xml:space="preserve"> </w:t>
      </w:r>
      <w:r>
        <w:rPr>
          <w:rFonts w:ascii="Arial" w:cs="Arial" w:eastAsia="Arial" w:hAnsi="Arial"/>
          <w:sz w:val="17"/>
          <w:szCs w:val="17"/>
          <w:color w:val="auto"/>
        </w:rPr>
        <w:t>before critical failures occur, while our flexible, IIoT-compatible, cloud-based online monitoring portal centralizes and analyzes all collected monitoring data. These monitoring solutions are often installed in hazardous or hard-to-reach locations, helping to enhance safety by reducing the need to send technicians into unsafe locations. We offer monitoring solutions for a wide range of assets and applications, including:</w:t>
      </w:r>
    </w:p>
    <w:p>
      <w:pPr>
        <w:spacing w:after="0" w:line="200" w:lineRule="exact"/>
        <w:rPr>
          <w:sz w:val="20"/>
          <w:szCs w:val="20"/>
          <w:color w:val="auto"/>
        </w:rPr>
      </w:pPr>
    </w:p>
    <w:p>
      <w:pPr>
        <w:ind w:left="640" w:hanging="31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Wind Turbine Blades</w:t>
      </w:r>
    </w:p>
    <w:p>
      <w:pPr>
        <w:spacing w:after="0" w:line="20" w:lineRule="exact"/>
        <w:rPr>
          <w:rFonts w:ascii="Arial" w:cs="Arial" w:eastAsia="Arial" w:hAnsi="Arial"/>
          <w:sz w:val="18"/>
          <w:szCs w:val="18"/>
          <w:color w:val="auto"/>
        </w:rPr>
      </w:pPr>
    </w:p>
    <w:p>
      <w:pPr>
        <w:ind w:left="640" w:hanging="31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Tube Leaking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Transformer Health and Reliability</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Stator Vane Cracking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Bridge Structural Health Monitoring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Wall Thickness Tracking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High-Energy Piping (HEP) Integrity</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Fluid Corrosivity</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Through-Valve Leaking</w:t>
      </w:r>
    </w:p>
    <w:p>
      <w:pPr>
        <w:spacing w:after="0" w:line="23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continued to develop new technologies to provide monitoring of wind blade integrity through our Sensoria™ blade monitoring technology. Sensoria helps provide real-time monitoring and damage detection of wind turbine blades and allows our customers to maximize uptime, performance and safety of wind turbine blades. This tool provides additional growth and expansion of our capabilities to serve both new and existing wind turbines and greatly enhances our product offerings within the renewable energy industry.</w:t>
      </w:r>
    </w:p>
    <w:p>
      <w:pPr>
        <w:spacing w:after="0" w:line="21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With expertise in monitoring hardware and services, we design and install monitoring systems, and provide commissioning, training, reporting, technical support and annual maintenance services. We offer a variety of secure, web-based solutions that monitor structural integrity and analyze conditions against our library of historical inspection data, allowing users to stay aware of potential concerns and prioritize future inspections and maintenance. We also offer custom-developed software that integrates with sensing technologies, reporting platforms, and onsite IDMSs; stores and trends monitoring data; and provides immediate automated data analysis. Much of our monitoring is based on acoustical emissions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Testing</w:t>
      </w:r>
    </w:p>
    <w:p>
      <w:pPr>
        <w:spacing w:after="0" w:line="159"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color w:val="auto"/>
        </w:rPr>
        <w:t>Our network of in-house laboratories located across North America and Europe offers quality assurance and quality control ("QA/QC") solutions for new and existing metal and alloy components, materials, and composites.</w:t>
      </w:r>
    </w:p>
    <w:p>
      <w:pPr>
        <w:spacing w:after="0" w:line="9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Our in-house laboratories work with our customers to test and measure utilized components throughout their lifetimes, from preparation and production to post-processing and in-service component monitoring. Our laboratory QA/QC solutions help to meet customer needs throughout their manufacturing cycles, with a focus on optimizing production logistics. Our in-house laboratory solutions include:</w:t>
      </w:r>
    </w:p>
    <w:p>
      <w:pPr>
        <w:spacing w:after="0" w:line="118" w:lineRule="exact"/>
        <w:rPr>
          <w:sz w:val="20"/>
          <w:szCs w:val="20"/>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Non-destructive evaluation/inspection ("NDE"/"NDI")</w:t>
      </w:r>
    </w:p>
    <w:p>
      <w:pPr>
        <w:spacing w:after="0" w:line="20"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Destructive testing ("DT")</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Metallurgical testing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Chemical analysis testing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Mechanical services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Machining services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Pre-machining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Casting repair solutions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Finishing services</w:t>
      </w:r>
    </w:p>
    <w:p>
      <w:pPr>
        <w:spacing w:after="0" w:line="236"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color w:val="auto"/>
        </w:rPr>
        <w:t>We often inspect and test components prior to assembly to screen for defects and discontinuities introduced in the manufacturing process. We also inspect existing components to ensure they remain fit-for-purpose.</w:t>
      </w:r>
    </w:p>
    <w:p>
      <w:pPr>
        <w:spacing w:after="0" w:line="10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laboratories hold a wide variety of certifications, such as: Nadcap (formerly NADCAP, the National Aerospace and Defense Contractors Accreditation Program), AS9100/ISO-9001, Federal Aviation Administration Repair Station, and the International Traffic in Arms Regulations/Export Administration Regulations, that allow us to perform inspections which meet or exceed stringent regulatory and manufacturers' requirements. With these certifications come a comprehensive range of approvals from prime contractors of major projects, militaries and internationally-renowned original equipment manufacturers ("OEMs") from many of our key markets, including the oil and gas, aerospace and defense, power generation and industrial markets.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Maintenance</w:t>
      </w:r>
    </w:p>
    <w:p>
      <w:pPr>
        <w:spacing w:after="0" w:line="159"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We perform maintenance and light mechanical services to prepare assets for inspection and to return them to working condition post inspection. These services include corrosion removal, mitigation and prevention; insulation installation and removal; electrical services; heat tracing, industrial cleaning; pipefitting; and welding. Our light mechanical services are often offered as complementary, value-added solutions to inspections, such as removing insulation in order to inspect piping, then re-installing insulation.</w:t>
      </w:r>
    </w:p>
    <w:p>
      <w:pPr>
        <w:spacing w:after="0" w:line="109" w:lineRule="exact"/>
        <w:rPr>
          <w:sz w:val="20"/>
          <w:szCs w:val="20"/>
          <w:color w:val="auto"/>
        </w:rPr>
      </w:pPr>
    </w:p>
    <w:p>
      <w:pPr>
        <w:ind w:right="600"/>
        <w:spacing w:after="0" w:line="272" w:lineRule="auto"/>
        <w:rPr>
          <w:sz w:val="20"/>
          <w:szCs w:val="20"/>
          <w:color w:val="auto"/>
        </w:rPr>
      </w:pPr>
      <w:r>
        <w:rPr>
          <w:rFonts w:ascii="Arial" w:cs="Arial" w:eastAsia="Arial" w:hAnsi="Arial"/>
          <w:sz w:val="18"/>
          <w:szCs w:val="18"/>
          <w:color w:val="auto"/>
        </w:rPr>
        <w:t>Our multi-disciplined technicians offer maintenance and light mechanical services in hard-to-access areas, in combination with rope access or diving strategies.</w:t>
      </w:r>
    </w:p>
    <w:p>
      <w:pPr>
        <w:spacing w:after="0" w:line="107" w:lineRule="exact"/>
        <w:rPr>
          <w:sz w:val="20"/>
          <w:szCs w:val="20"/>
          <w:color w:val="auto"/>
        </w:rPr>
      </w:pPr>
    </w:p>
    <w:p>
      <w:pPr>
        <w:ind w:right="20"/>
        <w:spacing w:after="0" w:line="411" w:lineRule="auto"/>
        <w:rPr>
          <w:sz w:val="20"/>
          <w:szCs w:val="20"/>
          <w:color w:val="auto"/>
        </w:rPr>
      </w:pPr>
      <w:r>
        <w:rPr>
          <w:rFonts w:ascii="Arial" w:cs="Arial" w:eastAsia="Arial" w:hAnsi="Arial"/>
          <w:sz w:val="18"/>
          <w:szCs w:val="18"/>
          <w:color w:val="auto"/>
        </w:rPr>
        <w:t xml:space="preserve">Mechanical services are still a small part of our business, and we carefully try to avoid providing any such services that conflict with our inspection services. </w:t>
      </w:r>
      <w:r>
        <w:rPr>
          <w:rFonts w:ascii="Arial" w:cs="Arial" w:eastAsia="Arial" w:hAnsi="Arial"/>
          <w:sz w:val="18"/>
          <w:szCs w:val="18"/>
          <w:b w:val="1"/>
          <w:bCs w:val="1"/>
          <w:color w:val="auto"/>
        </w:rPr>
        <w:t>Engineering Consulting</w:t>
      </w:r>
    </w:p>
    <w:p>
      <w:pPr>
        <w:spacing w:after="0" w:line="2" w:lineRule="exact"/>
        <w:rPr>
          <w:sz w:val="20"/>
          <w:szCs w:val="20"/>
          <w:color w:val="auto"/>
        </w:rPr>
      </w:pPr>
    </w:p>
    <w:p>
      <w:pPr>
        <w:ind w:right="320"/>
        <w:spacing w:after="0" w:line="307" w:lineRule="auto"/>
        <w:rPr>
          <w:sz w:val="20"/>
          <w:szCs w:val="20"/>
          <w:color w:val="auto"/>
        </w:rPr>
      </w:pPr>
      <w:r>
        <w:rPr>
          <w:rFonts w:ascii="Arial" w:cs="Arial" w:eastAsia="Arial" w:hAnsi="Arial"/>
          <w:sz w:val="16"/>
          <w:szCs w:val="16"/>
          <w:color w:val="auto"/>
        </w:rPr>
        <w:t>We provide a broad range of engineering consulting services, primarily for process equipment, technologies and facilities. Our engineering consultations include plant operations and management support, turnaround/shutdown planning, profit improvement, facilities planning studies, engineering design, process safety reviews, energy optimization evaluations, benchmarking/key performance indicator development and technical training.</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Asset Integrity Management ("AIMS") and MI services help improve asset reliability and regulatory compliance through a systematic, engineering-based approach to ensure the ongoing integrity and safety of equipment and industrial facilities. AIMS/MI services can include conducting an inventory of infrastructure assets; developing, implementing and training personnel in executing inspection and maintenance procedures; and managing MI programs. We help to identify gaps between existing and desired practices and establish quality assurance standards for fabrication, engineering and installation of infrastructure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w:t>
      </w:r>
    </w:p>
    <w:p>
      <w:pPr>
        <w:spacing w:after="0" w:line="146" w:lineRule="exact"/>
        <w:rPr>
          <w:sz w:val="20"/>
          <w:szCs w:val="20"/>
          <w:color w:val="auto"/>
        </w:rPr>
      </w:pPr>
    </w:p>
    <w:p>
      <w:pPr>
        <w:ind w:right="160"/>
        <w:spacing w:after="0" w:line="307" w:lineRule="auto"/>
        <w:rPr>
          <w:sz w:val="20"/>
          <w:szCs w:val="20"/>
          <w:color w:val="auto"/>
        </w:rPr>
      </w:pPr>
      <w:r>
        <w:rPr>
          <w:rFonts w:ascii="Arial" w:cs="Arial" w:eastAsia="Arial" w:hAnsi="Arial"/>
          <w:sz w:val="16"/>
          <w:szCs w:val="16"/>
          <w:color w:val="auto"/>
        </w:rPr>
        <w:t>Much of our work is conducted in hard-to-access locations, including those in at-height, subsea and confined locations. We utilize scaffolding and rope access to access at-height and confined assets; certified divers for subsea inspection and maintenance; and unmanned (drone) aerial, land-based and subsea systems to deliver a wide range of inspection applications, with an emphasis on minimizing at-height access and confined space entry.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59"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We design and manufacture portable, handheld, wireless and turnkey NDT equipment, along with corresponding data acquisition sensors and software, for spot inspections and long-term, unattended monitoring applications.</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sell these solutions as individual components, or as complete systems, which include a combination of sensors, amplifiers, signal processing electronics, knowledge-based software and decision and feedback electronics. We also sell integrated service-and-system technology packages, in which our field technicians utilize our proprietary and specialized testing procedures and hardware, advanced pattern recognition, neural network software and databases to compare test results against our prior testing data or industry standards.</w:t>
      </w:r>
    </w:p>
    <w:p>
      <w:pPr>
        <w:spacing w:after="0" w:line="12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We provide a range of acoustic emission ("AE") products and are a leader in the design and manufacture of AE sensors, instruments and turnkey systems used for monitoring and testing materials, pressure components, processes, and structures. We also design and manufacture ultrasonic testing ("UT") equipment.</w:t>
      </w:r>
    </w:p>
    <w:p>
      <w:pPr>
        <w:spacing w:after="0" w:line="118"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Most of our hardware products are fabricated, assembled and tested in our ISO-9001-certified facility in Princeton Junction, New Jersey. We also design and manufacture automated ultrasonic systems and scanners in France.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Centers of Excellence</w:t>
      </w:r>
    </w:p>
    <w:p>
      <w:pPr>
        <w:spacing w:after="0" w:line="159"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Another differentiator in our business model is our Centers of Excellence ("COEs"), which offer support for asset, technology or industry-specific solutions. Our subject matter experts engage in strategic sales opportunities to offer customers value-added solutions using advanced technologies and methods. The COEs help to standardize our approach to common problems in our key market segments. Our COEs include:</w:t>
      </w:r>
    </w:p>
    <w:p>
      <w:pPr>
        <w:spacing w:after="0" w:line="102" w:lineRule="exact"/>
        <w:rPr>
          <w:sz w:val="20"/>
          <w:szCs w:val="20"/>
          <w:color w:val="auto"/>
        </w:rPr>
      </w:pPr>
    </w:p>
    <w:p>
      <w:pPr>
        <w:ind w:left="640" w:hanging="31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Acoustic Emission</w:t>
      </w:r>
    </w:p>
    <w:p>
      <w:pPr>
        <w:spacing w:after="0" w:line="20" w:lineRule="exact"/>
        <w:rPr>
          <w:rFonts w:ascii="Arial" w:cs="Arial" w:eastAsia="Arial" w:hAnsi="Arial"/>
          <w:sz w:val="18"/>
          <w:szCs w:val="18"/>
          <w:color w:val="auto"/>
        </w:rPr>
      </w:pPr>
    </w:p>
    <w:p>
      <w:pPr>
        <w:ind w:left="640" w:hanging="31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Aerospace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American Petroleum Institute ("API") Turnarounds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AIMS/MI/Engineering</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Automated Ultrasonics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Data Solutions</w:t>
      </w:r>
    </w:p>
    <w:p>
      <w:pPr>
        <w:spacing w:after="0" w:line="20"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Fossil Power</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Guided Wave Ultrasonics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Infrastructure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PCMS Software and Services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Mechanical Services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MISTRAS Digital®</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Nuclear Power</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Offshore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Phased Array</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Pipeline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Generation</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Predictive Maintenance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Refractory Inspection</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Rope Access/Wind</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Substation Reliability</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Tank Inspection</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Tube Inspection</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Unmanned Systems</w:t>
      </w:r>
    </w:p>
    <w:p>
      <w:pPr>
        <w:spacing w:after="0" w:line="3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ASSET PROTECTION INDUSTRY OVERVIEW</w:t>
      </w:r>
    </w:p>
    <w:p>
      <w:pPr>
        <w:spacing w:after="0" w:line="160"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Asset protection plays a crucial role in assuring the integrity and reliability of critical infrastructure. As an asset protection solutions provider, we seek to maximize the uptime and safety of critical infrastructure, by helping customers to detect, locate, mitigate, and prevent damages such as corrosion, cracks, leaks, manufacturing flaws and other concerns to operating and structural integrity. In addition to these core utilities, the storage and analysis of collected inspection and MI data is also a key aspect of asset protection.</w:t>
      </w:r>
    </w:p>
    <w:p>
      <w:pPr>
        <w:spacing w:after="0" w:line="1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NDT has historically been a prominent solution in the asset protection industry due to its capacity to detect defects without compromising the integrity of the tested materials or equipment. Traditionally, the supply of NDT inspection services has been provided by many relatively small vendors, who provide services in a more localized geographic region. A trend has emerged, however, for customers to increasingly engage a select few vendors capable of providing a wider spectrum of asset protection solutions for global infrastructure, in addition to an increased demand for advanced non-destructive testing ("ANDT") solutions and data acquisition software, both of which require a highly-trained workforce.</w:t>
      </w:r>
    </w:p>
    <w:p>
      <w:pPr>
        <w:spacing w:after="0" w:line="108" w:lineRule="exact"/>
        <w:rPr>
          <w:sz w:val="20"/>
          <w:szCs w:val="20"/>
          <w:color w:val="auto"/>
        </w:rPr>
      </w:pPr>
    </w:p>
    <w:p>
      <w:pPr>
        <w:jc w:val="both"/>
        <w:ind w:right="160"/>
        <w:spacing w:after="0" w:line="307" w:lineRule="auto"/>
        <w:rPr>
          <w:sz w:val="20"/>
          <w:szCs w:val="20"/>
          <w:color w:val="auto"/>
        </w:rPr>
      </w:pPr>
      <w:r>
        <w:rPr>
          <w:rFonts w:ascii="Arial" w:cs="Arial" w:eastAsia="Arial" w:hAnsi="Arial"/>
          <w:sz w:val="16"/>
          <w:szCs w:val="16"/>
          <w:color w:val="auto"/>
        </w:rPr>
        <w:t>Due to these trends, those vendors offering integrated solutions, scalable operations, skilled personnel and a global footprint are expected to have a distinct competitive advantage. Moreover, we believe that vendors that are able to effectively deliver both advanced solutions and data analytics, by virtue of their access to customers’ data, create a significant barrier to entry for competitors, leading to the opportunity to further create significant recurring revenues.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Dynamics of the Asset Protection Industry</w:t>
      </w:r>
    </w:p>
    <w:p>
      <w:pPr>
        <w:spacing w:after="0" w:line="159"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color w:val="auto"/>
        </w:rPr>
        <w:t>We believe the following represent key dynamics of the asset protection industry, and that the market available to us will continue to grow as these macro-market trends continue to develop:</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Extending the Useful Life of Aging Infrastructure While Increasing Utilization</w:t>
      </w:r>
      <w:r>
        <w:rPr>
          <w:rFonts w:ascii="Arial" w:cs="Arial" w:eastAsia="Arial" w:hAnsi="Arial"/>
          <w:sz w:val="18"/>
          <w:szCs w:val="18"/>
          <w:color w:val="auto"/>
        </w:rPr>
        <w:t>. Due to the prohibitive costs and challenges of building new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many companies have chosen to extend the useful life of existing assets through enhancements, rather than replacing these assets. This has resulted in the significant aging and increased utilization of existing infrastructure in our target markets. Demand for refined petroleum products, combined with high plant-utilization rates, drives refineries to upgrade facilities to make them more efficient and expand capacities. Because aging infrastructure requires more frequent inspection and maintenance in comparison to new infrastructure, companies and public authorities continue to spend on asset protection to ensure their aging infrastructure assets continue to operate effectively.</w:t>
      </w:r>
    </w:p>
    <w:p>
      <w:pPr>
        <w:spacing w:after="0" w:line="11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i w:val="1"/>
          <w:iCs w:val="1"/>
          <w:color w:val="auto"/>
        </w:rPr>
        <w:t>Outsourcing of Non-Core Activities and Technical Resource Constraints</w:t>
      </w:r>
      <w:r>
        <w:rPr>
          <w:rFonts w:ascii="Arial" w:cs="Arial" w:eastAsia="Arial" w:hAnsi="Arial"/>
          <w:sz w:val="18"/>
          <w:szCs w:val="18"/>
          <w:color w:val="auto"/>
        </w:rPr>
        <w:t>. Due to the increasing sophistication and automation of NDT programs,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decreasing supply of skilled professionals and increasing governmental regulations, companies are increasingly outsourcing NDT to third-party providers with advanced solution portfolios, engineering expertise and trained workforces.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Digital Transformation of Asset Protection. </w:t>
      </w:r>
      <w:r>
        <w:rPr>
          <w:rFonts w:ascii="Arial" w:cs="Arial" w:eastAsia="Arial" w:hAnsi="Arial"/>
          <w:sz w:val="18"/>
          <w:szCs w:val="18"/>
          <w:color w:val="auto"/>
        </w:rPr>
        <w:t>Plants in the oil and gas and process industries are recognizing the need to evolve their traditional, paper-based</w:t>
      </w:r>
      <w:r>
        <w:rPr>
          <w:rFonts w:ascii="Arial" w:cs="Arial" w:eastAsia="Arial" w:hAnsi="Arial"/>
          <w:sz w:val="18"/>
          <w:szCs w:val="18"/>
          <w:i w:val="1"/>
          <w:iCs w:val="1"/>
          <w:color w:val="auto"/>
        </w:rPr>
        <w:t xml:space="preserve"> </w:t>
      </w:r>
      <w:r>
        <w:rPr>
          <w:rFonts w:ascii="Arial" w:cs="Arial" w:eastAsia="Arial" w:hAnsi="Arial"/>
          <w:sz w:val="18"/>
          <w:szCs w:val="18"/>
          <w:color w:val="auto"/>
        </w:rPr>
        <w:t>mechanical integrity programs in favor of digitalized solutions. The rise of big data intelligence and the need to gain actionable insights from raw asset integrity data are growing trends that provide opportunities for contractors with a wide range of asset protection expertise and integrated data platforms to help customers maximize uptime while controlling costs.</w:t>
      </w:r>
    </w:p>
    <w:p>
      <w:pPr>
        <w:spacing w:after="0" w:line="216"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i w:val="1"/>
          <w:iCs w:val="1"/>
          <w:color w:val="auto"/>
        </w:rPr>
        <w:t>Increasing Corrosion from Low-Quality Inputs</w:t>
      </w:r>
      <w:r>
        <w:rPr>
          <w:rFonts w:ascii="Arial" w:cs="Arial" w:eastAsia="Arial" w:hAnsi="Arial"/>
          <w:sz w:val="16"/>
          <w:szCs w:val="16"/>
          <w:color w:val="auto"/>
        </w:rPr>
        <w:t>. The increased availability and low cost of crude oil from areas such as shale plays and oil sands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have led to the use of lower-grade raw materials and feedstock. This leads to higher rates of corrosion, especially in refining processes involving petroleum with higher sulfur content, which increases the need for asset protection solutions to detect and/or proactively prevent corrosion-related issues.</w:t>
      </w:r>
    </w:p>
    <w:p>
      <w:pPr>
        <w:spacing w:after="0" w:line="8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i w:val="1"/>
          <w:iCs w:val="1"/>
          <w:color w:val="auto"/>
        </w:rPr>
        <w:t>Increasing Use of Advanced Materials</w:t>
      </w:r>
      <w:r>
        <w:rPr>
          <w:rFonts w:ascii="Arial" w:cs="Arial" w:eastAsia="Arial" w:hAnsi="Arial"/>
          <w:sz w:val="18"/>
          <w:szCs w:val="18"/>
          <w:color w:val="auto"/>
        </w:rPr>
        <w:t>. Customers in various target markets - particularly aerospace and defense - are increasingly utilizing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such as composites and other unique technologies in their assets. These materials often cannot be tested using traditional NDT techniques. We believe that demand for more advanced testing and assessment solutions will increase as the utilization of these advanced materials increases during the design, manufacturing, operating and quality control phases.</w:t>
      </w:r>
    </w:p>
    <w:p>
      <w:pPr>
        <w:spacing w:after="0" w:line="10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Meeting Safety Regulations</w:t>
      </w:r>
      <w:r>
        <w:rPr>
          <w:rFonts w:ascii="Arial" w:cs="Arial" w:eastAsia="Arial" w:hAnsi="Arial"/>
          <w:sz w:val="17"/>
          <w:szCs w:val="17"/>
          <w:color w:val="auto"/>
        </w:rPr>
        <w:t>. Owners and operators of refineries, pipelines and petrochemical and chemical plants increasingly face strict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and more stringent process safety enforcement standards. This includes the continued implementation of the Occupational Safety and Health Administration’s National Emphasis Program. Failure to meet these standards can result in significant financial liabilities, increased scrutiny by government and industry regulators, higher insurance premiums and tarnished corporate brand value. As a result, these owners and operators are seeking highly-reliable asset protection suppliers with a track record of assisting organizations in meeting increasingly stringent regulations. Our customers benefit from our extensive engineering consulting base that supports them in devising mechanical integrity programs that both meet regulatory compliance standards and enable enhanced safety and uptime at the customer's facilities.</w:t>
      </w:r>
    </w:p>
    <w:p>
      <w:pPr>
        <w:spacing w:after="0" w:line="115" w:lineRule="exact"/>
        <w:rPr>
          <w:sz w:val="20"/>
          <w:szCs w:val="20"/>
          <w:color w:val="auto"/>
        </w:rPr>
      </w:pPr>
    </w:p>
    <w:p>
      <w:pPr>
        <w:ind w:right="40"/>
        <w:spacing w:after="0" w:line="336" w:lineRule="auto"/>
        <w:rPr>
          <w:sz w:val="20"/>
          <w:szCs w:val="20"/>
          <w:color w:val="auto"/>
        </w:rPr>
      </w:pPr>
      <w:r>
        <w:rPr>
          <w:rFonts w:ascii="Arial" w:cs="Arial" w:eastAsia="Arial" w:hAnsi="Arial"/>
          <w:sz w:val="15"/>
          <w:szCs w:val="15"/>
          <w:i w:val="1"/>
          <w:iCs w:val="1"/>
          <w:color w:val="auto"/>
        </w:rPr>
        <w:t>Expanding Addressable End-Markets</w:t>
      </w:r>
      <w:r>
        <w:rPr>
          <w:rFonts w:ascii="Arial" w:cs="Arial" w:eastAsia="Arial" w:hAnsi="Arial"/>
          <w:sz w:val="15"/>
          <w:szCs w:val="15"/>
          <w:color w:val="auto"/>
        </w:rPr>
        <w:t>. The continued emergence of and advances in asset protection technologies and software-based systems are increasing</w:t>
      </w:r>
      <w:r>
        <w:rPr>
          <w:rFonts w:ascii="Arial" w:cs="Arial" w:eastAsia="Arial" w:hAnsi="Arial"/>
          <w:sz w:val="15"/>
          <w:szCs w:val="15"/>
          <w:i w:val="1"/>
          <w:iCs w:val="1"/>
          <w:color w:val="auto"/>
        </w:rPr>
        <w:t xml:space="preserve"> </w:t>
      </w:r>
      <w:r>
        <w:rPr>
          <w:rFonts w:ascii="Arial" w:cs="Arial" w:eastAsia="Arial" w:hAnsi="Arial"/>
          <w:sz w:val="15"/>
          <w:szCs w:val="15"/>
          <w:color w:val="auto"/>
        </w:rPr>
        <w:t>the demand for asset protection solutions in applications where existing techniques were previously ineffective. This has been true for the wind energy market, which has been receptive to updating traditional blade inspection processes in favor of unattended, remote monitoring solutions such as Sensoria.</w:t>
      </w:r>
    </w:p>
    <w:p>
      <w:pPr>
        <w:spacing w:after="0" w:line="160" w:lineRule="exact"/>
        <w:rPr>
          <w:sz w:val="20"/>
          <w:szCs w:val="20"/>
          <w:color w:val="auto"/>
        </w:rPr>
      </w:pPr>
    </w:p>
    <w:p>
      <w:pPr>
        <w:spacing w:after="0" w:line="307" w:lineRule="auto"/>
        <w:rPr>
          <w:sz w:val="20"/>
          <w:szCs w:val="20"/>
          <w:color w:val="auto"/>
        </w:rPr>
      </w:pPr>
      <w:r>
        <w:rPr>
          <w:rFonts w:ascii="Arial" w:cs="Arial" w:eastAsia="Arial" w:hAnsi="Arial"/>
          <w:sz w:val="16"/>
          <w:szCs w:val="16"/>
          <w:i w:val="1"/>
          <w:iCs w:val="1"/>
          <w:color w:val="auto"/>
        </w:rPr>
        <w:t>Expanding Aerospace and Defense Industry</w:t>
      </w:r>
      <w:r>
        <w:rPr>
          <w:rFonts w:ascii="Arial" w:cs="Arial" w:eastAsia="Arial" w:hAnsi="Arial"/>
          <w:sz w:val="16"/>
          <w:szCs w:val="16"/>
          <w:color w:val="auto"/>
        </w:rPr>
        <w:t>. We believe that increased demand will continue to come over the next several years from the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due to the approximately decade-long backlog for next-generation commercial aircraft to be built, driving the need for advanced solutions that drive cost and quality efficiencies. Demand continues to be stable in the defense industry while demand in the outerspace industry is growing.</w:t>
      </w:r>
    </w:p>
    <w:p>
      <w:pPr>
        <w:spacing w:after="0" w:line="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Crude Oil Prices. </w:t>
      </w:r>
      <w:r>
        <w:rPr>
          <w:rFonts w:ascii="Arial" w:cs="Arial" w:eastAsia="Arial" w:hAnsi="Arial"/>
          <w:sz w:val="18"/>
          <w:szCs w:val="18"/>
          <w:color w:val="auto"/>
        </w:rPr>
        <w:t>Volatility in the energy sector has been profound during the 2015-2022 period. The collapse of world oil prices in 2015 and 2016</w:t>
      </w:r>
      <w:r>
        <w:rPr>
          <w:rFonts w:ascii="Arial" w:cs="Arial" w:eastAsia="Arial" w:hAnsi="Arial"/>
          <w:sz w:val="18"/>
          <w:szCs w:val="18"/>
          <w:i w:val="1"/>
          <w:iCs w:val="1"/>
          <w:color w:val="auto"/>
        </w:rPr>
        <w:t xml:space="preserve"> </w:t>
      </w:r>
      <w:r>
        <w:rPr>
          <w:rFonts w:ascii="Arial" w:cs="Arial" w:eastAsia="Arial" w:hAnsi="Arial"/>
          <w:sz w:val="18"/>
          <w:szCs w:val="18"/>
          <w:color w:val="auto"/>
        </w:rPr>
        <w:t>undermined industry expansion. While energy prices recovered in 2017 and 2018, they once more declined, and subsequently rebounded in the second half of 2021 and the first half of 2022 with near record high prices and crack spreads. This resulted in refineries delaying turnarounds during 2022 until oil prices decreased and stabilized in the second half of 2022. The on-going war in Ukraine, coupled with macroeconomic uncertainty in 2023, are expected to continue to significantly impact oil prices for the foreseeable future.</w:t>
      </w:r>
    </w:p>
    <w:p>
      <w:pPr>
        <w:spacing w:after="0" w:line="2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Expanding Pipeline Integrity Regulations: </w:t>
      </w:r>
      <w:r>
        <w:rPr>
          <w:rFonts w:ascii="Arial" w:cs="Arial" w:eastAsia="Arial" w:hAnsi="Arial"/>
          <w:sz w:val="18"/>
          <w:szCs w:val="18"/>
          <w:color w:val="auto"/>
        </w:rPr>
        <w:t>The United States Pipeline &amp; Hazardous Materials Safety Administration’s “Mega Rule” adopted in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2019, expands pipeline integrity regulations on more than 500,000 miles of pipelines that carry natural gas, oil and other hazardous materials throughout the United States. Some of these requirements will take operators decades to fulfill. These regulations require inspection and integrity data records throughout a pipeline’s lifetime to be “reliable, traceable, verifiable, and complete,” increasing the demand for integrated inspection, engineering, monitoring, and data management and analysis solutions.</w:t>
      </w:r>
    </w:p>
    <w:p>
      <w:pPr>
        <w:spacing w:after="0" w:line="218" w:lineRule="exact"/>
        <w:rPr>
          <w:sz w:val="20"/>
          <w:szCs w:val="20"/>
          <w:color w:val="auto"/>
        </w:rPr>
      </w:pPr>
    </w:p>
    <w:p>
      <w:pPr>
        <w:ind w:right="740"/>
        <w:spacing w:after="0" w:line="336" w:lineRule="auto"/>
        <w:rPr>
          <w:sz w:val="20"/>
          <w:szCs w:val="20"/>
          <w:color w:val="auto"/>
        </w:rPr>
      </w:pPr>
      <w:r>
        <w:rPr>
          <w:rFonts w:ascii="Arial" w:cs="Arial" w:eastAsia="Arial" w:hAnsi="Arial"/>
          <w:sz w:val="16"/>
          <w:szCs w:val="16"/>
          <w:i w:val="1"/>
          <w:iCs w:val="1"/>
          <w:color w:val="auto"/>
        </w:rPr>
        <w:t xml:space="preserve">Consolidation of Refineries: </w:t>
      </w:r>
      <w:r>
        <w:rPr>
          <w:rFonts w:ascii="Arial" w:cs="Arial" w:eastAsia="Arial" w:hAnsi="Arial"/>
          <w:sz w:val="16"/>
          <w:szCs w:val="16"/>
          <w:color w:val="auto"/>
        </w:rPr>
        <w:t>Consolidation of refinery ownership will create both pressure on refinery service providers due to increased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purchasing power and provide an opportunity to those same refinery service providers to become preferred providers to these larger customers.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46"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We believe the following competitive strengths contribute to our being a leading provider of asset protection solutions and will allow us to further capitalize on growth opportunities in our industry:</w:t>
      </w:r>
    </w:p>
    <w:p>
      <w:pPr>
        <w:spacing w:after="0" w:line="107"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i w:val="1"/>
          <w:iCs w:val="1"/>
          <w:color w:val="auto"/>
        </w:rPr>
        <w:t>OneSource Provider for Asset Protection Solutions</w:t>
      </w:r>
      <w:r>
        <w:rPr>
          <w:rFonts w:ascii="Arial" w:cs="Arial" w:eastAsia="Arial" w:hAnsi="Arial"/>
          <w:sz w:val="18"/>
          <w:szCs w:val="18"/>
          <w:color w:val="auto"/>
        </w:rPr>
        <w:t>. We believe we have one of the most comprehensive portfolios of integrated asset protection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which positions us to be a leading single-source provider for our customers’ asset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protection requirements. This is particularly a competitive strength in regards to turnarounds and shutdowns - during which facilities temporarily cease portions of their operations in order to perform plant-wide inspections, maintenance and repairs - as the services being requested and performed during these work stoppages make up significant portions of refinery, process and power plant maintenance budgets. Demand for our solutions increases during these outages, as facilities seek third-party providers to perform a wide spectrum of asset protection operations while the plant is offline. In addition, as companies are increasingly outsourcing their NDT needs to third-party providers, we believe that the ability to offer a comprehensive package of solutions provides us with a competitive advantage.</w:t>
      </w:r>
    </w:p>
    <w:p>
      <w:pPr>
        <w:spacing w:after="0" w:line="1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Integrated Data Management: </w:t>
      </w:r>
      <w:r>
        <w:rPr>
          <w:rFonts w:ascii="Arial" w:cs="Arial" w:eastAsia="Arial" w:hAnsi="Arial"/>
          <w:sz w:val="16"/>
          <w:szCs w:val="16"/>
          <w:color w:val="auto"/>
        </w:rPr>
        <w:t>Our expertise and proprietary research and development in data solutions throughout the asset protection cycle provides a</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advantage. With solutions for integrated data acquisition, storage, visualization and analytics, our integrated data solutions well-position us for the oil and gas increasing movement towards digitalizing and centralizing asset protection to fewer, highly-skilled and multi-disciplined vendors. Many of our data solutions are platform-agnostic, allowing us to integrate into customers' existing operations, and thereby expanding the potential customer pool for our solutions. Our presence in our customers’ operations throughout their asset lifecycles also ideally positions us to be their primary vendor to centralize their asset integrity data collection, management and analysis, creating mutually-beneficial opportunities to scale our relationships.</w:t>
      </w:r>
    </w:p>
    <w:p>
      <w:pPr>
        <w:spacing w:after="0" w:line="190" w:lineRule="exact"/>
        <w:rPr>
          <w:sz w:val="20"/>
          <w:szCs w:val="20"/>
          <w:color w:val="auto"/>
        </w:rPr>
      </w:pPr>
    </w:p>
    <w:p>
      <w:pPr>
        <w:spacing w:after="0" w:line="307" w:lineRule="auto"/>
        <w:rPr>
          <w:sz w:val="20"/>
          <w:szCs w:val="20"/>
          <w:color w:val="auto"/>
        </w:rPr>
      </w:pPr>
      <w:r>
        <w:rPr>
          <w:rFonts w:ascii="Arial" w:cs="Arial" w:eastAsia="Arial" w:hAnsi="Arial"/>
          <w:sz w:val="16"/>
          <w:szCs w:val="16"/>
          <w:i w:val="1"/>
          <w:iCs w:val="1"/>
          <w:color w:val="auto"/>
        </w:rPr>
        <w:t>Long-Standing Trusted Provider to a Diversified and Growing Customer Base</w:t>
      </w:r>
      <w:r>
        <w:rPr>
          <w:rFonts w:ascii="Arial" w:cs="Arial" w:eastAsia="Arial" w:hAnsi="Arial"/>
          <w:sz w:val="16"/>
          <w:szCs w:val="16"/>
          <w:color w:val="auto"/>
        </w:rPr>
        <w:t>. We have become a trusted partner to a large and growing customer base</w:t>
      </w:r>
      <w:r>
        <w:rPr>
          <w:rFonts w:ascii="Arial" w:cs="Arial" w:eastAsia="Arial" w:hAnsi="Arial"/>
          <w:sz w:val="16"/>
          <w:szCs w:val="16"/>
          <w:i w:val="1"/>
          <w:iCs w:val="1"/>
          <w:color w:val="auto"/>
        </w:rPr>
        <w:t xml:space="preserve"> </w:t>
      </w:r>
      <w:r>
        <w:rPr>
          <w:rFonts w:ascii="Arial" w:cs="Arial" w:eastAsia="Arial" w:hAnsi="Arial"/>
          <w:sz w:val="16"/>
          <w:szCs w:val="16"/>
          <w:color w:val="auto"/>
        </w:rPr>
        <w:t>across numerous global markets through our proven, decades-long track record of successful operations. Our customers include some of the largest and most well-recognized firms in the oil and gas, chemicals, power generation and transmission and aerospace and defense industries, as well as public authorities.</w:t>
      </w:r>
    </w:p>
    <w:p>
      <w:pPr>
        <w:spacing w:after="0" w:line="7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i w:val="1"/>
          <w:iCs w:val="1"/>
          <w:color w:val="auto"/>
        </w:rPr>
        <w:t>Repository of Customer-Specific Inspection Data</w:t>
      </w:r>
      <w:r>
        <w:rPr>
          <w:rFonts w:ascii="Arial" w:cs="Arial" w:eastAsia="Arial" w:hAnsi="Arial"/>
          <w:sz w:val="18"/>
          <w:szCs w:val="18"/>
          <w:color w:val="auto"/>
        </w:rPr>
        <w:t>. Through our world-class enterprise data management and analysis software, PCMS, we have accumulated</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proprietary process data that allows us to provide our customers with value-added services, such as benchmarking, "RBI" and reliability-centered maintenance.</w:t>
      </w:r>
    </w:p>
    <w:p>
      <w:pPr>
        <w:spacing w:after="0" w:line="118"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i w:val="1"/>
          <w:iCs w:val="1"/>
          <w:color w:val="auto"/>
        </w:rPr>
        <w:t>Proprietary Products, Software and Technology Packages</w:t>
      </w:r>
      <w:r>
        <w:rPr>
          <w:rFonts w:ascii="Arial" w:cs="Arial" w:eastAsia="Arial" w:hAnsi="Arial"/>
          <w:sz w:val="16"/>
          <w:szCs w:val="16"/>
          <w:color w:val="auto"/>
        </w:rPr>
        <w:t>. Our deep knowledge base in asset protection services and equipment enables us to offer</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packages, in which our field technicians utilize our proprietary and specialized testing procedures and hardware, advanced pattern recognition, neural network software and databases to compare test results against our prior testing data or national and international structural integrity standards.</w:t>
      </w:r>
    </w:p>
    <w:p>
      <w:pPr>
        <w:spacing w:after="0" w:line="8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Deep Domain Knowledge and Extensive Industry Experience</w:t>
      </w:r>
      <w:r>
        <w:rPr>
          <w:rFonts w:ascii="Arial" w:cs="Arial" w:eastAsia="Arial" w:hAnsi="Arial"/>
          <w:sz w:val="17"/>
          <w:szCs w:val="17"/>
          <w:color w:val="auto"/>
        </w:rPr>
        <w:t>. We have extensive asset protection experience and data, dating back several decades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We have gained this through our industry leadership in developing advanced asset protection solutions, including research and development of advanced NDT technologies and applications, process engineering technologies, online plant asset integrity management with sensor fusion; and enterprise software solutions for plant-wide and fleet-wide inspection data archiving and management.</w:t>
      </w:r>
    </w:p>
    <w:p>
      <w:pPr>
        <w:spacing w:after="0" w:line="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Technological Research and Development. </w:t>
      </w:r>
      <w:r>
        <w:rPr>
          <w:rFonts w:ascii="Arial" w:cs="Arial" w:eastAsia="Arial" w:hAnsi="Arial"/>
          <w:sz w:val="18"/>
          <w:szCs w:val="18"/>
          <w:color w:val="auto"/>
        </w:rPr>
        <w:t>The NDT industry continues to move towards more advanced, automated solutions, requiring service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to find safer and more cost-efficient inspection techniques. We believe that we remain ahead of the technological curve by backing our extensive industry expertise with the investment of resources in research and development. Some of the advanced inspection technologies developed by our internal research and development teams include our Sensoria wind blade monitoring technology, an automated radiographic testing ("aRT") crawler for corrosion under insulation ("CUI") inspections in aboveground pipelines and piping; our Large Structure Inspection ("LSI") scanner, and our real-time radiography ("RTR") crawler for 360° inspections of pipeline girth welds.</w:t>
      </w:r>
    </w:p>
    <w:p>
      <w:pPr>
        <w:spacing w:after="0" w:line="125" w:lineRule="exact"/>
        <w:rPr>
          <w:sz w:val="20"/>
          <w:szCs w:val="20"/>
          <w:color w:val="auto"/>
        </w:rPr>
      </w:pPr>
    </w:p>
    <w:p>
      <w:pPr>
        <w:ind w:right="60"/>
        <w:spacing w:after="0" w:line="336" w:lineRule="auto"/>
        <w:rPr>
          <w:sz w:val="20"/>
          <w:szCs w:val="20"/>
          <w:color w:val="auto"/>
        </w:rPr>
      </w:pPr>
      <w:r>
        <w:rPr>
          <w:rFonts w:ascii="Arial" w:cs="Arial" w:eastAsia="Arial" w:hAnsi="Arial"/>
          <w:sz w:val="16"/>
          <w:szCs w:val="16"/>
          <w:i w:val="1"/>
          <w:iCs w:val="1"/>
          <w:color w:val="auto"/>
        </w:rPr>
        <w:t>Collaborating with Our Customers</w:t>
      </w:r>
      <w:r>
        <w:rPr>
          <w:rFonts w:ascii="Arial" w:cs="Arial" w:eastAsia="Arial" w:hAnsi="Arial"/>
          <w:sz w:val="16"/>
          <w:szCs w:val="16"/>
          <w:color w:val="auto"/>
        </w:rPr>
        <w:t>. We have historically expanded our asset protection solution portfolio in response to our customers’ unique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specifications. Our technology packages have often been developed in close cooperation and partnership with key customers and industry organizations.</w:t>
      </w:r>
    </w:p>
    <w:p>
      <w:pPr>
        <w:spacing w:after="0" w:line="6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Our management team has a track record of asset protection organizational leadership. These individuals also have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successfully driven operational growth organically and through acquisitions, which we believe is important to facilitate future growth in the asset protection industry.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Our growth strategy emphasizes the following key elements:</w:t>
      </w:r>
    </w:p>
    <w:p>
      <w:pPr>
        <w:spacing w:after="0" w:line="14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 xml:space="preserve">Continue to Digitalize Asset Protection Data and Processes. </w:t>
      </w:r>
      <w:r>
        <w:rPr>
          <w:rFonts w:ascii="Arial" w:cs="Arial" w:eastAsia="Arial" w:hAnsi="Arial"/>
          <w:sz w:val="18"/>
          <w:szCs w:val="18"/>
          <w:color w:val="auto"/>
        </w:rPr>
        <w:t>We place a data-centric focus on asset protection, enabling our customers to ease some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biggest areas of concern (particularly the timely and accurate transfer of asset integrity data from the field to their IDMS, as well as the data’s visibility and accessibility once uploaded). We expect that the demand for big data intelligence and remote data visibility will continue to grow, and are investing in data solutions that help our customers visualize and generate actionable insight from their asset integrity data, regardless of data input. We are also actively seeking to optimize our customers’ asset protection workflows and processes, by creating digital paths between data applications to increase data visibility and reduce manual data entry and human error.</w:t>
      </w:r>
    </w:p>
    <w:p>
      <w:pPr>
        <w:spacing w:after="0" w:line="219" w:lineRule="exact"/>
        <w:rPr>
          <w:sz w:val="20"/>
          <w:szCs w:val="20"/>
          <w:color w:val="auto"/>
        </w:rPr>
      </w:pPr>
    </w:p>
    <w:p>
      <w:pPr>
        <w:jc w:val="both"/>
        <w:ind w:right="180"/>
        <w:spacing w:after="0" w:line="282" w:lineRule="auto"/>
        <w:rPr>
          <w:sz w:val="20"/>
          <w:szCs w:val="20"/>
          <w:color w:val="auto"/>
        </w:rPr>
      </w:pPr>
      <w:r>
        <w:rPr>
          <w:rFonts w:ascii="Arial" w:cs="Arial" w:eastAsia="Arial" w:hAnsi="Arial"/>
          <w:sz w:val="17"/>
          <w:szCs w:val="17"/>
          <w:color w:val="auto"/>
        </w:rPr>
        <w:t>We have continued providing our customers with innovative asset protection software ecosystem through our MISTRAS OneSuite platform. The software platform offers functions of our popular software and services brands as integrated apps on a cloud environment. OneSuite serves as a single access portal for customers' data activities and provides access to 90 plus integrated applications being offered on one centralized platform.</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Expand Our Focus in the Aerospace and Defense Industries</w:t>
      </w:r>
      <w:r>
        <w:rPr>
          <w:rFonts w:ascii="Arial" w:cs="Arial" w:eastAsia="Arial" w:hAnsi="Arial"/>
          <w:sz w:val="18"/>
          <w:szCs w:val="18"/>
          <w:color w:val="auto"/>
        </w:rPr>
        <w:t>. We believe that the introduction of next-generation airframes and aircraft engines has created</w:t>
      </w:r>
      <w:r>
        <w:rPr>
          <w:rFonts w:ascii="Arial" w:cs="Arial" w:eastAsia="Arial" w:hAnsi="Arial"/>
          <w:sz w:val="18"/>
          <w:szCs w:val="18"/>
          <w:i w:val="1"/>
          <w:iCs w:val="1"/>
          <w:color w:val="auto"/>
        </w:rPr>
        <w:t xml:space="preserve"> </w:t>
      </w:r>
      <w:r>
        <w:rPr>
          <w:rFonts w:ascii="Arial" w:cs="Arial" w:eastAsia="Arial" w:hAnsi="Arial"/>
          <w:sz w:val="18"/>
          <w:szCs w:val="18"/>
          <w:color w:val="auto"/>
        </w:rPr>
        <w:t>an inherent demand for inspection, testing, machining and mechanical services required for the production of parts. The recent interest in the use of additive manufacturing techniques to create components also necessitates advanced inspection and testing solutions. We consummated two acquisitions of aerospace inspection companies in 2017, enhancing our capabilities and focus on providing solutions to our customers in the aerospace and defense industries throughout their manufacturing value chains in this growing area.</w:t>
      </w:r>
    </w:p>
    <w:p>
      <w:pPr>
        <w:spacing w:after="0" w:line="1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Expand Our Focus in the Pipeline Integrity Industry. </w:t>
      </w:r>
      <w:r>
        <w:rPr>
          <w:rFonts w:ascii="Arial" w:cs="Arial" w:eastAsia="Arial" w:hAnsi="Arial"/>
          <w:sz w:val="16"/>
          <w:szCs w:val="16"/>
          <w:color w:val="auto"/>
        </w:rPr>
        <w:t>We intend to continue broadening our solutions for the pipeline market. Recent industry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significantly expanded pipeline integrity management regulations, requiring pipeline owner/operators to inspect, document, and assess the risk of operating conditions for existing lines. This provides us with the opportunity to provide asset protection solutions for both the new construction and integrity phases. In 2019, we acquired a company that provides pipeline integrity management software and services to energy transportation companies. We acquired an inline inspection provider in 2018 and have implemented our PCMS software for several pipeline operators to support their integrity data management.</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Expanding our Mechanical Services Portfolio. </w:t>
      </w:r>
      <w:r>
        <w:rPr>
          <w:rFonts w:ascii="Arial" w:cs="Arial" w:eastAsia="Arial" w:hAnsi="Arial"/>
          <w:sz w:val="18"/>
          <w:szCs w:val="18"/>
          <w:color w:val="auto"/>
        </w:rPr>
        <w:t>We believe that performing mechanical services to complement inspections, such as removing and reapplying</w:t>
      </w:r>
      <w:r>
        <w:rPr>
          <w:rFonts w:ascii="Arial" w:cs="Arial" w:eastAsia="Arial" w:hAnsi="Arial"/>
          <w:sz w:val="18"/>
          <w:szCs w:val="18"/>
          <w:i w:val="1"/>
          <w:iCs w:val="1"/>
          <w:color w:val="auto"/>
        </w:rPr>
        <w:t xml:space="preserve"> </w:t>
      </w:r>
      <w:r>
        <w:rPr>
          <w:rFonts w:ascii="Arial" w:cs="Arial" w:eastAsia="Arial" w:hAnsi="Arial"/>
          <w:sz w:val="18"/>
          <w:szCs w:val="18"/>
          <w:color w:val="auto"/>
        </w:rPr>
        <w:t>insulation or preparing surfaces for coating or painting, is an important market differentiator for us. This is particularly true, for example, when considering the cost-efficiencies our customers realize when our rope access technicians perform these services at height without the use of scaffolding. Many of our customers already require these services, but utilize multiple vendors to do so, creating an opportunity for us to provide greater value to a customer base that increasingly requires enhanced speed and efficiency.</w:t>
      </w:r>
    </w:p>
    <w:p>
      <w:pPr>
        <w:spacing w:after="0" w:line="1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Continue to Develop Technology-Enabled and Digital Asset Protection Solutions</w:t>
      </w:r>
      <w:r>
        <w:rPr>
          <w:rFonts w:ascii="Arial" w:cs="Arial" w:eastAsia="Arial" w:hAnsi="Arial"/>
          <w:sz w:val="17"/>
          <w:szCs w:val="17"/>
          <w:color w:val="auto"/>
        </w:rPr>
        <w:t>. We intend to maintain and enhance our technological leadership by</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to invest in developing new technology, applications and data services. The release of our OneSuite ecosystem underscores our dedication to continue deepening synergies between our solutions to provide our customers with uniquely-integrated offerings, which we believe makes us a more attractive vendor for customers seeking to centralize their asset protection. We have actively continued to develop technologies that enhance the flow of data throughout multiple operational phases and facilities, through solutions such as MISTRAS Digital, our integrated pipeline integrity data portfolio, and our cloud-based monitoring data portal, and Sensoria, our wind blade monitoring technology.</w:t>
      </w:r>
    </w:p>
    <w:p>
      <w:pPr>
        <w:spacing w:after="0" w:line="11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i w:val="1"/>
          <w:iCs w:val="1"/>
          <w:color w:val="auto"/>
        </w:rPr>
        <w:t>Expand our Solution Offerings to Existing Customers</w:t>
      </w:r>
      <w:r>
        <w:rPr>
          <w:rFonts w:ascii="Arial" w:cs="Arial" w:eastAsia="Arial" w:hAnsi="Arial"/>
          <w:sz w:val="18"/>
          <w:szCs w:val="18"/>
          <w:color w:val="auto"/>
        </w:rPr>
        <w:t>. We believe that branching into adjacent, complementary services, such as mechanical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our value proposition and our ability to capture additional business. Many of our customers are multinational corporations with asset protection requirements at multiple locations. We believe that expanding our solution offerings and merging and visualizing data across facilities for enterprise data analysis, combined with the trend of customers outsourcing asset protection to service providers with integrated offerings, provides opportunities for significant additional recurring revenues.</w:t>
      </w:r>
    </w:p>
    <w:p>
      <w:pPr>
        <w:spacing w:after="0" w:line="2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Continue to Expand Our Customer Base into New End Markets</w:t>
      </w:r>
      <w:r>
        <w:rPr>
          <w:rFonts w:ascii="Arial" w:cs="Arial" w:eastAsia="Arial" w:hAnsi="Arial"/>
          <w:sz w:val="18"/>
          <w:szCs w:val="18"/>
          <w:color w:val="auto"/>
        </w:rPr>
        <w:t>. We believe we have significant opportunities to expand our customer base in relatively new</w:t>
      </w:r>
      <w:r>
        <w:rPr>
          <w:rFonts w:ascii="Arial" w:cs="Arial" w:eastAsia="Arial" w:hAnsi="Arial"/>
          <w:sz w:val="18"/>
          <w:szCs w:val="18"/>
          <w:i w:val="1"/>
          <w:iCs w:val="1"/>
          <w:color w:val="auto"/>
        </w:rPr>
        <w:t xml:space="preserve"> </w:t>
      </w:r>
      <w:r>
        <w:rPr>
          <w:rFonts w:ascii="Arial" w:cs="Arial" w:eastAsia="Arial" w:hAnsi="Arial"/>
          <w:sz w:val="18"/>
          <w:szCs w:val="18"/>
          <w:color w:val="auto"/>
        </w:rPr>
        <w:t>end markets, including wind and other alternative energy, natural gas transportation industries pipeline integrity and additive manufacturing. We believe that the development of our Sensoria tool, which allows our customers to maximize uptime, performance and safety of wind turbine blades, provides additional growth and expansion of our capabilities to serve both new and existing wind turbines and greatly enhances our product offerings within the renewable energy industry. The expansion of our addressable markets is being driven by the increased recognition and adoption of advanced asset protection technologies that are supplanting traditional methods.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Capitalize on Acquisitions</w:t>
      </w:r>
      <w:r>
        <w:rPr>
          <w:rFonts w:ascii="Arial" w:cs="Arial" w:eastAsia="Arial" w:hAnsi="Arial"/>
          <w:sz w:val="18"/>
          <w:szCs w:val="18"/>
          <w:color w:val="auto"/>
        </w:rPr>
        <w:t>. We have completed several acquisitions to supplement and enhance our solutions, add new customers, expand our sales channels</w:t>
      </w:r>
      <w:r>
        <w:rPr>
          <w:rFonts w:ascii="Arial" w:cs="Arial" w:eastAsia="Arial" w:hAnsi="Arial"/>
          <w:sz w:val="18"/>
          <w:szCs w:val="18"/>
          <w:i w:val="1"/>
          <w:iCs w:val="1"/>
          <w:color w:val="auto"/>
        </w:rPr>
        <w:t xml:space="preserve"> </w:t>
      </w:r>
      <w:r>
        <w:rPr>
          <w:rFonts w:ascii="Arial" w:cs="Arial" w:eastAsia="Arial" w:hAnsi="Arial"/>
          <w:sz w:val="18"/>
          <w:szCs w:val="18"/>
          <w:color w:val="auto"/>
        </w:rPr>
        <w:t>and accelerate our expected growth. Due to our current debt levels and restrictions related to the debt covenants in our credit facility, we do not expect to make any acquisitions in 2023 other than small acquisitions with the banks’ approval. However, once we reduce our debt, we expect to make selective acquisitions beyond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We have three operating segments: (i) Services, (ii) International and (iii) Products and Systems:</w:t>
      </w:r>
    </w:p>
    <w:p>
      <w:pPr>
        <w:spacing w:after="0" w:line="14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provides asset protection solutions in North America, with the largest concentration in the United States, followed by Canada, consisting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of NDT, inspection, mechanical and engineering services that are used to evaluate the structural integrity and reliability of critical energy, industrial and</w:t>
      </w:r>
    </w:p>
    <w:p>
      <w:pPr>
        <w:spacing w:after="0" w:line="314" w:lineRule="auto"/>
        <w:rPr>
          <w:sz w:val="20"/>
          <w:szCs w:val="20"/>
          <w:color w:val="auto"/>
        </w:rPr>
      </w:pPr>
      <w:r>
        <w:rPr>
          <w:rFonts w:ascii="Arial" w:cs="Arial" w:eastAsia="Arial" w:hAnsi="Arial"/>
          <w:sz w:val="16"/>
          <w:szCs w:val="16"/>
          <w:color w:val="auto"/>
        </w:rPr>
        <w:t>public infrastructure and commercial aerospace components. This segment includes data services revenue derived from the selling of licenses and analyzing and synthesizing customer data through our OneSuite platform, field operations revenue derived from work performed in the field at customer locations, and</w:t>
      </w:r>
    </w:p>
    <w:p>
      <w:pPr>
        <w:spacing w:after="0" w:line="1" w:lineRule="exact"/>
        <w:rPr>
          <w:sz w:val="20"/>
          <w:szCs w:val="20"/>
          <w:color w:val="auto"/>
        </w:rPr>
      </w:pPr>
    </w:p>
    <w:p>
      <w:pPr>
        <w:ind w:right="340"/>
        <w:spacing w:after="0" w:line="272" w:lineRule="auto"/>
        <w:rPr>
          <w:sz w:val="20"/>
          <w:szCs w:val="20"/>
          <w:color w:val="auto"/>
        </w:rPr>
      </w:pPr>
      <w:r>
        <w:rPr>
          <w:rFonts w:ascii="Arial" w:cs="Arial" w:eastAsia="Arial" w:hAnsi="Arial"/>
          <w:sz w:val="18"/>
          <w:szCs w:val="18"/>
          <w:color w:val="auto"/>
        </w:rPr>
        <w:t>shop revenue derived from operations designing, building, and customizing products in our laboratories for our customers. PCMS software and pipeline related software and data analysis solutions are included in this segment.</w:t>
      </w:r>
    </w:p>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offers services, products and systems similar to those of the other segments to select markets within Europe, the Middle East, Africa, Asia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 America, but not to customers in China and South Korea, which are served by the Products and Systems segment. This segment includes data services revenue derived from the selling of licenses and analyzing and synthesizing customer data through our OneSuite platform, field operations revenue derived from work performed in the field at customer locations, and shop revenue derived from operations designing, building and customizing products in our laboratories for our customers.</w:t>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our asset protection products and systems, including equipment and instrumentation,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predominantly in the United States.</w:t>
      </w:r>
    </w:p>
    <w:p>
      <w:pPr>
        <w:spacing w:after="0" w:line="201" w:lineRule="exact"/>
        <w:rPr>
          <w:sz w:val="20"/>
          <w:szCs w:val="20"/>
          <w:color w:val="auto"/>
        </w:rPr>
      </w:pPr>
    </w:p>
    <w:p>
      <w:pPr>
        <w:jc w:val="both"/>
        <w:ind w:right="320"/>
        <w:spacing w:after="0" w:line="282" w:lineRule="auto"/>
        <w:rPr>
          <w:sz w:val="20"/>
          <w:szCs w:val="20"/>
          <w:color w:val="auto"/>
        </w:rPr>
      </w:pPr>
      <w:r>
        <w:rPr>
          <w:rFonts w:ascii="Arial" w:cs="Arial" w:eastAsia="Arial" w:hAnsi="Arial"/>
          <w:sz w:val="17"/>
          <w:szCs w:val="17"/>
          <w:color w:val="auto"/>
        </w:rPr>
        <w:t xml:space="preserve">For a discussion of segment revenues, operating results and other financial information, including geographic areas in which we generated revenues, see “Management’s Discussion and Analysis of Financial Condition and Results of Operations” in Item 7, as well as Note </w:t>
      </w:r>
      <w:r>
        <w:rPr>
          <w:rFonts w:ascii="Arial" w:cs="Arial" w:eastAsia="Arial" w:hAnsi="Arial"/>
          <w:sz w:val="17"/>
          <w:szCs w:val="17"/>
          <w:i w:val="1"/>
          <w:iCs w:val="1"/>
          <w:color w:val="auto"/>
        </w:rPr>
        <w:t>2-Revenue</w:t>
      </w:r>
      <w:r>
        <w:rPr>
          <w:rFonts w:ascii="Arial" w:cs="Arial" w:eastAsia="Arial" w:hAnsi="Arial"/>
          <w:sz w:val="17"/>
          <w:szCs w:val="17"/>
          <w:color w:val="auto"/>
        </w:rPr>
        <w:t xml:space="preserve"> and Note </w:t>
      </w:r>
      <w:r>
        <w:rPr>
          <w:rFonts w:ascii="Arial" w:cs="Arial" w:eastAsia="Arial" w:hAnsi="Arial"/>
          <w:sz w:val="17"/>
          <w:szCs w:val="17"/>
          <w:i w:val="1"/>
          <w:iCs w:val="1"/>
          <w:color w:val="auto"/>
        </w:rPr>
        <w:t>19-Segment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w:t>
      </w:r>
      <w:r>
        <w:rPr>
          <w:rFonts w:ascii="Arial" w:cs="Arial" w:eastAsia="Arial" w:hAnsi="Arial"/>
          <w:sz w:val="17"/>
          <w:szCs w:val="17"/>
          <w:color w:val="auto"/>
        </w:rPr>
        <w:t>in the notes to our audited consolidated financial statements in Item 8 of this Annual Report.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operate in a highly competitive, but fragmented market. Domestically, the market is serviced by several national competitors and many regional and/or local companies. Internationally, our primary competitors are divisions of large companies, with additional competition from small independent local companies which may be limited to a specific product, service or technology and focused on a niche market or geographic region. We focus our strategic sales, marketing and product development efforts on a range of infrastructure-intensive based industries and governmental authorities. We view energy-related infrastructure and commercial aerospace as our largest market opportunities. We perform inspection and mechanical services for customers in both industries.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There are a number of economic factors which drive the aerospace market, including:</w:t>
      </w:r>
    </w:p>
    <w:p>
      <w:pPr>
        <w:spacing w:after="0" w:line="48" w:lineRule="exact"/>
        <w:rPr>
          <w:sz w:val="20"/>
          <w:szCs w:val="20"/>
          <w:color w:val="auto"/>
        </w:rPr>
      </w:pPr>
    </w:p>
    <w:p>
      <w:pPr>
        <w:ind w:left="660" w:right="500" w:hanging="331"/>
        <w:spacing w:after="0" w:line="236" w:lineRule="auto"/>
        <w:tabs>
          <w:tab w:leader="none" w:pos="655" w:val="left"/>
        </w:tabs>
        <w:numPr>
          <w:ilvl w:val="0"/>
          <w:numId w:val="10"/>
        </w:numPr>
        <w:rPr>
          <w:rFonts w:ascii="Arial" w:cs="Arial" w:eastAsia="Arial" w:hAnsi="Arial"/>
          <w:sz w:val="21"/>
          <w:szCs w:val="21"/>
          <w:color w:val="auto"/>
        </w:rPr>
      </w:pPr>
      <w:r>
        <w:rPr>
          <w:rFonts w:ascii="Arial" w:cs="Arial" w:eastAsia="Arial" w:hAnsi="Arial"/>
          <w:sz w:val="18"/>
          <w:szCs w:val="18"/>
          <w:color w:val="auto"/>
        </w:rPr>
        <w:t>The multi-year backlog for next generation commercial aircraft to be built, including several large and mid-sized aircraft built by Boeing and Airbus, among other manufacturers; and</w:t>
      </w:r>
    </w:p>
    <w:p>
      <w:pPr>
        <w:spacing w:after="0" w:line="28" w:lineRule="exact"/>
        <w:rPr>
          <w:rFonts w:ascii="Arial" w:cs="Arial" w:eastAsia="Arial" w:hAnsi="Arial"/>
          <w:sz w:val="21"/>
          <w:szCs w:val="21"/>
          <w:color w:val="auto"/>
        </w:rPr>
      </w:pPr>
    </w:p>
    <w:p>
      <w:pPr>
        <w:ind w:left="660" w:right="640" w:hanging="331"/>
        <w:spacing w:after="0" w:line="236" w:lineRule="auto"/>
        <w:tabs>
          <w:tab w:leader="none" w:pos="655" w:val="left"/>
        </w:tabs>
        <w:numPr>
          <w:ilvl w:val="0"/>
          <w:numId w:val="10"/>
        </w:numPr>
        <w:rPr>
          <w:rFonts w:ascii="Arial" w:cs="Arial" w:eastAsia="Arial" w:hAnsi="Arial"/>
          <w:sz w:val="21"/>
          <w:szCs w:val="21"/>
          <w:color w:val="auto"/>
        </w:rPr>
      </w:pPr>
      <w:r>
        <w:rPr>
          <w:rFonts w:ascii="Arial" w:cs="Arial" w:eastAsia="Arial" w:hAnsi="Arial"/>
          <w:sz w:val="18"/>
          <w:szCs w:val="18"/>
          <w:color w:val="auto"/>
        </w:rPr>
        <w:t>The continuing regulatory scrutiny to ensure public safety serves to ensure the continued need for inspection and mechanical services to be performed.</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energy market, there are various economic indicators that drive our business, especially in the U.S. domestic markets. It is unclear what the short and long term effects of the war between Russia and Ukraine is likely to have on the world economy and certain of our target markets, including particularly the oil and gas market. Excerpted below are forecasts from various Energy Information Administration (EIA) outlook reports, which are subject to change based on these factors:</w:t>
      </w:r>
    </w:p>
    <w:p>
      <w:pPr>
        <w:spacing w:after="0" w:line="216" w:lineRule="exact"/>
        <w:rPr>
          <w:sz w:val="20"/>
          <w:szCs w:val="20"/>
          <w:color w:val="auto"/>
        </w:rPr>
      </w:pPr>
    </w:p>
    <w:p>
      <w:pPr>
        <w:ind w:right="520"/>
        <w:spacing w:after="0" w:line="272" w:lineRule="auto"/>
        <w:rPr>
          <w:sz w:val="20"/>
          <w:szCs w:val="20"/>
          <w:color w:val="auto"/>
        </w:rPr>
      </w:pPr>
      <w:r>
        <w:rPr>
          <w:rFonts w:ascii="Arial" w:cs="Arial" w:eastAsia="Arial" w:hAnsi="Arial"/>
          <w:sz w:val="18"/>
          <w:szCs w:val="18"/>
          <w:color w:val="auto"/>
        </w:rPr>
        <w:t>Electricity generation from coal is projected to fall throughout the mid 2020's and the decrease will be partially offset by an increase in the forecast of combined utility-scale solar and wind generation.</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400"/>
        <w:spacing w:after="0" w:line="302" w:lineRule="auto"/>
        <w:rPr>
          <w:sz w:val="20"/>
          <w:szCs w:val="20"/>
          <w:color w:val="auto"/>
        </w:rPr>
      </w:pPr>
      <w:r>
        <w:rPr>
          <w:rFonts w:ascii="Arial" w:cs="Arial" w:eastAsia="Arial" w:hAnsi="Arial"/>
          <w:sz w:val="17"/>
          <w:szCs w:val="17"/>
          <w:color w:val="auto"/>
        </w:rPr>
        <w:t>The EIA noted U.S. crude oil production averaged 11.2 million barrels per day (bpd) in 2021 and rose to an average 11.9 million bpd in 2022. The EIA forecasts production to continue to increase to an average 12.4 million bpd in 2023 and further increase to 12.8 million bpd in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Target Market</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charts represent our revenue by target market for the years ended December 31, 2022, 2021 and 2020. The petrochemical market was previously consolidated within the oil and gas target market for the year ended December 31, 2020. We have separately broken out this information beginning with the year ended December 31, 2020, as we have continued to provide services and products to this market, and continue to expect increases in future periods. For comparability purposes, Petrochemical comprised 3% of total revenues for the year ended December 31, 2020, which was included within the oil and gas target market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681855" cy="6017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81855" cy="6017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362585</wp:posOffset>
            </wp:positionV>
            <wp:extent cx="4681855" cy="2979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81855" cy="297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w:t>
      </w:r>
    </w:p>
    <w:p>
      <w:pPr>
        <w:spacing w:after="0" w:line="146"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supply oil and gas asset protection solutions to downstream (refining), midstream (transportation and storage) and upstream (exploration and production) operations.</w:t>
      </w:r>
    </w:p>
    <w:p>
      <w:pPr>
        <w:spacing w:after="0" w:line="10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use our vast solutions portfolio to help identify current and future asset performance, and actively prevent, mitigate or otherwise address potential issues, including corrosion, cracking, leaking and other damages that may lead to safety, productivity or environmental concerns. Our solutions help identify conditions that if not remedied, could lead to potential catastrophic failures in tanks, vessels, valves, buried and above ground pipelines, pumps, motors, compressors and other critical assets found throughout the oil and gas production and delivery supply chain.</w:t>
      </w:r>
    </w:p>
    <w:p>
      <w:pPr>
        <w:spacing w:after="0" w:line="10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actively seek to evolve our solutions through technological enhancements and research and development to discover new applications. Online monitoring and permanently-mounted sensors, as well as the use of drones and other alternative delivery devices, are all being considered as oil and gas infrastructure owners look to “smart” technologies that reduce human intervention while delivering highly-accurate inspection and integrity data. We also have actively sought to further enhance our integrated approach to asset protection, through the development of our complementary mechanical service portfolio.</w:t>
      </w:r>
    </w:p>
    <w:p>
      <w:pPr>
        <w:spacing w:after="0" w:line="11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general, the oil and gas market is poised to leverage digital solutions to facilitate process improvements as well as increase plant reliability and improve process and personnel safety. This provides an opportunity for us to synergistically leverage our digital asset protection solutions, including MISTRAS Digital and OneSuite. Digital transmission of data in various industry sectors, with built-in analytic functions, will allow our customers to better leverage inspection data that is being generated in the field.</w:t>
      </w:r>
    </w:p>
    <w:p>
      <w:pPr>
        <w:spacing w:after="0" w:line="122" w:lineRule="exact"/>
        <w:rPr>
          <w:sz w:val="20"/>
          <w:szCs w:val="20"/>
          <w:color w:val="auto"/>
        </w:rPr>
      </w:pPr>
    </w:p>
    <w:p>
      <w:pPr>
        <w:jc w:val="both"/>
        <w:ind w:right="140"/>
        <w:spacing w:after="0" w:line="260" w:lineRule="auto"/>
        <w:rPr>
          <w:sz w:val="20"/>
          <w:szCs w:val="20"/>
          <w:color w:val="auto"/>
        </w:rPr>
      </w:pPr>
      <w:r>
        <w:rPr>
          <w:rFonts w:ascii="Arial" w:cs="Arial" w:eastAsia="Arial" w:hAnsi="Arial"/>
          <w:sz w:val="18"/>
          <w:szCs w:val="18"/>
          <w:color w:val="auto"/>
        </w:rPr>
        <w:t>While we expect off-stream inspection of critical assets to remain a routine practice, we anticipate an increase in the demand for non-invasive or on-stream inspections. Non-invasive inspections enable companies to minimize the costs associated with shutting down equipment during testing, while enabling the economic and safety advantages of advanced planning and/or predictive maintenance.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and Defense</w:t>
      </w:r>
    </w:p>
    <w:p>
      <w:pPr>
        <w:spacing w:after="0" w:line="15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aerospace industry continued to rebound from COVID-19 throughout 2022 with backlog and production levels approaching and exceeding pre-pandemic levels for certain OEMs for the first time since the pandemic. We serve this rapidly-growing target market by providing a full range of inspection, testing, machining, mechanical, finishing, additive manufacturing and equipment solutions, for which we are Nadcap certified. Our state-of-the-art in-house labratories maintain numerous accreditations from industry organizations, including Nadcap, and some of the largest manufacturers in the world, such as Boeing, Safran, Airbus, Bombardier and Embraer.</w:t>
      </w:r>
    </w:p>
    <w:p>
      <w:pPr>
        <w:spacing w:after="0" w:line="11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Advanced composite materials found in new classes of aircraft require advanced asset protection solutions, including x-ray of critical engine components, ultrasonic fatigue testing of complete aircraft structures and corrosion detection and other critical components. Many OEMs are shifting towards condition-based maintenance utilizing embedded monitoring sensors to track component structural and operational integrity over time as opposed to performing maintenance on time-based intervals. We expect demand for our solutions to increase with the adoption of these new-age materials and distributed online sensor networks. We also expect demand for asset protection solutions to increase with the continued adoption of additive manufacturing techniques.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Industrials</w:t>
      </w:r>
    </w:p>
    <w:p>
      <w:pPr>
        <w:spacing w:after="0" w:line="15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quality control requirements driven by the need for zero-to-low-defect component tolerance within automated, robotic-intensive industries such as automotive, consumer electronics and medical industries serve as key drivers for increased demand in asset protection, particularly for in-house inspection and testing. We expect that increasingly stringent quality-control requirements and competitive forces will drive the demand for more-costly finishing and polishing which, in turn, creates opportunities for integrated partnerships between us and our customers throughout the production lifecycle.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Generation and Transmission</w:t>
      </w:r>
    </w:p>
    <w:p>
      <w:pPr>
        <w:spacing w:after="0" w:line="159"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We provide asset protection solutions for customers in the combined cycle, fossil, nuclear, transmission and distribution and wind/alternative energy industries. We believe that in recent years, acceptance of asset protection solutions has grown in this industry due to the aging of critical power generation and transmission infrastructure.</w:t>
      </w:r>
    </w:p>
    <w:p>
      <w:pPr>
        <w:spacing w:after="0" w:line="11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fourth quarter of 2021, we received a U.S. patent for the technology behind Sensoria, our innovative 24/7/365 rotor blade monitoring system and sensors that enable blade integrity management for wind turbine owners and operators. Sensoria is a remote rotor blade monitor that detects and reports damages in real-time, including cracks, lightning strikes, skin ruptures and perforations, delaminations, and more. By sending immediate damage alerts to operators, Sensoria enables them to maximize blade uptime and generating capacity while preventing damages from worsening. This tool provides additional growth and expansion of our capabilities to serve both new and existing wind turbines and greatly enhances our product offerings within the renewable energy industry.</w:t>
      </w:r>
    </w:p>
    <w:p>
      <w:pPr>
        <w:spacing w:after="0" w:line="21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growing availability of cheap natural gas, along with environmental concerns with coal, has stimulated the construction of new natural gas-fired power plants across North America, creating opportunities for us to provide specialized solutions in multiple phases. These include facility design consultations, NDT services during construction and plant operations and long-term condition monitoring. We anticipate sharp growth in these types of plants as natural gas pricing remains low, and the environmental impacts of coal remain unattractive to the public.</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also offer solutions for inspection, maintenance, monitoring and data services for wind turbines and their components. These include NDT services — often performed through rope and/or drone access — to identify corrosion, cracking, and other defects that can affect the safety and operational effectiveness of wind turbines, along with remedial solutions to repair minor damages identified during inspections.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Process Industries</w:t>
      </w:r>
    </w:p>
    <w:p>
      <w:pPr>
        <w:spacing w:after="0" w:line="14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Our asset protection solutions are crucial for process industries, or industries in which raw materials are treated or prepared in a series of stages, including chemicals, pharmaceuticals, food processing, pulp and paper and metals and mining. As the process facilities are increasingly facing aging infrastructure, high utilization, growing capacity constraints and increasing capital costs, we believe asset protection solutions will continue to grow in importance in maintenance planning, quality and cost control and prevention of catastrophic failure.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Research and Engineering</w:t>
      </w:r>
    </w:p>
    <w:p>
      <w:pPr>
        <w:spacing w:after="0" w:line="159"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We believe that high-profile infrastructure catastrophes have caused public authorities to more actively seek ways to prevent similar events from occurring. Public authorities tasked with new construction and maintenance of existing public infrastructure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increasingly use asset protection solutions to inspect these assets, including the use of embedded sensors to enable online monitoring throughout the life of the asset.</w:t>
      </w:r>
    </w:p>
    <w:p>
      <w:pPr>
        <w:spacing w:after="0" w:line="107" w:lineRule="exact"/>
        <w:rPr>
          <w:sz w:val="20"/>
          <w:szCs w:val="20"/>
          <w:color w:val="auto"/>
        </w:rPr>
      </w:pPr>
    </w:p>
    <w:p>
      <w:pPr>
        <w:jc w:val="both"/>
        <w:ind w:right="240"/>
        <w:spacing w:after="0" w:line="307" w:lineRule="auto"/>
        <w:rPr>
          <w:sz w:val="20"/>
          <w:szCs w:val="20"/>
          <w:color w:val="auto"/>
        </w:rPr>
      </w:pPr>
      <w:r>
        <w:rPr>
          <w:rFonts w:ascii="Arial" w:cs="Arial" w:eastAsia="Arial" w:hAnsi="Arial"/>
          <w:sz w:val="16"/>
          <w:szCs w:val="16"/>
          <w:color w:val="auto"/>
        </w:rPr>
        <w:t>We have provided testing and structural health monitoring and data solutions on bridges and structures worldwide, including some of the largest and most well-known bridges in the United States and United Kingdom. Our sensors continuously monitor these assets, alerting owner/operators when defects are detected. Our monitoring teams also provide regular reports that include early warnings of suspect areas before an alarm is generated.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Petrochemical</w:t>
      </w:r>
    </w:p>
    <w:p>
      <w:pPr>
        <w:spacing w:after="0" w:line="15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provide asset protection NDT services for customers within the petrochemical industry, as they transform byproducts into goods which are utilized in many end products such as plastics, soaps, fertilizers, synthetic fibers and rubber. Our solutions help identify conditions that if not remedied, could lead to potential catastrophic failures in tanks, vessels, valves, buried and above ground pipelines, pumps, motors, compressors and other critical assets found throughout the petrochemical production process.</w:t>
      </w:r>
    </w:p>
    <w:p>
      <w:pPr>
        <w:spacing w:after="0" w:line="12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actively seek to evolve our solutions through technological enhancements and R&amp;D to discover new applications. Online monitoring and permanently-mounted sensors provide real-time data to petrochemical owners and operators and provide an opportunity for us to synergistically leverage our asset protection solutions into our MISTRAS Digital platform, OneSuite. Digital transmission of data in various industry sectors, with built-in analytic functions, will allow our customers to better leverage inspection data that is being generated in the field. We also have actively sought to further enhance our integrated approach to asset protection, through the development of our complementary mechanical service portfolio.</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6"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We provide our asset protection solutions to a global customer base of diverse companies primarily in our target markets. No customer represented 10% or more of our revenue in any of the years ended December 31, 2022, 2021 or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We have operations in 10 countries and occasionally conduct business in a few other countries. Most of our revenues are derived from our U.S.,</w:t>
      </w:r>
    </w:p>
    <w:p>
      <w:pPr>
        <w:spacing w:after="0" w:line="3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Canadian and European operations and we do not have operations in Russia, and we do not do business in Russia, Ukraine or other areas which are impacted by the Russian invasion of Ukraine. See Note </w:t>
      </w:r>
      <w:r>
        <w:rPr>
          <w:rFonts w:ascii="Arial" w:cs="Arial" w:eastAsia="Arial" w:hAnsi="Arial"/>
          <w:sz w:val="17"/>
          <w:szCs w:val="17"/>
          <w:i w:val="1"/>
          <w:iCs w:val="1"/>
          <w:color w:val="auto"/>
        </w:rPr>
        <w:t>2-Revenue</w:t>
      </w:r>
      <w:r>
        <w:rPr>
          <w:rFonts w:ascii="Arial" w:cs="Arial" w:eastAsia="Arial" w:hAnsi="Arial"/>
          <w:sz w:val="17"/>
          <w:szCs w:val="17"/>
          <w:color w:val="auto"/>
        </w:rPr>
        <w:t xml:space="preserve"> and Note </w:t>
      </w:r>
      <w:r>
        <w:rPr>
          <w:rFonts w:ascii="Arial" w:cs="Arial" w:eastAsia="Arial" w:hAnsi="Arial"/>
          <w:sz w:val="17"/>
          <w:szCs w:val="17"/>
          <w:i w:val="1"/>
          <w:iCs w:val="1"/>
          <w:color w:val="auto"/>
        </w:rPr>
        <w:t>19-Segment Disclosure</w:t>
      </w:r>
      <w:r>
        <w:rPr>
          <w:rFonts w:ascii="Arial" w:cs="Arial" w:eastAsia="Arial" w:hAnsi="Arial"/>
          <w:sz w:val="17"/>
          <w:szCs w:val="17"/>
          <w:color w:val="auto"/>
        </w:rPr>
        <w:t xml:space="preserve"> to our audited consolidated financial statements in this Annual Report for further disclosure of our revenues, long-lived assets and other financial information regarding our international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sell our asset protection solutions through our direct sales and marketing activities worldwide. In addition, our project and laboratory managers, as well as our management, are trained on our solutions and often are the source of sales leads and customer contacts. Our direct sales and marketing teams work closely with our customers to demonstrate the benefits and capabilities of our asset protection solutions, refine our asset protection solutions based on changing market and customer needs and identify potential opportunities. We divide our sales and marketing efforts into services sales, products and systems sales and marketing and utilize marketing automation and customer relationship management ("CRM") systems to collect, manage and collaborate customer information with our teams globally. Our CRM systems also provide critical data to provide accurate forecasting and reporting.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6"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Most of our hardware products are manufactured in our Princeton Junction, New Jersey facility. This facility includes the capabilities and personnel to fully produce all of our AE products and NDT Automation Ultrasonic equipment. We also design and manufacture automated ultrasonic systems and scanners in France.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As of December 31, 2022, we had approximately 5,400 employees worldwide, of which 3,600 were located in the United States, 600 in Canada and 1,200 in our other non-U.S. locations. As described below, we value our employees and have established various programs to promote the satisfaction, health and safety of our employees. Less than 0.01% of our employees in the United States are unionized.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Our employees are key to achieving our goals and strategy. We have committed resources throughout our organization to ensure that we are attracting, developing, and retaining talented employees needed to support all aspects of our activities. Our core values and business ethics guide and direct all activities undertaken by us.</w:t>
      </w:r>
    </w:p>
    <w:p>
      <w:pPr>
        <w:spacing w:after="0" w:line="21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health and safety of our employees is paramount. We have also developed key initiatives and strategies regarding our talent and people initiatives. Below, we describe some of the key initiatives and values around health and safety. Management regularly updates our Board of Directors with regards to our safety and people strategy and how we are performing in these areas. In 2020, our Board established the Environmental, Social and Safety Committee. This Committee, which consists of independent directors, monitors and oversees the strategic direction of our initiatives in support of our core values and our environmental, social and governance initiatives.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Leadership and Employee Development</w:t>
      </w:r>
    </w:p>
    <w:p>
      <w:pPr>
        <w:spacing w:after="0" w:line="24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Employee development and engagement begins with our senior management team, which has considerable industry experience and expertise. Leveraging this experience and expertise, our senior management team is able to continuously review our organizational structure and provide opportunities for the growth and development for our employees. This process helps us develop leaders at all levels within the organization, and to engage employees with rewarding opportunities, competitive salary and benefits, to advance their careers and contribute to our success.</w:t>
      </w:r>
    </w:p>
    <w:p>
      <w:pPr>
        <w:spacing w:after="0" w:line="20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As part of our continued commitment to our employees, we have established various programs to promote lifelong learning and development opportunities for our employees. These include a mix of voluntary and mandatory training programs, which are provided in-person, virtually or on the job. We also provide employees the ability to continue to gain additional professional certifications to contribute to their career advancement. We utilize a web-based training center which is available to field technicians for career advancement and includes over 500 web-based classes. In addition, we are committed to ensuring all employees are compensated at a living wage. All local minimum wage requirements are met and where no wage laws are in place, employees are compensated competitively, in accordance with industry standards.</w:t>
      </w:r>
    </w:p>
    <w:p>
      <w:pPr>
        <w:spacing w:after="0" w:line="204" w:lineRule="exact"/>
        <w:rPr>
          <w:sz w:val="20"/>
          <w:szCs w:val="20"/>
          <w:color w:val="auto"/>
        </w:rPr>
      </w:pPr>
    </w:p>
    <w:p>
      <w:pPr>
        <w:jc w:val="both"/>
        <w:ind w:right="40"/>
        <w:spacing w:after="0" w:line="307" w:lineRule="auto"/>
        <w:rPr>
          <w:sz w:val="20"/>
          <w:szCs w:val="20"/>
          <w:color w:val="auto"/>
        </w:rPr>
      </w:pPr>
      <w:r>
        <w:rPr>
          <w:rFonts w:ascii="Arial" w:cs="Arial" w:eastAsia="Arial" w:hAnsi="Arial"/>
          <w:sz w:val="16"/>
          <w:szCs w:val="16"/>
          <w:color w:val="auto"/>
        </w:rPr>
        <w:t>We also provide leadership development using third-party leadership organizations to members of our executive management team, and we make available coaching and leadership development to all levels of management, including our General Managers who work in the field. Our human rights policy places a high priority on diversity and equal opportunity and provides our employees with management’s expectations related to human rights and labor practices.</w:t>
      </w:r>
    </w:p>
    <w:p>
      <w:pPr>
        <w:spacing w:after="0" w:line="17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Another program we instituted focuses on our connection by a common thread of caring – about one another, our customers, the environment, and the work we do. We seek to foster a culture of togetherness, safety, respect, and contribution which enables each individual member to feel that he or she is a part of something bigger. A community of caring professionals with a genuine passion for helping people and making a difference together – that is the heart of the program we call “Caring Connects.”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Safety-Conscious Culture</w:t>
      </w:r>
    </w:p>
    <w:p>
      <w:pPr>
        <w:spacing w:after="0" w:line="2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consider safety the backbone of our operations. Our asset protection solutions aim to ensure that industrial assets and facilities remain in safe, reliable working condition, which in turn enhances safety for our clients, the public, and the environment. Our labratory and field personnel are trained to operate according to strict safety and quality standards so that our processes and procedures regarding hazardous materials, worker safety, and accident prevention are sound and effective. Further to this, we are constantly evaluating these processes and procedures to ensure that they remain of high quality and are effective, and consider changes in the manner in which work is performed or lessons that have been learned from any sources, such as industry data. We work to help ensure that our clients are in full compliance with all federal, state, and local regulations. Our practices, policies and procedures are designed to help ensure we perform our duties through the use of safe, industry-best practices, seeking to minimize risk wherever possible.</w:t>
      </w:r>
    </w:p>
    <w:p>
      <w:pPr>
        <w:spacing w:after="0" w:line="19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emphasize a “MISTRAS’ safety-conscious” culture with the intent that it becomes embedded in the day-to-day work of all our employees. We use various training tools and other practices to instill attitudes, beliefs, perceptions, and values that all employees share in the mandate to create and maintain a safe work environment for all.</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continuously monitor our safety performance through analysis of our company-wide safety statistics, which help us to determine behavioral trends while also instilling a culture of proactivity. For the year ended December 31, 2022, our Total Recordable Incident Rate was 0.41 while Days Away, Restricted and Transferred Rate was 0.15 and Lost Work Day Rate</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640"/>
        <w:spacing w:after="0" w:line="272" w:lineRule="auto"/>
        <w:rPr>
          <w:sz w:val="20"/>
          <w:szCs w:val="20"/>
          <w:color w:val="auto"/>
        </w:rPr>
      </w:pPr>
      <w:r>
        <w:rPr>
          <w:rFonts w:ascii="Arial" w:cs="Arial" w:eastAsia="Arial" w:hAnsi="Arial"/>
          <w:sz w:val="18"/>
          <w:szCs w:val="18"/>
          <w:color w:val="auto"/>
        </w:rPr>
        <w:t>remained at historical lows of 0.03. For the year ended December 31, 2021, our Total Recordable Incident Rate (“TRIR”) was 0.15, when excluding COVID-19 related cases.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6"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color w:val="auto"/>
        </w:rPr>
        <w:t>Our business is seasonal. This seasonality relates primarily to our oil and gas target market, and to a lesser extent within our other target markets. U.S. refineries’ non-peak periods are generally in the fall, when they are retooling to produce more heating oil for winter, and in the spring, when they are retooling to produce more gasoline for summer. The peak periods for these customers are the summer and winter months, when they run at peak capacity and are not retooling or performing turnarounds or shut downs. As a result, our revenues in the summer and winter months are typically lower than our revenues in the fall and spring, when demand for our asset protection solutions from the oil and gas as well as the fossil and nuclear power industries increases during their non-peak production periods. Because we are increasing our work in the fall and spring, our cash flows are lower in those quarters than in the summer and winter, as collections of receivables lag behind revenues. We expect that this seasonality will continue.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operate in a highly competitive, but fragmented, market. Our primary competitors are divisions of large companies and various small companies which generally are limited to a specific product or technology and focused on a niche market or geographic region. We believe that few, if any, of our competitors currently provide the full range of asset protection and NDT products, enterprise software ("PCMS") and the traditional and advanced services solutions that we offer. Our competition with respect to NDT services include Acuren, SGS Group, the Team Qualspec division of Team, Inc. and APPLUS RTD. Our competition with respect to our PCMS software includes UltraPIPE, Lloyd’s Register Capstone, Inc. and Meridium Systems. In the traditional NDT market, we believe the principal competitive factors include project management, availability of qualified personnel, execution, price, reputation and quality, whereas in the advanced NDT market, reputation, quality and size tend to be the most significant competitive factors. We believe that the NDT market has significant barriers to entry which would make it difficult for new competitors to enter the market. These barriers include: (i) having to acquire or develop advanced NDT services, products and systems technologies, which in our case occurred over many years of customer engagements and at significant internal research and development expense, (ii) complex regulations and safety codes that require significant industry experience, (iii) license requirements and evolved quality and safety programs, (iv) costly and time-consuming certification processes, (v) capital requirements and (vi) emphasis by large customers on size and critical mass, length of relationship and past service record.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research and development is principally conducted by engineers and scientists at our Princeton Junction, New Jersey headquarters, and supplemented by other employees in the United States and throughout the world, including France, Greece the United Kingdom, Brazil and the Netherlands. Our total professional staff includes employees who hold Ph.D.’s and engineers and employees who hold Level III certification, the highest level of certification from the American Society of Non-Destructive Testing (ASNT).</w:t>
      </w:r>
    </w:p>
    <w:p>
      <w:pPr>
        <w:spacing w:after="0" w:line="12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make strategic research and development investments in technologies that support integration with our other solution offerings to enhance cost- and time-efficiencies, maximize uptime and safety and improve the flow of data from field technicians to inspection databases. We have invested, and continue to invest, resources in the development of MISTRAS Digital, an electronic platform that digitally delivers field inspection assignments and related data, capture inspection results, and provide electronic reporting and productivity tracking. We have also invested significant research and development in pre-machining and advanced testing technologies in a purpose-built facility for an aerospace customer, with the goal of reducing the customer’s production cycle logistics and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also work with customers to develop new products or applications for our technology, including:</w:t>
      </w:r>
    </w:p>
    <w:p>
      <w:pPr>
        <w:spacing w:after="0" w:line="200" w:lineRule="exact"/>
        <w:rPr>
          <w:sz w:val="20"/>
          <w:szCs w:val="20"/>
          <w:color w:val="auto"/>
        </w:rPr>
      </w:pPr>
    </w:p>
    <w:p>
      <w:pPr>
        <w:spacing w:after="0" w:line="344" w:lineRule="exact"/>
        <w:rPr>
          <w:sz w:val="20"/>
          <w:szCs w:val="20"/>
          <w:color w:val="auto"/>
        </w:rPr>
      </w:pPr>
    </w:p>
    <w:p>
      <w:pPr>
        <w:ind w:left="640" w:hanging="31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Testing of new composites</w:t>
      </w:r>
    </w:p>
    <w:p>
      <w:pPr>
        <w:spacing w:after="0" w:line="20" w:lineRule="exact"/>
        <w:rPr>
          <w:rFonts w:ascii="Arial" w:cs="Arial" w:eastAsia="Arial" w:hAnsi="Arial"/>
          <w:sz w:val="18"/>
          <w:szCs w:val="18"/>
          <w:color w:val="auto"/>
        </w:rPr>
      </w:pPr>
    </w:p>
    <w:p>
      <w:pPr>
        <w:ind w:left="640" w:hanging="31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Detecting crack propagation</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Wireless and communications technologies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Development of permanently embedded inspection systems to provide continuous, online, in-service monitoring of critical structural components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Research and development expenses are reflected in our Consolidated Statements of Income (Loss) as research and engineering expenses. Our company-sponsored research and engineering expenses were approximately $2.0 million, $2.5 million and $2.9 million for the years ended December 31, 2022, 2021 and 2020, respectively. While we have historically funded most of our research and development expenditures, from time to time we also receive customer-sponsored research and development funding. Most of the projects are in our target markets, however, a few of the projects could lead to other future market opportunities.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success depends, in part, on our ability to maintain and protect our proprietary technology and to conduct our business without infringing on the proprietary rights of others. We utilize a combination of intellectual property safeguards, including patents, copyrights, trademarks and trade secrets, as well as employee and third-party confidentiality agreements, to protect our intellectual property.</w:t>
      </w:r>
    </w:p>
    <w:p>
      <w:pPr>
        <w:spacing w:after="0" w:line="12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December 31, 2022, we held seven U.S. patents by direct ownership and six patent applications pending in the United States. All the patent applications pending have been filed since 2018. While we do not rely on these patents or licenses to provide a majority of our proprietary asset protection solutions, certain of these patents do provide us with a competitive advantage and we believe they will be an asset to our growth strategy. Our trademarks and service marks provide us and our solutions with a certain amount of brand recognition in our markets. We do not consider any single patent, trademark or service mark material to our financial condition or results of operations.</w:t>
      </w:r>
    </w:p>
    <w:p>
      <w:pPr>
        <w:spacing w:after="0" w:line="111" w:lineRule="exact"/>
        <w:rPr>
          <w:sz w:val="20"/>
          <w:szCs w:val="20"/>
          <w:color w:val="auto"/>
        </w:rPr>
      </w:pPr>
    </w:p>
    <w:p>
      <w:pPr>
        <w:jc w:val="both"/>
        <w:ind w:right="120"/>
        <w:spacing w:after="0" w:line="232" w:lineRule="auto"/>
        <w:rPr>
          <w:sz w:val="20"/>
          <w:szCs w:val="20"/>
          <w:color w:val="auto"/>
        </w:rPr>
      </w:pPr>
      <w:r>
        <w:rPr>
          <w:rFonts w:ascii="Arial" w:cs="Arial" w:eastAsia="Arial" w:hAnsi="Arial"/>
          <w:sz w:val="18"/>
          <w:szCs w:val="18"/>
          <w:color w:val="auto"/>
        </w:rPr>
        <w:t>As of December 31, 2022, the primary trademarks and service marks that we held in the United States included MISTRAS</w:t>
      </w:r>
      <w:r>
        <w:rPr>
          <w:rFonts w:ascii="Arial" w:cs="Arial" w:eastAsia="Arial" w:hAnsi="Arial"/>
          <w:sz w:val="23"/>
          <w:szCs w:val="23"/>
          <w:color w:val="auto"/>
          <w:vertAlign w:val="superscript"/>
        </w:rPr>
        <w:t>®</w:t>
      </w:r>
      <w:r>
        <w:rPr>
          <w:rFonts w:ascii="Arial" w:cs="Arial" w:eastAsia="Arial" w:hAnsi="Arial"/>
          <w:sz w:val="18"/>
          <w:szCs w:val="18"/>
          <w:color w:val="auto"/>
        </w:rPr>
        <w:t>, our stylized globe design and our tag line "One Source for Asset Protection Solutions". Other key trademarks or service marks that we utilize in localized markets or product advertising include:</w:t>
      </w:r>
    </w:p>
    <w:p>
      <w:pPr>
        <w:spacing w:after="0" w:line="135" w:lineRule="exact"/>
        <w:rPr>
          <w:sz w:val="20"/>
          <w:szCs w:val="20"/>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Onstream® (word and logo)</w:t>
      </w:r>
    </w:p>
    <w:p>
      <w:pPr>
        <w:spacing w:after="0" w:line="20"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PCMS® (word and logo)</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Ropeworks®</w:t>
      </w:r>
    </w:p>
    <w:p>
      <w:pPr>
        <w:spacing w:after="0" w:line="7" w:lineRule="exact"/>
        <w:rPr>
          <w:rFonts w:ascii="Arial" w:cs="Arial" w:eastAsia="Arial" w:hAnsi="Arial"/>
          <w:sz w:val="18"/>
          <w:szCs w:val="18"/>
          <w:color w:val="auto"/>
        </w:rPr>
      </w:pPr>
    </w:p>
    <w:p>
      <w:pPr>
        <w:ind w:left="640" w:hanging="311"/>
        <w:spacing w:after="0" w:line="19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MISTRAS Digital</w:t>
      </w:r>
      <w:r>
        <w:rPr>
          <w:rFonts w:ascii="Arial" w:cs="Arial" w:eastAsia="Arial" w:hAnsi="Arial"/>
          <w:sz w:val="23"/>
          <w:szCs w:val="23"/>
          <w:color w:val="auto"/>
          <w:vertAlign w:val="superscript"/>
        </w:rPr>
        <w:t>®</w:t>
      </w: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OneSuite™</w:t>
      </w:r>
    </w:p>
    <w:p>
      <w:pPr>
        <w:spacing w:after="0" w:line="4"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Sensoria™</w:t>
      </w:r>
    </w:p>
    <w:p>
      <w:pPr>
        <w:spacing w:after="0" w:line="7" w:lineRule="exact"/>
        <w:rPr>
          <w:rFonts w:ascii="Arial" w:cs="Arial" w:eastAsia="Arial" w:hAnsi="Arial"/>
          <w:sz w:val="18"/>
          <w:szCs w:val="18"/>
          <w:color w:val="auto"/>
        </w:rPr>
      </w:pPr>
    </w:p>
    <w:p>
      <w:pPr>
        <w:ind w:left="640" w:hanging="311"/>
        <w:spacing w:after="0" w:line="194" w:lineRule="auto"/>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OneSource™</w:t>
      </w:r>
    </w:p>
    <w:p>
      <w:pPr>
        <w:spacing w:after="0" w:line="3" w:lineRule="exact"/>
        <w:rPr>
          <w:rFonts w:ascii="Arial" w:cs="Arial" w:eastAsia="Arial" w:hAnsi="Arial"/>
          <w:sz w:val="23"/>
          <w:szCs w:val="23"/>
          <w:color w:val="auto"/>
          <w:vertAlign w:val="superscript"/>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CALIPERAY™ (word and logo)</w:t>
      </w:r>
    </w:p>
    <w:p>
      <w:pPr>
        <w:spacing w:after="0" w:line="4" w:lineRule="exact"/>
        <w:rPr>
          <w:rFonts w:ascii="Arial" w:cs="Arial" w:eastAsia="Arial" w:hAnsi="Arial"/>
          <w:sz w:val="18"/>
          <w:szCs w:val="18"/>
          <w:color w:val="auto"/>
        </w:rPr>
      </w:pPr>
    </w:p>
    <w:p>
      <w:pPr>
        <w:ind w:left="640" w:hanging="311"/>
        <w:spacing w:after="0" w:line="194" w:lineRule="auto"/>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Physical Acoustics PAC logo</w:t>
      </w:r>
    </w:p>
    <w:p>
      <w:pPr>
        <w:spacing w:after="0" w:line="3" w:lineRule="exact"/>
        <w:rPr>
          <w:rFonts w:ascii="Arial" w:cs="Arial" w:eastAsia="Arial" w:hAnsi="Arial"/>
          <w:sz w:val="23"/>
          <w:szCs w:val="23"/>
          <w:color w:val="auto"/>
          <w:vertAlign w:val="superscript"/>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Streamview™</w:t>
      </w:r>
    </w:p>
    <w:p>
      <w:pPr>
        <w:spacing w:after="0" w:line="4"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Sensor Highway™</w:t>
      </w:r>
    </w:p>
    <w:p>
      <w:pPr>
        <w:spacing w:after="0" w:line="7" w:lineRule="exact"/>
        <w:rPr>
          <w:rFonts w:ascii="Arial" w:cs="Arial" w:eastAsia="Arial" w:hAnsi="Arial"/>
          <w:sz w:val="18"/>
          <w:szCs w:val="18"/>
          <w:color w:val="auto"/>
        </w:rPr>
      </w:pPr>
    </w:p>
    <w:p>
      <w:pPr>
        <w:ind w:left="640" w:hanging="311"/>
        <w:spacing w:after="0" w:line="19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TankPAC</w:t>
      </w:r>
      <w:r>
        <w:rPr>
          <w:rFonts w:ascii="Arial" w:cs="Arial" w:eastAsia="Arial" w:hAnsi="Arial"/>
          <w:sz w:val="23"/>
          <w:szCs w:val="23"/>
          <w:color w:val="auto"/>
          <w:vertAlign w:val="superscript"/>
        </w:rPr>
        <w:t>®</w:t>
      </w: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VPAC™</w:t>
      </w:r>
    </w:p>
    <w:p>
      <w:pPr>
        <w:spacing w:after="0" w:line="4"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Transformer Clinic™</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FieldCal™</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UTwin®</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AEwin®</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Pocket AE®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Pocket UT®</w:t>
      </w:r>
    </w:p>
    <w:p>
      <w:pPr>
        <w:spacing w:after="0" w:line="23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Many elements of our asset protection solutions involve proprietary know-how, technology or data that are not covered by patents or patent applications because they are not patentable or would be difficult to enforce, including technical processes, algorithms and procedures. We believe that this proprietary know-how, technology and data is the most important component of our intellectual property used in our asset protection solutions and is a primary differentiator of our solutions from those of our competitors. We rely on various trade secret protection techniques and agreements with our customers, service providers and vendors to protect these assets. All of our employees are subject to confidentiality requirements through our employee handbook. In addition, many of our employees have entered into confidentiality and proprietary information agreements with us. Our employee handbook and these agreements require our employees not to use or disclose our confidential information and to assign to us all the inventions, designs and technologies they develop during the course of employment with us, as well as addressing other intellectual property protection issues. We also seek confidentiality agreements from our customers and business partners before we disclose any sensitive aspects of our technologies or business strategies. We are not currently involved in any material intellectual property claims.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22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are subject to numerous environmental, legal and regulatory requirements related to our operations worldwide. In the United States, these laws and regulations include, among others: the Comprehensive Environmental Response, Compensation, and Liability Act, the Resources Conservation and Recovery Act, the Clean Air Act, the Federal Water Pollution Control Act, the Toxic Substances Control Act, the Atomic Energy Act, the Energy Reorganization Act of 1974, and applicable regulations. In addition to the federal laws and regulations, states and other countries where we do business often have numerous environmental, legal and regulatory requirements by which we must abide. We evaluate and address the environmental impact of our operations by assessing properties in order to avoid future liabilities and comply with environmental, legal and regulatory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6"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following were our executive officers as of December 31, 2022 and their background and experience. On February 8, 2023, we terminated Jonathan's Wolk's employment with us, with immediate effect, and Dennis Bertolotti, our President and Chief Executive Officer, temporarily assumed Mr. Wolk's duties.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6520" w:type="dxa"/>
            <w:vAlign w:val="bottom"/>
          </w:tcPr>
          <w:p>
            <w:pPr>
              <w:ind w:left="3020"/>
              <w:spacing w:after="0"/>
              <w:rPr>
                <w:sz w:val="20"/>
                <w:szCs w:val="20"/>
                <w:color w:val="auto"/>
              </w:rPr>
            </w:pPr>
            <w:r>
              <w:rPr>
                <w:rFonts w:ascii="Arial" w:cs="Arial" w:eastAsia="Arial" w:hAnsi="Arial"/>
                <w:sz w:val="14"/>
                <w:szCs w:val="14"/>
                <w:b w:val="1"/>
                <w:bCs w:val="1"/>
                <w:color w:val="auto"/>
              </w:rPr>
              <w:t>Position</w:t>
            </w:r>
          </w:p>
        </w:tc>
      </w:tr>
      <w:tr>
        <w:trPr>
          <w:trHeight w:val="25"/>
        </w:trPr>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r>
      <w:tr>
        <w:trPr>
          <w:trHeight w:val="221"/>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Sotirios J. Vahaviolos</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w:t>
            </w:r>
          </w:p>
        </w:tc>
        <w:tc>
          <w:tcPr>
            <w:tcW w:w="100" w:type="dxa"/>
            <w:vAlign w:val="bottom"/>
            <w:shd w:val="clear" w:color="auto" w:fill="CCEEFF"/>
          </w:tcPr>
          <w:p>
            <w:pPr>
              <w:spacing w:after="0"/>
              <w:rPr>
                <w:sz w:val="19"/>
                <w:szCs w:val="19"/>
                <w:color w:val="auto"/>
              </w:rPr>
            </w:pPr>
          </w:p>
        </w:tc>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Chairman and Director</w:t>
            </w:r>
          </w:p>
        </w:tc>
      </w:tr>
      <w:tr>
        <w:trPr>
          <w:trHeight w:val="228"/>
        </w:trPr>
        <w:tc>
          <w:tcPr>
            <w:tcW w:w="2900" w:type="dxa"/>
            <w:vAlign w:val="bottom"/>
            <w:gridSpan w:val="2"/>
          </w:tcPr>
          <w:p>
            <w:pPr>
              <w:spacing w:after="0"/>
              <w:rPr>
                <w:sz w:val="20"/>
                <w:szCs w:val="20"/>
                <w:color w:val="auto"/>
              </w:rPr>
            </w:pPr>
            <w:r>
              <w:rPr>
                <w:rFonts w:ascii="Arial" w:cs="Arial" w:eastAsia="Arial" w:hAnsi="Arial"/>
                <w:sz w:val="18"/>
                <w:szCs w:val="18"/>
                <w:color w:val="auto"/>
              </w:rPr>
              <w:t>Dennis Bertolotti</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28"/>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J. Prajzner</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19"/>
                <w:szCs w:val="19"/>
                <w:color w:val="auto"/>
              </w:rPr>
            </w:pPr>
          </w:p>
        </w:tc>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28"/>
        </w:trPr>
        <w:tc>
          <w:tcPr>
            <w:tcW w:w="2900" w:type="dxa"/>
            <w:vAlign w:val="bottom"/>
            <w:gridSpan w:val="2"/>
          </w:tcPr>
          <w:p>
            <w:pPr>
              <w:spacing w:after="0"/>
              <w:rPr>
                <w:sz w:val="20"/>
                <w:szCs w:val="20"/>
                <w:color w:val="auto"/>
              </w:rPr>
            </w:pPr>
            <w:r>
              <w:rPr>
                <w:rFonts w:ascii="Arial" w:cs="Arial" w:eastAsia="Arial" w:hAnsi="Arial"/>
                <w:sz w:val="18"/>
                <w:szCs w:val="18"/>
                <w:color w:val="auto"/>
              </w:rPr>
              <w:t>Michael C. Keefe</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28"/>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Lange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shd w:val="clear" w:color="auto" w:fill="CCEEFF"/>
          </w:tcPr>
          <w:p>
            <w:pPr>
              <w:spacing w:after="0"/>
              <w:rPr>
                <w:sz w:val="19"/>
                <w:szCs w:val="19"/>
                <w:color w:val="auto"/>
              </w:rPr>
            </w:pPr>
          </w:p>
        </w:tc>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Group Executive Vice President</w:t>
            </w:r>
          </w:p>
        </w:tc>
      </w:tr>
      <w:tr>
        <w:trPr>
          <w:trHeight w:val="227"/>
        </w:trPr>
        <w:tc>
          <w:tcPr>
            <w:tcW w:w="2900" w:type="dxa"/>
            <w:vAlign w:val="bottom"/>
            <w:gridSpan w:val="2"/>
          </w:tcPr>
          <w:p>
            <w:pPr>
              <w:spacing w:after="0"/>
              <w:rPr>
                <w:sz w:val="20"/>
                <w:szCs w:val="20"/>
                <w:color w:val="auto"/>
              </w:rPr>
            </w:pPr>
            <w:r>
              <w:rPr>
                <w:rFonts w:ascii="Arial" w:cs="Arial" w:eastAsia="Arial" w:hAnsi="Arial"/>
                <w:sz w:val="18"/>
                <w:szCs w:val="18"/>
                <w:color w:val="auto"/>
              </w:rPr>
              <w:t>Jonathan H. Wolk</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Senior Executive Vice President and Chief Operating Officer</w:t>
            </w:r>
          </w:p>
        </w:tc>
      </w:tr>
    </w:tbl>
    <w:p>
      <w:pPr>
        <w:spacing w:after="0" w:line="3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Sotirios J. Vahaviolos </w:t>
      </w:r>
      <w:r>
        <w:rPr>
          <w:rFonts w:ascii="Arial" w:cs="Arial" w:eastAsia="Arial" w:hAnsi="Arial"/>
          <w:sz w:val="16"/>
          <w:szCs w:val="16"/>
          <w:color w:val="auto"/>
        </w:rPr>
        <w:t>has been our Executive Chairman since August 10, 2017. Prior to being named Executive Chairman, Dr. Vahaviolos had been our</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and Chief Executive Officer since he founded Mistras in 1978 under the name Physical Acoustics Corporation and was also our President until June 1, 2016. Prior to founding the Company, Dr. Vahaviolos worked at AT&amp;T Bell Laboratories. Dr. Vahaviolos received a B.S. in Electrical Engineering and graduated first in his engineering class from Fairleigh Dickinson University and received Masters Degrees in Electrical Engineering and Philosophy and a Ph.D. (EE) from the Columbia University School of Engineering. During Dr. Vahaviolos’ career in non-destructive testing, he has been elected Fellow of The Institute of Electrical and Electronics Engineers, a member of The American Society for Nondestructive Testing ("ASNT") where he served as its President from 1992-1993 and its Chairman from 1993-1994, a member of Acoustic Emission Working Group ("AEWG") and an honorary life member of the International Committee for Nondestructive Testing. Additionally, he was the recipient of ASNT’s Gold Medal in 2001 and AEWG’s Gold Medal in 2005. He was also one of the six founders of NDT Academia International in 2008 headquartered in Brescia, Italy.</w:t>
      </w:r>
    </w:p>
    <w:p>
      <w:pPr>
        <w:spacing w:after="0" w:line="17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i w:val="1"/>
          <w:iCs w:val="1"/>
          <w:color w:val="auto"/>
        </w:rPr>
        <w:t xml:space="preserve">Dennis Bertolotti </w:t>
      </w:r>
      <w:r>
        <w:rPr>
          <w:rFonts w:ascii="Arial" w:cs="Arial" w:eastAsia="Arial" w:hAnsi="Arial"/>
          <w:sz w:val="18"/>
          <w:szCs w:val="18"/>
          <w:color w:val="auto"/>
        </w:rPr>
        <w:t>joined Mistras when Conam Inspection Services was acquired in 2003, where Mr. Bertolotti was a Vice President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Since then, Mr. Bertolotti has had increasing levels of responsibility with Mistras, and became our President and Chief Executive Officer and Director, effective August 10, 2017. From June 1, 2016 to August 9, 2017, Mr. Bertolotti was our President and Chief Operating Officer. Mr. Bertolotti has been in the NDT business for over 40 years, and previously held ASNT Level III certifications and various American Petroleum Institute, or API, certifications, and received his Associate of Science degree in NDT from Moraine Valley Community College in 1983. Mr. Bertolotti has also received a Bachelor of Science and MBA from Otterbein College.</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Edward J. Prajzner </w:t>
      </w:r>
      <w:r>
        <w:rPr>
          <w:rFonts w:ascii="Arial" w:cs="Arial" w:eastAsia="Arial" w:hAnsi="Arial"/>
          <w:sz w:val="17"/>
          <w:szCs w:val="17"/>
          <w:color w:val="auto"/>
        </w:rPr>
        <w:t>joined Mistras in January 2018 as our Senior Vice President, Chief Financial Officer and Treasurer becoming our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Chief Financial Officer and Treasurer effective February 27, 2020. Prior to joining Mistras, Mr. Prajzner worked at CECO Environmental Corp., a global service provider to environmental, energy and filtration industries, and served as Chief Financial Officer and Secretary from 2014 to 2017, Vice President of Finance and Chief Accounting Officer from 2013 until his appointment as Chief Financial Officer in 2014, and Corporate Controller and Chief Accounting Officer from 2012 to 2013. Mr. Prajzner also served in senior finance roles at CDI Corporation (now AE Industrial Partners) and American Infrastructure (now Allan Myers). Mr. Prajzner began his career in public accounting at Ernst &amp; Young, received his B.S. in accountancy from Villanova University, his MBA in finance from Temple University and is a certified public accountant.</w:t>
      </w:r>
    </w:p>
    <w:p>
      <w:pPr>
        <w:spacing w:after="0" w:line="209"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i w:val="1"/>
          <w:iCs w:val="1"/>
          <w:color w:val="auto"/>
        </w:rPr>
        <w:t xml:space="preserve">Michael C. Keefe </w:t>
      </w:r>
      <w:r>
        <w:rPr>
          <w:rFonts w:ascii="Arial" w:cs="Arial" w:eastAsia="Arial" w:hAnsi="Arial"/>
          <w:sz w:val="18"/>
          <w:szCs w:val="18"/>
          <w:color w:val="auto"/>
        </w:rPr>
        <w:t>joined Mistras in December 2009. Prior to joining Mistras, Mr. Keefe worked at International Fight League, a then publicly-traded sports</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 company, from 2007 until 2009, in various executive positions. From 1990 until 2006,</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Mr. Keefe served in various legal roles with Lucent Technologies and AT&amp;T, the last four years as Vice President, Corporate and Securities Law and Assistant Secretary. Mr. Keefe received a BS in Business Administration (Accounting) from Seton Hall University and a J.D. from Seton Hall University School of Law.</w:t>
      </w:r>
    </w:p>
    <w:p>
      <w:pPr>
        <w:spacing w:after="0" w:line="18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Michael J. Lange </w:t>
      </w:r>
      <w:r>
        <w:rPr>
          <w:rFonts w:ascii="Arial" w:cs="Arial" w:eastAsia="Arial" w:hAnsi="Arial"/>
          <w:sz w:val="18"/>
          <w:szCs w:val="18"/>
          <w:color w:val="auto"/>
        </w:rPr>
        <w:t>joined Mistras when we acquired Quality Services Laboratories in November 2000, and was elected a Director in 2003. Mr. Lange has</w:t>
      </w:r>
      <w:r>
        <w:rPr>
          <w:rFonts w:ascii="Arial" w:cs="Arial" w:eastAsia="Arial" w:hAnsi="Arial"/>
          <w:sz w:val="18"/>
          <w:szCs w:val="18"/>
          <w:i w:val="1"/>
          <w:iCs w:val="1"/>
          <w:color w:val="auto"/>
        </w:rPr>
        <w:t xml:space="preserve"> </w:t>
      </w:r>
      <w:r>
        <w:rPr>
          <w:rFonts w:ascii="Arial" w:cs="Arial" w:eastAsia="Arial" w:hAnsi="Arial"/>
          <w:sz w:val="18"/>
          <w:szCs w:val="18"/>
          <w:color w:val="auto"/>
        </w:rPr>
        <w:t>held various executive level positions with Mistras, becoming Senior Executive Vice President, effective June 1, 2016. Mr. Lange is a well-recognized authority in Radiography and has held an ASNT Level III Certificate for almost 20 years. Mr. Lange received an Associate of Science degree in NDT from the Spartan School of Aeronautics.</w:t>
      </w:r>
    </w:p>
    <w:p>
      <w:pPr>
        <w:spacing w:after="0" w:line="2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Jonathan H. Wolk </w:t>
      </w:r>
      <w:r>
        <w:rPr>
          <w:rFonts w:ascii="Arial" w:cs="Arial" w:eastAsia="Arial" w:hAnsi="Arial"/>
          <w:sz w:val="18"/>
          <w:szCs w:val="18"/>
          <w:color w:val="auto"/>
        </w:rPr>
        <w:t>joined Mistras in November 2013 and his active employment ended with the Company on February 8, 2023. During his employment at</w:t>
      </w:r>
      <w:r>
        <w:rPr>
          <w:rFonts w:ascii="Arial" w:cs="Arial" w:eastAsia="Arial" w:hAnsi="Arial"/>
          <w:sz w:val="18"/>
          <w:szCs w:val="18"/>
          <w:i w:val="1"/>
          <w:iCs w:val="1"/>
          <w:color w:val="auto"/>
        </w:rPr>
        <w:t xml:space="preserve"> </w:t>
      </w:r>
      <w:r>
        <w:rPr>
          <w:rFonts w:ascii="Arial" w:cs="Arial" w:eastAsia="Arial" w:hAnsi="Arial"/>
          <w:sz w:val="18"/>
          <w:szCs w:val="18"/>
          <w:color w:val="auto"/>
        </w:rPr>
        <w:t>Mistras, Mr. Wolk served as Executive Vice President, Chief Financial Officer and Treasurer until August 10, 2017, when Mr. Wolk became Senior Executive Vice President and Chief Operating Officer. Mr. Wolk was also acting Chief Financial Officer from August 10, 2017 until the appointment of Mr. Prajzner on January 5, 2018.</w:t>
      </w:r>
    </w:p>
    <w:p>
      <w:pPr>
        <w:spacing w:after="0" w:line="216"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 and Available Information</w:t>
      </w:r>
    </w:p>
    <w:p>
      <w:pPr>
        <w:spacing w:after="0" w:line="22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www.mistrasgroup.com.</w:t>
      </w:r>
      <w:r>
        <w:rPr>
          <w:rFonts w:ascii="Arial" w:cs="Arial" w:eastAsia="Arial" w:hAnsi="Arial"/>
          <w:sz w:val="17"/>
          <w:szCs w:val="17"/>
          <w:color w:val="auto"/>
        </w:rPr>
        <w:t xml:space="preserve"> We file reports with the SEC, including Quarterly Reports on Form 10-Q, Annual Reports on Form 10-K, Current Reports on Form 8-K and Proxy Statements. All of the materials we file with or furnish to the SEC are available free of charge on our website at http://investors.mistrasgroup.com/sec.cfm, as soon as reasonably practicable after having been electronically submitted to the SEC. Information contained on or connected to our website is not incorporated by reference into this Annual Report and should not be considered part of this Annual Report or any other filing with the SEC. All of our SEC filings are also available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materials we file with the SEC may be read and copied at the SEC’s Public Reference Room at 100 F Street, NE, Washington, DC 20549. The public may obtain information on the operation of the Public Reference Room by calling the SEC at 1-800-SEC-0330.</w:t>
      </w:r>
    </w:p>
    <w:p>
      <w:pPr>
        <w:spacing w:after="0" w:line="200" w:lineRule="exact"/>
        <w:rPr>
          <w:sz w:val="20"/>
          <w:szCs w:val="20"/>
          <w:color w:val="auto"/>
        </w:rPr>
      </w:pPr>
    </w:p>
    <w:p>
      <w:pPr>
        <w:spacing w:after="0" w:line="22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section describes the major risks to us, our business and our common stock. You should carefully read and consider the risks described below, together with the other information contained in this Annual Report, including our financial statements and the notes thereto and “Management’s Discussion and Analysis of Financial Condition and Results of Operations” before making an investment decision. The statements contained in this section constitute cautionary statements under the Private Securities Litigation Reform Act of 1995. If any of these risks occur, our business, financial condition, results of operations and future growth prospects may be adversely affected. As a result, the trading price of our common stock would likely decline, and you may lose all or part of your investment. You should understand that it is not possible to predict or identify all risk factors that could impact us. For example, the COVID-19 pandemic has had a dramatic negative impact on the health of citizens of many countries, and resulted in major disruptions in economies and markets around the world, including our key markets. In addition, it is unclear what effects the war between Russia and Ukraine is likely to have on the world economy and certain of our target markets, including particularly the oil and gas market, in the near and long term. In addition, macroeconomic factors such as inflation, unemployment, and interest rates, amongst others, will impact our business. Accordingly, you should not consider the following to be a complete discussion of all risks and uncertainties pertaining to us and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3"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i w:val="1"/>
          <w:iCs w:val="1"/>
          <w:color w:val="auto"/>
        </w:rPr>
        <w:t>Due to our dependency on customers in the oil and gas industry, we are susceptible to prolonged negative trends relating to this industry that could adversely affect our operating results.</w:t>
      </w:r>
    </w:p>
    <w:p>
      <w:pPr>
        <w:spacing w:after="0" w:line="17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customers in the oil and gas industry have accounted for a substantial portion of our historical revenues. Specifically, they accounted for approximately 56%, 54%, and 54% of our revenues for the years ended December 31, 2022, 2021 and 2020, respectively. Although we have expanded our customer base into industries other than the oil and gas industry, we still receive a majority of our revenues from this industry. Our services are vital to the operators of plants, refineries, and pipelines, and we have expanded our services offerings, such as expanding our mechanical and in-line inspection services capabilities. However, economic slowdowns or low oil prices have, and could continue to, result in cutbacks in contracts for our services. In addition, low oil prices could depress the level of new exploration and construction, which would adversely affect our market opportunities. If the price of oil were to decrease, our revenues, profits and cash flows may be reduced. If the price of oil</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reaches record, or near record levels as it did in 2022, we may experience delays or deferrals in performing inspection services to customers in the oil and gas industry.</w:t>
      </w:r>
    </w:p>
    <w:p>
      <w:pPr>
        <w:spacing w:after="0" w:line="20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While we continue to expand our market presence in the aerospace, power generation and transmission, and the chemical processing industries, among others, these markets are also cyclical in nature and as such, are subject to economic downturns. In addition, it is unclear what effects the war between Russia and Ukraine is likely to have on the world economy and certain of our target markets, including particularly the oil and gas market, in the near and long term.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affected by climate change and market or regulatory responses to climate change</w:t>
      </w:r>
    </w:p>
    <w:p>
      <w:pPr>
        <w:spacing w:after="0" w:line="2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Climate change could have a material adverse effect on our results of operations, financial condition, and liquidity. Restrictions on emissions, including those that have already been adopted and others that are expected to be adopted in the future, could affect our customers that (i) use commodities to produce energy, (ii) use significant amounts of fossil fuel to produce or deliver commodities, or (iii) manufacture or produce goods that consume significant amounts of fossil fuels or burn fossil fuels. Significant cost increases, government regulation, or changes of consumer preferences for goods or services relating to alternative sources of energy or emissions reductions could materially affect the markets we serve (including the oil and gas industry), which in turn could have a material adverse effect on our results of operations, financial condition and liquidity. Government incentives encouraging the use of alternative sources of energy also could affect certain of our customers and the markets we serve in an unpredictable manner. Any of these factors, individually or with one or more of the other factors, or other unforeseen impacts of climate change could have a material adverse effect on our results of operations, financial condition and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risks relating to non-U.S. operations.</w:t>
      </w:r>
    </w:p>
    <w:p>
      <w:pPr>
        <w:spacing w:after="0" w:line="22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years ended December 31, 2022, 2021 and 2020, we generated approximately 29%, 30%, and 31% of our revenues outside the United States, respectively. In addition, our international operations as a percentage of our business may increase over time. Our primary operations outside the United States are in Canada, Germany, France, the United Kingdom, the Netherlands and Brazil. We also have operations in Belgium, Greece and India. There are numerous risks inherent in doing business in international markets, including:</w:t>
      </w:r>
    </w:p>
    <w:p>
      <w:pPr>
        <w:spacing w:after="0" w:line="189" w:lineRule="exact"/>
        <w:rPr>
          <w:sz w:val="20"/>
          <w:szCs w:val="20"/>
          <w:color w:val="auto"/>
        </w:rPr>
      </w:pPr>
    </w:p>
    <w:p>
      <w:pPr>
        <w:ind w:left="640" w:hanging="31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54" w:lineRule="exact"/>
        <w:rPr>
          <w:rFonts w:ascii="Arial" w:cs="Arial" w:eastAsia="Arial" w:hAnsi="Arial"/>
          <w:sz w:val="18"/>
          <w:szCs w:val="18"/>
          <w:color w:val="auto"/>
        </w:rPr>
      </w:pPr>
    </w:p>
    <w:p>
      <w:pPr>
        <w:ind w:left="640" w:hanging="31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varying regional and geopolitical business and economic conditions and demands;</w:t>
      </w:r>
    </w:p>
    <w:p>
      <w:pPr>
        <w:spacing w:after="0" w:line="141" w:lineRule="exact"/>
        <w:rPr>
          <w:rFonts w:ascii="Arial" w:cs="Arial" w:eastAsia="Arial" w:hAnsi="Arial"/>
          <w:sz w:val="18"/>
          <w:szCs w:val="18"/>
          <w:color w:val="auto"/>
        </w:rPr>
      </w:pPr>
    </w:p>
    <w:p>
      <w:pPr>
        <w:ind w:left="660" w:right="280" w:hanging="331"/>
        <w:spacing w:after="0" w:line="27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applicable foreign regulations and licensing requirements, and U.S. laws and regulation with respect to conducting business in other countries, including export controls, sanctions, anti-terrorist and anti-bribery laws;</w:t>
      </w:r>
    </w:p>
    <w:p>
      <w:pPr>
        <w:spacing w:after="0" w:line="107" w:lineRule="exact"/>
        <w:rPr>
          <w:rFonts w:ascii="Arial" w:cs="Arial" w:eastAsia="Arial" w:hAnsi="Arial"/>
          <w:sz w:val="18"/>
          <w:szCs w:val="18"/>
          <w:color w:val="auto"/>
        </w:rPr>
      </w:pPr>
    </w:p>
    <w:p>
      <w:pPr>
        <w:ind w:left="640" w:hanging="31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uncertainty of obtaining data and creating solutions that are relevant to particular geographic markets;</w:t>
      </w:r>
    </w:p>
    <w:p>
      <w:pPr>
        <w:spacing w:after="0" w:line="154" w:lineRule="exact"/>
        <w:rPr>
          <w:rFonts w:ascii="Arial" w:cs="Arial" w:eastAsia="Arial" w:hAnsi="Arial"/>
          <w:sz w:val="18"/>
          <w:szCs w:val="18"/>
          <w:color w:val="auto"/>
        </w:rPr>
      </w:pPr>
    </w:p>
    <w:p>
      <w:pPr>
        <w:ind w:left="640" w:hanging="31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provide sufficient levels of technical support in different locations;</w:t>
      </w:r>
    </w:p>
    <w:p>
      <w:pPr>
        <w:spacing w:after="0" w:line="141" w:lineRule="exact"/>
        <w:rPr>
          <w:rFonts w:ascii="Arial" w:cs="Arial" w:eastAsia="Arial" w:hAnsi="Arial"/>
          <w:sz w:val="18"/>
          <w:szCs w:val="18"/>
          <w:color w:val="auto"/>
        </w:rPr>
      </w:pPr>
    </w:p>
    <w:p>
      <w:pPr>
        <w:ind w:left="640" w:hanging="31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complexity of maintaining effective policies and procedures in locations around the world;</w:t>
      </w:r>
    </w:p>
    <w:p>
      <w:pPr>
        <w:spacing w:after="0" w:line="154" w:lineRule="exact"/>
        <w:rPr>
          <w:rFonts w:ascii="Arial" w:cs="Arial" w:eastAsia="Arial" w:hAnsi="Arial"/>
          <w:sz w:val="18"/>
          <w:szCs w:val="18"/>
          <w:color w:val="auto"/>
        </w:rPr>
      </w:pPr>
    </w:p>
    <w:p>
      <w:pPr>
        <w:ind w:left="640" w:hanging="31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154" w:lineRule="exact"/>
        <w:rPr>
          <w:rFonts w:ascii="Arial" w:cs="Arial" w:eastAsia="Arial" w:hAnsi="Arial"/>
          <w:sz w:val="18"/>
          <w:szCs w:val="18"/>
          <w:color w:val="auto"/>
        </w:rPr>
      </w:pPr>
    </w:p>
    <w:p>
      <w:pPr>
        <w:ind w:left="640" w:hanging="31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risk of hacking, malware or security breaches of our data and databases;</w:t>
      </w:r>
    </w:p>
    <w:p>
      <w:pPr>
        <w:spacing w:after="0" w:line="141" w:lineRule="exact"/>
        <w:rPr>
          <w:rFonts w:ascii="Arial" w:cs="Arial" w:eastAsia="Arial" w:hAnsi="Arial"/>
          <w:sz w:val="18"/>
          <w:szCs w:val="18"/>
          <w:color w:val="auto"/>
        </w:rPr>
      </w:pPr>
    </w:p>
    <w:p>
      <w:pPr>
        <w:ind w:left="640" w:hanging="31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or limitations on outsourcing contracts or services abroad;</w:t>
      </w:r>
    </w:p>
    <w:p>
      <w:pPr>
        <w:spacing w:after="0" w:line="154" w:lineRule="exact"/>
        <w:rPr>
          <w:rFonts w:ascii="Arial" w:cs="Arial" w:eastAsia="Arial" w:hAnsi="Arial"/>
          <w:sz w:val="18"/>
          <w:szCs w:val="18"/>
          <w:color w:val="auto"/>
        </w:rPr>
      </w:pPr>
    </w:p>
    <w:p>
      <w:pPr>
        <w:ind w:left="640" w:hanging="311"/>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restrictions or limitations on the repatriation of funds, or tax consequences on the non-repatriation of overseas operationally generated funds; and</w:t>
      </w:r>
    </w:p>
    <w:p>
      <w:pPr>
        <w:spacing w:after="0" w:line="177" w:lineRule="exact"/>
        <w:rPr>
          <w:rFonts w:ascii="Arial" w:cs="Arial" w:eastAsia="Arial" w:hAnsi="Arial"/>
          <w:sz w:val="16"/>
          <w:szCs w:val="16"/>
          <w:color w:val="auto"/>
        </w:rPr>
      </w:pPr>
    </w:p>
    <w:p>
      <w:pPr>
        <w:ind w:left="640" w:hanging="31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potentially adverse tax consequences.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expanding and our success depends on how effectively we manage our growth.</w:t>
      </w:r>
    </w:p>
    <w:p>
      <w:pPr>
        <w:spacing w:after="0" w:line="22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While we have not fully recovered to pre-COVID19 levels across all end markets in which we operate, we expect to grow in the scope of our operations over the long-term. To effectively manage our anticipated future growth, we must continue to implement and improve our managerial, operational, compliance, financial and reporting systems and capabilities, expand our facilities and continue to recruit and train additional qualified personnel. We expect that all these measures will require significant expenditures and will demand the attention of management. Failure to manage our growth effectively could lead us to over or under-invest in technology and operations, result in weaknesses in our infrastructure, systems, compliance programs or controls, and give rise to operational mistakes, the loss of business opportunities, the loss of employees and reduced productivity among remaining employees. Our anticipated growth could require significant capital expenditures and may divert financial resources from other projects, such as the development of new solutions. If our management is unable to effectively manage our anticipated growth, our expenses may increase more than expected, our profit margins may suffer, our revenues could decline or may grow more slowly than expected and we may be unable to implement our business strategy as anticipated.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be adversely affected by a reduction in business with our significant customers.</w:t>
      </w:r>
    </w:p>
    <w:p>
      <w:pPr>
        <w:spacing w:after="0" w:line="22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We derive a significant amount of revenues from a few customers. Taken as a group, our top ten customers were responsible for approximately 33%, 33%, and 32% of our revenues for the years ended December 31, 2022, 2021 and 2020, respectively. This concentration pertains almost exclusively to our Services segment, which accounted for 83%, 82% and 80% of our revenues for the years ended December 31, 2022, 2021 and 2020, respectively. These customers are primarily in the oil and gas sector. Generally, our customers do not have an obligation to make purchases from us and may stop ordering our products and services or may terminate existing orders or contracts at any time with little or no financial penalty. The loss of any of our significant customers, any substantial decline in sales to these customers or any significant change in the timing or volume of purchases by our significant customers could result in lower revenues and could harm our business, financial condition or results of operations.</w:t>
      </w:r>
    </w:p>
    <w:p>
      <w:pPr>
        <w:spacing w:after="0" w:line="209" w:lineRule="exact"/>
        <w:rPr>
          <w:sz w:val="20"/>
          <w:szCs w:val="20"/>
          <w:color w:val="auto"/>
        </w:rPr>
      </w:pPr>
    </w:p>
    <w:p>
      <w:pPr>
        <w:ind w:right="520"/>
        <w:spacing w:after="0" w:line="302" w:lineRule="auto"/>
        <w:rPr>
          <w:sz w:val="20"/>
          <w:szCs w:val="20"/>
          <w:color w:val="auto"/>
        </w:rPr>
      </w:pPr>
      <w:r>
        <w:rPr>
          <w:rFonts w:ascii="Arial" w:cs="Arial" w:eastAsia="Arial" w:hAnsi="Arial"/>
          <w:sz w:val="17"/>
          <w:szCs w:val="17"/>
          <w:b w:val="1"/>
          <w:bCs w:val="1"/>
          <w:i w:val="1"/>
          <w:iCs w:val="1"/>
          <w:color w:val="auto"/>
        </w:rPr>
        <w:t>Our business, and the industries we currently serve, are currently subject to governmental regulation, and may become subject to modified or new government regulation that may negatively impact our ability to market our asset protection solutions.</w:t>
      </w:r>
    </w:p>
    <w:p>
      <w:pPr>
        <w:spacing w:after="0" w:line="15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required to comply with various government regulations and licensing requirements. For example, the transportation and overnight storage of radioactive materials used in providing certain of our asset protection solutions such as radiography are subject to regulation under federal and state laws and licensing requirements. Our Services segment is currently licensed to handle radioactive materials by the U.S. Nuclear Regulatory Commission, more than 20 state regulatory agencies and the Canadian Nuclear Safety Commission. If we allegedly fail to comply with these regulations, we may be investigated and incur significant legal expenses associated with such investigations, and if we are found to have violated these regulations, we may be fined or lose one or more of our licenses or permits, which would prevent or restrict our ability to provide radiography services. In addition, while we are being investigated, we may be required to suspend work on the projects associated with our alleged noncompliance, resulting in loss of profits or customers, and damage to our reputation. Many of our customers have strict requirements concerning safety or loss time occurrences and if we are unable to meet these requirements it could result in lost revenues. In the future, governmental agencies may seek to change current regulations or impose additional regulations on our business. Any modified or new government regulation applicable to our current or future asset protection solutions may negatively impact the marketing and provision of those solutions and increase our costs of providing these solutions and have a corresponding adverse effect on our margins.</w:t>
      </w:r>
    </w:p>
    <w:p>
      <w:pPr>
        <w:spacing w:after="0" w:line="170"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Additionally, greenhouse gases that result from human activities, including burning of fossil fuels, have been the focus of increased scientific and political scrutiny and are being subjected to various legal requirements. International agreements, national laws, state laws and various regulatory schemes limit or otherwise regulate emissions of greenhouse gases, and additional restrictions are under consideration by different governmental entities. We derive a significant amount of revenues and profits from such industries, including oil and gas, power generation and transmission, and chemicals processing. Such regulations could negatively impact our customers, which could negatively impact the market for the services and products we provide. This could materially adversely affect our business, financial condition, results of operations and cash flows.</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rely on certification of our NDT solutions by industry standards-setting bodies. We and/or our subsidiaries currently have International Organization for Standardization (ISO) 9001:2008 certification, ISO 14001:2004 certification and OHSAS 18001:2007 certification. In addition, we currently have Nadcap (formerly National Aerospace and Defense Contractors Accreditation Program) and similar certifications for certain of our locations. We continually review our NDT solutions for compliance with the requirements of industry specification standards and the Nadcap special processes quality requirements.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color w:val="auto"/>
        </w:rPr>
        <w:t>However, if we fail to maintain our ISO, Nadcap or other certifications, our business may be harmed because our customers generally require that we have these certifications before they purchase our NDT solutions.</w:t>
      </w:r>
    </w:p>
    <w:p>
      <w:pPr>
        <w:spacing w:after="0" w:line="174" w:lineRule="exact"/>
        <w:rPr>
          <w:sz w:val="20"/>
          <w:szCs w:val="20"/>
          <w:color w:val="auto"/>
        </w:rPr>
      </w:pPr>
    </w:p>
    <w:p>
      <w:pPr>
        <w:ind w:right="540"/>
        <w:spacing w:after="0" w:line="272" w:lineRule="auto"/>
        <w:rPr>
          <w:sz w:val="20"/>
          <w:szCs w:val="20"/>
          <w:color w:val="auto"/>
        </w:rPr>
      </w:pPr>
      <w:r>
        <w:rPr>
          <w:rFonts w:ascii="Arial" w:cs="Arial" w:eastAsia="Arial" w:hAnsi="Arial"/>
          <w:sz w:val="18"/>
          <w:szCs w:val="18"/>
          <w:b w:val="1"/>
          <w:bCs w:val="1"/>
          <w:i w:val="1"/>
          <w:iCs w:val="1"/>
          <w:color w:val="auto"/>
        </w:rPr>
        <w:t>An accident or incident involving our asset protection solutions could expose us to claims, harm our reputation and adversely affect our ability to compete for business and, as a result, harm our operating performance.</w:t>
      </w:r>
    </w:p>
    <w:p>
      <w:pPr>
        <w:spacing w:after="0" w:line="17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could be exposed to liabilities arising out of the solutions we provide. For instance, we furnish the results of our testing and inspections for use by our customers in their assessment of their assets, facilities, plants and other structures. If such results were to be incorrect or incomplete, as a result of, for instance, poorly designed inspections, malfunctioning testing equipment or our employees’ failure to adequately test or properly record data, we could be subject to claims. Further, if an accident or incident involving a structure we tested occurs and causes personal injuries or property damage, such as the collapse of a bridge or an explosion in a facility, and particularly if these injuries or damages could have been prevented by our customers had we provided them with correct or complete results, we would likely face significant claims relating to personal injury, property damage or other losses. Even if our results are correct and complete, we may face claims for such injuries or damage simply because we tested the structure or facility in question. In addition, during the course of a single engagement, such as the inspection of a pipeline, we often perform tests on thousands of welds. Even if the accuracy of only a small number of these test results are questioned, a customer may attempt to refuse payment for the entire project. While we do have insurance, our insurance coverage does not cover non-payment by customers and may not be adequate to cover the damages from any of the prior referenced claims, forcing us to bear these uninsured damages directly, which could harm our operating results and may result in additional expenses and possible loss of revenues. An accident or incident for which we are found partially or fully responsible, even if fully insured, or even an incident at a customer or site for which we provide services although we were found not to be responsible, may also result in negative publicity, which would harm our reputation among our customers and the public, cause us to lose existing and future contracts or make it more difficult for us to compete effectively, thereby significantly harming our operating performance. In addition, the occurrence of an accident or incident might also make it more expensive or extremely difficult for us to insure against similar events in the future.</w:t>
      </w:r>
    </w:p>
    <w:p>
      <w:pPr>
        <w:spacing w:after="0" w:line="193"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Many of the sites at which we work are inherently dangerous workplaces. If we fail to maintain a safe work environment, we may incur losses and lose business.</w:t>
      </w:r>
    </w:p>
    <w:p>
      <w:pPr>
        <w:spacing w:after="0" w:line="17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Many of our customers, particularly in the oil and gas and chemical industries, require their inspectors and other contractors working at their facilities to have good safety records because of the inherent danger at these sites. If our employees are injured at the work place, we could incur costs for the injuries and lost productivity. In addition, safety records are impacted by the number and amount of workplace incidents involving a contractor’s employees. If our safety record is not within the levels required by our customers, or compares unfavorably to our competitors, we could lose business, be prevented from working at certain facilities or suffer other adverse consequences, all of which could negatively impact our business, revenues, reputation and profitability.</w:t>
      </w:r>
    </w:p>
    <w:p>
      <w:pPr>
        <w:spacing w:after="0" w:line="191" w:lineRule="exact"/>
        <w:rPr>
          <w:sz w:val="20"/>
          <w:szCs w:val="20"/>
          <w:color w:val="auto"/>
        </w:rPr>
      </w:pPr>
    </w:p>
    <w:p>
      <w:pPr>
        <w:ind w:right="2180"/>
        <w:spacing w:after="0" w:line="374" w:lineRule="auto"/>
        <w:rPr>
          <w:sz w:val="20"/>
          <w:szCs w:val="20"/>
          <w:color w:val="auto"/>
        </w:rPr>
      </w:pPr>
      <w:r>
        <w:rPr>
          <w:rFonts w:ascii="Arial" w:cs="Arial" w:eastAsia="Arial" w:hAnsi="Arial"/>
          <w:sz w:val="15"/>
          <w:szCs w:val="15"/>
          <w:b w:val="1"/>
          <w:bCs w:val="1"/>
          <w:i w:val="1"/>
          <w:iCs w:val="1"/>
          <w:color w:val="auto"/>
        </w:rPr>
        <w:t>If our software or system produces inaccurate information or are incompatible with the systems used by our customers and make us unable to successfully provide our solutions, it could lead to a loss of revenues and customers.</w:t>
      </w:r>
    </w:p>
    <w:p>
      <w:pPr>
        <w:spacing w:after="0" w:line="13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software and systems are complex and, accordingly, may contain undetected errors or failures. Software or system defects or inaccurate data may cause incorrect recording, reporting or display of information related to our asset protection solutions. Any such failures, defects and inaccurate data may prevent us from successfully providing our asset protection solutions, which could result in lost revenues. Software or system defects or inaccurate data may lead to customer dissatisfaction and could cause our customers to seek to hold us liable for any damages incurred. As a result, we could lose customers, our reputation may be harmed and our financial condition and results of operations could be materially adversely affected.</w:t>
      </w:r>
    </w:p>
    <w:p>
      <w:pPr>
        <w:spacing w:after="0" w:line="20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We currently serve a commercial, and industrial customer base that uses a wide variety of constantly changing hardware, software solutions and operating systems. Our asset protection solutions need to interface with these systems in order to gather and assess data. Our business depends on the following factors, among others:</w:t>
      </w:r>
    </w:p>
    <w:p>
      <w:pPr>
        <w:spacing w:after="0" w:line="212" w:lineRule="exact"/>
        <w:rPr>
          <w:sz w:val="20"/>
          <w:szCs w:val="20"/>
          <w:color w:val="auto"/>
        </w:rPr>
      </w:pPr>
    </w:p>
    <w:p>
      <w:pPr>
        <w:ind w:left="640" w:hanging="31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integrate our technology with new and existing hardware and software systems, of either Mistras or a customer;</w:t>
      </w:r>
    </w:p>
    <w:p>
      <w:pPr>
        <w:spacing w:after="0" w:line="20" w:lineRule="exact"/>
        <w:rPr>
          <w:rFonts w:ascii="Arial" w:cs="Arial" w:eastAsia="Arial" w:hAnsi="Arial"/>
          <w:sz w:val="18"/>
          <w:szCs w:val="18"/>
          <w:color w:val="auto"/>
        </w:rPr>
      </w:pPr>
    </w:p>
    <w:p>
      <w:pPr>
        <w:ind w:left="640" w:hanging="31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anticipate and support new standards, especially internet-based standards; and</w:t>
      </w:r>
    </w:p>
    <w:p>
      <w:pPr>
        <w:spacing w:after="0" w:line="7" w:lineRule="exact"/>
        <w:rPr>
          <w:rFonts w:ascii="Arial" w:cs="Arial" w:eastAsia="Arial" w:hAnsi="Arial"/>
          <w:sz w:val="18"/>
          <w:szCs w:val="18"/>
          <w:color w:val="auto"/>
        </w:rPr>
      </w:pPr>
    </w:p>
    <w:p>
      <w:pPr>
        <w:ind w:left="660" w:right="320" w:hanging="331"/>
        <w:spacing w:after="0" w:line="25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integrate additional software modules under development by either us or a customer, with our existing technology and operational processes.</w:t>
      </w:r>
    </w:p>
    <w:p>
      <w:pPr>
        <w:spacing w:after="0" w:line="214" w:lineRule="exact"/>
        <w:rPr>
          <w:sz w:val="20"/>
          <w:szCs w:val="20"/>
          <w:color w:val="auto"/>
        </w:rPr>
      </w:pPr>
    </w:p>
    <w:p>
      <w:pPr>
        <w:ind w:right="2180"/>
        <w:spacing w:after="0" w:line="272" w:lineRule="auto"/>
        <w:rPr>
          <w:sz w:val="20"/>
          <w:szCs w:val="20"/>
          <w:color w:val="auto"/>
        </w:rPr>
      </w:pPr>
      <w:r>
        <w:rPr>
          <w:rFonts w:ascii="Arial" w:cs="Arial" w:eastAsia="Arial" w:hAnsi="Arial"/>
          <w:sz w:val="18"/>
          <w:szCs w:val="18"/>
          <w:color w:val="auto"/>
        </w:rPr>
        <w:t>If we are unable to adequately address any of these factors, our results of operations and prospects for growth and profitability would be adversely impacted.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auto"/>
        </w:rPr>
        <w:t>If we are unable to attract and retain a sufficient number of trained certified technicians, engineers and scientists at competitive wages, changes in laws and other labor issues could materially affect our financial performance.</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believe that our success depends, in part, upon our ability to attract, develop and retain a sufficient number of trained certified technicians, engineers and scientists at competitive wages. The demand for such employees fluctuates as the demand for NDT and inspection services fluctuates. When the demand for qualified technicians increases, we will often experience increased labor costs, which we may not recover in the amounts we can charge our customers. The markets for our products and services require us to use personnel trained and certified in accordance with standards set by domestic or international standard-setting bodies, such as the American Society of Non-Destructive Testing or the API. Because of the limited supply of these certified technicians, we expend substantial resources maintaining in-house training and certification programs. If we fail to attract sufficient new personnel or fail to motivate and retain our current personnel, our ability to perform under existing contracts and orders or to pursue new business may be harmed, preventing us from growing our business or causing us to lose customers and revenues, and the costs of performing such contracts and orders may increase, which would likely reduce our margins.</w:t>
      </w:r>
    </w:p>
    <w:p>
      <w:pPr>
        <w:spacing w:after="0" w:line="207"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In addition, if our costs of labor or related costs increase for other reasons or if new or revised labor laws, rules or regulations or healthcare laws are adopted or implemented that further increase our labor costs, our financial performance could be materially adversely affected.</w:t>
      </w:r>
    </w:p>
    <w:p>
      <w:pPr>
        <w:spacing w:after="0" w:line="174" w:lineRule="exact"/>
        <w:rPr>
          <w:sz w:val="20"/>
          <w:szCs w:val="20"/>
          <w:color w:val="auto"/>
        </w:rPr>
      </w:pPr>
    </w:p>
    <w:p>
      <w:pPr>
        <w:ind w:right="580"/>
        <w:spacing w:after="0" w:line="272" w:lineRule="auto"/>
        <w:rPr>
          <w:sz w:val="20"/>
          <w:szCs w:val="20"/>
          <w:color w:val="auto"/>
        </w:rPr>
      </w:pPr>
      <w:r>
        <w:rPr>
          <w:rFonts w:ascii="Arial" w:cs="Arial" w:eastAsia="Arial" w:hAnsi="Arial"/>
          <w:sz w:val="18"/>
          <w:szCs w:val="18"/>
          <w:b w:val="1"/>
          <w:bCs w:val="1"/>
          <w:i w:val="1"/>
          <w:iCs w:val="1"/>
          <w:color w:val="auto"/>
        </w:rPr>
        <w:t>We operate in competitive markets and if we are unable to compete successfully, we could lose market share and revenues and our margins could decline.</w:t>
      </w:r>
    </w:p>
    <w:p>
      <w:pPr>
        <w:spacing w:after="0" w:line="1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face strong competition from NDT and a variety of niche asset protection providers, both larger and smaller than we are. Some of our competitors have greater financial resources than we do and could focus their substantial financial resources to develop a competing business model or develop products or services that are more attractive to potential customers than what we offer. Some of our competitors are business units of companies substantially larger than us and could attempt to combine asset protection solutions into an integrated offering to customers who already purchase other types of products or services from them. Our competitors may offer asset protection solutions at lower prices than ours in order to attempt to gain market share. Smaller niche competitors with small customer bases could be aggressive in their pricing in order to retain customers. These competitive factors could reduce our market share, revenues and profits.</w:t>
      </w:r>
    </w:p>
    <w:p>
      <w:pPr>
        <w:spacing w:after="0" w:line="221" w:lineRule="exact"/>
        <w:rPr>
          <w:sz w:val="20"/>
          <w:szCs w:val="20"/>
          <w:color w:val="auto"/>
        </w:rPr>
      </w:pPr>
    </w:p>
    <w:p>
      <w:pPr>
        <w:ind w:right="660"/>
        <w:spacing w:after="0" w:line="272" w:lineRule="auto"/>
        <w:rPr>
          <w:sz w:val="20"/>
          <w:szCs w:val="20"/>
          <w:color w:val="auto"/>
        </w:rPr>
      </w:pPr>
      <w:r>
        <w:rPr>
          <w:rFonts w:ascii="Arial" w:cs="Arial" w:eastAsia="Arial" w:hAnsi="Arial"/>
          <w:sz w:val="18"/>
          <w:szCs w:val="18"/>
          <w:b w:val="1"/>
          <w:bCs w:val="1"/>
          <w:i w:val="1"/>
          <w:iCs w:val="1"/>
          <w:color w:val="auto"/>
        </w:rPr>
        <w:t>The success of our businesses depends, in part, on our ability to develop new asset protection solutions, increase the functionality of our current offerings and meet the needs and demands of our customers.</w:t>
      </w:r>
    </w:p>
    <w:p>
      <w:pPr>
        <w:spacing w:after="0" w:line="1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market for asset protection solutions is impacted by technological change, uncertain product lifecycles, shifts in customer demands and evolving industry standards and regulations. If we fail to execute effective business strategies, or fail to successfully develop and market new asset protection solutions that comply with present or emerging industry regulations and technology standards, our competitive standing and results could suffer. Also, new regulations or technology standards could increase our cost of doing business.</w:t>
      </w:r>
    </w:p>
    <w:p>
      <w:pPr>
        <w:spacing w:after="0" w:line="18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From time to time, our customers have requested greater value and functionality in our solutions. As part of our strategy to enhance our asset protection solutions and grow our business, we continue to make investments in the research and development of new technologies, inspection tools and methodologies. We believe our future success will depend, in part, on our ability to continue to design new, competitive and broader asset protection solutions, enhance our current solutions and provide new, value-added services. Many traditional NDT and inspection services are subject to price competition by our customers. Accordingly, the need to demonstrate our value-added services is becoming more important. Developing new solutions will require continued investment, and we may experience unforeseen technological or operational challenges. In addition, our asset protection software is complex and can be expensive to develop, and new software and software enhancements can require long development and testing periods. If we are unable to develop new asset protection solutions or enhancements that meet market demands on a timely basis, including against possible alternative products developed and marketed by our competitors, we may experience a loss of customers or otherwise be likely to lose opportunities to earn revenues and to gain customers or access to markets, and our business and results of operations will be adversely affected.</w:t>
      </w:r>
    </w:p>
    <w:p>
      <w:pPr>
        <w:spacing w:after="0" w:line="167"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Even if we develop new solutions, if our customers, or potential customers, do not see the value our solutions have over competing products and services, our operating results could be adversely impacted. In addition, because the asset protection solutions industry is evolving, we could lose insight into trends that may be emerging, which would further harm our competitive position by making it difficult to predict and respond to customer needs. If the market for our asset protection solutions does not continue to develop, our ability to grow our business would be limited and we might not be able to maintain</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profitability. If we cannot convince our customers of the advantages and value of our advanced NDT services, we could lose large contracts or suffer lower profit margin.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seasonal nature of our business reduces our revenues and profitability in the winter and summer and related cash flows.</w:t>
      </w:r>
    </w:p>
    <w:p>
      <w:pPr>
        <w:spacing w:after="0" w:line="2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business is seasonal. The fall and spring revenues are typically higher than our revenues in the winter and summer because demand for our asset protection solutions from the oil and gas as well as the fossil and nuclear power industries increases during their non-peak production periods. For instance, U.S. refineries’ non-peak periods are generally in the fall, when they are retooling to produce more heating oil for winter, and in the spring, when they are retooling to produce more gasoline for summer. As a result of these trends, we generally have reduced cash flows in the fall and spring, as collections of receivables lag behind revenues, normally requiring us to increase our borrowings under our credit agreement. In addition, most of our operating expenses, such as employee compensation and property rental expense, are relatively fixed over the short term. Moreover, our spending levels are based in part on our expectations regarding future revenues. As a result, if revenues for a particular quarter are below expectations, we may not be able to proportionately reduce operating expenses for that quarter. We expect that the impact of seasonality will continue.</w:t>
      </w:r>
    </w:p>
    <w:p>
      <w:pPr>
        <w:spacing w:after="0" w:line="197" w:lineRule="exact"/>
        <w:rPr>
          <w:sz w:val="20"/>
          <w:szCs w:val="20"/>
          <w:color w:val="auto"/>
        </w:rPr>
      </w:pPr>
    </w:p>
    <w:p>
      <w:pPr>
        <w:ind w:right="540"/>
        <w:spacing w:after="0" w:line="336" w:lineRule="auto"/>
        <w:rPr>
          <w:sz w:val="20"/>
          <w:szCs w:val="20"/>
          <w:color w:val="auto"/>
        </w:rPr>
      </w:pPr>
      <w:r>
        <w:rPr>
          <w:rFonts w:ascii="Arial" w:cs="Arial" w:eastAsia="Arial" w:hAnsi="Arial"/>
          <w:sz w:val="16"/>
          <w:szCs w:val="16"/>
          <w:b w:val="1"/>
          <w:bCs w:val="1"/>
          <w:i w:val="1"/>
          <w:iCs w:val="1"/>
          <w:color w:val="auto"/>
        </w:rPr>
        <w:t>Our credit agreement contains financial and operating restrictions that may limit our access to credit. If we fail to comply with financial or other covenants in our credit agreement, we may be required to repay indebtedness to our existing lenders, which may harm our liquidity.</w:t>
      </w:r>
    </w:p>
    <w:p>
      <w:pPr>
        <w:spacing w:after="0" w:line="155" w:lineRule="exact"/>
        <w:rPr>
          <w:sz w:val="20"/>
          <w:szCs w:val="20"/>
          <w:color w:val="auto"/>
        </w:rPr>
      </w:pPr>
    </w:p>
    <w:p>
      <w:pPr>
        <w:ind w:right="2020"/>
        <w:spacing w:after="0" w:line="286" w:lineRule="auto"/>
        <w:rPr>
          <w:sz w:val="20"/>
          <w:szCs w:val="20"/>
          <w:color w:val="auto"/>
        </w:rPr>
      </w:pPr>
      <w:r>
        <w:rPr>
          <w:rFonts w:ascii="Arial" w:cs="Arial" w:eastAsia="Arial" w:hAnsi="Arial"/>
          <w:sz w:val="16"/>
          <w:szCs w:val="16"/>
          <w:color w:val="auto"/>
        </w:rPr>
        <w:t>Our credit agreement contains financial covenants that require us to maintain compliance with specified financial ratios. If we fail to comply with these covenants, the lenders could prevent us from borrowing under our credit agreement, require us to pay all amounts outstanding, require that we cash collateralize letters of credit issued under the credit agreement and restrict us from making acquisitions. If the maturity of our indebtedness is accelerated, we then may not have sufficient funds available for repayment or the ability to borrow or obtain sufficient funds to replace the accelerated indebtedness on terms acceptable to us, or at all. We believe that it is probable, based on the New Credit Agreement (as defined herein), that we will be able to comply with the financial covenants in our credit agreement and that sufficient credit remains available under the credit agreement to meet our liquidity needs. However, due to the uncertainties being caused by the significant volatility in oil prices and volatility in the aerospace production, such matters cannot be predicted with certainty.</w:t>
      </w:r>
    </w:p>
    <w:p>
      <w:pPr>
        <w:spacing w:after="0" w:line="198" w:lineRule="exact"/>
        <w:rPr>
          <w:sz w:val="20"/>
          <w:szCs w:val="20"/>
          <w:color w:val="auto"/>
        </w:rPr>
      </w:pPr>
    </w:p>
    <w:p>
      <w:pPr>
        <w:ind w:right="2120"/>
        <w:spacing w:after="0" w:line="271" w:lineRule="auto"/>
        <w:rPr>
          <w:sz w:val="20"/>
          <w:szCs w:val="20"/>
          <w:color w:val="auto"/>
        </w:rPr>
      </w:pPr>
      <w:r>
        <w:rPr>
          <w:rFonts w:ascii="Arial" w:cs="Arial" w:eastAsia="Arial" w:hAnsi="Arial"/>
          <w:sz w:val="17"/>
          <w:szCs w:val="17"/>
          <w:color w:val="auto"/>
        </w:rPr>
        <w:t>Our current credit agreement also imposes restrictions on our ability to engage in certain activities, such as creating liens, making certain investments, incurring more debt, disposing of certain property, paying dividends and making distributions and entering into a new line of business. While these restrictions have not impeded our business operations to date, if our plans change, these restrictions could be burdensome or require that we pay fees to have the restrictions waived. In addition, due to our current debt levels and restrictions related to the debt covenants in our credit facility, we do not expect to make any acquisitions in 2023 other than small acquisitions with the banks’ approval.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regarding our information technology and security.</w:t>
      </w:r>
    </w:p>
    <w:p>
      <w:pPr>
        <w:spacing w:after="0" w:line="249" w:lineRule="exact"/>
        <w:rPr>
          <w:sz w:val="20"/>
          <w:szCs w:val="20"/>
          <w:color w:val="auto"/>
        </w:rPr>
      </w:pPr>
    </w:p>
    <w:p>
      <w:pPr>
        <w:ind w:right="2000"/>
        <w:spacing w:after="0" w:line="281" w:lineRule="auto"/>
        <w:rPr>
          <w:sz w:val="20"/>
          <w:szCs w:val="20"/>
          <w:color w:val="auto"/>
        </w:rPr>
      </w:pPr>
      <w:r>
        <w:rPr>
          <w:rFonts w:ascii="Arial" w:cs="Arial" w:eastAsia="Arial" w:hAnsi="Arial"/>
          <w:sz w:val="16"/>
          <w:szCs w:val="16"/>
          <w:color w:val="auto"/>
        </w:rPr>
        <w:t>Significant disruptions of our information technology systems or breaches of information security could adversely affect our business. We rely upon information technology systems to operate many parts of our business. We routinely collect, store and transmit large amounts of sensitive or confidential information, including data from the results of our testing and inspections. We deploy and operate various technical and procedural controls to maintain the confidentiality and integrity of such sensitive or confidential information. Furthermore, as we automate more of our inspection process and procedures, including through the use of MISTRAS Digital, we become more vulnerable to security breaches and other system disruptions. In addition, we rely on third parties for significant elements of our information technology infrastructure and, as a result, we are managing many independent vendor relationships with third parties who may or could have access to our confidential information. The size and</w:t>
      </w:r>
    </w:p>
    <w:p>
      <w:pPr>
        <w:spacing w:after="0" w:line="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complexity of our information technology and information security systems, and those of our third-party vendors with whom we contract (and the large amounts of confidential information that is present on them), make such systems potentially vulnerable to service interruptions or to security breaches from inadvertent or intentional actions by our employees or vendors, or from attacks by malicious third parties. Such attacks are of ever-increasing levels of sophistication and expertise, including organized criminal groups, “hacktivists” and others. Due to the nature of some of these attacks, there is a risk that they may remain undetected for a period of time. While we have invested in the protection of data and information technology, there can be no assurance that our efforts will prevent service interruptions or security breaches. Any such interruption or breach of our systems could adversely affect our business operations and/or result in the loss of critical or sensitive confidential information, and could result in financial, legal, business and reputational harm to us. We maintain cyber liability insurance. However, this insurance may not be sufficient to cover the financial, legal, business or reputational losses that may result from an interruption or breach of our systems. The occurrence or perception of security breaches in connection with our asset protection solutions or</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our customers’ concerns about internet security or the security of our solutions, whether warranted or not, would likely harm our reputation and business, inhibit market acceptance of our asset protection solutions and cause us to lose customers, any of which would harm our financial condition and results of operations.</w:t>
      </w:r>
    </w:p>
    <w:p>
      <w:pPr>
        <w:spacing w:after="0" w:line="212" w:lineRule="exact"/>
        <w:rPr>
          <w:sz w:val="20"/>
          <w:szCs w:val="20"/>
          <w:color w:val="auto"/>
        </w:rPr>
      </w:pPr>
    </w:p>
    <w:p>
      <w:pPr>
        <w:ind w:right="2100"/>
        <w:spacing w:after="0" w:line="254" w:lineRule="auto"/>
        <w:rPr>
          <w:sz w:val="20"/>
          <w:szCs w:val="20"/>
          <w:color w:val="auto"/>
        </w:rPr>
      </w:pPr>
      <w:r>
        <w:rPr>
          <w:rFonts w:ascii="Arial" w:cs="Arial" w:eastAsia="Arial" w:hAnsi="Arial"/>
          <w:sz w:val="18"/>
          <w:szCs w:val="18"/>
          <w:color w:val="auto"/>
        </w:rPr>
        <w:t>In addition, much of our computer and communications hardware is located at a single facility. We have a back-up data-center and storage in a different geographic area. Should a natural disaster or some other event occur that damages our primary data center or significantly disrupts its operation, such as human error, fire, flood, power loss, telecommunications failure, break-ins, terrorist attacks, acts of war and similar events, we could suffer temporary interruption of key functions and capabilities before the back-up facility is fully operational.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such as natural disasters, industrial accidents, epidemics, pandemics, war and acts of terrorism, and adverse weather</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conditions could disrupt our business or the business of our customers, which could significantly harm our operations, financial results and cash flow.</w:t>
      </w:r>
    </w:p>
    <w:p>
      <w:pPr>
        <w:spacing w:after="0" w:line="271" w:lineRule="exact"/>
        <w:rPr>
          <w:sz w:val="20"/>
          <w:szCs w:val="20"/>
          <w:color w:val="auto"/>
        </w:rPr>
      </w:pPr>
    </w:p>
    <w:p>
      <w:pPr>
        <w:ind w:right="2180"/>
        <w:spacing w:after="0" w:line="281" w:lineRule="auto"/>
        <w:rPr>
          <w:sz w:val="20"/>
          <w:szCs w:val="20"/>
          <w:color w:val="auto"/>
        </w:rPr>
      </w:pPr>
      <w:r>
        <w:rPr>
          <w:rFonts w:ascii="Arial" w:cs="Arial" w:eastAsia="Arial" w:hAnsi="Arial"/>
          <w:sz w:val="16"/>
          <w:szCs w:val="16"/>
          <w:color w:val="auto"/>
        </w:rPr>
        <w:t>Our operations and those of our customers are susceptible to the occurrence of catastrophic events outside our control, which may include events like epidemics, pandemics and other health crises, severe weather conditions, industrial accidents, and acts of war and terrorism, to name a few. We continue to actively monitor the war between Russia and Ukraine and the sanctions imposed upon Russia in order to assess impacts to our customers and our operations. At this time, we do not believe there is a material impact on our operations, however the future impact of the conflict, and additional sanctions imposed, are uncertain. Any such events could cause a serious business disruption that reduces our customers’ need or interest in purchasing our asset protection solutions. In the past, such events have resulted in order cancellations and delays because customer equipment, facilities or operations have been damaged, or are not then operational or available. A large portion of our customer base has operations in the Gulf of Mexico, which is subject to hurricanes and tropical storms. Hurricane-related disruptions to our</w:t>
      </w:r>
    </w:p>
    <w:p>
      <w:pPr>
        <w:spacing w:after="0" w:line="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customers’ operations have adversely affected our revenues in the past. Such events in the future may result in substantial delays in the provision of solutions to our customers and the loss of valuable equipment. In addition, our results can be adversely impacted by severe winter weather conditions, which can result in lost workdays and temporary closures of customer facilities or outdoor projects.</w:t>
      </w:r>
    </w:p>
    <w:p>
      <w:pPr>
        <w:spacing w:after="0" w:line="217" w:lineRule="exact"/>
        <w:rPr>
          <w:sz w:val="20"/>
          <w:szCs w:val="20"/>
          <w:color w:val="auto"/>
        </w:rPr>
      </w:pPr>
    </w:p>
    <w:p>
      <w:pPr>
        <w:ind w:right="2240"/>
        <w:spacing w:after="0" w:line="302" w:lineRule="auto"/>
        <w:rPr>
          <w:sz w:val="20"/>
          <w:szCs w:val="20"/>
          <w:color w:val="auto"/>
        </w:rPr>
      </w:pPr>
      <w:r>
        <w:rPr>
          <w:rFonts w:ascii="Arial" w:cs="Arial" w:eastAsia="Arial" w:hAnsi="Arial"/>
          <w:sz w:val="17"/>
          <w:szCs w:val="17"/>
          <w:color w:val="auto"/>
        </w:rPr>
        <w:t>In addition, these events could disrupt commodity prices or financial markets or have other negative macroeconomic impacts, such as the on-going war between Ukraine and Russia, which could harm our business.</w:t>
      </w:r>
    </w:p>
    <w:p>
      <w:pPr>
        <w:spacing w:after="0" w:line="152"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b w:val="1"/>
          <w:bCs w:val="1"/>
          <w:i w:val="1"/>
          <w:iCs w:val="1"/>
          <w:color w:val="auto"/>
        </w:rPr>
        <w:t>Our long-term growth strategy may include acquisitions. We may not be able to identify suitable acquisition candidates or integrate acquired businesses successfully, which may adversely impact our results. Furthermore, acquisitions that we have completed or may complete in the future could expose us to a number of unanticipated operational and financial risks.</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 significant factor in our growth over the years has been based upon our ability to make acquisitions and successfully integrate these acquired businesses. We have used acquisitions both to expand into new markets and to enhance our position in existing markets. This strategy has provided us with many benefits and has helped fuel our growth, but also carries with it many risks. We have not made a material acquisition in the past four years, and we do not expect to make material acquisitions in 2023. Non-U.S. acquisitions provide the potential for greater exposure to risks associated with international operations.</w:t>
      </w:r>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have a significant amount of goodwill and other intangible assets on our balance sheet from our acquisitions. If our acquisitions do not perform as planned and we do not realize the benefits and profitability we expect, we could incur significant write-downs and impairment charges to our earnings due to the impairment of the goodwill and other intangible assets we have acquired or acquire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6"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b w:val="1"/>
          <w:bCs w:val="1"/>
          <w:i w:val="1"/>
          <w:iCs w:val="1"/>
          <w:color w:val="auto"/>
        </w:rPr>
        <w:t>A significant stockholder has significant influence over the direction of our business. The concentrated ownership of our common stock may prevent other stockholders from influencing significant corporate decisions.</w:t>
      </w:r>
    </w:p>
    <w:p>
      <w:pPr>
        <w:spacing w:after="0" w:line="17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Dr. Sotirios J. Vahaviolos, our founder and Executive Chairman, owns approximately 6% of our outstanding common stock, his three adult children own an additional 6%, in the aggregate, and a grantor retained annuity trust he created, for which his daughter is the sole trustee, owns approximately 23%. As a result, Dr. Vahaviolos and his family have significant control over our Company and have the ability to exert substantial influence over all matters requiring approval by our shareholders, including the election and removal of directors, amendments to our certificate of incorporation, and any proposed merger, consolidation or sale of all or substantially all of our assets and other corporate transactions. This concentration of ownership could be disadvantageous to other shareholders with differing interests from Dr. Vahaviolos and his family.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plans to pay dividends on our common stock.</w:t>
      </w:r>
    </w:p>
    <w:p>
      <w:pPr>
        <w:spacing w:after="0" w:line="222" w:lineRule="exact"/>
        <w:rPr>
          <w:sz w:val="20"/>
          <w:szCs w:val="20"/>
          <w:color w:val="auto"/>
        </w:rPr>
      </w:pPr>
    </w:p>
    <w:p>
      <w:pPr>
        <w:jc w:val="both"/>
        <w:ind w:right="80"/>
        <w:spacing w:after="0" w:line="260" w:lineRule="auto"/>
        <w:rPr>
          <w:sz w:val="20"/>
          <w:szCs w:val="20"/>
          <w:color w:val="auto"/>
        </w:rPr>
      </w:pPr>
      <w:r>
        <w:rPr>
          <w:rFonts w:ascii="Arial" w:cs="Arial" w:eastAsia="Arial" w:hAnsi="Arial"/>
          <w:sz w:val="18"/>
          <w:szCs w:val="18"/>
          <w:color w:val="auto"/>
        </w:rPr>
        <w:t>We have not declared or paid any cash dividends on our common stock to date, and we do not anticipate declaring or paying any dividends on our common stock in the foreseeable future. To the extent we do not pay dividends on our common stock, investors must look solely to stock appreciation for a return on their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cause the market price for our common stock to decline even if our business is doing well.</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Future sales by us or by our existing stockholders of substantial amounts of our common stock in the public market, or the perception that these sales may occur, could cause the market price of our common stock to decline. This could also impair our ability to raise additional capital in the future through the sale of our equity securities. We cannot predict the size of future issuances of our common stock or the effect, if any, that future sales and issuances of shares of our common stock, or the perception of such sales or issuances, would have on the market price of our common stock. We currently have approximately 170 million shares of common stock available for issuance.</w:t>
      </w:r>
    </w:p>
    <w:p>
      <w:pPr>
        <w:spacing w:after="0" w:line="192"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b w:val="1"/>
          <w:bCs w:val="1"/>
          <w:i w:val="1"/>
          <w:iCs w:val="1"/>
          <w:color w:val="auto"/>
        </w:rPr>
        <w:t>Provisions of our charter, bylaws and of Delaware law could discourage, delay or prevent a change of control of our company, which may adversely affect the market price of our common stock.</w:t>
      </w:r>
    </w:p>
    <w:p>
      <w:pPr>
        <w:spacing w:after="0" w:line="17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Certain provisions of our certificate of incorporation and bylaws could discourage, delay or prevent a merger, acquisition, or other change of control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spacing w:after="0" w:line="175" w:lineRule="exact"/>
        <w:rPr>
          <w:sz w:val="20"/>
          <w:szCs w:val="20"/>
          <w:color w:val="auto"/>
        </w:rPr>
      </w:pPr>
    </w:p>
    <w:p>
      <w:pPr>
        <w:ind w:left="640" w:hanging="31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w:t>
      </w:r>
    </w:p>
    <w:p>
      <w:pPr>
        <w:spacing w:after="0" w:line="154" w:lineRule="exact"/>
        <w:rPr>
          <w:rFonts w:ascii="Arial" w:cs="Arial" w:eastAsia="Arial" w:hAnsi="Arial"/>
          <w:sz w:val="18"/>
          <w:szCs w:val="18"/>
          <w:color w:val="auto"/>
        </w:rPr>
      </w:pPr>
    </w:p>
    <w:p>
      <w:pPr>
        <w:ind w:left="640" w:hanging="311"/>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require that vacancies on the board of directors, including newly created directorships, be filled only by a majority vote of directors then in office;</w:t>
      </w:r>
    </w:p>
    <w:p>
      <w:pPr>
        <w:spacing w:after="0" w:line="164" w:lineRule="exact"/>
        <w:rPr>
          <w:rFonts w:ascii="Arial" w:cs="Arial" w:eastAsia="Arial" w:hAnsi="Arial"/>
          <w:sz w:val="16"/>
          <w:szCs w:val="16"/>
          <w:color w:val="auto"/>
        </w:rPr>
      </w:pPr>
    </w:p>
    <w:p>
      <w:pPr>
        <w:ind w:left="660" w:right="140" w:hanging="331"/>
        <w:spacing w:after="0" w:line="302"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stockholder approval, preferred stock that, if issued, could operate as a “poison pill” to dilute the stock ownership of a potential hostile acquirer to prevent an acquisition that is not approved by our board of directors;</w:t>
      </w:r>
    </w:p>
    <w:p>
      <w:pPr>
        <w:spacing w:after="0" w:line="84" w:lineRule="exact"/>
        <w:rPr>
          <w:rFonts w:ascii="Arial" w:cs="Arial" w:eastAsia="Arial" w:hAnsi="Arial"/>
          <w:sz w:val="17"/>
          <w:szCs w:val="17"/>
          <w:color w:val="auto"/>
        </w:rPr>
      </w:pPr>
    </w:p>
    <w:p>
      <w:pPr>
        <w:ind w:left="640" w:hanging="311"/>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by prohibiting stockholder action by written consent;</w:t>
      </w:r>
    </w:p>
    <w:p>
      <w:pPr>
        <w:spacing w:after="0" w:line="166" w:lineRule="exact"/>
        <w:rPr>
          <w:rFonts w:ascii="Arial" w:cs="Arial" w:eastAsia="Arial" w:hAnsi="Arial"/>
          <w:sz w:val="17"/>
          <w:szCs w:val="17"/>
          <w:color w:val="auto"/>
        </w:rPr>
      </w:pPr>
    </w:p>
    <w:p>
      <w:pPr>
        <w:ind w:left="660" w:right="880" w:hanging="331"/>
        <w:spacing w:after="0" w:line="27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which may otherwise allow holders of less than a majority of stock to elect some directors; and</w:t>
      </w:r>
    </w:p>
    <w:p>
      <w:pPr>
        <w:spacing w:after="0" w:line="93" w:lineRule="exact"/>
        <w:rPr>
          <w:rFonts w:ascii="Arial" w:cs="Arial" w:eastAsia="Arial" w:hAnsi="Arial"/>
          <w:sz w:val="18"/>
          <w:szCs w:val="18"/>
          <w:color w:val="auto"/>
        </w:rPr>
      </w:pPr>
    </w:p>
    <w:p>
      <w:pPr>
        <w:ind w:left="660" w:right="320" w:hanging="331"/>
        <w:spacing w:after="0" w:line="276"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 advance notice requirements for stockholder nominations to our board of directors or for stockholder proposals that can be acted on at stockholder meetings and limit the right to call special meetings of stockholders to the Chairman of our board, our Chief Executive Officer, our board of directors acting pursuant to a resolution adopted by a majority of directors or our Secretary upon the written request of stockholders entitled to cast not less than 35% of all the votes entitled to be cast at such meeting.</w:t>
      </w:r>
    </w:p>
    <w:p>
      <w:pPr>
        <w:spacing w:after="0" w:line="173" w:lineRule="exact"/>
        <w:rPr>
          <w:sz w:val="20"/>
          <w:szCs w:val="20"/>
          <w:color w:val="auto"/>
        </w:rPr>
      </w:pPr>
    </w:p>
    <w:p>
      <w:pPr>
        <w:jc w:val="both"/>
        <w:ind w:right="200"/>
        <w:spacing w:after="0" w:line="260"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fluctuate for numerous reasons, including variations in our results.</w:t>
      </w:r>
    </w:p>
    <w:p>
      <w:pPr>
        <w:spacing w:after="0" w:line="20" w:lineRule="exact"/>
        <w:rPr>
          <w:sz w:val="20"/>
          <w:szCs w:val="20"/>
          <w:color w:val="auto"/>
        </w:rPr>
      </w:pPr>
    </w:p>
    <w:p>
      <w:pPr>
        <w:ind w:right="2180"/>
        <w:spacing w:after="0" w:line="279" w:lineRule="auto"/>
        <w:rPr>
          <w:sz w:val="20"/>
          <w:szCs w:val="20"/>
          <w:color w:val="auto"/>
        </w:rPr>
      </w:pPr>
      <w:r>
        <w:rPr>
          <w:rFonts w:ascii="Arial" w:cs="Arial" w:eastAsia="Arial" w:hAnsi="Arial"/>
          <w:sz w:val="16"/>
          <w:szCs w:val="16"/>
          <w:color w:val="auto"/>
        </w:rPr>
        <w:t>Our quarterly operating results have fluctuated in the past and may do so in the future. Accordingly, we believe that period-to-period comparisons of our results of operations may be the best indicators of our business. You should not rely upon</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results of one quarter as an indication of future performance. Our revenues and operating results may fall below the expectations of securities analysts or investors in any future period. Our failure to meet these expectations may cause the market price of our common stock to decline, perhaps substantially. Our quarterly revenues and operating results may vary depending on a number of factors, including those listed previously under “—Risks Related to Our Business.” In addition, the price of our</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2320"/>
        <w:spacing w:after="0" w:line="272" w:lineRule="auto"/>
        <w:rPr>
          <w:sz w:val="20"/>
          <w:szCs w:val="20"/>
          <w:color w:val="auto"/>
        </w:rPr>
      </w:pPr>
      <w:r>
        <w:rPr>
          <w:rFonts w:ascii="Arial" w:cs="Arial" w:eastAsia="Arial" w:hAnsi="Arial"/>
          <w:sz w:val="18"/>
          <w:szCs w:val="18"/>
          <w:color w:val="auto"/>
        </w:rPr>
        <w:t>common stock is subject to general economic, market, industry, and competitive conditions, the risk factors discussed herein and numerous other conditions outside of our control.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adversely affected our business and operations and may continue to do so in the future.</w:t>
      </w:r>
    </w:p>
    <w:p>
      <w:pPr>
        <w:spacing w:after="0" w:line="249"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Throughout 2022, conditions continued to improve and subside related to the COVID-19 coronavirus (COVID-19) pandemic in domestic and international markets and operations began approaching pre-pandemic levels of activity.</w:t>
      </w:r>
    </w:p>
    <w:p>
      <w:pPr>
        <w:spacing w:after="0" w:line="2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While we recovered during 2022 from most of the negative effects of the COVID-19 pandemic on our business and operations, we are unable to predict the nature or duration of the COVID-19 pandemic and the effect the pandemic will have on our business, financial condition, liquidity, cash flow and results of operations in the future. If the pandemic re-emerges, or another similar outbreak occurs, longer or in a manner more adverse that expected, or has a greater adverse impact on our customers, our financial conditions could be adversely impacted and we may encounter difficulties meeting the financial covenants in our credit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Deteriorations in economic conditions in certain markets or other factors may cause us to recognize impairment charges for our goodwill.</w:t>
      </w:r>
    </w:p>
    <w:p>
      <w:pPr>
        <w:spacing w:after="0" w:line="260" w:lineRule="exact"/>
        <w:rPr>
          <w:sz w:val="20"/>
          <w:szCs w:val="20"/>
          <w:color w:val="auto"/>
        </w:rPr>
      </w:pPr>
    </w:p>
    <w:p>
      <w:pPr>
        <w:jc w:val="both"/>
        <w:ind w:right="60"/>
        <w:spacing w:after="0" w:line="260" w:lineRule="auto"/>
        <w:rPr>
          <w:sz w:val="20"/>
          <w:szCs w:val="20"/>
          <w:color w:val="auto"/>
        </w:rPr>
      </w:pPr>
      <w:r>
        <w:rPr>
          <w:rFonts w:ascii="Arial" w:cs="Arial" w:eastAsia="Arial" w:hAnsi="Arial"/>
          <w:sz w:val="18"/>
          <w:szCs w:val="18"/>
          <w:color w:val="auto"/>
        </w:rPr>
        <w:t>While we significantly recovered during 2022, future deterioration in industry or economic conditions in which we operate, including disruptions in Europe or elsewhere as a result of the war between Russia and Ukraine, disruptions to our business, not effectively integrating acquired businesses, or other factors, may cause impairment charges to our goodwill in future periods.</w:t>
      </w:r>
    </w:p>
    <w:p>
      <w:pPr>
        <w:spacing w:after="0" w:line="185" w:lineRule="exact"/>
        <w:rPr>
          <w:sz w:val="20"/>
          <w:szCs w:val="20"/>
          <w:color w:val="auto"/>
        </w:rPr>
      </w:pPr>
    </w:p>
    <w:p>
      <w:pPr>
        <w:ind w:right="680"/>
        <w:spacing w:after="0" w:line="272" w:lineRule="auto"/>
        <w:rPr>
          <w:sz w:val="20"/>
          <w:szCs w:val="20"/>
          <w:color w:val="auto"/>
        </w:rPr>
      </w:pPr>
      <w:r>
        <w:rPr>
          <w:rFonts w:ascii="Arial" w:cs="Arial" w:eastAsia="Arial" w:hAnsi="Arial"/>
          <w:sz w:val="18"/>
          <w:szCs w:val="18"/>
          <w:b w:val="1"/>
          <w:bCs w:val="1"/>
          <w:i w:val="1"/>
          <w:iCs w:val="1"/>
          <w:color w:val="auto"/>
        </w:rPr>
        <w:t>We are subject to privacy and data security/protection laws in the jurisdictions in which we operate and may be exposed to substantial costs and liabilities associated with such laws and regulations.</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regulatory environment surrounding information security and privacy is increasingly demanding, with frequent imposition of new and changing requirements. The European Union's General Data Protection Regulation (“GDPR”), which became effective in May 2018, imposed significant new requirements on how companies process and transfer personal data, as well as significant fines for non-compliance. In addition to GDPR, many states in the U.S. and provinces in Canada have enacted, or are considering, data privacy requirements similar to GDPR, and thus we will need to ensure our procedures comply with these various state and provincial laws. Compliance with changes in privacy and information security laws and standards may result in significant expense due to increased investment in technology and the development of new operational processes, which could have a material adverse effect on our financial condition and results of operations. In addition, the payment of potentially significant fines or penalties in the event of a breach of privacy and information security laws, as well as the negative publicity associated with such a breach, could damage our reputation and adversely impact product demand and customer relationships.</w:t>
      </w:r>
    </w:p>
    <w:p>
      <w:pPr>
        <w:spacing w:after="0" w:line="207"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b w:val="1"/>
          <w:bCs w:val="1"/>
          <w:i w:val="1"/>
          <w:iCs w:val="1"/>
          <w:color w:val="auto"/>
        </w:rPr>
        <w:t>If we lose key members of our senior management team upon whom we are dependent, we may be less effective in managing our operations and may have more difficulty achieving our strategic objectives.</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future success depends to a considerable degree upon the availability, contributions, vision, skills, experience and effort of our senior management team. We have in place various compensation programs, such as an annual cash incentive program, equity incentive program and a severance policy, each designed to incentivize and retain our key senior managers. At this time, we do not have any reason to believe that we may lose the services of any of these key persons in the foreseeable future and we believe our compensation programs will help us retain these individuals. However, an unplanned loss or interruption of the service of numerous key members of our senior management team could harm our business, financial condition and results of operations and could significantly reduce our ability to manage our operations and implement our strategy.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may impact our business and results of operations.</w:t>
      </w:r>
    </w:p>
    <w:p>
      <w:pPr>
        <w:spacing w:after="0" w:line="22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ability to compete effectively depends in part upon the maintenance and protection of the intellectual property related to our asset protection solutions. Patent protection is unavailable for certain aspects of the technology and operational processes important to our business and any patent or patent applications, trademarks or copyrights held by us or to be issued to us, may not adequately protect us. To date, we have relied principally on copyright, trademark and trade secrecy laws, as well as confidentiality agreements and licensing arrangements, and more recently, patent protection, to establish and protect our intellectual property. However, we have not obtained confidentiality agreements from all our customers. Although we obligate our employees to confidentiality, we cannot be certain that these obligations will be honored or enforceable in all circumstances.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which might not be available.</w:t>
      </w:r>
    </w:p>
    <w:p>
      <w:pPr>
        <w:spacing w:after="0" w:line="22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intend to continue making investments to support our business growth and may require additional funds to respond to business challenges or opportunities, including the need to develop new, or enhance our current, asset protection solutions, enhance our operating infrastructure or acquire businesses and technologies. Accordingly, we may need to engage in equity or debt financings to secure additional funds. If we raise additional funds through further issuances of equity or convertible debt securities, our current stockholders could suffer significant dilution, and any new equity securities we issue could have rights, preferences and privileges superior to those of holders of our common stock. Our current credit facility meets our current needs, except that due to our current debt levels, the facility limits our ability to make acquisitions without the banks' approval until our debt ratio improves. If we were to secure other debt financing in the future, it could involve restrictive covenants relating to our capital-raising activities and other financial and operational matters, which may make it more difficult for us to obtain additional capital and to pursue business opportunities, including potential acquisitions. In addition, no assurance can be given that adequate or acceptable financing will be available to us, in which case we may not be able to grow our business, including through acquisitions, or respond to business challenges.</w:t>
      </w:r>
    </w:p>
    <w:p>
      <w:pPr>
        <w:spacing w:after="0" w:line="20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of December 31, 2022, we operated approximately 120 facilities in 11 countries, with our corporate headquarters located in Princeton Junction, New Jersey. Our headquarters in Princeton Junction is our primary location, where most of our manufacturing and research and development is conducted. While we lease most of our facilities, as of December 31, 2022, we owned properties located in Monroe, North Carolina; Trainer, Pennsylvania; LaPorte, Texas; Burlington, Washington; Evanston, Wyoming; and Jonquiere, Quebec, Canada. Our Services segment utilizes approximately 80 facilities throughout North America (including Canada and Mexico). Our Products and Systems segment’s primary location is in our Princeton Junction, NJ facility. Our International segment has approximately 40 facilities including locations in Belgium, Brazil, France, Germany, Greece, India, the Netherlands and the United Kingdom. We believe that all of our facilities are well maintained and are suitable and adequate for the foreseeable future.</w:t>
      </w:r>
    </w:p>
    <w:p>
      <w:pPr>
        <w:spacing w:after="0" w:line="16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We are subject to periodic legal proceedings, investigations and claims that arise in the ordinary course of business. See “Legal Proceedings and Government Investigations - Litigation and Commercial Claims” in Note </w:t>
      </w:r>
      <w:r>
        <w:rPr>
          <w:rFonts w:ascii="Arial" w:cs="Arial" w:eastAsia="Arial" w:hAnsi="Arial"/>
          <w:sz w:val="18"/>
          <w:szCs w:val="18"/>
          <w:i w:val="1"/>
          <w:iCs w:val="1"/>
          <w:color w:val="auto"/>
        </w:rPr>
        <w:t>18-Commitments and Contingencies</w:t>
      </w:r>
      <w:r>
        <w:rPr>
          <w:rFonts w:ascii="Arial" w:cs="Arial" w:eastAsia="Arial" w:hAnsi="Arial"/>
          <w:sz w:val="18"/>
          <w:szCs w:val="18"/>
          <w:color w:val="auto"/>
        </w:rPr>
        <w:t xml:space="preserve"> to our audited consolidated financial statements contained in Item 8 of this Annual Report for a description of legal proceedings involving us and our business, which is incorporated herein by reference.</w:t>
      </w:r>
    </w:p>
    <w:p>
      <w:pPr>
        <w:spacing w:after="0" w:line="200" w:lineRule="exact"/>
        <w:rPr>
          <w:sz w:val="20"/>
          <w:szCs w:val="20"/>
          <w:color w:val="auto"/>
        </w:rPr>
      </w:pPr>
    </w:p>
    <w:p>
      <w:pPr>
        <w:spacing w:after="0" w:line="25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5"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currently trades on the New York Stock Exchange under the ticker symbol “MG.”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6"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As of March 10, 2023, there were 10 holders of record of our common stock. The number of record holders was determined from the records of our transfer agent and does not include beneficial owners of common stock whose shares are held in the names of various security brokers, dealers, and registered clearing agencies. The transfer agent of our common stock is American Stock Transfer &amp; Trust Company, 6201 15th Avenue, Brooklyn, New York 11219.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color w:val="auto"/>
        </w:rPr>
        <w:t>No cash dividends have been paid on our Common Stock to date. We currently intend to retain our future earnings, if any, to finance the expansion of our business and do not expect to pay any cash dividends in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6" w:lineRule="exact"/>
        <w:rPr>
          <w:sz w:val="20"/>
          <w:szCs w:val="20"/>
          <w:color w:val="auto"/>
        </w:rPr>
      </w:pPr>
    </w:p>
    <w:p>
      <w:pPr>
        <w:ind w:right="700"/>
        <w:spacing w:after="0" w:line="300" w:lineRule="auto"/>
        <w:rPr>
          <w:sz w:val="20"/>
          <w:szCs w:val="20"/>
          <w:color w:val="auto"/>
        </w:rPr>
      </w:pPr>
      <w:r>
        <w:rPr>
          <w:rFonts w:ascii="Arial" w:cs="Arial" w:eastAsia="Arial" w:hAnsi="Arial"/>
          <w:sz w:val="16"/>
          <w:szCs w:val="16"/>
          <w:color w:val="auto"/>
        </w:rPr>
        <w:t>The following sets forth the shares of our common stock we acquired during the fourth quarter of 2022. All purchases were effected pursuant to the surrender of shares by employees to satisfy minimum tax withholding obligations in connection with the vesting of restricted stock units.</w:t>
      </w:r>
    </w:p>
    <w:tbl>
      <w:tblPr>
        <w:tblLayout w:type="fixed"/>
        <w:tblInd w:w="0" w:type="dxa"/>
        <w:tblCellMar>
          <w:top w:w="0" w:type="dxa"/>
          <w:left w:w="0" w:type="dxa"/>
          <w:bottom w:w="0" w:type="dxa"/>
          <w:right w:w="0" w:type="dxa"/>
        </w:tblCellMar>
      </w:tblPr>
      <w:tr>
        <w:trPr>
          <w:trHeight w:val="148"/>
        </w:trPr>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5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Total Number of Shares (or</w:t>
            </w:r>
          </w:p>
        </w:tc>
        <w:tc>
          <w:tcPr>
            <w:tcW w:w="180" w:type="dxa"/>
            <w:vAlign w:val="bottom"/>
          </w:tcPr>
          <w:p>
            <w:pPr>
              <w:spacing w:after="0"/>
              <w:rPr>
                <w:sz w:val="12"/>
                <w:szCs w:val="12"/>
                <w:color w:val="auto"/>
              </w:rPr>
            </w:pPr>
          </w:p>
        </w:tc>
        <w:tc>
          <w:tcPr>
            <w:tcW w:w="18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7"/>
              </w:rPr>
              <w:t>Average Price Paid per</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Total Number of Shares Purchased</w:t>
            </w:r>
          </w:p>
        </w:tc>
        <w:tc>
          <w:tcPr>
            <w:tcW w:w="25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Approximate Dollar Value of Shares</w:t>
            </w:r>
          </w:p>
        </w:tc>
        <w:tc>
          <w:tcPr>
            <w:tcW w:w="0" w:type="dxa"/>
            <w:vAlign w:val="bottom"/>
          </w:tcPr>
          <w:p>
            <w:pPr>
              <w:spacing w:after="0"/>
              <w:rPr>
                <w:sz w:val="1"/>
                <w:szCs w:val="1"/>
                <w:color w:val="auto"/>
              </w:rPr>
            </w:pPr>
          </w:p>
        </w:tc>
      </w:tr>
      <w:tr>
        <w:trPr>
          <w:trHeight w:val="143"/>
        </w:trPr>
        <w:tc>
          <w:tcPr>
            <w:tcW w:w="1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Month Ending</w:t>
            </w:r>
          </w:p>
        </w:tc>
        <w:tc>
          <w:tcPr>
            <w:tcW w:w="54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3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as Part of a Publicly Announced</w:t>
            </w:r>
          </w:p>
        </w:tc>
        <w:tc>
          <w:tcPr>
            <w:tcW w:w="2540" w:type="dxa"/>
            <w:vAlign w:val="bottom"/>
            <w:gridSpan w:val="3"/>
          </w:tcPr>
          <w:p>
            <w:pPr>
              <w:ind w:left="100"/>
              <w:spacing w:after="0" w:line="143" w:lineRule="exact"/>
              <w:rPr>
                <w:sz w:val="20"/>
                <w:szCs w:val="20"/>
                <w:color w:val="auto"/>
              </w:rPr>
            </w:pPr>
            <w:r>
              <w:rPr>
                <w:rFonts w:ascii="Arial" w:cs="Arial" w:eastAsia="Arial" w:hAnsi="Arial"/>
                <w:sz w:val="14"/>
                <w:szCs w:val="14"/>
                <w:b w:val="1"/>
                <w:bCs w:val="1"/>
                <w:color w:val="auto"/>
                <w:w w:val="97"/>
              </w:rPr>
              <w:t>that May Yet Be Purchased Under the</w:t>
            </w:r>
          </w:p>
        </w:tc>
        <w:tc>
          <w:tcPr>
            <w:tcW w:w="0" w:type="dxa"/>
            <w:vAlign w:val="bottom"/>
          </w:tcPr>
          <w:p>
            <w:pPr>
              <w:spacing w:after="0"/>
              <w:rPr>
                <w:sz w:val="1"/>
                <w:szCs w:val="1"/>
                <w:color w:val="auto"/>
              </w:rPr>
            </w:pPr>
          </w:p>
        </w:tc>
      </w:tr>
      <w:tr>
        <w:trPr>
          <w:trHeight w:val="195"/>
        </w:trPr>
        <w:tc>
          <w:tcPr>
            <w:tcW w:w="13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Units) Purchased</w:t>
            </w:r>
          </w:p>
        </w:tc>
        <w:tc>
          <w:tcPr>
            <w:tcW w:w="180" w:type="dxa"/>
            <w:vAlign w:val="bottom"/>
          </w:tcPr>
          <w:p>
            <w:pPr>
              <w:spacing w:after="0"/>
              <w:rPr>
                <w:sz w:val="16"/>
                <w:szCs w:val="16"/>
                <w:color w:val="auto"/>
              </w:rPr>
            </w:pPr>
          </w:p>
        </w:tc>
        <w:tc>
          <w:tcPr>
            <w:tcW w:w="1840" w:type="dxa"/>
            <w:vAlign w:val="bottom"/>
          </w:tcPr>
          <w:p>
            <w:pPr>
              <w:jc w:val="right"/>
              <w:ind w:right="497"/>
              <w:spacing w:after="0"/>
              <w:rPr>
                <w:sz w:val="20"/>
                <w:szCs w:val="20"/>
                <w:color w:val="auto"/>
              </w:rPr>
            </w:pPr>
            <w:r>
              <w:rPr>
                <w:rFonts w:ascii="Arial" w:cs="Arial" w:eastAsia="Arial" w:hAnsi="Arial"/>
                <w:sz w:val="14"/>
                <w:szCs w:val="14"/>
                <w:b w:val="1"/>
                <w:bCs w:val="1"/>
                <w:color w:val="auto"/>
              </w:rPr>
              <w:t>Share (or Unit)</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420" w:type="dxa"/>
            <w:vAlign w:val="bottom"/>
          </w:tcPr>
          <w:p>
            <w:pPr>
              <w:spacing w:after="0"/>
              <w:rPr>
                <w:sz w:val="16"/>
                <w:szCs w:val="16"/>
                <w:color w:val="auto"/>
              </w:rPr>
            </w:pPr>
          </w:p>
        </w:tc>
        <w:tc>
          <w:tcPr>
            <w:tcW w:w="2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27"/>
        </w:trPr>
        <w:tc>
          <w:tcPr>
            <w:tcW w:w="1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October 31, 2022</w:t>
            </w:r>
          </w:p>
        </w:tc>
        <w:tc>
          <w:tcPr>
            <w:tcW w:w="540" w:type="dxa"/>
            <w:vAlign w:val="bottom"/>
            <w:tcBorders>
              <w:top w:val="single" w:sz="8" w:color="auto"/>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4.78</w:t>
            </w:r>
          </w:p>
        </w:tc>
        <w:tc>
          <w:tcPr>
            <w:tcW w:w="2320" w:type="dxa"/>
            <w:vAlign w:val="bottom"/>
            <w:tcBorders>
              <w:top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860" w:type="dxa"/>
            <w:vAlign w:val="bottom"/>
            <w:gridSpan w:val="2"/>
          </w:tcPr>
          <w:p>
            <w:pPr>
              <w:ind w:left="20"/>
              <w:spacing w:after="0"/>
              <w:rPr>
                <w:sz w:val="20"/>
                <w:szCs w:val="20"/>
                <w:color w:val="auto"/>
              </w:rPr>
            </w:pPr>
            <w:r>
              <w:rPr>
                <w:rFonts w:ascii="Arial" w:cs="Arial" w:eastAsia="Arial" w:hAnsi="Arial"/>
                <w:sz w:val="18"/>
                <w:szCs w:val="18"/>
                <w:color w:val="auto"/>
              </w:rPr>
              <w:t>November 30, 2022</w:t>
            </w:r>
          </w:p>
        </w:tc>
        <w:tc>
          <w:tcPr>
            <w:tcW w:w="2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320" w:type="dxa"/>
            <w:vAlign w:val="bottom"/>
          </w:tcPr>
          <w:p>
            <w:pPr>
              <w:ind w:left="2020"/>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2020" w:type="dxa"/>
            <w:vAlign w:val="bottom"/>
          </w:tcPr>
          <w:p>
            <w:pPr>
              <w:ind w:left="1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4.93</w:t>
            </w:r>
          </w:p>
        </w:tc>
        <w:tc>
          <w:tcPr>
            <w:tcW w:w="232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9"/>
        </w:trPr>
        <w:tc>
          <w:tcPr>
            <w:tcW w:w="13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040" w:type="dxa"/>
            <w:vAlign w:val="bottom"/>
            <w:gridSpan w:val="3"/>
          </w:tcPr>
          <w:p>
            <w:pPr>
              <w:ind w:left="40"/>
              <w:spacing w:after="0"/>
              <w:rPr>
                <w:sz w:val="20"/>
                <w:szCs w:val="20"/>
                <w:color w:val="auto"/>
              </w:rPr>
            </w:pPr>
            <w:r>
              <w:rPr>
                <w:rFonts w:ascii="Arial" w:cs="Arial" w:eastAsia="Arial" w:hAnsi="Arial"/>
                <w:sz w:val="18"/>
                <w:szCs w:val="18"/>
                <w:color w:val="auto"/>
              </w:rPr>
              <w:t>[RESERVED]</w:t>
            </w: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4"/>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jc w:val="right"/>
              <w:ind w:right="577"/>
              <w:spacing w:after="0"/>
              <w:rPr>
                <w:sz w:val="20"/>
                <w:szCs w:val="20"/>
                <w:color w:val="auto"/>
              </w:rPr>
            </w:pPr>
            <w:r>
              <w:rPr>
                <w:rFonts w:ascii="Arial" w:cs="Arial" w:eastAsia="Arial" w:hAnsi="Arial"/>
                <w:sz w:val="18"/>
                <w:szCs w:val="18"/>
                <w:color w:val="auto"/>
              </w:rPr>
              <w:t>31</w:t>
            </w:r>
          </w:p>
        </w:tc>
        <w:tc>
          <w:tcPr>
            <w:tcW w:w="2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3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following Management’s Discussion and Analysis (this “MD&amp;A”) provides a discussion of our results of operations and financial position for the year ended December 31, 2022. This section generally discusses 2022 and 2021 items and year-to-year comparisons between 2022 and 2021. Discussions of 2020 items and year-to-year comparisons between 2021 and 2020 is included in Part II–Item 7, Management's Discussion and Analysis of Financial Condition and Results of Operations of our Annual Report on Form 10-K for the fiscal year ended December 31, 2021 filed with the SEC on March 14, 2022, which discussion is incorporated herein by reference. This MD&amp;A should be read together with our audited consolidated financial statements and related notes included in Item 8 in this Annual Report. Unless otherwise specified or the context otherwise requires, “Mistras,” "MISTRAS," the "Company,” “we,” “us” and “our” refer to Mistras Group, Inc. and its consolidated subsidiaries. This MD&amp;A includes the following sections:</w:t>
      </w:r>
    </w:p>
    <w:p>
      <w:pPr>
        <w:spacing w:after="0" w:line="165" w:lineRule="exact"/>
        <w:rPr>
          <w:sz w:val="20"/>
          <w:szCs w:val="20"/>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0"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COVID-19 Update</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Overview</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Note about Non-GAAP Measures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7" w:lineRule="exact"/>
        <w:rPr>
          <w:rFonts w:ascii="Arial" w:cs="Arial" w:eastAsia="Arial" w:hAnsi="Arial"/>
          <w:sz w:val="18"/>
          <w:szCs w:val="18"/>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Annual Report on Form 10-K, including this MD&amp;A, contains forward-looking statements within the meaning of Section 27A of the Securities Act and Section 21E of the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 See “Forward-Looking Statements” at the beginning of Item 1 of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Other Updates</w:t>
      </w:r>
    </w:p>
    <w:p>
      <w:pPr>
        <w:spacing w:after="0" w:line="23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While our business and operations were negatively impacted the past several years by the COVID-19 pandemic, at the time of this Annual Report, the effects of the COVID-19 pandemic have to a large degree subsided, and we have begun approaching pre-pandemic levels of activity in certain end markets, particularly oil and gas.</w:t>
      </w:r>
    </w:p>
    <w:p>
      <w:pPr>
        <w:spacing w:after="0" w:line="21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are currently unable to predict with certainty the effect that inflationary pressures and the Russian-Ukrainian war may have on our business, results of operations or liquidity or in other ways which we cannot yet determine. To date, our European operations have experienced increased costs associated with higher energy costs, among others, due in part to the on-going war. We will continue to monitor market conditions and respond accordingly.</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61" w:lineRule="exact"/>
        <w:rPr>
          <w:sz w:val="20"/>
          <w:szCs w:val="20"/>
          <w:color w:val="auto"/>
        </w:rPr>
      </w:pPr>
    </w:p>
    <w:p>
      <w:pPr>
        <w:ind w:right="560"/>
        <w:spacing w:after="0" w:line="272" w:lineRule="auto"/>
        <w:rPr>
          <w:sz w:val="20"/>
          <w:szCs w:val="20"/>
          <w:color w:val="auto"/>
        </w:rPr>
      </w:pPr>
      <w:r>
        <w:rPr>
          <w:rFonts w:ascii="Arial" w:cs="Arial" w:eastAsia="Arial" w:hAnsi="Arial"/>
          <w:sz w:val="18"/>
          <w:szCs w:val="18"/>
          <w:color w:val="auto"/>
        </w:rPr>
        <w:t>We are a leading "one source" multinational provider of integrated technology-enabled asset protection solutions, helping to maximize the safety and operational uptime for civilization’s most critical industrial and civil assets.</w:t>
      </w:r>
    </w:p>
    <w:p>
      <w:pPr>
        <w:spacing w:after="0" w:line="20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Backed by an innovative, data-driven asset protection portfolio, proprietary technologies, and decades-long legacy of industry leadership, we help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we help the world at large.</w:t>
      </w:r>
    </w:p>
    <w:p>
      <w:pPr>
        <w:spacing w:after="0" w:line="19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enhance value for our clients by integrating asset protection throughout supply chains and centralizing integrity data through a suite of Industrial Internet of Things ("IIoT")-connected digital software and monitoring solutions, including</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OneSuite, which serves as an ecosystem platform, pulling together all of our software and data services capabilities, for the benefit of our customers.</w:t>
      </w:r>
    </w:p>
    <w:p>
      <w:pPr>
        <w:spacing w:after="0" w:line="260" w:lineRule="exact"/>
        <w:rPr>
          <w:sz w:val="20"/>
          <w:szCs w:val="20"/>
          <w:color w:val="auto"/>
        </w:rPr>
      </w:pPr>
    </w:p>
    <w:p>
      <w:pPr>
        <w:ind w:right="820"/>
        <w:spacing w:after="0" w:line="336" w:lineRule="auto"/>
        <w:rPr>
          <w:sz w:val="20"/>
          <w:szCs w:val="20"/>
          <w:color w:val="auto"/>
        </w:rPr>
      </w:pPr>
      <w:r>
        <w:rPr>
          <w:rFonts w:ascii="Arial" w:cs="Arial" w:eastAsia="Arial" w:hAnsi="Arial"/>
          <w:sz w:val="16"/>
          <w:szCs w:val="16"/>
          <w:color w:val="auto"/>
        </w:rPr>
        <w:t>Our core capabilities also include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262" w:lineRule="exact"/>
        <w:rPr>
          <w:sz w:val="20"/>
          <w:szCs w:val="20"/>
          <w:color w:val="auto"/>
        </w:rPr>
      </w:pPr>
    </w:p>
    <w:p>
      <w:pPr>
        <w:ind w:left="660" w:right="80" w:hanging="331"/>
        <w:spacing w:after="0" w:line="245" w:lineRule="auto"/>
        <w:tabs>
          <w:tab w:leader="none" w:pos="655" w:val="left"/>
        </w:tabs>
        <w:numPr>
          <w:ilvl w:val="0"/>
          <w:numId w:val="17"/>
        </w:numPr>
        <w:rPr>
          <w:rFonts w:ascii="Arial" w:cs="Arial" w:eastAsia="Arial" w:hAnsi="Arial"/>
          <w:sz w:val="21"/>
          <w:szCs w:val="2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inspection, mechanical and engineering services that are used to evaluate the structural integrity and reliability of critical energy, industrial and public infrastructure and commercial aerospace components. This segment includes data services revenue derived from the selling of licenses and analyzing and synthesizing customer data through our OneSuite platform, field operations revenue derived from work performed in the field at customer locations, and shop revenue derived from operations designing, building, and customizing products in our laboratories for our customers. PCMS software and pipeline related software and data analysis solutions are included in this segment.</w:t>
      </w:r>
    </w:p>
    <w:p>
      <w:pPr>
        <w:spacing w:after="0" w:line="228" w:lineRule="exact"/>
        <w:rPr>
          <w:rFonts w:ascii="Arial" w:cs="Arial" w:eastAsia="Arial" w:hAnsi="Arial"/>
          <w:sz w:val="21"/>
          <w:szCs w:val="21"/>
          <w:color w:val="auto"/>
        </w:rPr>
      </w:pPr>
    </w:p>
    <w:p>
      <w:pPr>
        <w:ind w:left="660" w:right="120" w:hanging="331"/>
        <w:spacing w:after="0" w:line="273" w:lineRule="auto"/>
        <w:tabs>
          <w:tab w:leader="none" w:pos="65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 This segment includes data services revenue derived from the selling of licenses and analyzing and synthesizing customer data through our OneSuite platform, field operations revenue derived from work performed in the field at customer locations, and shop revenue derived from operations designing, building, and customizing products in our laboratories for our customers, in the specified non-US regions.</w:t>
      </w:r>
    </w:p>
    <w:p>
      <w:pPr>
        <w:spacing w:after="0" w:line="201" w:lineRule="exact"/>
        <w:rPr>
          <w:rFonts w:ascii="Arial" w:cs="Arial" w:eastAsia="Arial" w:hAnsi="Arial"/>
          <w:sz w:val="17"/>
          <w:szCs w:val="17"/>
          <w:i w:val="1"/>
          <w:iCs w:val="1"/>
          <w:color w:val="auto"/>
        </w:rPr>
      </w:pPr>
    </w:p>
    <w:p>
      <w:pPr>
        <w:ind w:left="660" w:right="600" w:hanging="331"/>
        <w:spacing w:after="0" w:line="272"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our asset protection products and systems, including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instrumentation, predominantly in the United States.</w:t>
      </w:r>
    </w:p>
    <w:p>
      <w:pPr>
        <w:spacing w:after="0" w:line="20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enhance our advantages over our competition.</w:t>
      </w:r>
    </w:p>
    <w:p>
      <w:pPr>
        <w:spacing w:after="0" w:line="204"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We have continued providing our customers with an innovative asset protection software ecosystem through our MISTRAS OneSuite platform. The software platform offers functions of our popular software and services brands as integrated apps on a cloud environment. OneSuite serves as a single access portal for customers' data activities and provides access to 90 plus applications being offered on one centralized platform.</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continued to develop new technologies to provide monitoring of wind blade integrity through our Sensoria tool. Sensoria helps provide real-time monitoring and damage detection of wind turbine blades and allows our customers to maximize uptime, performance and safety of wind turbine blades. This tool provides additional growth and expansion of our capabilities to serve both new and existing wind turbines and greatly enhances our product offerings within the renewable energy industry.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Developments</w:t>
      </w:r>
    </w:p>
    <w:p>
      <w:pPr>
        <w:spacing w:after="0" w:line="249"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Throughout 2022, conditions have continued to improve related to the COVID-19 coronavirus (COVID-19) pandemic in domestic and international markets and operations are approaching pre-pandemic levels of activity.</w:t>
      </w:r>
    </w:p>
    <w:p>
      <w:pPr>
        <w:spacing w:after="0" w:line="20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We have eliminated substantially all of the cost reduction initiatives undertaken in 2020, including re-installing the savings plan employer match and increasing wages back to pre-pandemic amounts. Our cash position and liquidity remains strong. As of December 31, 2022, our cash and cash equivalents balance was approximately $20.5 million.</w:t>
      </w:r>
    </w:p>
    <w:p>
      <w:pPr>
        <w:spacing w:after="0" w:line="2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April 2021, the Biden Administration announced aggressive initiatives to battle climate change, which includes a significant reduction in the use of fossil fuels and a transition to electric vehicles and increased use of alternative energy. Any legislation or regulations that may be adopted to implement these measures may negatively impact our customers in the oil and gas market over the long-term, which presently is our largest market, although this initiative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19"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We are currently unable to predict the overall impact that the volatility in oil prices and climate change initiatives to reduce the use of fossil fuels may have on our business, results of operations, liquidity or in other ways which we cannot yet determine.</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currently unable to predict with certainty the overall impact that the factors discussed above and the effect of the Russian-Ukrainian war may have on our business, results of operations or liquidity or in other ways which we cannot yet determine. To date, our European operations experienced increased costs associated with higher energy costs, among others, due in part to the Russian-Ukrainian war. We will continue to monitor market conditions and respond accordingly. Refer to Item 1A. Risk Factors in Part I of our 2022 Annual Report.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about Non-GAAP Measures</w:t>
      </w:r>
    </w:p>
    <w:p>
      <w:pPr>
        <w:spacing w:after="0" w:line="23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prepare our consolidated financial statements in accordance with U.S. generally accepted accounting principles ("U.S. GAAP"). In this MD&amp;A under the heading "Income (Loss) from Operations", the non-GAAP financial performance measure "Income (loss) before special items" is used for each of our three operating segments, "Corporate and Eliminations" and "Total Company", with tables reconciling the measure to a financial measure under GAAP. This presentation excludes from "Income (Loss) from Operations" (i) transaction expenses related to acquisitions, such as professional fees and due diligence costs, (ii) the net changes in the fair value of acquisition-related contingent consideration liabilities, (iii) impairment charges, (iv) reorganization and other costs, which includes items such as severance, labor relations matters and asset and lease termination costs and (v)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 vs. Year ended December 31, 2021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Statements of Income (Loss) for the years ended December 31, 2022 and 2021: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jc w:val="right"/>
              <w:ind w:right="473"/>
              <w:spacing w:after="0"/>
              <w:rPr>
                <w:sz w:val="20"/>
                <w:szCs w:val="20"/>
                <w:color w:val="auto"/>
              </w:rPr>
            </w:pPr>
            <w:r>
              <w:rPr>
                <w:rFonts w:ascii="Arial" w:cs="Arial" w:eastAsia="Arial" w:hAnsi="Arial"/>
                <w:sz w:val="14"/>
                <w:szCs w:val="14"/>
                <w:b w:val="1"/>
                <w:bCs w:val="1"/>
                <w:color w:val="auto"/>
                <w:w w:val="94"/>
              </w:rPr>
              <w:t>For the year ended December 31,</w:t>
            </w:r>
          </w:p>
        </w:tc>
      </w:tr>
      <w:tr>
        <w:trPr>
          <w:trHeight w:val="25"/>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8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2021</w:t>
            </w:r>
          </w:p>
        </w:tc>
      </w:tr>
      <w:tr>
        <w:trPr>
          <w:trHeight w:val="193"/>
        </w:trPr>
        <w:tc>
          <w:tcPr>
            <w:tcW w:w="8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6"/>
                <w:szCs w:val="16"/>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687,373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677,131</w:t>
            </w:r>
          </w:p>
        </w:tc>
      </w:tr>
      <w:tr>
        <w:trPr>
          <w:trHeight w:val="228"/>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56"/>
              <w:spacing w:after="0"/>
              <w:rPr>
                <w:sz w:val="20"/>
                <w:szCs w:val="20"/>
                <w:color w:val="auto"/>
              </w:rPr>
            </w:pPr>
            <w:r>
              <w:rPr>
                <w:rFonts w:ascii="Arial" w:cs="Arial" w:eastAsia="Arial" w:hAnsi="Arial"/>
                <w:sz w:val="18"/>
                <w:szCs w:val="18"/>
                <w:color w:val="auto"/>
              </w:rPr>
              <w:t>198,173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197,147</w:t>
            </w:r>
          </w:p>
        </w:tc>
      </w:tr>
      <w:tr>
        <w:trPr>
          <w:trHeight w:val="228"/>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profit as a % of Revenue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28.8 %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29.1 %</w:t>
            </w:r>
          </w:p>
        </w:tc>
      </w:tr>
      <w:tr>
        <w:trPr>
          <w:trHeight w:val="228"/>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56"/>
              <w:spacing w:after="0"/>
              <w:rPr>
                <w:sz w:val="20"/>
                <w:szCs w:val="20"/>
                <w:color w:val="auto"/>
              </w:rPr>
            </w:pPr>
            <w:r>
              <w:rPr>
                <w:rFonts w:ascii="Arial" w:cs="Arial" w:eastAsia="Arial" w:hAnsi="Arial"/>
                <w:sz w:val="18"/>
                <w:szCs w:val="18"/>
                <w:color w:val="auto"/>
              </w:rPr>
              <w:t>19,799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18,170</w:t>
            </w:r>
          </w:p>
        </w:tc>
      </w:tr>
      <w:tr>
        <w:trPr>
          <w:trHeight w:val="228"/>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Income from operations as a % of Revenue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2.9 %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8"/>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56"/>
              <w:spacing w:after="0"/>
              <w:rPr>
                <w:sz w:val="20"/>
                <w:szCs w:val="20"/>
                <w:color w:val="auto"/>
              </w:rPr>
            </w:pPr>
            <w:r>
              <w:rPr>
                <w:rFonts w:ascii="Arial" w:cs="Arial" w:eastAsia="Arial" w:hAnsi="Arial"/>
                <w:sz w:val="18"/>
                <w:szCs w:val="18"/>
                <w:color w:val="auto"/>
              </w:rPr>
              <w:t>9,294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7,288</w:t>
            </w:r>
          </w:p>
        </w:tc>
      </w:tr>
      <w:tr>
        <w:trPr>
          <w:trHeight w:val="228"/>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6,574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3,893</w:t>
            </w:r>
          </w:p>
        </w:tc>
      </w:tr>
      <w:tr>
        <w:trPr>
          <w:trHeight w:val="231"/>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Mistras Group, Inc.</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160" w:type="dxa"/>
            <w:vAlign w:val="bottom"/>
          </w:tcPr>
          <w:p>
            <w:pPr>
              <w:jc w:val="right"/>
              <w:ind w:right="256"/>
              <w:spacing w:after="0"/>
              <w:rPr>
                <w:sz w:val="20"/>
                <w:szCs w:val="20"/>
                <w:color w:val="auto"/>
              </w:rPr>
            </w:pPr>
            <w:r>
              <w:rPr>
                <w:rFonts w:ascii="Arial" w:cs="Arial" w:eastAsia="Arial" w:hAnsi="Arial"/>
                <w:sz w:val="18"/>
                <w:szCs w:val="18"/>
                <w:color w:val="auto"/>
              </w:rPr>
              <w:t>6,499</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60" w:type="dxa"/>
            <w:vAlign w:val="bottom"/>
          </w:tcPr>
          <w:p>
            <w:pPr>
              <w:spacing w:after="0"/>
              <w:rPr>
                <w:sz w:val="20"/>
                <w:szCs w:val="20"/>
                <w:color w:val="auto"/>
              </w:rPr>
            </w:pP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3,860</w:t>
            </w:r>
          </w:p>
        </w:tc>
      </w:tr>
      <w:tr>
        <w:trPr>
          <w:trHeight w:val="531"/>
        </w:trPr>
        <w:tc>
          <w:tcPr>
            <w:tcW w:w="81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9"/>
        </w:trPr>
        <w:tc>
          <w:tcPr>
            <w:tcW w:w="8100" w:type="dxa"/>
            <w:vAlign w:val="bottom"/>
          </w:tcPr>
          <w:p>
            <w:pPr>
              <w:spacing w:after="0"/>
              <w:rPr>
                <w:sz w:val="20"/>
                <w:szCs w:val="20"/>
                <w:color w:val="auto"/>
              </w:rPr>
            </w:pPr>
            <w:r>
              <w:rPr>
                <w:rFonts w:ascii="Arial" w:cs="Arial" w:eastAsia="Arial" w:hAnsi="Arial"/>
                <w:sz w:val="18"/>
                <w:szCs w:val="18"/>
                <w:color w:val="auto"/>
              </w:rPr>
              <w:t>Revenues by segment for the years ended December 31, 2022 and 2021 were as follows: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4"/>
        </w:trPr>
        <w:tc>
          <w:tcPr>
            <w:tcW w:w="8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gridSpan w:val="5"/>
          </w:tcPr>
          <w:p>
            <w:pPr>
              <w:jc w:val="right"/>
              <w:ind w:right="333"/>
              <w:spacing w:after="0"/>
              <w:rPr>
                <w:sz w:val="20"/>
                <w:szCs w:val="20"/>
                <w:color w:val="auto"/>
              </w:rPr>
            </w:pPr>
            <w:r>
              <w:rPr>
                <w:rFonts w:ascii="Arial" w:cs="Arial" w:eastAsia="Arial" w:hAnsi="Arial"/>
                <w:sz w:val="14"/>
                <w:szCs w:val="14"/>
                <w:b w:val="1"/>
                <w:bCs w:val="1"/>
                <w:color w:val="auto"/>
              </w:rPr>
              <w:t>For the year ended December 31,</w:t>
            </w:r>
          </w:p>
        </w:tc>
      </w:tr>
      <w:tr>
        <w:trPr>
          <w:trHeight w:val="25"/>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8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193"/>
        </w:trPr>
        <w:tc>
          <w:tcPr>
            <w:tcW w:w="8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6"/>
                <w:szCs w:val="16"/>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8"/>
        </w:trPr>
        <w:tc>
          <w:tcPr>
            <w:tcW w:w="8100" w:type="dxa"/>
            <w:vAlign w:val="bottom"/>
          </w:tcPr>
          <w:p>
            <w:pPr>
              <w:ind w:left="140"/>
              <w:spacing w:after="0"/>
              <w:rPr>
                <w:sz w:val="20"/>
                <w:szCs w:val="20"/>
                <w:color w:val="auto"/>
              </w:rPr>
            </w:pPr>
            <w:r>
              <w:rPr>
                <w:rFonts w:ascii="Arial" w:cs="Arial" w:eastAsia="Arial" w:hAnsi="Arial"/>
                <w:sz w:val="18"/>
                <w:szCs w:val="18"/>
                <w:color w:val="auto"/>
              </w:rPr>
              <w:t>Services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573,336</w:t>
            </w:r>
          </w:p>
        </w:tc>
        <w:tc>
          <w:tcPr>
            <w:tcW w:w="580" w:type="dxa"/>
            <w:vAlign w:val="bottom"/>
            <w:gridSpan w:val="3"/>
          </w:tcPr>
          <w:p>
            <w:pPr>
              <w:jc w:val="right"/>
              <w:ind w:right="27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555,387</w:t>
            </w:r>
          </w:p>
        </w:tc>
      </w:tr>
      <w:tr>
        <w:trPr>
          <w:trHeight w:val="228"/>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117,245</w:t>
            </w:r>
          </w:p>
        </w:tc>
      </w:tr>
      <w:tr>
        <w:trPr>
          <w:trHeight w:val="228"/>
        </w:trPr>
        <w:tc>
          <w:tcPr>
            <w:tcW w:w="810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13,831</w:t>
            </w:r>
          </w:p>
        </w:tc>
      </w:tr>
      <w:tr>
        <w:trPr>
          <w:trHeight w:val="228"/>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w:t>
            </w:r>
          </w:p>
        </w:tc>
      </w:tr>
      <w:tr>
        <w:trPr>
          <w:trHeight w:val="221"/>
        </w:trPr>
        <w:tc>
          <w:tcPr>
            <w:tcW w:w="8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687,373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677,131</w:t>
            </w:r>
          </w:p>
        </w:tc>
      </w:tr>
      <w:tr>
        <w:trPr>
          <w:trHeight w:val="21"/>
        </w:trPr>
        <w:tc>
          <w:tcPr>
            <w:tcW w:w="8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Revenue was $687.4 million for the year ended December 31, 2022, an increase of $10.2 million, or 1.5%, compared with the year ended December 31, 2021. The increase was driven by the Services segment, which experienced a revenue increase of $17.9 million, or 3.2%, driven by single-digit organic growth in certain end markets. The International segment revenues decreased by $4.8 million, or 4.1%, due predominantly to low double-digit unfavorable impact of foreign exchange rates which was partially offset by mid single-digit organic growth. The Products and Systems segment decreased by $1.1 million, or 8.0%, driven by lower sales volume.</w:t>
      </w:r>
    </w:p>
    <w:p>
      <w:pPr>
        <w:spacing w:after="0" w:line="218"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Oil and gas customer revenue comprised approximately 56% and 54% of total revenue for the years ended December 31, 2022 and 2021, respectively. Aerospace and defense customer revenue comprised approximately 12% and 10% of total revenue for the years ended December 31, 2022 and 2021, respectively. Our top ten customers comprised approximately 33% of total revenue for the years ended December 31, 2022 and 2021, with no customer accounting for 10% or more of total revenue in either period.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2980" w:type="dxa"/>
            <w:vAlign w:val="bottom"/>
            <w:gridSpan w:val="4"/>
          </w:tcPr>
          <w:p>
            <w:pPr>
              <w:jc w:val="right"/>
              <w:ind w:right="37"/>
              <w:spacing w:after="0"/>
              <w:rPr>
                <w:sz w:val="20"/>
                <w:szCs w:val="20"/>
                <w:color w:val="auto"/>
              </w:rPr>
            </w:pPr>
            <w:r>
              <w:rPr>
                <w:rFonts w:ascii="Arial" w:cs="Arial" w:eastAsia="Arial" w:hAnsi="Arial"/>
                <w:sz w:val="14"/>
                <w:szCs w:val="14"/>
                <w:b w:val="1"/>
                <w:bCs w:val="1"/>
                <w:color w:val="auto"/>
              </w:rPr>
              <w:t>For the year ended December 31,</w:t>
            </w:r>
          </w:p>
        </w:tc>
        <w:tc>
          <w:tcPr>
            <w:tcW w:w="700" w:type="dxa"/>
            <w:vAlign w:val="bottom"/>
          </w:tcPr>
          <w:p>
            <w:pPr>
              <w:spacing w:after="0"/>
              <w:rPr>
                <w:sz w:val="16"/>
                <w:szCs w:val="16"/>
                <w:color w:val="auto"/>
              </w:rPr>
            </w:pPr>
          </w:p>
        </w:tc>
      </w:tr>
      <w:tr>
        <w:trPr>
          <w:trHeight w:val="25"/>
        </w:trPr>
        <w:tc>
          <w:tcPr>
            <w:tcW w:w="7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8"/>
        </w:trPr>
        <w:tc>
          <w:tcPr>
            <w:tcW w:w="75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r>
      <w:tr>
        <w:trPr>
          <w:trHeight w:val="193"/>
        </w:trPr>
        <w:tc>
          <w:tcPr>
            <w:tcW w:w="7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80" w:type="dxa"/>
            <w:vAlign w:val="bottom"/>
            <w:gridSpan w:val="3"/>
          </w:tcPr>
          <w:p>
            <w:pPr>
              <w:jc w:val="right"/>
              <w:ind w:right="557"/>
              <w:spacing w:after="0"/>
              <w:rPr>
                <w:sz w:val="20"/>
                <w:szCs w:val="20"/>
                <w:color w:val="auto"/>
              </w:rPr>
            </w:pPr>
            <w:r>
              <w:rPr>
                <w:rFonts w:ascii="Arial" w:cs="Arial" w:eastAsia="Arial" w:hAnsi="Arial"/>
                <w:sz w:val="14"/>
                <w:szCs w:val="14"/>
                <w:b w:val="1"/>
                <w:bCs w:val="1"/>
                <w:color w:val="auto"/>
              </w:rPr>
              <w:t>($ in thousands)</w:t>
            </w:r>
          </w:p>
        </w:tc>
        <w:tc>
          <w:tcPr>
            <w:tcW w:w="700" w:type="dxa"/>
            <w:vAlign w:val="bottom"/>
          </w:tcPr>
          <w:p>
            <w:pPr>
              <w:spacing w:after="0"/>
              <w:rPr>
                <w:sz w:val="16"/>
                <w:szCs w:val="16"/>
                <w:color w:val="auto"/>
              </w:rPr>
            </w:pPr>
          </w:p>
        </w:tc>
      </w:tr>
      <w:tr>
        <w:trPr>
          <w:trHeight w:val="23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Oil and Gas Revenue by sub-category</w:t>
            </w:r>
          </w:p>
        </w:tc>
        <w:tc>
          <w:tcPr>
            <w:tcW w:w="1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8"/>
        </w:trPr>
        <w:tc>
          <w:tcPr>
            <w:tcW w:w="7560" w:type="dxa"/>
            <w:vAlign w:val="bottom"/>
          </w:tcPr>
          <w:p>
            <w:pPr>
              <w:ind w:left="20"/>
              <w:spacing w:after="0"/>
              <w:rPr>
                <w:sz w:val="20"/>
                <w:szCs w:val="20"/>
                <w:color w:val="auto"/>
              </w:rPr>
            </w:pPr>
            <w:r>
              <w:rPr>
                <w:rFonts w:ascii="Arial" w:cs="Arial" w:eastAsia="Arial" w:hAnsi="Arial"/>
                <w:sz w:val="18"/>
                <w:szCs w:val="18"/>
                <w:color w:val="auto"/>
              </w:rPr>
              <w:t>Upstream</w:t>
            </w:r>
          </w:p>
        </w:tc>
        <w:tc>
          <w:tcPr>
            <w:tcW w:w="1100" w:type="dxa"/>
            <w:vAlign w:val="bottom"/>
          </w:tcPr>
          <w:p>
            <w:pPr>
              <w:jc w:val="right"/>
              <w:ind w:right="9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152,590</w:t>
            </w:r>
          </w:p>
        </w:tc>
        <w:tc>
          <w:tcPr>
            <w:tcW w:w="100" w:type="dxa"/>
            <w:vAlign w:val="bottom"/>
          </w:tcPr>
          <w:p>
            <w:pPr>
              <w:spacing w:after="0"/>
              <w:rPr>
                <w:sz w:val="19"/>
                <w:szCs w:val="19"/>
                <w:color w:val="auto"/>
              </w:rPr>
            </w:pPr>
          </w:p>
        </w:tc>
        <w:tc>
          <w:tcPr>
            <w:tcW w:w="1080" w:type="dxa"/>
            <w:vAlign w:val="bottom"/>
          </w:tcPr>
          <w:p>
            <w:pPr>
              <w:jc w:val="right"/>
              <w:ind w:right="89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135,615</w:t>
            </w:r>
          </w:p>
        </w:tc>
      </w:tr>
      <w:tr>
        <w:trPr>
          <w:trHeight w:val="228"/>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111,144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109,527</w:t>
            </w:r>
          </w:p>
        </w:tc>
      </w:tr>
      <w:tr>
        <w:trPr>
          <w:trHeight w:val="22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Downstream</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124,018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121,778</w:t>
            </w:r>
          </w:p>
        </w:tc>
      </w:tr>
      <w:tr>
        <w:trPr>
          <w:trHeight w:val="24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90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387,752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366,920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Oil and gas upstream customer revenue increased approximately $17.0 million, or 13%, for the year ended December 31, 2022 compared to the year ended December 31, 2021, due to continued market share gains and expanded exploration operations, as compared to the prior period.</w:t>
      </w:r>
    </w:p>
    <w:p>
      <w:pPr>
        <w:spacing w:after="0" w:line="179" w:lineRule="exact"/>
        <w:rPr>
          <w:sz w:val="20"/>
          <w:szCs w:val="20"/>
          <w:color w:val="auto"/>
        </w:rPr>
      </w:pPr>
    </w:p>
    <w:p>
      <w:pPr>
        <w:ind w:right="860"/>
        <w:spacing w:after="0" w:line="272" w:lineRule="auto"/>
        <w:rPr>
          <w:sz w:val="20"/>
          <w:szCs w:val="20"/>
          <w:color w:val="auto"/>
        </w:rPr>
      </w:pPr>
      <w:r>
        <w:rPr>
          <w:rFonts w:ascii="Arial" w:cs="Arial" w:eastAsia="Arial" w:hAnsi="Arial"/>
          <w:sz w:val="18"/>
          <w:szCs w:val="18"/>
          <w:color w:val="auto"/>
        </w:rPr>
        <w:t>Midstream customer revenues were flat for the year ended December 31, 2022 compared to the year ended December 31, 2021. During 2022, we experienced the growth of our pipe inspection services including our Onstream business within this sub-category.</w:t>
      </w:r>
    </w:p>
    <w:p>
      <w:pPr>
        <w:spacing w:after="0" w:line="201"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color w:val="auto"/>
        </w:rPr>
        <w:t>Downstream customer revenue increased $2.2 million, or 2%, for the year ended December 31, 2022 compared to the year ended December 31, 2021 even with delays in timing associated with customer turnarounds in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years ended December 31, 2022 and 2021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25"/>
        </w:trPr>
        <w:tc>
          <w:tcPr>
            <w:tcW w:w="8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3"/>
        </w:trPr>
        <w:tc>
          <w:tcPr>
            <w:tcW w:w="8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 in thousands)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1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159,049</w:t>
            </w:r>
          </w:p>
        </w:tc>
        <w:tc>
          <w:tcPr>
            <w:tcW w:w="80" w:type="dxa"/>
            <w:vAlign w:val="bottom"/>
          </w:tcPr>
          <w:p>
            <w:pPr>
              <w:spacing w:after="0"/>
              <w:rPr>
                <w:sz w:val="19"/>
                <w:szCs w:val="19"/>
                <w:color w:val="auto"/>
              </w:rPr>
            </w:pPr>
          </w:p>
        </w:tc>
        <w:tc>
          <w:tcPr>
            <w:tcW w:w="540" w:type="dxa"/>
            <w:vAlign w:val="bottom"/>
          </w:tcPr>
          <w:p>
            <w:pPr>
              <w:jc w:val="right"/>
              <w:ind w:right="33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155,384</w:t>
            </w:r>
          </w:p>
        </w:tc>
        <w:tc>
          <w:tcPr>
            <w:tcW w:w="0" w:type="dxa"/>
            <w:vAlign w:val="bottom"/>
          </w:tcPr>
          <w:p>
            <w:pPr>
              <w:spacing w:after="0"/>
              <w:rPr>
                <w:sz w:val="1"/>
                <w:szCs w:val="1"/>
                <w:color w:val="auto"/>
              </w:rPr>
            </w:pPr>
          </w:p>
        </w:tc>
      </w:tr>
      <w:tr>
        <w:trPr>
          <w:trHeight w:val="228"/>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28"/>
        </w:trPr>
        <w:tc>
          <w:tcPr>
            <w:tcW w:w="812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33,591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34,282</w:t>
            </w:r>
          </w:p>
        </w:tc>
        <w:tc>
          <w:tcPr>
            <w:tcW w:w="0" w:type="dxa"/>
            <w:vAlign w:val="bottom"/>
          </w:tcPr>
          <w:p>
            <w:pPr>
              <w:spacing w:after="0"/>
              <w:rPr>
                <w:sz w:val="1"/>
                <w:szCs w:val="1"/>
                <w:color w:val="auto"/>
              </w:rPr>
            </w:pPr>
          </w:p>
        </w:tc>
      </w:tr>
      <w:tr>
        <w:trPr>
          <w:trHeight w:val="228"/>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r>
        <w:trPr>
          <w:trHeight w:val="228"/>
        </w:trPr>
        <w:tc>
          <w:tcPr>
            <w:tcW w:w="812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5,490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28"/>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50.6 %</w:t>
            </w:r>
          </w:p>
        </w:tc>
        <w:tc>
          <w:tcPr>
            <w:tcW w:w="0" w:type="dxa"/>
            <w:vAlign w:val="bottom"/>
          </w:tcPr>
          <w:p>
            <w:pPr>
              <w:spacing w:after="0"/>
              <w:rPr>
                <w:sz w:val="1"/>
                <w:szCs w:val="1"/>
                <w:color w:val="auto"/>
              </w:rPr>
            </w:pPr>
          </w:p>
        </w:tc>
      </w:tr>
      <w:tr>
        <w:trPr>
          <w:trHeight w:val="228"/>
        </w:trPr>
        <w:tc>
          <w:tcPr>
            <w:tcW w:w="8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6"/>
        </w:trPr>
        <w:tc>
          <w:tcPr>
            <w:tcW w:w="8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198,173</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197,147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i w:val="1"/>
                <w:iCs w:val="1"/>
                <w:color w:val="auto"/>
              </w:rPr>
              <w:t>% of total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28.8 %</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Gross profit increased $1.0 million, or 0.5%, for the year ended December 31, 2022 compared to the year ended December 31, 2021, with a sales increase of $10.2 million, or 1.5%. During 2022 certain end markets returned to pre-pandemic levels and continued organic growth across target end markets resulted in increased sales as compared to the prior period. Gross profit margin was 28.8% and 29.1% for the years ended December 31, 2022 and 2021, respectively, due primarily to inflationary pressures in 2022 as compared to 2021. Services segment gross profit margins had a year-on-year decrease of 30 basis points to 27.7% for the year ended December 31, 2022, due primarily to inflationary pressures and the end of government wage subsidies received in Canada. International segment gross margins had a year-on-year increase of 70 basis points to 29.9% for the year ended December 31, 2022, due primarily to sales mix and continued growth in end markets including aerospace and defense. Products and Systems segment gross margins decreased by 750 basis points for the year ended December 31, 2022 to 43.1%, driven by unfavorable sales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years ended December 31, 2022 and 2021 was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For the year ended December 31,</w:t>
            </w:r>
          </w:p>
        </w:tc>
      </w:tr>
      <w:tr>
        <w:trPr>
          <w:trHeight w:val="25"/>
        </w:trPr>
        <w:tc>
          <w:tcPr>
            <w:tcW w:w="8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8"/>
        </w:trPr>
        <w:tc>
          <w:tcPr>
            <w:tcW w:w="8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193"/>
        </w:trPr>
        <w:tc>
          <w:tcPr>
            <w:tcW w:w="8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 in thousands)</w:t>
            </w:r>
          </w:p>
        </w:tc>
        <w:tc>
          <w:tcPr>
            <w:tcW w:w="980" w:type="dxa"/>
            <w:vAlign w:val="bottom"/>
          </w:tcPr>
          <w:p>
            <w:pPr>
              <w:spacing w:after="0"/>
              <w:rPr>
                <w:sz w:val="16"/>
                <w:szCs w:val="16"/>
                <w:color w:val="auto"/>
              </w:rPr>
            </w:pPr>
          </w:p>
        </w:tc>
      </w:tr>
      <w:tr>
        <w:trPr>
          <w:trHeight w:val="23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8"/>
        </w:trPr>
        <w:tc>
          <w:tcPr>
            <w:tcW w:w="812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6"/>
              <w:spacing w:after="0"/>
              <w:rPr>
                <w:sz w:val="20"/>
                <w:szCs w:val="20"/>
                <w:color w:val="auto"/>
              </w:rPr>
            </w:pPr>
            <w:r>
              <w:rPr>
                <w:rFonts w:ascii="Arial" w:cs="Arial" w:eastAsia="Arial" w:hAnsi="Arial"/>
                <w:sz w:val="18"/>
                <w:szCs w:val="18"/>
                <w:color w:val="auto"/>
              </w:rPr>
              <w:t>166,595</w:t>
            </w:r>
          </w:p>
        </w:tc>
        <w:tc>
          <w:tcPr>
            <w:tcW w:w="80" w:type="dxa"/>
            <w:vAlign w:val="bottom"/>
          </w:tcPr>
          <w:p>
            <w:pPr>
              <w:spacing w:after="0"/>
              <w:rPr>
                <w:sz w:val="19"/>
                <w:szCs w:val="19"/>
                <w:color w:val="auto"/>
              </w:rPr>
            </w:pPr>
          </w:p>
        </w:tc>
        <w:tc>
          <w:tcPr>
            <w:tcW w:w="540" w:type="dxa"/>
            <w:vAlign w:val="bottom"/>
          </w:tcPr>
          <w:p>
            <w:pPr>
              <w:jc w:val="right"/>
              <w:ind w:right="33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161,334</w:t>
            </w:r>
          </w:p>
        </w:tc>
      </w:tr>
      <w:tr>
        <w:trPr>
          <w:trHeight w:val="228"/>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provision for troubled customers, net of recoveries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8"/>
        </w:trPr>
        <w:tc>
          <w:tcPr>
            <w:tcW w:w="8120" w:type="dxa"/>
            <w:vAlign w:val="bottom"/>
          </w:tcPr>
          <w:p>
            <w:pPr>
              <w:ind w:left="140"/>
              <w:spacing w:after="0"/>
              <w:rPr>
                <w:sz w:val="20"/>
                <w:szCs w:val="20"/>
                <w:color w:val="auto"/>
              </w:rPr>
            </w:pPr>
            <w:r>
              <w:rPr>
                <w:rFonts w:ascii="Arial" w:cs="Arial" w:eastAsia="Arial" w:hAnsi="Arial"/>
                <w:sz w:val="18"/>
                <w:szCs w:val="18"/>
                <w:color w:val="auto"/>
              </w:rPr>
              <w:t>Research and engineering</w:t>
            </w:r>
          </w:p>
        </w:tc>
        <w:tc>
          <w:tcPr>
            <w:tcW w:w="32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Arial" w:cs="Arial" w:eastAsia="Arial" w:hAnsi="Arial"/>
                <w:sz w:val="18"/>
                <w:szCs w:val="18"/>
                <w:color w:val="auto"/>
              </w:rPr>
              <w:t>1,994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2,518</w:t>
            </w:r>
          </w:p>
        </w:tc>
      </w:tr>
      <w:tr>
        <w:trPr>
          <w:trHeight w:val="228"/>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10,661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11,950</w:t>
            </w:r>
          </w:p>
        </w:tc>
      </w:tr>
      <w:tr>
        <w:trPr>
          <w:trHeight w:val="228"/>
        </w:trPr>
        <w:tc>
          <w:tcPr>
            <w:tcW w:w="8120" w:type="dxa"/>
            <w:vAlign w:val="bottom"/>
          </w:tcPr>
          <w:p>
            <w:pPr>
              <w:ind w:left="140"/>
              <w:spacing w:after="0"/>
              <w:rPr>
                <w:sz w:val="20"/>
                <w:szCs w:val="20"/>
                <w:color w:val="auto"/>
              </w:rPr>
            </w:pPr>
            <w:r>
              <w:rPr>
                <w:rFonts w:ascii="Arial" w:cs="Arial" w:eastAsia="Arial" w:hAnsi="Arial"/>
                <w:sz w:val="18"/>
                <w:szCs w:val="18"/>
                <w:color w:val="auto"/>
              </w:rPr>
              <w:t>Acquisition-related expense, net</w:t>
            </w:r>
          </w:p>
        </w:tc>
        <w:tc>
          <w:tcPr>
            <w:tcW w:w="32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1,133</w:t>
            </w:r>
          </w:p>
        </w:tc>
      </w:tr>
      <w:tr>
        <w:trPr>
          <w:trHeight w:val="228"/>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(benefit),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2,042</w:t>
            </w:r>
          </w:p>
        </w:tc>
      </w:tr>
      <w:tr>
        <w:trPr>
          <w:trHeight w:val="221"/>
        </w:trPr>
        <w:tc>
          <w:tcPr>
            <w:tcW w:w="8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178,374</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178,977</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2"/>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 of total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26.4 %</w:t>
            </w:r>
          </w:p>
        </w:tc>
      </w:tr>
    </w:tbl>
    <w:p>
      <w:pPr>
        <w:spacing w:after="0" w:line="3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Operating expenses decreased $0.6 million, or (0.3)%, for the year ended December 31, 2022 compared to the year ended December 31, 2021 due to insurance recoveries in the current period that were not received in the prior period and decreased costs related to acquisitions in 2022 as compared to 2021. Selling, general and administrative expenses increased $5.3 million, or 3.3% for the year ended December 31, 2022 compared to the year ended December 31, 2021 primarily due to our elimination of substantially all temporary cost reduction and efficiency program initiatives undertaken during the first quarter of 2020 in response to COVID-19 as more fully described in "Overview" </w:t>
      </w:r>
      <w:r>
        <w:rPr>
          <w:rFonts w:ascii="Arial" w:cs="Arial" w:eastAsia="Arial" w:hAnsi="Arial"/>
          <w:sz w:val="18"/>
          <w:szCs w:val="18"/>
          <w:i w:val="1"/>
          <w:iCs w:val="1"/>
          <w:color w:val="auto"/>
        </w:rPr>
        <w:t>2022 Developments</w:t>
      </w:r>
      <w:r>
        <w:rPr>
          <w:rFonts w:ascii="Arial" w:cs="Arial" w:eastAsia="Arial" w:hAnsi="Arial"/>
          <w:sz w:val="18"/>
          <w:szCs w:val="18"/>
          <w:color w:val="auto"/>
        </w:rPr>
        <w:t>. Transactional foreign exchange expense, which is included within selling, general and administrative expenses, was approximately $0.6 million lower in 2022 as compared to 2021, due to volatility in certain foreign currencies.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reconciliation of segment income (loss) from operations to income (loss) before special items (unaudited) for the years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25"/>
        </w:trPr>
        <w:tc>
          <w:tcPr>
            <w:tcW w:w="8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8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r>
      <w:tr>
        <w:trPr>
          <w:trHeight w:val="185"/>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880" w:type="dxa"/>
            <w:vAlign w:val="bottom"/>
          </w:tcPr>
          <w:p>
            <w:pPr>
              <w:spacing w:after="0"/>
              <w:rPr>
                <w:sz w:val="16"/>
                <w:szCs w:val="16"/>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Services: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 (GAAP)</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48,458</w:t>
            </w:r>
          </w:p>
        </w:tc>
      </w:tr>
      <w:tr>
        <w:trPr>
          <w:trHeight w:val="228"/>
        </w:trPr>
        <w:tc>
          <w:tcPr>
            <w:tcW w:w="8380" w:type="dxa"/>
            <w:vAlign w:val="bottom"/>
          </w:tcPr>
          <w:p>
            <w:pPr>
              <w:ind w:left="140"/>
              <w:spacing w:after="0"/>
              <w:rPr>
                <w:sz w:val="20"/>
                <w:szCs w:val="20"/>
                <w:color w:val="auto"/>
              </w:rPr>
            </w:pPr>
            <w:r>
              <w:rPr>
                <w:rFonts w:ascii="Arial" w:cs="Arial" w:eastAsia="Arial" w:hAnsi="Arial"/>
                <w:sz w:val="18"/>
                <w:szCs w:val="18"/>
                <w:color w:val="auto"/>
              </w:rPr>
              <w:t>Bad debt provision for troubled customers, net of recoveries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8"/>
        </w:trPr>
        <w:tc>
          <w:tcPr>
            <w:tcW w:w="8380" w:type="dxa"/>
            <w:vAlign w:val="bottom"/>
          </w:tcPr>
          <w:p>
            <w:pPr>
              <w:ind w:left="140"/>
              <w:spacing w:after="0"/>
              <w:rPr>
                <w:sz w:val="20"/>
                <w:szCs w:val="20"/>
                <w:color w:val="auto"/>
              </w:rPr>
            </w:pPr>
            <w:r>
              <w:rPr>
                <w:rFonts w:ascii="Arial" w:cs="Arial" w:eastAsia="Arial" w:hAnsi="Arial"/>
                <w:sz w:val="18"/>
                <w:szCs w:val="18"/>
                <w:color w:val="auto"/>
              </w:rPr>
              <w:t>Legal settlement and insurance (recoveries) charges, net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28"/>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21"/>
        </w:trPr>
        <w:tc>
          <w:tcPr>
            <w:tcW w:w="8380" w:type="dxa"/>
            <w:vAlign w:val="bottom"/>
          </w:tcPr>
          <w:p>
            <w:pPr>
              <w:ind w:left="140"/>
              <w:spacing w:after="0"/>
              <w:rPr>
                <w:sz w:val="20"/>
                <w:szCs w:val="20"/>
                <w:color w:val="auto"/>
              </w:rPr>
            </w:pPr>
            <w:r>
              <w:rPr>
                <w:rFonts w:ascii="Arial" w:cs="Arial" w:eastAsia="Arial" w:hAnsi="Arial"/>
                <w:sz w:val="18"/>
                <w:szCs w:val="18"/>
                <w:color w:val="auto"/>
              </w:rPr>
              <w:t>Income before special items (unaudited, non-GAAP)</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51,365</w:t>
            </w:r>
          </w:p>
        </w:tc>
      </w:tr>
      <w:tr>
        <w:trPr>
          <w:trHeight w:val="476"/>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International:</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 (GAAP)</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r>
      <w:tr>
        <w:trPr>
          <w:trHeight w:val="228"/>
        </w:trPr>
        <w:tc>
          <w:tcPr>
            <w:tcW w:w="838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28"/>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21"/>
        </w:trPr>
        <w:tc>
          <w:tcPr>
            <w:tcW w:w="8380" w:type="dxa"/>
            <w:vAlign w:val="bottom"/>
          </w:tcPr>
          <w:p>
            <w:pPr>
              <w:ind w:left="140"/>
              <w:spacing w:after="0"/>
              <w:rPr>
                <w:sz w:val="20"/>
                <w:szCs w:val="20"/>
                <w:color w:val="auto"/>
              </w:rPr>
            </w:pPr>
            <w:r>
              <w:rPr>
                <w:rFonts w:ascii="Arial" w:cs="Arial" w:eastAsia="Arial" w:hAnsi="Arial"/>
                <w:sz w:val="18"/>
                <w:szCs w:val="18"/>
                <w:color w:val="auto"/>
              </w:rPr>
              <w:t>Income before special items (unaudited, non-GAAP)</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r>
      <w:tr>
        <w:trPr>
          <w:trHeight w:val="476"/>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Products and Systems: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 (GAAP)</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8"/>
        </w:trPr>
        <w:tc>
          <w:tcPr>
            <w:tcW w:w="838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83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before special items (unaudited, non-GAAP)</w:t>
            </w: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475"/>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Corporate and Eliminations: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 (GAAP)</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(32,010)</w:t>
            </w:r>
          </w:p>
        </w:tc>
      </w:tr>
      <w:tr>
        <w:trPr>
          <w:trHeight w:val="228"/>
        </w:trPr>
        <w:tc>
          <w:tcPr>
            <w:tcW w:w="8380" w:type="dxa"/>
            <w:vAlign w:val="bottom"/>
          </w:tcPr>
          <w:p>
            <w:pPr>
              <w:ind w:left="140"/>
              <w:spacing w:after="0"/>
              <w:rPr>
                <w:sz w:val="20"/>
                <w:szCs w:val="20"/>
                <w:color w:val="auto"/>
              </w:rPr>
            </w:pPr>
            <w:r>
              <w:rPr>
                <w:rFonts w:ascii="Arial" w:cs="Arial" w:eastAsia="Arial" w:hAnsi="Arial"/>
                <w:sz w:val="18"/>
                <w:szCs w:val="18"/>
                <w:color w:val="auto"/>
              </w:rPr>
              <w:t>Legal settlement and insurance (recoveries) charges, net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28"/>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modification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8"/>
        </w:trPr>
        <w:tc>
          <w:tcPr>
            <w:tcW w:w="838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8"/>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1"/>
        </w:trPr>
        <w:tc>
          <w:tcPr>
            <w:tcW w:w="8380" w:type="dxa"/>
            <w:vAlign w:val="bottom"/>
          </w:tcPr>
          <w:p>
            <w:pPr>
              <w:ind w:left="140"/>
              <w:spacing w:after="0"/>
              <w:rPr>
                <w:sz w:val="20"/>
                <w:szCs w:val="20"/>
                <w:color w:val="auto"/>
              </w:rPr>
            </w:pPr>
            <w:r>
              <w:rPr>
                <w:rFonts w:ascii="Arial" w:cs="Arial" w:eastAsia="Arial" w:hAnsi="Arial"/>
                <w:sz w:val="18"/>
                <w:szCs w:val="18"/>
                <w:color w:val="auto"/>
              </w:rPr>
              <w:t>Loss before special items (unaudited, non-GAAP)</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(31,979)</w:t>
            </w:r>
          </w:p>
        </w:tc>
      </w:tr>
      <w:tr>
        <w:trPr>
          <w:trHeight w:val="476"/>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Total Company:</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 (GAAP)</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w:t>
            </w:r>
          </w:p>
        </w:tc>
      </w:tr>
      <w:tr>
        <w:trPr>
          <w:trHeight w:val="268"/>
        </w:trPr>
        <w:tc>
          <w:tcPr>
            <w:tcW w:w="8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8"/>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provision for troubled customers, net of recoveries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380" w:type="dxa"/>
            <w:vAlign w:val="bottom"/>
          </w:tcPr>
          <w:p>
            <w:pPr>
              <w:ind w:left="140"/>
              <w:spacing w:after="0"/>
              <w:rPr>
                <w:sz w:val="20"/>
                <w:szCs w:val="20"/>
                <w:color w:val="auto"/>
              </w:rPr>
            </w:pPr>
            <w:r>
              <w:rPr>
                <w:rFonts w:ascii="Arial" w:cs="Arial" w:eastAsia="Arial" w:hAnsi="Arial"/>
                <w:sz w:val="18"/>
                <w:szCs w:val="18"/>
                <w:color w:val="auto"/>
              </w:rPr>
              <w:t>Legal settlement and insurance (recoveries) charges, net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2,042</w:t>
            </w:r>
          </w:p>
        </w:tc>
      </w:tr>
      <w:tr>
        <w:trPr>
          <w:trHeight w:val="228"/>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modification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8"/>
        </w:trPr>
        <w:tc>
          <w:tcPr>
            <w:tcW w:w="838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28"/>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22"/>
        </w:trPr>
        <w:tc>
          <w:tcPr>
            <w:tcW w:w="8380" w:type="dxa"/>
            <w:vAlign w:val="bottom"/>
          </w:tcPr>
          <w:p>
            <w:pPr>
              <w:ind w:left="140"/>
              <w:spacing w:after="0"/>
              <w:rPr>
                <w:sz w:val="20"/>
                <w:szCs w:val="20"/>
                <w:color w:val="auto"/>
              </w:rPr>
            </w:pPr>
            <w:r>
              <w:rPr>
                <w:rFonts w:ascii="Arial" w:cs="Arial" w:eastAsia="Arial" w:hAnsi="Arial"/>
                <w:sz w:val="18"/>
                <w:szCs w:val="18"/>
                <w:color w:val="auto"/>
              </w:rPr>
              <w:t>Income before special items (unaudited, non-GAAP)</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22,296</w:t>
            </w:r>
          </w:p>
        </w:tc>
      </w:tr>
      <w:tr>
        <w:trPr>
          <w:trHeight w:val="20"/>
        </w:trPr>
        <w:tc>
          <w:tcPr>
            <w:tcW w:w="8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Note about Non-GAAP Measures"</w:t>
      </w:r>
      <w:r>
        <w:rPr>
          <w:rFonts w:ascii="Arial" w:cs="Arial" w:eastAsia="Arial" w:hAnsi="Arial"/>
          <w:sz w:val="18"/>
          <w:szCs w:val="18"/>
          <w:color w:val="auto"/>
        </w:rPr>
        <w:t xml:space="preserve"> in this Annual Report for an explanation of our use of non-GAAP measures.</w:t>
      </w:r>
    </w:p>
    <w:p>
      <w:pPr>
        <w:spacing w:after="0" w:line="249" w:lineRule="exact"/>
        <w:rPr>
          <w:sz w:val="20"/>
          <w:szCs w:val="20"/>
          <w:color w:val="auto"/>
        </w:rPr>
      </w:pPr>
    </w:p>
    <w:p>
      <w:pPr>
        <w:ind w:right="560"/>
        <w:spacing w:after="0" w:line="272" w:lineRule="auto"/>
        <w:rPr>
          <w:sz w:val="20"/>
          <w:szCs w:val="20"/>
          <w:color w:val="auto"/>
        </w:rPr>
      </w:pPr>
      <w:r>
        <w:rPr>
          <w:rFonts w:ascii="Arial" w:cs="Arial" w:eastAsia="Arial" w:hAnsi="Arial"/>
          <w:sz w:val="18"/>
          <w:szCs w:val="18"/>
          <w:color w:val="auto"/>
        </w:rPr>
        <w:t>Total Company income from operations (GAAP) increased by $1.6 million, or 9.0% compared to the year ended December 31, 2021. Total Company income before special items (non-GAAP) decreased by $2.5 million or 11.1% compared with the year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ended December 31, 2021. Operating expenses, excluding special items (non-GAAP), as a percentage of revenue, was 25.9% for the year ended December 31, 2022 compared to 25.8% for the year ended December 31, 2021. The primary driver for the increase in total company income was increased sales in 2022 compared to 2021. Income before special items as a percentage of revenue decreased by 40 basis points to 2.9% for the year ended December 31, 2022 from 3.3% for the year ended December 31, 2021. Our discussion below is qualified by the unknown impact that the COVID-19 pandemic, or similar future health crisis, and the Russia - Ukraine war will continue to have on our business and the economy in general, including the resulting economic disruption of both. Refer to Item 1A. Risk Factors in Part I of this Annual Report for further discussion.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6"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Interest expense was $10.5 million and $10.9 million for the years ended December 31, 2022 and December 31, 2021, respectively. The decrease was due to the Company having entered into the New Credit Agreement providing for interest to be payable based on Secured Overnight Financing Rate ("SOFR") plus a credit spread adjustment and applicable SOFR margin ranging from 1.25% to 2.75%, and the removal of the previously existing minimum LIBOR floor.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Our effective income tax rate was approximately 29.3% for the year ended December 31, 2022, compared to 46.6% for the year ended December 31, 2021. The decrease in effective tax rate was primarily driven by a $1.7 million US R&amp;D tax credit benefit, partially offset by the recording of a $1.1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 recorded in 2022 which was related to certain Canadian entities</w:t>
      </w:r>
      <w:r>
        <w:rPr>
          <w:rFonts w:ascii="Arial" w:cs="Arial" w:eastAsia="Arial" w:hAnsi="Arial"/>
          <w:sz w:val="19"/>
          <w:szCs w:val="19"/>
          <w:color w:val="auto"/>
        </w:rPr>
        <w:t>.</w:t>
      </w:r>
    </w:p>
    <w:p>
      <w:pPr>
        <w:spacing w:after="0" w:line="213"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We are currently evaluating the impact of this guidance on our consolidated financial position, results of operations, and cash flows, but does not expect it to have a material impact.</w:t>
      </w:r>
    </w:p>
    <w:p>
      <w:pPr>
        <w:spacing w:after="0" w:line="20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Further in response to the COVID-19 pandemic, the American Rescue Plan Act was signed into law on March 11, 2021. This act, among other things, provides economic relief provisions to individuals and funding to certain businesses and programs. The Company does not expect this act to have a material impact.</w:t>
      </w:r>
    </w:p>
    <w:p>
      <w:pPr>
        <w:spacing w:after="0" w:line="213" w:lineRule="exact"/>
        <w:rPr>
          <w:sz w:val="20"/>
          <w:szCs w:val="20"/>
          <w:color w:val="auto"/>
        </w:rPr>
      </w:pPr>
    </w:p>
    <w:p>
      <w:pPr>
        <w:jc w:val="both"/>
        <w:ind w:right="80"/>
        <w:spacing w:after="0" w:line="290" w:lineRule="auto"/>
        <w:rPr>
          <w:sz w:val="20"/>
          <w:szCs w:val="20"/>
          <w:color w:val="auto"/>
        </w:rPr>
      </w:pPr>
      <w:r>
        <w:rPr>
          <w:rFonts w:ascii="Arial" w:cs="Arial" w:eastAsia="Arial" w:hAnsi="Arial"/>
          <w:sz w:val="16"/>
          <w:szCs w:val="16"/>
          <w:color w:val="auto"/>
        </w:rPr>
        <w:t>On August 19, 2022, the United States enacted the Inflation Reduction Act, (the "Inflation Act"), a package intended to reduce inflation. The Inflation Act contains a variety of tax provisions, including a 15% corporate minimum tax, a tax on stock repurchases, and various tax credit opportunities. We evaluated the impact of this guidance on our consolidated financial position, results of operations, and cash flows, and do not expect it to have a material impact.</w:t>
      </w:r>
    </w:p>
    <w:p>
      <w:pPr>
        <w:spacing w:after="0" w:line="164"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funded our operations from cash provided from operations, bank borrowings and lease financings. Management believes that our existing cash and cash equivalents, anticipated cash flows from operating activities, and available borrowings under our New Credit Agreement will be more than sufficient to meet anticipated cash needs over the next 12 months and for the foreseeable future. We generated operating cash flows of $26.4 million and $42.3 million for the years ended December 31, 2022 and 2021, respectively. Capital expenditures for the purchase of property, plant and equipment and of intangible assets was $13.4 million and $19.3 million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2022 and 2021: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25"/>
        </w:trPr>
        <w:tc>
          <w:tcPr>
            <w:tcW w:w="8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3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30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0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53"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Cash provided by operating activities for the year ended December 31, 2022 was $26.4 million, a decrease of $15.9 million from the prior year. The decrease was primarily attributable to movements in working capital driven primarily by a decrease in net accounts receivable collections, a decrease in accrued expenses and other liabilities and in prepaid expenses and other assets in the current year as compared to the prior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53" w:lineRule="exact"/>
        <w:rPr>
          <w:sz w:val="20"/>
          <w:szCs w:val="20"/>
          <w:color w:val="auto"/>
        </w:rPr>
      </w:pPr>
    </w:p>
    <w:p>
      <w:pPr>
        <w:ind w:right="120"/>
        <w:spacing w:after="0" w:line="302" w:lineRule="auto"/>
        <w:rPr>
          <w:sz w:val="20"/>
          <w:szCs w:val="20"/>
          <w:color w:val="auto"/>
        </w:rPr>
      </w:pPr>
      <w:r>
        <w:rPr>
          <w:rFonts w:ascii="Arial" w:cs="Arial" w:eastAsia="Arial" w:hAnsi="Arial"/>
          <w:sz w:val="17"/>
          <w:szCs w:val="17"/>
          <w:color w:val="auto"/>
        </w:rPr>
        <w:t>Net cash used in investing activities for the year ended December 31, 2022 was $12.2 million, a decrease of $6.3 million from the prior year. The Company used $5.9 million more cash for purchases of property, plant and equipment and intangible assets in 2022 compared to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Net cash used in financing activities for the year ended December 31, 2022 was $16.3 million, compared to $23.2 million for the year ended December 31, 2021. During the year ended December 31, 2022, we entered into a new credit agreement which replaced our prior credit agreement, as detailed more in Note </w:t>
      </w:r>
      <w:r>
        <w:rPr>
          <w:rFonts w:ascii="Arial" w:cs="Arial" w:eastAsia="Arial" w:hAnsi="Arial"/>
          <w:sz w:val="18"/>
          <w:szCs w:val="18"/>
          <w:i w:val="1"/>
          <w:iCs w:val="1"/>
          <w:color w:val="auto"/>
        </w:rPr>
        <w:t>11-Long-Term Debt .</w:t>
      </w:r>
      <w:r>
        <w:rPr>
          <w:rFonts w:ascii="Arial" w:cs="Arial" w:eastAsia="Arial" w:hAnsi="Arial"/>
          <w:sz w:val="18"/>
          <w:szCs w:val="18"/>
          <w:color w:val="auto"/>
        </w:rPr>
        <w:t xml:space="preserve"> As part of this transaction, the prior revolving credit facility and term loan were repaid in full. Net repayment of debt and revolver was approximately $13.5 million higher compared to 2021, when excluding this transaction. In addition, for the year ended December 31, 2022 we incurred approximately $0.5 million less payments for contingent considerations, offset in part by $0.9 million taxes paid related to net share settlement of share-based awards.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6" w:lineRule="exact"/>
        <w:rPr>
          <w:sz w:val="20"/>
          <w:szCs w:val="20"/>
          <w:color w:val="auto"/>
        </w:rPr>
      </w:pPr>
    </w:p>
    <w:p>
      <w:pPr>
        <w:jc w:val="both"/>
        <w:ind w:right="160"/>
        <w:spacing w:after="0" w:line="260" w:lineRule="auto"/>
        <w:rPr>
          <w:sz w:val="20"/>
          <w:szCs w:val="20"/>
          <w:color w:val="auto"/>
        </w:rPr>
      </w:pPr>
      <w:r>
        <w:rPr>
          <w:rFonts w:ascii="Arial" w:cs="Arial" w:eastAsia="Arial" w:hAnsi="Arial"/>
          <w:sz w:val="18"/>
          <w:szCs w:val="18"/>
          <w:color w:val="auto"/>
        </w:rPr>
        <w:t>The effect of exchange rate changes on our cash and cash equivalents was a decrease of $1.5 million for the year ended December 31, 2022, compared to a decrease of $2.1 million for the year ended December 31, 2021. The primary driver of the change was foreign currency fluctuations during the year related to the Euro and the US Dollar.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6"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 xml:space="preserve">The terms of our New Credit Agreement are described in Note </w:t>
      </w:r>
      <w:r>
        <w:rPr>
          <w:rFonts w:ascii="Arial" w:cs="Arial" w:eastAsia="Arial" w:hAnsi="Arial"/>
          <w:sz w:val="18"/>
          <w:szCs w:val="18"/>
          <w:i w:val="1"/>
          <w:iCs w:val="1"/>
          <w:color w:val="auto"/>
        </w:rPr>
        <w:t>11-Long-Term Debt</w:t>
      </w:r>
      <w:r>
        <w:rPr>
          <w:rFonts w:ascii="Arial" w:cs="Arial" w:eastAsia="Arial" w:hAnsi="Arial"/>
          <w:sz w:val="18"/>
          <w:szCs w:val="18"/>
          <w:color w:val="auto"/>
        </w:rPr>
        <w:t xml:space="preserve"> of the Notes to Consolidated Financial Statements in this Annual Report, under the heading "Senior Credit Facility", the provisions of which are incorporated herein.</w:t>
      </w:r>
    </w:p>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As of December 31, 2022, we had cash and cash equivalents totaling $20.5 million and available borrowing capacity of up to $121.7 million under our New Credit Agreement. Borrowings of $186.6 million and letters of credit of $3.0 million were outstanding under the New Credit Agreement at December 31, 2022. We finance our operations primarily through our existing cash balances, cash collected from operations, bank borrowings and lease financing. We believe these sources are sufficient to fund our operations for the foreseeable future. See </w:t>
      </w:r>
      <w:r>
        <w:rPr>
          <w:rFonts w:ascii="Arial" w:cs="Arial" w:eastAsia="Arial" w:hAnsi="Arial"/>
          <w:sz w:val="18"/>
          <w:szCs w:val="18"/>
          <w:i w:val="1"/>
          <w:iCs w:val="1"/>
          <w:color w:val="auto"/>
        </w:rPr>
        <w:t>11-Long-Term Debt</w:t>
      </w:r>
      <w:r>
        <w:rPr>
          <w:rFonts w:ascii="Arial" w:cs="Arial" w:eastAsia="Arial" w:hAnsi="Arial"/>
          <w:sz w:val="18"/>
          <w:szCs w:val="18"/>
          <w:color w:val="auto"/>
        </w:rPr>
        <w:t xml:space="preserve"> of the notes to the consolidated financial statements for additional information.</w:t>
      </w:r>
    </w:p>
    <w:p>
      <w:pPr>
        <w:spacing w:after="0" w:line="218"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color w:val="auto"/>
        </w:rPr>
        <w:t>As of December 31, 2022, we were in compliance with the terms of the New Credit Agreement and will continuously monitor our compliance with the covenants contained in the New Credit Agreement.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160"/>
        <w:spacing w:after="0" w:line="307" w:lineRule="auto"/>
        <w:rPr>
          <w:sz w:val="20"/>
          <w:szCs w:val="20"/>
          <w:color w:val="auto"/>
        </w:rPr>
      </w:pPr>
      <w:r>
        <w:rPr>
          <w:rFonts w:ascii="Arial" w:cs="Arial" w:eastAsia="Arial" w:hAnsi="Arial"/>
          <w:sz w:val="16"/>
          <w:szCs w:val="16"/>
          <w:color w:val="auto"/>
        </w:rPr>
        <w:t>The New Credit Agreement permits us to borrow up to $100 million in non-US dollar currencies and to use up to $20 million of the credit limit for the issuance of letters of credit. Additionally, the New Credit Agreement requires quarterly payments on the term loan of $1.56 million through June 30, 2024, then increasing to $2.34 million through June 30, 2025, and to $3.12 million for each quarterly payment thereafter through maturity on July 30, 2027.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Sources of Cash</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expect our future sources of cash to include cash flow generated from our operating activities and borrowings under our New Credit Agreement. Our revolving credit facility is available for cash advances required for working capital and for letters of credit to support our operations. Acquisitions, if any, are funded through available cash and borrowings under the New Credit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Uses of Cash</w:t>
      </w: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expect our future uses of cash will primarily be for repayment of debt, purchases or manufacture of field-testing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annually fund a certain amount of replacement equipment, including a portion of our fleet vehicles. We historically spend approximately 2% to 3% of our total revenues on capital expenditures, excluding acquisitions, and expect to fund these expenditures through a combination of cash and lease financing. Our cash capital expenditures, excluding acquisitions, for each of the years ended December 31, 2022 and 2021 were approximately 2.0% and 2.8% of revenues, respectively. We continue to take steps to reduce spending and preserve cash.</w:t>
      </w:r>
    </w:p>
    <w:p>
      <w:pPr>
        <w:spacing w:after="0" w:line="2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Our New Credit Agreement, does not limit the Company’s ability to acquire other businesses or companies except for certain provisions as described within Note </w:t>
      </w:r>
      <w:r>
        <w:rPr>
          <w:rFonts w:ascii="Arial" w:cs="Arial" w:eastAsia="Arial" w:hAnsi="Arial"/>
          <w:sz w:val="18"/>
          <w:szCs w:val="18"/>
          <w:i w:val="1"/>
          <w:iCs w:val="1"/>
          <w:color w:val="auto"/>
        </w:rPr>
        <w:t>11-Long-Term Debt.</w:t>
      </w:r>
      <w:r>
        <w:rPr>
          <w:rFonts w:ascii="Arial" w:cs="Arial" w:eastAsia="Arial" w:hAnsi="Arial"/>
          <w:sz w:val="18"/>
          <w:szCs w:val="18"/>
          <w:color w:val="auto"/>
        </w:rPr>
        <w:t xml:space="preserve"> We did not have any acquisitions in 2022. In some cases, additional equipment will be needed to upgrade the capabilities of these acquired companies. In addition, our future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finance leases, long-term debt repayments and various other obligations as they arise as noted within Note </w:t>
      </w:r>
      <w:r>
        <w:rPr>
          <w:rFonts w:ascii="Arial" w:cs="Arial" w:eastAsia="Arial" w:hAnsi="Arial"/>
          <w:sz w:val="18"/>
          <w:szCs w:val="18"/>
          <w:i w:val="1"/>
          <w:iCs w:val="1"/>
          <w:color w:val="auto"/>
        </w:rPr>
        <w:t xml:space="preserve">11-Long-Term Debt </w:t>
      </w:r>
      <w:r>
        <w:rPr>
          <w:rFonts w:ascii="Arial" w:cs="Arial" w:eastAsia="Arial" w:hAnsi="Arial"/>
          <w:sz w:val="18"/>
          <w:szCs w:val="18"/>
          <w:color w:val="auto"/>
        </w:rPr>
        <w:t>and Note</w:t>
      </w:r>
      <w:r>
        <w:rPr>
          <w:rFonts w:ascii="Arial" w:cs="Arial" w:eastAsia="Arial" w:hAnsi="Arial"/>
          <w:sz w:val="18"/>
          <w:szCs w:val="18"/>
          <w:i w:val="1"/>
          <w:iCs w:val="1"/>
          <w:color w:val="auto"/>
        </w:rPr>
        <w:t xml:space="preserve"> 17</w:t>
      </w:r>
      <w:r>
        <w:rPr>
          <w:rFonts w:ascii="Arial" w:cs="Arial" w:eastAsia="Arial" w:hAnsi="Arial"/>
          <w:sz w:val="18"/>
          <w:szCs w:val="18"/>
          <w:color w:val="auto"/>
        </w:rPr>
        <w:t>-</w:t>
      </w:r>
      <w:r>
        <w:rPr>
          <w:rFonts w:ascii="Arial" w:cs="Arial" w:eastAsia="Arial" w:hAnsi="Arial"/>
          <w:sz w:val="18"/>
          <w:szCs w:val="18"/>
          <w:i w:val="1"/>
          <w:iCs w:val="1"/>
          <w:color w:val="auto"/>
        </w:rPr>
        <w:t xml:space="preserve"> Leases.</w:t>
      </w:r>
    </w:p>
    <w:p>
      <w:pPr>
        <w:spacing w:after="0" w:line="19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or public or private equity,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acceptable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During the years ended December 31, 2022 and 2021,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3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preparation of financial statements in accordance with U.S. GAAP requires that we make estimates and assumptions that affect the reported amounts of assets and liabilities and disclosure of contingent assets and liabilities at the date of financial statements and the reported amounts of revenues and expenses during the reporting period. We have established policies and control procedures intended to ensure that estimation methods, including any judgments made as part of such methods, are well-controlled, independently reviewed and applied consistently from period to period. The accounting policies that we believe require more significant estimates and assumptions include revenue recognition, acquisitions, long-lived assets and goodwill. We base our estimates and assumptions on historical experience, known or expected trends and various other assumptions that we believe to be reasonable. As future events and their effects cannot be determined with precision, actual results could differ significantly from these estimates, which may cause our future results to be significantly affected.</w:t>
      </w:r>
    </w:p>
    <w:p>
      <w:pPr>
        <w:spacing w:after="0" w:line="184" w:lineRule="exact"/>
        <w:rPr>
          <w:sz w:val="20"/>
          <w:szCs w:val="20"/>
          <w:color w:val="auto"/>
        </w:rPr>
      </w:pPr>
    </w:p>
    <w:p>
      <w:pPr>
        <w:ind w:right="860"/>
        <w:spacing w:after="0" w:line="272" w:lineRule="auto"/>
        <w:rPr>
          <w:sz w:val="20"/>
          <w:szCs w:val="20"/>
          <w:color w:val="auto"/>
        </w:rPr>
      </w:pPr>
      <w:r>
        <w:rPr>
          <w:rFonts w:ascii="Arial" w:cs="Arial" w:eastAsia="Arial" w:hAnsi="Arial"/>
          <w:sz w:val="18"/>
          <w:szCs w:val="18"/>
          <w:color w:val="auto"/>
        </w:rPr>
        <w:t>We believe that the following critical accounting policies comprise the more significant estimates and assumptions used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6" w:lineRule="exact"/>
        <w:rPr>
          <w:sz w:val="20"/>
          <w:szCs w:val="20"/>
          <w:color w:val="auto"/>
        </w:rPr>
      </w:pPr>
    </w:p>
    <w:p>
      <w:pPr>
        <w:ind w:right="500"/>
        <w:spacing w:after="0" w:line="302" w:lineRule="auto"/>
        <w:rPr>
          <w:sz w:val="20"/>
          <w:szCs w:val="20"/>
          <w:color w:val="auto"/>
        </w:rPr>
      </w:pPr>
      <w:r>
        <w:rPr>
          <w:rFonts w:ascii="Arial" w:cs="Arial" w:eastAsia="Arial" w:hAnsi="Arial"/>
          <w:sz w:val="17"/>
          <w:szCs w:val="17"/>
          <w:color w:val="auto"/>
        </w:rPr>
        <w:t xml:space="preserve">The majority of our revenues are derived from providing services on a time and material basis and are short-term in nature. We account for revenue in accordance with Accounting Standards Codification ("ASC") Topic 606, </w:t>
      </w:r>
      <w:r>
        <w:rPr>
          <w:rFonts w:ascii="Arial" w:cs="Arial" w:eastAsia="Arial" w:hAnsi="Arial"/>
          <w:sz w:val="17"/>
          <w:szCs w:val="17"/>
          <w:i w:val="1"/>
          <w:iCs w:val="1"/>
          <w:color w:val="auto"/>
        </w:rPr>
        <w:t>Revenue from Contracts with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4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We provide highly integrated and bundled inspection services to our customers. Some of our contracts have multiple performance obligations, most commonly due to the contract providing both goods and services. For contracts with multiple performance obligations, we allocate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spacing w:after="0" w:line="218" w:lineRule="exact"/>
        <w:rPr>
          <w:sz w:val="20"/>
          <w:szCs w:val="20"/>
          <w:color w:val="auto"/>
        </w:rPr>
      </w:pPr>
    </w:p>
    <w:p>
      <w:pPr>
        <w:jc w:val="both"/>
        <w:ind w:right="540"/>
        <w:spacing w:after="0" w:line="260" w:lineRule="auto"/>
        <w:rPr>
          <w:sz w:val="20"/>
          <w:szCs w:val="20"/>
          <w:color w:val="auto"/>
        </w:rPr>
      </w:pPr>
      <w:r>
        <w:rPr>
          <w:rFonts w:ascii="Arial" w:cs="Arial" w:eastAsia="Arial" w:hAnsi="Arial"/>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2"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We also utilize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204"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expect any significant remaining performance obligations to be satisfied within one year.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majority of our revenues are short-term in nature. We have many Master Service Agreements ("MSAs") that specify an overall framework and contract terms, where we and our customers agree upon services or products to be provided. The actual contracting to provide services or furnish products are triggered by a work order, purchase order, or some similar document issued pursuant to an MSA which sets forth the scope of services and/or identifies the products to be provided. From time to time, we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We perform a review of long-lived assets (or asset groups) for impairment when events or changes in circumstances indicate the carrying value of such assets may not be recoverable. If an indication of impairment is present, we compare the estimated undiscounted future net cash flows to be generated by the asset (or asset group) to its carrying amount. If the undiscounted future net cash flows are less than the carrying amount of the asset (or asset group), we record an impairment loss equal to the excess of the asset’s carrying amount over its fair value. We estimate fair value based on valuation techniques such as a discounted cash flow analysis or a comparison to fair values of similar assets. As of December 31, 2022 and December 31, 2021, we had $77.6 million and $86.6 million in net property, plant and equipment, respectively, and $49.0 million and $59.4 million in intangible assets, net, respectively. See Note </w:t>
      </w:r>
      <w:r>
        <w:rPr>
          <w:rFonts w:ascii="Arial" w:cs="Arial" w:eastAsia="Arial" w:hAnsi="Arial"/>
          <w:sz w:val="16"/>
          <w:szCs w:val="16"/>
          <w:i w:val="1"/>
          <w:iCs w:val="1"/>
          <w:color w:val="auto"/>
        </w:rPr>
        <w:t xml:space="preserve">9-Intangible Assets </w:t>
      </w:r>
      <w:r>
        <w:rPr>
          <w:rFonts w:ascii="Arial" w:cs="Arial" w:eastAsia="Arial" w:hAnsi="Arial"/>
          <w:sz w:val="16"/>
          <w:szCs w:val="16"/>
          <w:color w:val="auto"/>
        </w:rPr>
        <w:t>to the consolidated financial statements for the impairment charge recorded in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Goodwill represents the excess purchase price of acquired businesses over the fair values attributed to underlying net tangible assets and identifiable intangible assets. We test goodwill for impairment at a “reporting unit” level (which for us is represented by (i) our Services segment, (ii) our Products and Systems segment, (iii) the European component of our International segment and (iv) the Brazilian component of our International segment). Our annual impairment test is conducted on the first day of our fourth quarter, which is October 1. Goodwill is also tested for impairment whenever an event occurs or circumstances change that would more likely than not reduce the fair value of a reporting unit below its carrying amount.</w:t>
      </w:r>
    </w:p>
    <w:p>
      <w:pPr>
        <w:spacing w:after="0" w:line="19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testing for goodwill impairment, we have the option to first assess qualitative factors to determine whether the existence of events or circumstances lead to a determination that it is more likely than not that the fair value of a reporting unit is less than its carrying amount. If, after assessing the totality of events and circumstances, we conclude that it is not more likely than not that the fair value of a reporting unit is less than its carrying amount, then performing a quantitative impairment test is not necessary. If we conclude otherwise, we are required to perform a quantitative impairment test.</w:t>
      </w:r>
    </w:p>
    <w:p>
      <w:pPr>
        <w:spacing w:after="0" w:line="18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An impairment will be recorded in the amount that the fair value is less than the carrying value. We consider the income and market approaches to estimating the fair value of our reporting units, which requires significant judgment in evaluation of economic and industry trends, estimated future cash flows, discount rates and other factors. Sustained declines in our stock price and related market capitalization could impact key assumptions in the overall estimated fair values of our reporting units and could result in non-cash impairment charges that could be material to our consolidated balance sheet or results of operations.</w:t>
      </w:r>
    </w:p>
    <w:p>
      <w:pPr>
        <w:spacing w:after="0" w:line="218"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 xml:space="preserve">We performed an annual quantitative impairment test as of October 31, 2022 noting no indicators of impairment in any of the Company's reporting units. Also, as of December 31, 2022, there are no indicators of an impairment. See Note </w:t>
      </w:r>
      <w:r>
        <w:rPr>
          <w:rFonts w:ascii="Arial" w:cs="Arial" w:eastAsia="Arial" w:hAnsi="Arial"/>
          <w:sz w:val="18"/>
          <w:szCs w:val="18"/>
          <w:i w:val="1"/>
          <w:iCs w:val="1"/>
          <w:color w:val="auto"/>
        </w:rPr>
        <w:t>8-Goodwill</w:t>
      </w:r>
      <w:r>
        <w:rPr>
          <w:rFonts w:ascii="Arial" w:cs="Arial" w:eastAsia="Arial" w:hAnsi="Arial"/>
          <w:sz w:val="18"/>
          <w:szCs w:val="18"/>
          <w:color w:val="auto"/>
        </w:rPr>
        <w:t xml:space="preserve"> to the consolidated financial statements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We allocate the purchase price of acquired businesses to their identifiable tangible assets and liabilities as well as identifiable intangible assets, such as customer relationships, technology, non-compete agreements and trade names. Allocations are based on estimated fair values of assets and liabilities, which reflects assumptions that would be made by typical market participants if they were to buy or sell each asset on an individual asset basis. Certain estimates and judgments are required in the application of the fair value techniques, including estimates of the respective acquisitions' future performance and related cash flows, selection of a discount rate and economic lives, and use of Level 3 measurements as defined in ASC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w:t>
      </w:r>
      <w:r>
        <w:rPr>
          <w:rFonts w:ascii="Arial" w:cs="Arial" w:eastAsia="Arial" w:hAnsi="Arial"/>
          <w:sz w:val="16"/>
          <w:szCs w:val="16"/>
          <w:color w:val="auto"/>
        </w:rPr>
        <w:t xml:space="preserve">Deferred taxes are recorded for any differences between the assigned values and tax bases of assets and liabilities. We typically engage third-party valuation experts to assist in determining the fair values for both identifiable tangible and intangible assets. The judgments made in determining the estimated fair value assigned to each class of assets acquired and liabilities assumed, as well as asset lives, could materially impact our results of operations. See Note </w:t>
      </w:r>
      <w:r>
        <w:rPr>
          <w:rFonts w:ascii="Arial" w:cs="Arial" w:eastAsia="Arial" w:hAnsi="Arial"/>
          <w:sz w:val="16"/>
          <w:szCs w:val="16"/>
          <w:i w:val="1"/>
          <w:iCs w:val="1"/>
          <w:color w:val="auto"/>
        </w:rPr>
        <w:t>7-Acquisitions</w:t>
      </w:r>
      <w:r>
        <w:rPr>
          <w:rFonts w:ascii="Arial" w:cs="Arial" w:eastAsia="Arial" w:hAnsi="Arial"/>
          <w:sz w:val="16"/>
          <w:szCs w:val="16"/>
          <w:color w:val="auto"/>
        </w:rPr>
        <w:t xml:space="preserve"> to the consolidated financial statements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00"/>
        <w:spacing w:after="0" w:line="272" w:lineRule="auto"/>
        <w:rPr>
          <w:sz w:val="20"/>
          <w:szCs w:val="20"/>
          <w:color w:val="auto"/>
        </w:rPr>
      </w:pPr>
      <w:r>
        <w:rPr>
          <w:rFonts w:ascii="Arial" w:cs="Arial" w:eastAsia="Arial" w:hAnsi="Arial"/>
          <w:sz w:val="18"/>
          <w:szCs w:val="18"/>
          <w:color w:val="080808"/>
        </w:rPr>
        <w:t xml:space="preserve">For information about recent accounting pronouncements, see Note </w:t>
      </w:r>
      <w:r>
        <w:rPr>
          <w:rFonts w:ascii="Arial" w:cs="Arial" w:eastAsia="Arial" w:hAnsi="Arial"/>
          <w:sz w:val="18"/>
          <w:szCs w:val="18"/>
          <w:i w:val="1"/>
          <w:iCs w:val="1"/>
          <w:color w:val="000000"/>
        </w:rPr>
        <w:t>1-Summary of Significant Accounting Policies and Practices</w:t>
      </w:r>
      <w:r>
        <w:rPr>
          <w:rFonts w:ascii="Arial" w:cs="Arial" w:eastAsia="Arial" w:hAnsi="Arial"/>
          <w:sz w:val="18"/>
          <w:szCs w:val="18"/>
          <w:color w:val="080808"/>
        </w:rPr>
        <w:t xml:space="preserve"> to the consolidated financial statements.</w:t>
      </w:r>
    </w:p>
    <w:p>
      <w:pPr>
        <w:spacing w:after="0" w:line="19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investment portfolio primarily includes cash equivalents for which the market values are not significantly affected by changes in interest rates. Our interest rate risk results primarily from our variable rate indebtedness under our new credit facility, which is influenced by movements in short-term rates. Borrowings under our $190 million revolving credit facility as well as our $125 million term loan bear interest at SOFR, plus a credit spread adjustment and applicable SOFR margin, ranging from 1.25% to 2.75%, based upon our Total Consolidated Debt Leverage Ratio. Based on the amount of our variable rate debt of $186.6 million at December 31, 2022, an increase in interest rates by one hundred basis points from our current rate would increase annual interest expense by approximately $1.9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have foreign currency exposure related to our operations in foreign locations. This foreign currency exposure, particularly the Euro, British Pound Sterling, Brazilian Real, Canadian Dollar and the Indian Rupee, arises primarily from the translation of our foreign subsidiaries’ financial statements into U.S. Dollars. Gains and losses relating to nonfunctional currency transactions, are reported in the Consolidated Statements of Income (Loss).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Translation adjustments for these movements are recorded as a separate component of Accumulated Other Comprehensive Income (Loss) in Stockholder Equity. For the year ended December 31, 2022, a 10% movement, favorable or unfavorable, in the average U.S. Dollar exchange rates would cause a change in adjusted operating income of approximately $0.1 million. We do not currently enter into forward exchange contracts to hedge exposures denominated in foreign currencies. We may consider entering into hedging or forward exchange contracts in the future, as sales in international currencies increase due to growth in our International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5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4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audited the accompanying consolidated balance sheets of Mistras Group, Inc. and subsidiaries (the Company) as of December 31, 2022 and 2021, the related consolidated statements of income (loss), comprehensive income (loss), equity, and cash flows for each of the years in the three-year period ended December 31, 2022, and the related notes (collectively,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w:t>
      </w:r>
    </w:p>
    <w:p>
      <w:pPr>
        <w:spacing w:after="0" w:line="21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 Also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49"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4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goodwill for the Services and European reporting units</w:t>
      </w:r>
    </w:p>
    <w:p>
      <w:pPr>
        <w:spacing w:after="0" w:line="249" w:lineRule="exact"/>
        <w:rPr>
          <w:sz w:val="20"/>
          <w:szCs w:val="20"/>
          <w:color w:val="auto"/>
        </w:rPr>
      </w:pPr>
    </w:p>
    <w:p>
      <w:pPr>
        <w:ind w:left="400" w:right="100"/>
        <w:spacing w:after="0" w:line="254" w:lineRule="auto"/>
        <w:rPr>
          <w:sz w:val="20"/>
          <w:szCs w:val="20"/>
          <w:color w:val="auto"/>
        </w:rPr>
      </w:pPr>
      <w:r>
        <w:rPr>
          <w:rFonts w:ascii="Arial" w:cs="Arial" w:eastAsia="Arial" w:hAnsi="Arial"/>
          <w:sz w:val="18"/>
          <w:szCs w:val="18"/>
          <w:color w:val="auto"/>
        </w:rPr>
        <w:t>As discussed in Note 1 to the consolidated financial statements, the Company tests goodwill for impairment annually on October 1 or more frequently if an event occurs or circumstances change that would more likely than not reduce the fair value of a reporting unit below its carrying amount. The Company considers the income and market approaches to estimate the fair value of its reporting units. As of December 31, 2022, the Company had goodwill of $199.6 million, of which a portion related to the Services and European reporting units. There were no impairment charges recorded during the year ended December 31, 2022.</w:t>
      </w:r>
    </w:p>
    <w:p>
      <w:pPr>
        <w:spacing w:after="0" w:line="218" w:lineRule="exact"/>
        <w:rPr>
          <w:sz w:val="20"/>
          <w:szCs w:val="20"/>
          <w:color w:val="auto"/>
        </w:rPr>
      </w:pPr>
    </w:p>
    <w:p>
      <w:pPr>
        <w:ind w:left="400" w:right="20"/>
        <w:spacing w:after="0" w:line="298" w:lineRule="auto"/>
        <w:rPr>
          <w:sz w:val="20"/>
          <w:szCs w:val="20"/>
          <w:color w:val="auto"/>
        </w:rPr>
      </w:pPr>
      <w:r>
        <w:rPr>
          <w:rFonts w:ascii="Arial" w:cs="Arial" w:eastAsia="Arial" w:hAnsi="Arial"/>
          <w:sz w:val="16"/>
          <w:szCs w:val="16"/>
          <w:color w:val="auto"/>
        </w:rPr>
        <w:t>We identified the evaluation of goodwill impairment for the Services and European reporting units as a critical audit matter. Auditor judgment was required to evaluate the selection of discount rates and forecasted revenue growth rates, gross margins, and selling, general, and administrative expense used in the income approach as they represented subjective determinations of future market or economic conditions. Additionally, the audit effort associated with the evaluation of goodwill for impairment for the Services and European reporting units required specialized skills and knowledge.</w:t>
      </w:r>
    </w:p>
    <w:p>
      <w:pPr>
        <w:spacing w:after="0" w:line="185" w:lineRule="exact"/>
        <w:rPr>
          <w:sz w:val="20"/>
          <w:szCs w:val="20"/>
          <w:color w:val="auto"/>
        </w:rPr>
      </w:pPr>
    </w:p>
    <w:p>
      <w:pPr>
        <w:ind w:left="400" w:right="20"/>
        <w:spacing w:after="0" w:line="267"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goodwill impairment evaluation process, including controls related to management’s selection of discount rates and forecasted revenue growth rates, gross margins, and selling, general, and administrative expense. We evaluated the reasonableness of management’s forecasted revenue growth rates, gross margins, and selling, general, and administrative expense by comparing the forecasts to historical revenue growth rates, gross margins, and selling, general, and administrative expense and relevant industry reports. We performed sensitivity analyses over the forecasted gross margins to assess the impact of changes in those assumptions on the Company’s determination of the fair value of its reporting units. We evaluated the Company’s ability to accurately estimate future revenue growth rates, gross margins, and selling, general, and administrative expense by comparing the historical projected revenue growth rates, gross margins, and selling, general, and administrative expense to actual results for the same period. In addition, we involved valuation professionals with specialized skills and knowledge who assisted in:</w:t>
      </w:r>
    </w:p>
    <w:p>
      <w:pPr>
        <w:spacing w:after="0" w:line="211" w:lineRule="exact"/>
        <w:rPr>
          <w:sz w:val="20"/>
          <w:szCs w:val="20"/>
          <w:color w:val="auto"/>
        </w:rPr>
      </w:pPr>
    </w:p>
    <w:p>
      <w:pPr>
        <w:ind w:left="1280" w:hanging="308"/>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evaluating the Company’s methodology used to estimate the discount rates</w:t>
      </w:r>
    </w:p>
    <w:p>
      <w:pPr>
        <w:spacing w:after="0" w:line="248" w:lineRule="exact"/>
        <w:rPr>
          <w:rFonts w:ascii="Arial" w:cs="Arial" w:eastAsia="Arial" w:hAnsi="Arial"/>
          <w:sz w:val="18"/>
          <w:szCs w:val="18"/>
          <w:color w:val="auto"/>
        </w:rPr>
      </w:pPr>
    </w:p>
    <w:p>
      <w:pPr>
        <w:ind w:left="1300" w:right="620" w:hanging="328"/>
        <w:spacing w:after="0" w:line="272"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evaluating the Company’s discount rates by comparing them against discount rate ranges that were independently developed using publicly available market data for comparable entities</w:t>
      </w:r>
    </w:p>
    <w:p>
      <w:pPr>
        <w:spacing w:after="0" w:line="201" w:lineRule="exact"/>
        <w:rPr>
          <w:rFonts w:ascii="Arial" w:cs="Arial" w:eastAsia="Arial" w:hAnsi="Arial"/>
          <w:sz w:val="18"/>
          <w:szCs w:val="18"/>
          <w:color w:val="auto"/>
        </w:rPr>
      </w:pPr>
    </w:p>
    <w:p>
      <w:pPr>
        <w:ind w:left="1300" w:right="40" w:hanging="328"/>
        <w:spacing w:after="0" w:line="272"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testing the estimate of fair values of the Services and European reporting units by using the Company’s projected cash flows as well as our independently developed discount rate ranges and comparing the results to the Company’s fair values.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 thousands, except share and per share data</w:t>
      </w:r>
      <w:r>
        <w:rPr>
          <w:rFonts w:ascii="Arial" w:cs="Arial" w:eastAsia="Arial" w:hAnsi="Arial"/>
          <w:sz w:val="18"/>
          <w:szCs w:val="18"/>
          <w:b w:val="1"/>
          <w:bCs w:val="1"/>
          <w:color w:val="auto"/>
        </w:rPr>
        <w:t>)</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25"/>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67"/>
        </w:trPr>
        <w:tc>
          <w:tcPr>
            <w:tcW w:w="84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8"/>
        </w:trPr>
        <w:tc>
          <w:tcPr>
            <w:tcW w:w="84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20,488</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24,110</w:t>
            </w:r>
          </w:p>
        </w:tc>
      </w:tr>
      <w:tr>
        <w:trPr>
          <w:trHeight w:val="228"/>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109,511</w:t>
            </w:r>
          </w:p>
        </w:tc>
      </w:tr>
      <w:tr>
        <w:trPr>
          <w:trHeight w:val="228"/>
        </w:trPr>
        <w:tc>
          <w:tcPr>
            <w:tcW w:w="844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12,686</w:t>
            </w:r>
          </w:p>
        </w:tc>
      </w:tr>
      <w:tr>
        <w:trPr>
          <w:trHeight w:val="228"/>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r>
      <w:tr>
        <w:trPr>
          <w:trHeight w:val="221"/>
        </w:trPr>
        <w:tc>
          <w:tcPr>
            <w:tcW w:w="84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167,882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161,338</w:t>
            </w:r>
          </w:p>
        </w:tc>
      </w:tr>
      <w:tr>
        <w:trPr>
          <w:trHeight w:val="228"/>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86,578</w:t>
            </w:r>
          </w:p>
        </w:tc>
      </w:tr>
      <w:tr>
        <w:trPr>
          <w:trHeight w:val="228"/>
        </w:trPr>
        <w:tc>
          <w:tcPr>
            <w:tcW w:w="844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59,381</w:t>
            </w:r>
          </w:p>
        </w:tc>
      </w:tr>
      <w:tr>
        <w:trPr>
          <w:trHeight w:val="228"/>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205,439</w:t>
            </w:r>
          </w:p>
        </w:tc>
      </w:tr>
      <w:tr>
        <w:trPr>
          <w:trHeight w:val="228"/>
        </w:trPr>
        <w:tc>
          <w:tcPr>
            <w:tcW w:w="844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28"/>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47,285</w:t>
            </w:r>
          </w:p>
        </w:tc>
      </w:tr>
      <w:tr>
        <w:trPr>
          <w:trHeight w:val="222"/>
        </w:trPr>
        <w:tc>
          <w:tcPr>
            <w:tcW w:w="844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534,904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562,195</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2"/>
        </w:trPr>
        <w:tc>
          <w:tcPr>
            <w:tcW w:w="8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8"/>
        </w:trPr>
        <w:tc>
          <w:tcPr>
            <w:tcW w:w="844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8"/>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8"/>
        </w:trPr>
        <w:tc>
          <w:tcPr>
            <w:tcW w:w="84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12,532</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12,870</w:t>
            </w:r>
          </w:p>
        </w:tc>
      </w:tr>
      <w:tr>
        <w:trPr>
          <w:trHeight w:val="228"/>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83,863</w:t>
            </w:r>
          </w:p>
        </w:tc>
      </w:tr>
      <w:tr>
        <w:trPr>
          <w:trHeight w:val="228"/>
        </w:trPr>
        <w:tc>
          <w:tcPr>
            <w:tcW w:w="844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20,162</w:t>
            </w:r>
          </w:p>
        </w:tc>
      </w:tr>
      <w:tr>
        <w:trPr>
          <w:trHeight w:val="228"/>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finance lease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r>
      <w:tr>
        <w:trPr>
          <w:trHeight w:val="228"/>
        </w:trPr>
        <w:tc>
          <w:tcPr>
            <w:tcW w:w="8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r>
      <w:tr>
        <w:trPr>
          <w:trHeight w:val="222"/>
        </w:trPr>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121,415</w:t>
            </w:r>
          </w:p>
        </w:tc>
      </w:tr>
      <w:tr>
        <w:trPr>
          <w:trHeight w:val="228"/>
        </w:trPr>
        <w:tc>
          <w:tcPr>
            <w:tcW w:w="84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183,826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182,403</w:t>
            </w:r>
          </w:p>
        </w:tc>
      </w:tr>
      <w:tr>
        <w:trPr>
          <w:trHeight w:val="228"/>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finance leases, net of current portion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r>
      <w:tr>
        <w:trPr>
          <w:trHeight w:val="228"/>
        </w:trPr>
        <w:tc>
          <w:tcPr>
            <w:tcW w:w="844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8,385</w:t>
            </w:r>
          </w:p>
        </w:tc>
      </w:tr>
      <w:tr>
        <w:trPr>
          <w:trHeight w:val="228"/>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39,328</w:t>
            </w:r>
          </w:p>
        </w:tc>
      </w:tr>
      <w:tr>
        <w:trPr>
          <w:trHeight w:val="222"/>
        </w:trPr>
        <w:tc>
          <w:tcPr>
            <w:tcW w:w="844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336,155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361,283</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2"/>
        </w:trPr>
        <w:tc>
          <w:tcPr>
            <w:tcW w:w="8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8"/>
        </w:trPr>
        <w:tc>
          <w:tcPr>
            <w:tcW w:w="84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5"/>
        </w:trPr>
        <w:tc>
          <w:tcPr>
            <w:tcW w:w="8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28"/>
        </w:trPr>
        <w:tc>
          <w:tcPr>
            <w:tcW w:w="8440" w:type="dxa"/>
            <w:vAlign w:val="bottom"/>
          </w:tcPr>
          <w:p>
            <w:pPr>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8"/>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 10,000,000 shares authorized</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440" w:type="dxa"/>
            <w:vAlign w:val="bottom"/>
          </w:tcPr>
          <w:p>
            <w:pPr>
              <w:ind w:left="120"/>
              <w:spacing w:after="0"/>
              <w:rPr>
                <w:sz w:val="20"/>
                <w:szCs w:val="20"/>
                <w:color w:val="auto"/>
              </w:rPr>
            </w:pPr>
            <w:r>
              <w:rPr>
                <w:rFonts w:ascii="Arial" w:cs="Arial" w:eastAsia="Arial" w:hAnsi="Arial"/>
                <w:sz w:val="18"/>
                <w:szCs w:val="18"/>
                <w:color w:val="auto"/>
                <w:w w:val="96"/>
              </w:rPr>
              <w:t>Common stock, $0.01 par value, 200,000,000 shares authorized, 29,895,487 and 29,546,263 shares issued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28"/>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238,687</w:t>
            </w:r>
          </w:p>
        </w:tc>
      </w:tr>
      <w:tr>
        <w:trPr>
          <w:trHeight w:val="228"/>
        </w:trPr>
        <w:tc>
          <w:tcPr>
            <w:tcW w:w="844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(17,988)</w:t>
            </w:r>
          </w:p>
        </w:tc>
      </w:tr>
      <w:tr>
        <w:trPr>
          <w:trHeight w:val="228"/>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(20,311)</w:t>
            </w:r>
          </w:p>
        </w:tc>
      </w:tr>
      <w:tr>
        <w:trPr>
          <w:trHeight w:val="221"/>
        </w:trPr>
        <w:tc>
          <w:tcPr>
            <w:tcW w:w="8440" w:type="dxa"/>
            <w:vAlign w:val="bottom"/>
          </w:tcPr>
          <w:p>
            <w:pPr>
              <w:ind w:left="120"/>
              <w:spacing w:after="0"/>
              <w:rPr>
                <w:sz w:val="20"/>
                <w:szCs w:val="20"/>
                <w:color w:val="auto"/>
              </w:rPr>
            </w:pPr>
            <w:r>
              <w:rPr>
                <w:rFonts w:ascii="Arial" w:cs="Arial" w:eastAsia="Arial" w:hAnsi="Arial"/>
                <w:sz w:val="18"/>
                <w:szCs w:val="18"/>
                <w:color w:val="auto"/>
              </w:rPr>
              <w:t>Total Mistras Group, Inc. stockholders’ equity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198,450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200,683</w:t>
            </w:r>
          </w:p>
        </w:tc>
      </w:tr>
      <w:tr>
        <w:trPr>
          <w:trHeight w:val="228"/>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1"/>
        </w:trPr>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198,749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200,912</w:t>
            </w:r>
          </w:p>
        </w:tc>
      </w:tr>
      <w:tr>
        <w:trPr>
          <w:trHeight w:val="247"/>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562,195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 thousands, except per share data</w:t>
      </w:r>
      <w:r>
        <w:rPr>
          <w:rFonts w:ascii="Arial" w:cs="Arial" w:eastAsia="Arial" w:hAnsi="Arial"/>
          <w:sz w:val="18"/>
          <w:szCs w:val="18"/>
          <w:b w:val="1"/>
          <w:bCs w:val="1"/>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right"/>
              <w:ind w:right="51"/>
              <w:spacing w:after="0"/>
              <w:rPr>
                <w:sz w:val="20"/>
                <w:szCs w:val="20"/>
                <w:color w:val="auto"/>
              </w:rPr>
            </w:pPr>
            <w:r>
              <w:rPr>
                <w:rFonts w:ascii="Arial" w:cs="Arial" w:eastAsia="Arial" w:hAnsi="Arial"/>
                <w:sz w:val="14"/>
                <w:szCs w:val="14"/>
                <w:b w:val="1"/>
                <w:bCs w:val="1"/>
                <w:color w:val="auto"/>
              </w:rPr>
              <w:t>For the year ended December 31,</w:t>
            </w:r>
          </w:p>
        </w:tc>
        <w:tc>
          <w:tcPr>
            <w:tcW w:w="960" w:type="dxa"/>
            <w:vAlign w:val="bottom"/>
          </w:tcPr>
          <w:p>
            <w:pPr>
              <w:spacing w:after="0"/>
              <w:rPr>
                <w:sz w:val="16"/>
                <w:szCs w:val="16"/>
                <w:color w:val="auto"/>
              </w:rPr>
            </w:pPr>
          </w:p>
        </w:tc>
      </w:tr>
      <w:tr>
        <w:trPr>
          <w:trHeight w:val="25"/>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40"/>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8"/>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592,571</w:t>
            </w:r>
          </w:p>
        </w:tc>
      </w:tr>
      <w:tr>
        <w:trPr>
          <w:trHeight w:val="228"/>
        </w:trPr>
        <w:tc>
          <w:tcPr>
            <w:tcW w:w="700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466,567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391,855</w:t>
            </w:r>
          </w:p>
        </w:tc>
      </w:tr>
      <w:tr>
        <w:trPr>
          <w:trHeight w:val="228"/>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22,185</w:t>
            </w:r>
          </w:p>
        </w:tc>
      </w:tr>
      <w:tr>
        <w:trPr>
          <w:trHeight w:val="221"/>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198,173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197,147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178,531</w:t>
            </w:r>
          </w:p>
        </w:tc>
      </w:tr>
      <w:tr>
        <w:trPr>
          <w:trHeight w:val="228"/>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157,157</w:t>
            </w:r>
          </w:p>
        </w:tc>
      </w:tr>
      <w:tr>
        <w:trPr>
          <w:trHeight w:val="228"/>
        </w:trPr>
        <w:tc>
          <w:tcPr>
            <w:tcW w:w="7000" w:type="dxa"/>
            <w:vAlign w:val="bottom"/>
          </w:tcPr>
          <w:p>
            <w:pPr>
              <w:ind w:left="140"/>
              <w:spacing w:after="0"/>
              <w:rPr>
                <w:sz w:val="20"/>
                <w:szCs w:val="20"/>
                <w:color w:val="auto"/>
              </w:rPr>
            </w:pPr>
            <w:r>
              <w:rPr>
                <w:rFonts w:ascii="Arial" w:cs="Arial" w:eastAsia="Arial" w:hAnsi="Arial"/>
                <w:sz w:val="18"/>
                <w:szCs w:val="18"/>
                <w:color w:val="auto"/>
              </w:rPr>
              <w:t>Bad debt provision for troubled customers, net of recoveries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106,062</w:t>
            </w:r>
          </w:p>
        </w:tc>
      </w:tr>
      <w:tr>
        <w:trPr>
          <w:trHeight w:val="228"/>
        </w:trPr>
        <w:tc>
          <w:tcPr>
            <w:tcW w:w="7000" w:type="dxa"/>
            <w:vAlign w:val="bottom"/>
          </w:tcPr>
          <w:p>
            <w:pPr>
              <w:ind w:left="140"/>
              <w:spacing w:after="0"/>
              <w:rPr>
                <w:sz w:val="20"/>
                <w:szCs w:val="20"/>
                <w:color w:val="auto"/>
              </w:rPr>
            </w:pPr>
            <w:r>
              <w:rPr>
                <w:rFonts w:ascii="Arial" w:cs="Arial" w:eastAsia="Arial" w:hAnsi="Arial"/>
                <w:sz w:val="18"/>
                <w:szCs w:val="18"/>
                <w:color w:val="auto"/>
              </w:rPr>
              <w:t>Legal settlement and litigation charges (benefit),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8"/>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engineering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r>
      <w:tr>
        <w:trPr>
          <w:trHeight w:val="228"/>
        </w:trPr>
        <w:tc>
          <w:tcPr>
            <w:tcW w:w="70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13,520</w:t>
            </w:r>
          </w:p>
        </w:tc>
      </w:tr>
      <w:tr>
        <w:trPr>
          <w:trHeight w:val="228"/>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1"/>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(101,217)</w:t>
            </w:r>
          </w:p>
        </w:tc>
      </w:tr>
      <w:tr>
        <w:trPr>
          <w:trHeight w:val="228"/>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12,955</w:t>
            </w:r>
          </w:p>
        </w:tc>
      </w:tr>
      <w:tr>
        <w:trPr>
          <w:trHeight w:val="221"/>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provision (benefit) for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(114,172)</w:t>
            </w:r>
          </w:p>
        </w:tc>
      </w:tr>
      <w:tr>
        <w:trPr>
          <w:trHeight w:val="228"/>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(14,706)</w:t>
            </w:r>
          </w:p>
        </w:tc>
      </w:tr>
      <w:tr>
        <w:trPr>
          <w:trHeight w:val="221"/>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(99,466)</w:t>
            </w:r>
          </w:p>
        </w:tc>
      </w:tr>
      <w:tr>
        <w:trPr>
          <w:trHeight w:val="228"/>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net income (loss) attributable to noncontrolling interests, net of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(99,461)</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5"/>
        </w:trPr>
        <w:tc>
          <w:tcPr>
            <w:tcW w:w="7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Earnings (loss) per common share</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28"/>
        </w:trPr>
        <w:tc>
          <w:tcPr>
            <w:tcW w:w="700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28"/>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28"/>
        </w:trPr>
        <w:tc>
          <w:tcPr>
            <w:tcW w:w="70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29,147</w:t>
            </w:r>
          </w:p>
        </w:tc>
      </w:tr>
      <w:tr>
        <w:trPr>
          <w:trHeight w:val="227"/>
        </w:trPr>
        <w:tc>
          <w:tcPr>
            <w:tcW w:w="7000" w:type="dxa"/>
            <w:vAlign w:val="bottom"/>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29,147</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6"/>
          </w:tcPr>
          <w:p>
            <w:pPr>
              <w:jc w:val="right"/>
              <w:ind w:right="31"/>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Pr>
          <w:p>
            <w:pPr>
              <w:spacing w:after="0"/>
              <w:rPr>
                <w:sz w:val="16"/>
                <w:szCs w:val="16"/>
                <w:color w:val="auto"/>
              </w:rPr>
            </w:pPr>
          </w:p>
        </w:tc>
      </w:tr>
      <w:tr>
        <w:trPr>
          <w:trHeight w:val="25"/>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8"/>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40"/>
        </w:trPr>
        <w:tc>
          <w:tcPr>
            <w:tcW w:w="7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28"/>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(99,466)</w:t>
            </w:r>
          </w:p>
        </w:tc>
      </w:tr>
      <w:tr>
        <w:trPr>
          <w:trHeight w:val="268"/>
        </w:trPr>
        <w:tc>
          <w:tcPr>
            <w:tcW w:w="7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8"/>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8"/>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r>
      <w:tr>
        <w:trPr>
          <w:trHeight w:val="222"/>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(94,239)</w:t>
            </w:r>
          </w:p>
        </w:tc>
      </w:tr>
      <w:tr>
        <w:trPr>
          <w:trHeight w:val="228"/>
        </w:trPr>
        <w:tc>
          <w:tcPr>
            <w:tcW w:w="7080" w:type="dxa"/>
            <w:vAlign w:val="bottom"/>
          </w:tcPr>
          <w:p>
            <w:pPr>
              <w:ind w:left="20"/>
              <w:spacing w:after="0"/>
              <w:rPr>
                <w:sz w:val="20"/>
                <w:szCs w:val="20"/>
                <w:color w:val="auto"/>
              </w:rPr>
            </w:pPr>
            <w:r>
              <w:rPr>
                <w:rFonts w:ascii="Arial" w:cs="Arial" w:eastAsia="Arial" w:hAnsi="Arial"/>
                <w:sz w:val="18"/>
                <w:szCs w:val="18"/>
                <w:color w:val="auto"/>
              </w:rPr>
              <w:t>Less: net income (loss) attributable to noncontrolling interests, net of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Foreign currency translation adjustments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7080" w:type="dxa"/>
            <w:vAlign w:val="bottom"/>
          </w:tcPr>
          <w:p>
            <w:pPr>
              <w:ind w:left="140"/>
              <w:spacing w:after="0"/>
              <w:rPr>
                <w:sz w:val="20"/>
                <w:szCs w:val="20"/>
                <w:color w:val="auto"/>
              </w:rPr>
            </w:pPr>
            <w:r>
              <w:rPr>
                <w:rFonts w:ascii="Arial" w:cs="Arial" w:eastAsia="Arial" w:hAnsi="Arial"/>
                <w:sz w:val="18"/>
                <w:szCs w:val="18"/>
                <w:color w:val="auto"/>
              </w:rPr>
              <w:t>Comprehensive loss attributable to Mistras Group, Inc.</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(94,237)</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Equity</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040" w:type="dxa"/>
            <w:vAlign w:val="bottom"/>
          </w:tcPr>
          <w:p>
            <w:pPr>
              <w:spacing w:after="0"/>
              <w:rPr>
                <w:sz w:val="11"/>
                <w:szCs w:val="11"/>
                <w:color w:val="auto"/>
              </w:rPr>
            </w:pPr>
          </w:p>
        </w:tc>
        <w:tc>
          <w:tcPr>
            <w:tcW w:w="1460" w:type="dxa"/>
            <w:vAlign w:val="bottom"/>
            <w:gridSpan w:val="4"/>
            <w:vMerge w:val="restart"/>
          </w:tcPr>
          <w:p>
            <w:pPr>
              <w:jc w:val="right"/>
              <w:ind w:right="25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Retained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91"/>
              </w:rPr>
              <w:t>Mistras Group,</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rPr>
                <w:sz w:val="10"/>
                <w:szCs w:val="10"/>
                <w:color w:val="auto"/>
              </w:rPr>
            </w:pPr>
          </w:p>
        </w:tc>
        <w:tc>
          <w:tcPr>
            <w:tcW w:w="14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rPr>
              <w:t>Inc.</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040" w:type="dxa"/>
            <w:vAlign w:val="bottom"/>
          </w:tcPr>
          <w:p>
            <w:pPr>
              <w:spacing w:after="0"/>
              <w:rPr>
                <w:sz w:val="9"/>
                <w:szCs w:val="9"/>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9"/>
                <w:szCs w:val="9"/>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14"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9"/>
                <w:szCs w:val="9"/>
                <w:color w:val="auto"/>
              </w:rPr>
            </w:pPr>
          </w:p>
        </w:tc>
        <w:tc>
          <w:tcPr>
            <w:tcW w:w="720" w:type="dxa"/>
            <w:vAlign w:val="bottom"/>
            <w:gridSpan w:val="2"/>
          </w:tcPr>
          <w:p>
            <w:pPr>
              <w:jc w:val="center"/>
              <w:ind w:right="220"/>
              <w:spacing w:after="0" w:line="114" w:lineRule="exact"/>
              <w:rPr>
                <w:sz w:val="20"/>
                <w:szCs w:val="20"/>
                <w:color w:val="auto"/>
              </w:rPr>
            </w:pPr>
            <w:r>
              <w:rPr>
                <w:rFonts w:ascii="Arial" w:cs="Arial" w:eastAsia="Arial" w:hAnsi="Arial"/>
                <w:sz w:val="13"/>
                <w:szCs w:val="13"/>
                <w:b w:val="1"/>
                <w:bCs w:val="1"/>
                <w:color w:val="auto"/>
                <w:w w:val="84"/>
              </w:rPr>
              <w:t>earnings</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14" w:lineRule="exact"/>
              <w:rPr>
                <w:sz w:val="20"/>
                <w:szCs w:val="20"/>
                <w:color w:val="auto"/>
              </w:rPr>
            </w:pPr>
            <w:r>
              <w:rPr>
                <w:rFonts w:ascii="Arial" w:cs="Arial" w:eastAsia="Arial" w:hAnsi="Arial"/>
                <w:sz w:val="13"/>
                <w:szCs w:val="13"/>
                <w:b w:val="1"/>
                <w:bCs w:val="1"/>
                <w:color w:val="auto"/>
                <w:w w:val="83"/>
              </w:rPr>
              <w:t>comprehensive</w:t>
            </w:r>
          </w:p>
        </w:tc>
        <w:tc>
          <w:tcPr>
            <w:tcW w:w="120" w:type="dxa"/>
            <w:vAlign w:val="bottom"/>
          </w:tcPr>
          <w:p>
            <w:pPr>
              <w:spacing w:after="0"/>
              <w:rPr>
                <w:sz w:val="9"/>
                <w:szCs w:val="9"/>
                <w:color w:val="auto"/>
              </w:rPr>
            </w:pPr>
          </w:p>
        </w:tc>
        <w:tc>
          <w:tcPr>
            <w:tcW w:w="1140" w:type="dxa"/>
            <w:vAlign w:val="bottom"/>
            <w:gridSpan w:val="2"/>
          </w:tcPr>
          <w:p>
            <w:pPr>
              <w:jc w:val="center"/>
              <w:ind w:right="220"/>
              <w:spacing w:after="0" w:line="114"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114"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9"/>
                <w:szCs w:val="9"/>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168"/>
        </w:trPr>
        <w:tc>
          <w:tcPr>
            <w:tcW w:w="3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9"/>
              </w:rPr>
              <w:t>paid-in capital</w:t>
            </w:r>
          </w:p>
        </w:tc>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(deficit)</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income (loss)</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28,945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229,205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77,613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(21,285)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285,822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286,022</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Arial" w:cs="Arial" w:eastAsia="Arial" w:hAnsi="Arial"/>
                <w:sz w:val="13"/>
                <w:szCs w:val="13"/>
                <w:color w:val="auto"/>
              </w:rPr>
              <w:t>Net loss</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(99,461)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(99,461)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(99,466)</w:t>
            </w: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5,227</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5,930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5,930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5,930</w:t>
            </w: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settlement on vesting of restricted stock units</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29,234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234,638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(21,848)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(16,061)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197,021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197,219</w:t>
            </w:r>
          </w:p>
        </w:tc>
        <w:tc>
          <w:tcPr>
            <w:tcW w:w="0" w:type="dxa"/>
            <w:vAlign w:val="bottom"/>
          </w:tcPr>
          <w:p>
            <w:pPr>
              <w:spacing w:after="0"/>
              <w:rPr>
                <w:sz w:val="1"/>
                <w:szCs w:val="1"/>
                <w:color w:val="auto"/>
              </w:rPr>
            </w:pPr>
          </w:p>
        </w:tc>
      </w:tr>
      <w:tr>
        <w:trPr>
          <w:trHeight w:val="159"/>
        </w:trPr>
        <w:tc>
          <w:tcPr>
            <w:tcW w:w="30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3,860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3,860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3,893</w:t>
            </w: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(4,252)</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5,421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5,421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5,421</w:t>
            </w: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settlement of restricted stock units</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(1,369)</w:t>
            </w:r>
          </w:p>
        </w:tc>
        <w:tc>
          <w:tcPr>
            <w:tcW w:w="0" w:type="dxa"/>
            <w:vAlign w:val="bottom"/>
          </w:tcPr>
          <w:p>
            <w:pPr>
              <w:spacing w:after="0"/>
              <w:rPr>
                <w:sz w:val="1"/>
                <w:szCs w:val="1"/>
                <w:color w:val="auto"/>
              </w:rPr>
            </w:pPr>
          </w:p>
        </w:tc>
      </w:tr>
      <w:tr>
        <w:trPr>
          <w:trHeight w:val="161"/>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29,546</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295</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238,687</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(17,988)</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(20,311)</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200,683</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200,912</w:t>
            </w:r>
          </w:p>
        </w:tc>
        <w:tc>
          <w:tcPr>
            <w:tcW w:w="0" w:type="dxa"/>
            <w:vAlign w:val="bottom"/>
          </w:tcPr>
          <w:p>
            <w:pPr>
              <w:spacing w:after="0"/>
              <w:rPr>
                <w:sz w:val="1"/>
                <w:szCs w:val="1"/>
                <w:color w:val="auto"/>
              </w:rPr>
            </w:pPr>
          </w:p>
        </w:tc>
      </w:tr>
      <w:tr>
        <w:trPr>
          <w:trHeight w:val="174"/>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6,574</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Arial" w:cs="Arial" w:eastAsia="Arial" w:hAnsi="Arial"/>
                <w:sz w:val="13"/>
                <w:szCs w:val="13"/>
                <w:color w:val="auto"/>
              </w:rPr>
              <w:t>Other comprehensive loss, net of tax</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(13,079)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(13,079)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(13,084)</w:t>
            </w: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5,335</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Arial" w:cs="Arial" w:eastAsia="Arial" w:hAnsi="Arial"/>
                <w:sz w:val="13"/>
                <w:szCs w:val="13"/>
                <w:color w:val="auto"/>
              </w:rPr>
              <w:t>Net settlement of restricted stock units</w:t>
            </w:r>
          </w:p>
        </w:tc>
        <w:tc>
          <w:tcPr>
            <w:tcW w:w="680" w:type="dxa"/>
            <w:vAlign w:val="bottom"/>
          </w:tcPr>
          <w:p>
            <w:pPr>
              <w:jc w:val="right"/>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(988)</w:t>
            </w:r>
          </w:p>
        </w:tc>
        <w:tc>
          <w:tcPr>
            <w:tcW w:w="0" w:type="dxa"/>
            <w:vAlign w:val="bottom"/>
          </w:tcPr>
          <w:p>
            <w:pPr>
              <w:spacing w:after="0"/>
              <w:rPr>
                <w:sz w:val="1"/>
                <w:szCs w:val="1"/>
                <w:color w:val="auto"/>
              </w:rPr>
            </w:pPr>
          </w:p>
        </w:tc>
      </w:tr>
      <w:tr>
        <w:trPr>
          <w:trHeight w:val="199"/>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243,031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198,450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198,749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ind w:right="57"/>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7080" w:type="dxa"/>
            <w:vAlign w:val="bottom"/>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(99,466)</w:t>
            </w:r>
          </w:p>
        </w:tc>
        <w:tc>
          <w:tcPr>
            <w:tcW w:w="0" w:type="dxa"/>
            <w:vAlign w:val="bottom"/>
          </w:tcPr>
          <w:p>
            <w:pPr>
              <w:spacing w:after="0"/>
              <w:rPr>
                <w:sz w:val="1"/>
                <w:szCs w:val="1"/>
                <w:color w:val="auto"/>
              </w:rPr>
            </w:pPr>
          </w:p>
        </w:tc>
      </w:tr>
      <w:tr>
        <w:trPr>
          <w:trHeight w:val="166"/>
        </w:trPr>
        <w:tc>
          <w:tcPr>
            <w:tcW w:w="7080" w:type="dxa"/>
            <w:vAlign w:val="bottom"/>
          </w:tcPr>
          <w:p>
            <w:pPr>
              <w:ind w:left="2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33,294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35,705</w:t>
            </w:r>
          </w:p>
        </w:tc>
        <w:tc>
          <w:tcPr>
            <w:tcW w:w="0" w:type="dxa"/>
            <w:vAlign w:val="bottom"/>
          </w:tcPr>
          <w:p>
            <w:pPr>
              <w:spacing w:after="0"/>
              <w:rPr>
                <w:sz w:val="1"/>
                <w:szCs w:val="1"/>
                <w:color w:val="auto"/>
              </w:rPr>
            </w:pPr>
          </w:p>
        </w:tc>
      </w:tr>
      <w:tr>
        <w:trPr>
          <w:trHeight w:val="166"/>
        </w:trPr>
        <w:tc>
          <w:tcPr>
            <w:tcW w:w="708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(13,409)</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expense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5,851</w:t>
            </w:r>
          </w:p>
        </w:tc>
        <w:tc>
          <w:tcPr>
            <w:tcW w:w="0" w:type="dxa"/>
            <w:vAlign w:val="bottom"/>
          </w:tcPr>
          <w:p>
            <w:pPr>
              <w:spacing w:after="0"/>
              <w:rPr>
                <w:sz w:val="1"/>
                <w:szCs w:val="1"/>
                <w:color w:val="auto"/>
              </w:rPr>
            </w:pPr>
          </w:p>
        </w:tc>
      </w:tr>
      <w:tr>
        <w:trPr>
          <w:trHeight w:val="166"/>
        </w:trPr>
        <w:tc>
          <w:tcPr>
            <w:tcW w:w="7080" w:type="dxa"/>
            <w:vAlign w:val="bottom"/>
          </w:tcPr>
          <w:p>
            <w:pPr>
              <w:ind w:left="140"/>
              <w:spacing w:after="0"/>
              <w:rPr>
                <w:sz w:val="20"/>
                <w:szCs w:val="20"/>
                <w:color w:val="auto"/>
              </w:rPr>
            </w:pPr>
            <w:r>
              <w:rPr>
                <w:rFonts w:ascii="Arial" w:cs="Arial" w:eastAsia="Arial" w:hAnsi="Arial"/>
                <w:sz w:val="13"/>
                <w:szCs w:val="13"/>
                <w:color w:val="auto"/>
              </w:rPr>
              <w:t>Impairment charges</w:t>
            </w:r>
          </w:p>
        </w:tc>
        <w:tc>
          <w:tcPr>
            <w:tcW w:w="3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106,062</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Bad debt provision for troubled customers, net of recoveries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7080" w:type="dxa"/>
            <w:vAlign w:val="bottom"/>
          </w:tcPr>
          <w:p>
            <w:pPr>
              <w:ind w:left="140"/>
              <w:spacing w:after="0"/>
              <w:rPr>
                <w:sz w:val="20"/>
                <w:szCs w:val="20"/>
                <w:color w:val="auto"/>
              </w:rPr>
            </w:pPr>
            <w:r>
              <w:rPr>
                <w:rFonts w:ascii="Arial" w:cs="Arial" w:eastAsia="Arial" w:hAnsi="Arial"/>
                <w:sz w:val="13"/>
                <w:szCs w:val="13"/>
                <w:color w:val="auto"/>
              </w:rPr>
              <w:t>Foreign currency (gain) loss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3,010</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 of finance costs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7080" w:type="dxa"/>
            <w:vAlign w:val="bottom"/>
          </w:tcPr>
          <w:p>
            <w:pPr>
              <w:ind w:left="140"/>
              <w:spacing w:after="0"/>
              <w:rPr>
                <w:sz w:val="20"/>
                <w:szCs w:val="20"/>
                <w:color w:val="auto"/>
              </w:rPr>
            </w:pPr>
            <w:r>
              <w:rPr>
                <w:rFonts w:ascii="Arial" w:cs="Arial" w:eastAsia="Arial" w:hAnsi="Arial"/>
                <w:sz w:val="13"/>
                <w:szCs w:val="13"/>
                <w:color w:val="auto"/>
              </w:rPr>
              <w:t>Fair value adjustments to contingent consideration</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949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2,398</w:t>
            </w:r>
          </w:p>
        </w:tc>
        <w:tc>
          <w:tcPr>
            <w:tcW w:w="0" w:type="dxa"/>
            <w:vAlign w:val="bottom"/>
          </w:tcPr>
          <w:p>
            <w:pPr>
              <w:spacing w:after="0"/>
              <w:rPr>
                <w:sz w:val="1"/>
                <w:szCs w:val="1"/>
                <w:color w:val="auto"/>
              </w:rPr>
            </w:pPr>
          </w:p>
        </w:tc>
      </w:tr>
      <w:tr>
        <w:trPr>
          <w:trHeight w:val="166"/>
        </w:trPr>
        <w:tc>
          <w:tcPr>
            <w:tcW w:w="7080" w:type="dxa"/>
            <w:vAlign w:val="bottom"/>
          </w:tcPr>
          <w:p>
            <w:pPr>
              <w:ind w:left="20"/>
              <w:spacing w:after="0"/>
              <w:rPr>
                <w:sz w:val="20"/>
                <w:szCs w:val="20"/>
                <w:color w:val="auto"/>
              </w:rPr>
            </w:pPr>
            <w:r>
              <w:rPr>
                <w:rFonts w:ascii="Arial" w:cs="Arial" w:eastAsia="Arial" w:hAnsi="Arial"/>
                <w:sz w:val="13"/>
                <w:szCs w:val="13"/>
                <w:color w:val="auto"/>
              </w:rPr>
              <w:t>Changes in operating assets and liabilities, net of effect of acquisitions and dispositions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27,313</w:t>
            </w:r>
          </w:p>
        </w:tc>
        <w:tc>
          <w:tcPr>
            <w:tcW w:w="0" w:type="dxa"/>
            <w:vAlign w:val="bottom"/>
          </w:tcPr>
          <w:p>
            <w:pPr>
              <w:spacing w:after="0"/>
              <w:rPr>
                <w:sz w:val="1"/>
                <w:szCs w:val="1"/>
                <w:color w:val="auto"/>
              </w:rPr>
            </w:pPr>
          </w:p>
        </w:tc>
      </w:tr>
      <w:tr>
        <w:trPr>
          <w:trHeight w:val="166"/>
        </w:trPr>
        <w:tc>
          <w:tcPr>
            <w:tcW w:w="7080" w:type="dxa"/>
            <w:vAlign w:val="bottom"/>
          </w:tcPr>
          <w:p>
            <w:pPr>
              <w:ind w:left="140"/>
              <w:spacing w:after="0"/>
              <w:rPr>
                <w:sz w:val="20"/>
                <w:szCs w:val="20"/>
                <w:color w:val="auto"/>
              </w:rPr>
            </w:pPr>
            <w:r>
              <w:rPr>
                <w:rFonts w:ascii="Arial" w:cs="Arial" w:eastAsia="Arial" w:hAnsi="Arial"/>
                <w:sz w:val="13"/>
                <w:szCs w:val="13"/>
                <w:color w:val="auto"/>
              </w:rPr>
              <w:t>Inventories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(1,283)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assets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w:t>
            </w:r>
          </w:p>
        </w:tc>
        <w:tc>
          <w:tcPr>
            <w:tcW w:w="0" w:type="dxa"/>
            <w:vAlign w:val="bottom"/>
          </w:tcPr>
          <w:p>
            <w:pPr>
              <w:spacing w:after="0"/>
              <w:rPr>
                <w:sz w:val="1"/>
                <w:szCs w:val="1"/>
                <w:color w:val="auto"/>
              </w:rPr>
            </w:pPr>
          </w:p>
        </w:tc>
      </w:tr>
      <w:tr>
        <w:trPr>
          <w:trHeight w:val="166"/>
        </w:trPr>
        <w:tc>
          <w:tcPr>
            <w:tcW w:w="708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(1,139)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(1,020)</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1,841</w:t>
            </w:r>
          </w:p>
        </w:tc>
        <w:tc>
          <w:tcPr>
            <w:tcW w:w="0" w:type="dxa"/>
            <w:vAlign w:val="bottom"/>
          </w:tcPr>
          <w:p>
            <w:pPr>
              <w:spacing w:after="0"/>
              <w:rPr>
                <w:sz w:val="1"/>
                <w:szCs w:val="1"/>
                <w:color w:val="auto"/>
              </w:rPr>
            </w:pPr>
          </w:p>
        </w:tc>
      </w:tr>
      <w:tr>
        <w:trPr>
          <w:trHeight w:val="166"/>
        </w:trPr>
        <w:tc>
          <w:tcPr>
            <w:tcW w:w="7080" w:type="dxa"/>
            <w:vAlign w:val="bottom"/>
          </w:tcPr>
          <w:p>
            <w:pPr>
              <w:ind w:left="140"/>
              <w:spacing w:after="0"/>
              <w:rPr>
                <w:sz w:val="20"/>
                <w:szCs w:val="20"/>
                <w:color w:val="auto"/>
              </w:rPr>
            </w:pPr>
            <w:r>
              <w:rPr>
                <w:rFonts w:ascii="Arial" w:cs="Arial" w:eastAsia="Arial" w:hAnsi="Arial"/>
                <w:sz w:val="13"/>
                <w:szCs w:val="13"/>
                <w:color w:val="auto"/>
              </w:rPr>
              <w:t>Income taxes payable</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(1,917)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contingent consideration in excess of initial estimate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7080" w:type="dxa"/>
            <w:vAlign w:val="bottom"/>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26,406</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42,261</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67,802</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080" w:type="dxa"/>
            <w:vAlign w:val="bottom"/>
          </w:tcPr>
          <w:p>
            <w:pPr>
              <w:ind w:left="140"/>
              <w:spacing w:after="0"/>
              <w:rPr>
                <w:sz w:val="20"/>
                <w:szCs w:val="20"/>
                <w:color w:val="auto"/>
              </w:rPr>
            </w:pPr>
            <w:r>
              <w:rPr>
                <w:rFonts w:ascii="Arial" w:cs="Arial" w:eastAsia="Arial" w:hAnsi="Arial"/>
                <w:sz w:val="13"/>
                <w:szCs w:val="13"/>
                <w:color w:val="auto"/>
              </w:rPr>
              <w:t>Purchase of property, plant and equipment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(12,591)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(18,161)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(15,396)</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 of intangible assets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66"/>
        </w:trPr>
        <w:tc>
          <w:tcPr>
            <w:tcW w:w="7080" w:type="dxa"/>
            <w:vAlign w:val="bottom"/>
          </w:tcPr>
          <w:p>
            <w:pPr>
              <w:ind w:left="140"/>
              <w:spacing w:after="0"/>
              <w:rPr>
                <w:sz w:val="20"/>
                <w:szCs w:val="20"/>
                <w:color w:val="auto"/>
              </w:rPr>
            </w:pPr>
            <w:r>
              <w:rPr>
                <w:rFonts w:ascii="Arial" w:cs="Arial" w:eastAsia="Arial" w:hAnsi="Arial"/>
                <w:sz w:val="13"/>
                <w:szCs w:val="13"/>
                <w:color w:val="auto"/>
              </w:rPr>
              <w:t>Acquisition of businesses, net of cash acquired</w:t>
            </w:r>
          </w:p>
        </w:tc>
        <w:tc>
          <w:tcPr>
            <w:tcW w:w="3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 of equipment</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803</w:t>
            </w:r>
          </w:p>
        </w:tc>
        <w:tc>
          <w:tcPr>
            <w:tcW w:w="0" w:type="dxa"/>
            <w:vAlign w:val="bottom"/>
          </w:tcPr>
          <w:p>
            <w:pPr>
              <w:spacing w:after="0"/>
              <w:rPr>
                <w:sz w:val="1"/>
                <w:szCs w:val="1"/>
                <w:color w:val="auto"/>
              </w:rPr>
            </w:pPr>
          </w:p>
        </w:tc>
      </w:tr>
      <w:tr>
        <w:trPr>
          <w:trHeight w:val="159"/>
        </w:trPr>
        <w:tc>
          <w:tcPr>
            <w:tcW w:w="7080" w:type="dxa"/>
            <w:vAlign w:val="bottom"/>
          </w:tcPr>
          <w:p>
            <w:pPr>
              <w:ind w:left="20"/>
              <w:spacing w:after="0"/>
              <w:rPr>
                <w:sz w:val="20"/>
                <w:szCs w:val="20"/>
                <w:color w:val="auto"/>
              </w:rPr>
            </w:pPr>
            <w:r>
              <w:rPr>
                <w:rFonts w:ascii="Arial" w:cs="Arial" w:eastAsia="Arial" w:hAnsi="Arial"/>
                <w:sz w:val="13"/>
                <w:szCs w:val="13"/>
                <w:color w:val="auto"/>
              </w:rPr>
              <w:t>Net cash used in investing activities</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(12,238)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(18,551)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(14,969)</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080" w:type="dxa"/>
            <w:vAlign w:val="bottom"/>
          </w:tcPr>
          <w:p>
            <w:pPr>
              <w:ind w:left="140"/>
              <w:spacing w:after="0"/>
              <w:rPr>
                <w:sz w:val="20"/>
                <w:szCs w:val="20"/>
                <w:color w:val="auto"/>
              </w:rPr>
            </w:pPr>
            <w:r>
              <w:rPr>
                <w:rFonts w:ascii="Arial" w:cs="Arial" w:eastAsia="Arial" w:hAnsi="Arial"/>
                <w:sz w:val="13"/>
                <w:szCs w:val="13"/>
                <w:color w:val="auto"/>
              </w:rPr>
              <w:t>Repayment of finance lease obligations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(4,140)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(4,060)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(4,095)</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borrowings of long-term debt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2,284</w:t>
            </w:r>
          </w:p>
        </w:tc>
        <w:tc>
          <w:tcPr>
            <w:tcW w:w="0" w:type="dxa"/>
            <w:vAlign w:val="bottom"/>
          </w:tcPr>
          <w:p>
            <w:pPr>
              <w:spacing w:after="0"/>
              <w:rPr>
                <w:sz w:val="1"/>
                <w:szCs w:val="1"/>
                <w:color w:val="auto"/>
              </w:rPr>
            </w:pPr>
          </w:p>
        </w:tc>
      </w:tr>
      <w:tr>
        <w:trPr>
          <w:trHeight w:val="166"/>
        </w:trPr>
        <w:tc>
          <w:tcPr>
            <w:tcW w:w="7080" w:type="dxa"/>
            <w:vAlign w:val="bottom"/>
          </w:tcPr>
          <w:p>
            <w:pPr>
              <w:ind w:left="140"/>
              <w:spacing w:after="0"/>
              <w:rPr>
                <w:sz w:val="20"/>
                <w:szCs w:val="20"/>
                <w:color w:val="auto"/>
              </w:rPr>
            </w:pPr>
            <w:r>
              <w:rPr>
                <w:rFonts w:ascii="Arial" w:cs="Arial" w:eastAsia="Arial" w:hAnsi="Arial"/>
                <w:sz w:val="13"/>
                <w:szCs w:val="13"/>
                <w:color w:val="auto"/>
              </w:rPr>
              <w:t>Repayment of long-term debt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(81,405)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(16,262)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(5,976)</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revolver</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192,501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35,750</w:t>
            </w:r>
          </w:p>
        </w:tc>
        <w:tc>
          <w:tcPr>
            <w:tcW w:w="0" w:type="dxa"/>
            <w:vAlign w:val="bottom"/>
          </w:tcPr>
          <w:p>
            <w:pPr>
              <w:spacing w:after="0"/>
              <w:rPr>
                <w:sz w:val="1"/>
                <w:szCs w:val="1"/>
                <w:color w:val="auto"/>
              </w:rPr>
            </w:pPr>
          </w:p>
        </w:tc>
      </w:tr>
      <w:tr>
        <w:trPr>
          <w:trHeight w:val="166"/>
        </w:trPr>
        <w:tc>
          <w:tcPr>
            <w:tcW w:w="7080" w:type="dxa"/>
            <w:vAlign w:val="bottom"/>
          </w:tcPr>
          <w:p>
            <w:pPr>
              <w:ind w:left="140"/>
              <w:spacing w:after="0"/>
              <w:rPr>
                <w:sz w:val="20"/>
                <w:szCs w:val="20"/>
                <w:color w:val="auto"/>
              </w:rPr>
            </w:pPr>
            <w:r>
              <w:rPr>
                <w:rFonts w:ascii="Arial" w:cs="Arial" w:eastAsia="Arial" w:hAnsi="Arial"/>
                <w:sz w:val="13"/>
                <w:szCs w:val="13"/>
                <w:color w:val="auto"/>
              </w:rPr>
              <w:t>Repayments of revolver</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(246,750)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(89,065)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(68,050)</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 of financing costs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(1,497)</w:t>
            </w:r>
          </w:p>
        </w:tc>
        <w:tc>
          <w:tcPr>
            <w:tcW w:w="0" w:type="dxa"/>
            <w:vAlign w:val="bottom"/>
          </w:tcPr>
          <w:p>
            <w:pPr>
              <w:spacing w:after="0"/>
              <w:rPr>
                <w:sz w:val="1"/>
                <w:szCs w:val="1"/>
                <w:color w:val="auto"/>
              </w:rPr>
            </w:pPr>
          </w:p>
        </w:tc>
      </w:tr>
      <w:tr>
        <w:trPr>
          <w:trHeight w:val="166"/>
        </w:trPr>
        <w:tc>
          <w:tcPr>
            <w:tcW w:w="7080" w:type="dxa"/>
            <w:vAlign w:val="bottom"/>
          </w:tcPr>
          <w:p>
            <w:pPr>
              <w:ind w:left="140"/>
              <w:spacing w:after="0"/>
              <w:rPr>
                <w:sz w:val="20"/>
                <w:szCs w:val="20"/>
                <w:color w:val="auto"/>
              </w:rPr>
            </w:pPr>
            <w:r>
              <w:rPr>
                <w:rFonts w:ascii="Arial" w:cs="Arial" w:eastAsia="Arial" w:hAnsi="Arial"/>
                <w:sz w:val="13"/>
                <w:szCs w:val="13"/>
                <w:color w:val="auto"/>
              </w:rPr>
              <w:t>Payment of contingent consideration for business acquisitions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(938)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(2,091)</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Taxes paid related to net share settlement of share-based awards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59"/>
        </w:trPr>
        <w:tc>
          <w:tcPr>
            <w:tcW w:w="7080" w:type="dxa"/>
            <w:vAlign w:val="bottom"/>
          </w:tcPr>
          <w:p>
            <w:pPr>
              <w:ind w:left="20"/>
              <w:spacing w:after="0"/>
              <w:rPr>
                <w:sz w:val="20"/>
                <w:szCs w:val="20"/>
                <w:color w:val="auto"/>
              </w:rPr>
            </w:pPr>
            <w:r>
              <w:rPr>
                <w:rFonts w:ascii="Arial" w:cs="Arial" w:eastAsia="Arial" w:hAnsi="Arial"/>
                <w:sz w:val="13"/>
                <w:szCs w:val="13"/>
                <w:color w:val="auto"/>
              </w:rPr>
              <w:t>Net cash used in financing activities</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(16,323)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(23,245)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(44,169)</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2,080</w:t>
            </w:r>
          </w:p>
        </w:tc>
        <w:tc>
          <w:tcPr>
            <w:tcW w:w="0" w:type="dxa"/>
            <w:vAlign w:val="bottom"/>
          </w:tcPr>
          <w:p>
            <w:pPr>
              <w:spacing w:after="0"/>
              <w:rPr>
                <w:sz w:val="1"/>
                <w:szCs w:val="1"/>
                <w:color w:val="auto"/>
              </w:rPr>
            </w:pPr>
          </w:p>
        </w:tc>
      </w:tr>
      <w:tr>
        <w:trPr>
          <w:trHeight w:val="159"/>
        </w:trPr>
        <w:tc>
          <w:tcPr>
            <w:tcW w:w="7080" w:type="dxa"/>
            <w:vAlign w:val="bottom"/>
          </w:tcPr>
          <w:p>
            <w:pPr>
              <w:ind w:left="40"/>
              <w:spacing w:after="0"/>
              <w:rPr>
                <w:sz w:val="20"/>
                <w:szCs w:val="20"/>
                <w:color w:val="auto"/>
              </w:rPr>
            </w:pPr>
            <w:r>
              <w:rPr>
                <w:rFonts w:ascii="Arial" w:cs="Arial" w:eastAsia="Arial" w:hAnsi="Arial"/>
                <w:sz w:val="13"/>
                <w:szCs w:val="13"/>
                <w:color w:val="auto"/>
              </w:rPr>
              <w:t>Net change in cash and cash equivalents</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(1,650)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10,744</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Beginning of period</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24,110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25,760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15,016</w:t>
            </w:r>
          </w:p>
        </w:tc>
        <w:tc>
          <w:tcPr>
            <w:tcW w:w="0" w:type="dxa"/>
            <w:vAlign w:val="bottom"/>
          </w:tcPr>
          <w:p>
            <w:pPr>
              <w:spacing w:after="0"/>
              <w:rPr>
                <w:sz w:val="1"/>
                <w:szCs w:val="1"/>
                <w:color w:val="auto"/>
              </w:rPr>
            </w:pPr>
          </w:p>
        </w:tc>
      </w:tr>
      <w:tr>
        <w:trPr>
          <w:trHeight w:val="199"/>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 of period</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20,488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24,110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25,760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 of cash paid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net</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12,465</w:t>
            </w:r>
          </w:p>
        </w:tc>
        <w:tc>
          <w:tcPr>
            <w:tcW w:w="0" w:type="dxa"/>
            <w:vAlign w:val="bottom"/>
          </w:tcPr>
          <w:p>
            <w:pPr>
              <w:spacing w:after="0"/>
              <w:rPr>
                <w:sz w:val="1"/>
                <w:szCs w:val="1"/>
                <w:color w:val="auto"/>
              </w:rPr>
            </w:pPr>
          </w:p>
        </w:tc>
      </w:tr>
      <w:tr>
        <w:trPr>
          <w:trHeight w:val="166"/>
        </w:trPr>
        <w:tc>
          <w:tcPr>
            <w:tcW w:w="7080" w:type="dxa"/>
            <w:vAlign w:val="bottom"/>
          </w:tcPr>
          <w:p>
            <w:pPr>
              <w:ind w:left="140"/>
              <w:spacing w:after="0"/>
              <w:rPr>
                <w:sz w:val="20"/>
                <w:szCs w:val="20"/>
                <w:color w:val="auto"/>
              </w:rPr>
            </w:pPr>
            <w:r>
              <w:rPr>
                <w:rFonts w:ascii="Arial" w:cs="Arial" w:eastAsia="Arial" w:hAnsi="Arial"/>
                <w:sz w:val="13"/>
                <w:szCs w:val="13"/>
                <w:color w:val="auto"/>
              </w:rPr>
              <w:t>Income taxes, net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(3,069)</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4,707</w:t>
            </w:r>
          </w:p>
        </w:tc>
        <w:tc>
          <w:tcPr>
            <w:tcW w:w="10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(543)</w:t>
            </w:r>
          </w:p>
        </w:tc>
        <w:tc>
          <w:tcPr>
            <w:tcW w:w="0" w:type="dxa"/>
            <w:vAlign w:val="bottom"/>
          </w:tcPr>
          <w:p>
            <w:pPr>
              <w:spacing w:after="0"/>
              <w:rPr>
                <w:sz w:val="1"/>
                <w:szCs w:val="1"/>
                <w:color w:val="auto"/>
              </w:rPr>
            </w:pPr>
          </w:p>
        </w:tc>
      </w:tr>
      <w:tr>
        <w:trPr>
          <w:trHeight w:val="183"/>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Noncash investing and financing</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080" w:type="dxa"/>
            <w:vAlign w:val="bottom"/>
          </w:tcPr>
          <w:p>
            <w:pPr>
              <w:ind w:left="140"/>
              <w:spacing w:after="0"/>
              <w:rPr>
                <w:sz w:val="20"/>
                <w:szCs w:val="20"/>
                <w:color w:val="auto"/>
              </w:rPr>
            </w:pPr>
            <w:r>
              <w:rPr>
                <w:rFonts w:ascii="Arial" w:cs="Arial" w:eastAsia="Arial" w:hAnsi="Arial"/>
                <w:sz w:val="13"/>
                <w:szCs w:val="13"/>
                <w:color w:val="auto"/>
              </w:rPr>
              <w:t>Equipment acquired through finance lease obligations</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5,076</w:t>
            </w:r>
          </w:p>
        </w:tc>
        <w:tc>
          <w:tcPr>
            <w:tcW w:w="100" w:type="dxa"/>
            <w:vAlign w:val="bottom"/>
          </w:tcPr>
          <w:p>
            <w:pPr>
              <w:spacing w:after="0"/>
              <w:rPr>
                <w:sz w:val="13"/>
                <w:szCs w:val="13"/>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2,923</w:t>
            </w:r>
          </w:p>
        </w:tc>
        <w:tc>
          <w:tcPr>
            <w:tcW w:w="100" w:type="dxa"/>
            <w:vAlign w:val="bottom"/>
          </w:tcPr>
          <w:p>
            <w:pPr>
              <w:spacing w:after="0"/>
              <w:rPr>
                <w:sz w:val="13"/>
                <w:szCs w:val="13"/>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2,849</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and Practices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2" w:lineRule="exact"/>
        <w:rPr>
          <w:sz w:val="20"/>
          <w:szCs w:val="20"/>
          <w:color w:val="auto"/>
        </w:rPr>
      </w:pPr>
    </w:p>
    <w:p>
      <w:pPr>
        <w:ind w:right="480"/>
        <w:spacing w:after="0" w:line="272" w:lineRule="auto"/>
        <w:rPr>
          <w:sz w:val="20"/>
          <w:szCs w:val="20"/>
          <w:color w:val="auto"/>
        </w:rPr>
      </w:pPr>
      <w:r>
        <w:rPr>
          <w:rFonts w:ascii="Arial" w:cs="Arial" w:eastAsia="Arial" w:hAnsi="Arial"/>
          <w:sz w:val="18"/>
          <w:szCs w:val="18"/>
          <w:color w:val="auto"/>
        </w:rPr>
        <w:t>Mistras Group, Inc. and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20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17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Company enhances value for its clients by integrating asset protection throughout supply chains and centralizing integrity data through a suite of IIoT - connected digital software and monitoring solutions, including OneSuite, which serves as an ecosystem platform, pulling together all of the Company’s software and data services capabilities, for the benefit of its customers.</w:t>
      </w:r>
    </w:p>
    <w:p>
      <w:pPr>
        <w:spacing w:after="0" w:line="22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Issues related to the COVID-19 coronavirus (COVID-19) pandemic have subsided significantly during 2022 as compared to 2021. The Russian-Ukrainian war is creating disruption in the oil and gas market and the supply chain in general, which is resulting in some disruption to our business operations. With oil prices high, refineries are working at full capacity and are deferring maintenance and inspection work as much as possible, which is impacting our business as well.</w:t>
      </w:r>
    </w:p>
    <w:p>
      <w:pPr>
        <w:spacing w:after="0" w:line="221" w:lineRule="exact"/>
        <w:rPr>
          <w:sz w:val="20"/>
          <w:szCs w:val="20"/>
          <w:color w:val="auto"/>
        </w:rPr>
      </w:pPr>
    </w:p>
    <w:p>
      <w:pPr>
        <w:ind w:right="460"/>
        <w:spacing w:after="0" w:line="336" w:lineRule="auto"/>
        <w:rPr>
          <w:sz w:val="20"/>
          <w:szCs w:val="20"/>
          <w:color w:val="auto"/>
        </w:rPr>
      </w:pPr>
      <w:r>
        <w:rPr>
          <w:rFonts w:ascii="Arial" w:cs="Arial" w:eastAsia="Arial" w:hAnsi="Arial"/>
          <w:sz w:val="16"/>
          <w:szCs w:val="16"/>
          <w:color w:val="auto"/>
        </w:rPr>
        <w:t>Overall, the Company has taken actions to help ensure the health and safety of Company employees and those of its customers and suppliers; maintain business continuity and financial strength and stability; and serve customers as they provide essential products and services to the world.</w:t>
      </w:r>
    </w:p>
    <w:p>
      <w:pPr>
        <w:spacing w:after="0" w:line="14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Earlier in 2022, the Company eliminated substantially all of the COVID related cost reduction initiatives undertaken in 2020, including re-installment of the savings plan employer match and increasing wages back to pre-pandemic amounts.</w:t>
      </w:r>
    </w:p>
    <w:p>
      <w:pPr>
        <w:spacing w:after="0" w:line="21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Company is currently unable to predict with certainty the overall impact that the factors discussed above and the effect of inflationary pressures may have on its business, results of operations or liquidity or in other ways which the Company cannot yet determine. The Company’s European operations are currently experiencing increased costs associated with higher energy costs, among others, due in part to the Russian-Ukrainian war. The Company will continue to monitor market conditions and respond accordingly.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follows guidance on the consolidation of variable interest entities ("VIEs") that requires companies to utilize a qualitative approach to determine whether it is the primary beneficiary of a VIE. The process for identifying the primary beneficiary of a VIE requires consideration of the factors that indicate a party has the power to direct the activities that most significantly impact the VIE’s economic performance, including powers granted to the VIE’s program manager, powers contained in the VIE governing board and, to a certain extent, a company’s economic interest in the VIE. The Company analyzes its joint ventures and classifies them as either:</w:t>
      </w:r>
    </w:p>
    <w:p>
      <w:pPr>
        <w:spacing w:after="0" w:line="22" w:lineRule="exact"/>
        <w:rPr>
          <w:sz w:val="20"/>
          <w:szCs w:val="20"/>
          <w:color w:val="auto"/>
        </w:rPr>
      </w:pPr>
    </w:p>
    <w:p>
      <w:pPr>
        <w:ind w:left="660" w:hanging="331"/>
        <w:spacing w:after="0" w:line="236" w:lineRule="auto"/>
        <w:tabs>
          <w:tab w:leader="none" w:pos="655" w:val="left"/>
        </w:tabs>
        <w:numPr>
          <w:ilvl w:val="0"/>
          <w:numId w:val="19"/>
        </w:numPr>
        <w:rPr>
          <w:rFonts w:ascii="Arial" w:cs="Arial" w:eastAsia="Arial" w:hAnsi="Arial"/>
          <w:sz w:val="21"/>
          <w:szCs w:val="21"/>
          <w:color w:val="auto"/>
        </w:rPr>
      </w:pPr>
      <w:r>
        <w:rPr>
          <w:rFonts w:ascii="Arial" w:cs="Arial" w:eastAsia="Arial" w:hAnsi="Arial"/>
          <w:sz w:val="18"/>
          <w:szCs w:val="18"/>
          <w:color w:val="auto"/>
        </w:rPr>
        <w:t>a VIE that must be consolidated because the Company is the primary beneficiary, or the joint venture is not a VIE and the Company holds the majority voting interest with no significant participative rights available to the other partners; or</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660" w:hanging="331"/>
        <w:spacing w:after="0" w:line="236" w:lineRule="auto"/>
        <w:tabs>
          <w:tab w:leader="none" w:pos="655" w:val="left"/>
        </w:tabs>
        <w:numPr>
          <w:ilvl w:val="0"/>
          <w:numId w:val="20"/>
        </w:numPr>
        <w:rPr>
          <w:rFonts w:ascii="Arial" w:cs="Arial" w:eastAsia="Arial" w:hAnsi="Arial"/>
          <w:sz w:val="21"/>
          <w:szCs w:val="21"/>
          <w:color w:val="auto"/>
        </w:rPr>
      </w:pPr>
      <w:r>
        <w:rPr>
          <w:rFonts w:ascii="Arial" w:cs="Arial" w:eastAsia="Arial" w:hAnsi="Arial"/>
          <w:sz w:val="18"/>
          <w:szCs w:val="18"/>
          <w:color w:val="auto"/>
        </w:rPr>
        <w:t>a VIE that does not require consolidation and is treated as an equity method investment because the Company is not the primary beneficiary or the joint venture is not a VIE and the Company does not hold the majority voting interest.</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part of the above analysis, if it is determined that the Company has the power to direct the activities that most significantly impact the joint venture’s economic performance, the Company considers whether or not it has the obligation to absorb losses or rights to receive benefits of the VIE that could potentially be significant to the VIE.</w:t>
      </w:r>
    </w:p>
    <w:p>
      <w:pPr>
        <w:spacing w:after="0" w:line="21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 became the primary beneficiary in July 2020 of a VIE in which the Company has a 49% interest in a limited partnership, and a 49% shareholder in the corporate general partner of the limited partnership. The Company consolidated the financial statements of the VIE with the financial statements of the Company. As of and for the year ended December 31, 2022, the VIE had immaterial assets and had approximately $4.7 million revenue. The Company is the primary sub-contractor of the VIE.</w:t>
      </w:r>
    </w:p>
    <w:p>
      <w:pPr>
        <w:spacing w:after="0" w:line="2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accompanying audited consolidated financial statements include the accounts of Mistras Group, Inc. as well as its wholly-owned subsidiaries, majority-owned subsidiaries and consolidated VIE. For subsidiaries in which the Company’s ownership interest is less than 100%, the non-controlling interests are reported in stockholders’ equity in the accompanying Consolidated Balance Sheets. The non-controlling interests in net results, net of tax, is classified separately in the accompanying Consolidated Statements of Income (Loss). All significant intercompany accounts and transactions have been eliminated in consolidation. The results of operations of companies acquired are included from the date of acquisition.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49"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("U.S. GAAP") requires that the Company make estimates and assumptions that affect the reported amounts of assets, liabilities, revenue and expenses and disclosure of contingent assets and liabilities at the date of the financial statements. The Company bases its estimates and assumptions on historical experience, known or expected trends and various other assumptions that it believes to be reasonable. As future events and their effects cannot be determined with precision, actual results could differ significantly from these estimates, which may cause the Company’s future results to be significantly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49"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The Company maintains an allowance for credit losses on its accounts receivable balances, which represents its best estimate of current expected credit losses over the contractual life of the accounts receivable. When evaluating the adequacy of its allowance for credit losses each reporting period, the Company analyzes accounts receivable balances with similar risk characteristics on a collective basis, considering factors such as the aging of receivable balances, payment terms (primarily with 30 day terms), geographic location, historical loss experience, current information and future expectations (generally considered one year which is consistent with expected collectability of the Company's trade receivables).</w:t>
      </w:r>
    </w:p>
    <w:p>
      <w:pPr>
        <w:spacing w:after="0" w:line="19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monitors and considers whether historical loss rates are consistent with expectation of supportable forward-looking estimates for its trade receivables noting any current or future economic considerations that would require adjusting the Company’s historical loss experience. Each reporting period, the Company reassesses whether any accounts receivable no longer share similar risk characteristics and should instead be evaluated as part of another pool or on an individual basis. Changes to the allowance for credit losses are adjusted through credit loss expense, which is presented within Selling, general and administrative expenses in the Consolidated Statements of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years ended December 31, 2022 and 2021, no customer represented 10% or more of the Company's revenue.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2" w:lineRule="exact"/>
        <w:rPr>
          <w:sz w:val="20"/>
          <w:szCs w:val="20"/>
          <w:color w:val="auto"/>
        </w:rPr>
      </w:pPr>
    </w:p>
    <w:p>
      <w:pPr>
        <w:ind w:right="540"/>
        <w:spacing w:after="0" w:line="272" w:lineRule="auto"/>
        <w:rPr>
          <w:sz w:val="20"/>
          <w:szCs w:val="20"/>
          <w:color w:val="auto"/>
        </w:rPr>
      </w:pPr>
      <w:r>
        <w:rPr>
          <w:rFonts w:ascii="Arial" w:cs="Arial" w:eastAsia="Arial" w:hAnsi="Arial"/>
          <w:sz w:val="18"/>
          <w:szCs w:val="18"/>
          <w:color w:val="auto"/>
        </w:rPr>
        <w:t>Inventories are stated at the lower of cost or net realizable value, as determined by using the first-in, first-out method, or market. Work in process and finished goods inventory include material, direct labor, variable costs and overhead.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and Internal-Use Software</w:t>
      </w:r>
    </w:p>
    <w:p>
      <w:pPr>
        <w:spacing w:after="0" w:line="222" w:lineRule="exact"/>
        <w:rPr>
          <w:sz w:val="20"/>
          <w:szCs w:val="20"/>
          <w:color w:val="auto"/>
        </w:rPr>
      </w:pPr>
    </w:p>
    <w:p>
      <w:pPr>
        <w:ind w:right="480"/>
        <w:spacing w:after="0" w:line="336" w:lineRule="auto"/>
        <w:rPr>
          <w:sz w:val="20"/>
          <w:szCs w:val="20"/>
          <w:color w:val="auto"/>
        </w:rPr>
      </w:pPr>
      <w:r>
        <w:rPr>
          <w:rFonts w:ascii="Arial" w:cs="Arial" w:eastAsia="Arial" w:hAnsi="Arial"/>
          <w:sz w:val="16"/>
          <w:szCs w:val="16"/>
          <w:color w:val="auto"/>
        </w:rPr>
        <w:t>The Company capitalizes certain costs that are incurred to purchase or to create and implement internal-use software, which includes software coding, installation and testing. Capitalized costs are amortized on a straight-line basis over three years, the estimated useful life of the software.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Property, plant and equipment are recorded at cost. Depreciation of property, plant and equipment is computed utilizing the straight-line method over the estimated useful lives of the assets. Amortization of leasehold improvements is computed utilizing the straight-line method over the shorter of the remaining lease term or estimated useful life. Repairs and maintenance costs are expensed as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Goodwill represents the excess purchase price of acquired businesses over the fair values attributed to underlying net tangible assets and identifiable intangible assets. The Company tests goodwill for impairment at a “reporting unit” level (which for the Company is represented by (i) its Services segment,</w:t>
      </w:r>
    </w:p>
    <w:p>
      <w:pPr>
        <w:ind w:right="120" w:firstLine="7"/>
        <w:spacing w:after="0" w:line="251" w:lineRule="auto"/>
        <w:tabs>
          <w:tab w:leader="none" w:pos="2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Products and Systems segment, (iii) the European component of its International segment and (iv) the Brazilian component of its International segment). The Company's annual impairment test is conducted on the first day of the Company's fourth quarter, which is October 1. Goodwill is also tested for impairment whenever an event occurs or circumstances change that would more likely than not reduce the fair value of a reporting unit below its carrying amount.</w:t>
      </w:r>
    </w:p>
    <w:p>
      <w:pPr>
        <w:spacing w:after="0" w:line="2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testing for goodwill impairment, the Company has the option to first assess qualitative factors to determine whether the existence of events or circumstances lead to a determination that it is more likely than not that the fair value of a reporting unit is less than its carrying amount. If, after assessing the totality of events and circumstances, the Company concludes that it is not more likely than not that the fair value of a reporting unit is less than its carrying amount, then performing a quantitative impairment test is not necessary. If the Company concludes otherwise, the Company is required to perform a quantitative impairment test.</w:t>
      </w:r>
    </w:p>
    <w:p>
      <w:pPr>
        <w:spacing w:after="0" w:line="2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If the fair value of a reporting unit is less than its carrying value, this is an indicator that the goodwill assigned to that reporting unit may be impaired. An impairment will be recorded in the amount that the fair value is less than the carrying value. The Company considers the income and market approaches to estimating the fair value of its reporting units, which requires significant judgment in evaluation of economic and industry trends, estimated future cash flows, discount rates and other factors.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See Note 8-</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for additional information related to the Company's goodwill impairment test during 2022.</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reviews the recoverability of its long-lived assets (or asset groups) whenever events or changes in circumstances indicate that the carrying amount of the long-lived asset (group) might not be recoverable. The assessment for potential impairment is based primarily on the Company’s ability to recover the carrying value of its long-lived assets from expected future undiscounted cash flows. If the total expected future undiscounted cash flows are less than the carrying amount of the assets, a loss is recognized for the difference between fair value (computed based upon the expected future discounted cash flows) and the carrying value of the assets.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Company allocates the purchase price of acquired businesses to their identifiable tangible assets and liabilities as well as identifiable intangible assets, such as customer relationships, technology, non-compete agreements and trade names. Certain estimates and judgments are required in the application of the fair value techniques, including estimates of the respective acquisition's future performance and related cash flows, selection of a discount rate and economic lives, and use of Level 3 measurements as defined in ASC No. 820, </w:t>
      </w:r>
      <w:r>
        <w:rPr>
          <w:rFonts w:ascii="Arial" w:cs="Arial" w:eastAsia="Arial" w:hAnsi="Arial"/>
          <w:sz w:val="17"/>
          <w:szCs w:val="17"/>
          <w:i w:val="1"/>
          <w:iCs w:val="1"/>
          <w:color w:val="auto"/>
        </w:rPr>
        <w:t>Fair Value Measurements and Disclosure.</w:t>
      </w:r>
      <w:r>
        <w:rPr>
          <w:rFonts w:ascii="Arial" w:cs="Arial" w:eastAsia="Arial" w:hAnsi="Arial"/>
          <w:sz w:val="17"/>
          <w:szCs w:val="17"/>
          <w:color w:val="auto"/>
        </w:rPr>
        <w:t xml:space="preserve"> Deferred taxes are recorded for any differences between the assigned values and tax bases of assets and liabilities.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Engineering</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Research and product development costs are expensed as incurred.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Promotions and Marketing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costs for advertising, promotion and marketing programs are expensed as incurred and are included in selling, general and administrative expenses.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Advertising expense was approximately $2.0 million, $1.0 million and $0.8 million for the years ended December 31, 2022, 2021 and 2020,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2"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The carrying amounts of cash and cash equivalents, accounts receivable, accounts payable and other financial current assets and liabilities approximate fair value based on the short-term nature of the items.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financial position and results of operations of the Company’s foreign subsidiaries are measured using their functional currencies, which are their local currencies. Assets and liabilities of foreign subsidiaries are translated into the U.S. Dollar at the exchange rates in effect at the balance sheet date. Income and expenses are translated at the average exchange rate during the period. Translation gains and losses are reported as a component of other comprehensive income (loss) for the period and included in accumulated other comprehensive income (loss) within stockholders’ equity.</w:t>
      </w:r>
    </w:p>
    <w:p>
      <w:pPr>
        <w:spacing w:after="0" w:line="159"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Foreign currency (gains) losses arising from transactions denominated in currencies other than the functional currency are included in net income, reported in selling, general and administrative expenses, and were approximately $(0.2) million, $0.4 million, and $3.0 million for the years ended December 31, 2022, 2021 and 2020,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22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is self-insured for certain losses relating to workers’ compensation and health benefit claims. The Company maintains third-party excess insurance coverage for all workers' compensation and health benefit claims in excess of approximately $0.3 million per occurrence to reduce its exposure from such claims. Self-insured losses are accrued when it is probable that an uninsured claim has been incurred but not reported and the amount of the loss can be reasonably estimated at the balance sheet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value of services received from employees and directors in exchange for an award of an equity instrument is measured based on the grant-date fair value of the award. Such value is recognized as a non-cash expense on a straight-line basis over the minimum period the individual provides services, which is typically the vesting period of the award with the exception of awards with graded vesting that contain an internal performance measure where each tranche is recognized on a straight-line basis over its vesting period subject to the probability of meeting the performance requirements and adjusted for the number of shares expected to be earned. Awards to certain employees eligible for retirement prior to the award becoming fully vested are amortized to expense over the period through the date that the employee first becomes eligible to retire and is no longer required to provide service to earn the award. As share-based compensation expense is based on awards ultimately expected to vest, the amount of expense is reduced for estimated forfeitures. The cost of these awards is recorded in selling, general and administrative expenses in the Company’s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9"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185" w:lineRule="exact"/>
        <w:rPr>
          <w:sz w:val="20"/>
          <w:szCs w:val="20"/>
          <w:color w:val="auto"/>
        </w:rPr>
      </w:pPr>
    </w:p>
    <w:p>
      <w:pPr>
        <w:jc w:val="both"/>
        <w:ind w:right="260"/>
        <w:spacing w:after="0" w:line="258"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March 2020 and updated in January 2021, the FASB issued Accounting Standards Update ("ASU") 2020-04 and 2021-01, “Reference Rate Reform (Topic 848): Facilitation of the Effects of Reference Rate Reform on Financial Reporting.” The amendments provide optional guidance for a limited period of time to ease the potential burden in accounting for (or recognizing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2024. The Company is currently evaluating applicable contracts and the available expedients provided by the new guidance.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6" w:lineRule="exact"/>
        <w:rPr>
          <w:sz w:val="20"/>
          <w:szCs w:val="20"/>
          <w:color w:val="auto"/>
        </w:rPr>
      </w:pPr>
    </w:p>
    <w:p>
      <w:pPr>
        <w:jc w:val="both"/>
        <w:ind w:right="2540"/>
        <w:spacing w:after="0" w:line="336" w:lineRule="auto"/>
        <w:rPr>
          <w:sz w:val="20"/>
          <w:szCs w:val="20"/>
          <w:color w:val="auto"/>
        </w:rPr>
      </w:pPr>
      <w:r>
        <w:rPr>
          <w:rFonts w:ascii="Arial" w:cs="Arial" w:eastAsia="Arial" w:hAnsi="Arial"/>
          <w:sz w:val="16"/>
          <w:szCs w:val="16"/>
          <w:color w:val="auto"/>
        </w:rPr>
        <w:t>The Company derives the majority of its revenue by providing services on a time and material basis that are short-term in nature. The Company accounts for revenue in accordance with ASC Topic 606, Revenue from Contracts with Customers.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4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the Company's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190"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color w:val="auto"/>
        </w:rPr>
        <w:t>The majority of the Company's revenue recognized at a point in time is related to product sales when the customer obtains control of the asset, which is generally upon shipment to the customer. Contract costs include labor, material and overhead.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an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the Company's disaggregated revenue: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2022</w:t>
            </w:r>
          </w:p>
        </w:tc>
        <w:tc>
          <w:tcPr>
            <w:tcW w:w="28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5"/>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387,752</w:t>
            </w:r>
          </w:p>
        </w:tc>
      </w:tr>
      <w:tr>
        <w:trPr>
          <w:trHeight w:val="228"/>
        </w:trPr>
        <w:tc>
          <w:tcPr>
            <w:tcW w:w="400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80,552</w:t>
            </w:r>
          </w:p>
        </w:tc>
      </w:tr>
      <w:tr>
        <w:trPr>
          <w:trHeight w:val="228"/>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63,983</w:t>
            </w:r>
          </w:p>
        </w:tc>
      </w:tr>
      <w:tr>
        <w:trPr>
          <w:trHeight w:val="228"/>
        </w:trPr>
        <w:tc>
          <w:tcPr>
            <w:tcW w:w="4000" w:type="dxa"/>
            <w:vAlign w:val="bottom"/>
          </w:tcPr>
          <w:p>
            <w:pPr>
              <w:ind w:left="20"/>
              <w:spacing w:after="0"/>
              <w:rPr>
                <w:sz w:val="20"/>
                <w:szCs w:val="20"/>
                <w:color w:val="auto"/>
              </w:rPr>
            </w:pPr>
            <w:r>
              <w:rPr>
                <w:rFonts w:ascii="Arial" w:cs="Arial" w:eastAsia="Arial" w:hAnsi="Arial"/>
                <w:sz w:val="18"/>
                <w:szCs w:val="18"/>
                <w:color w:val="auto"/>
              </w:rPr>
              <w:t>Power Generation and Transmission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42,104</w:t>
            </w:r>
          </w:p>
        </w:tc>
      </w:tr>
      <w:tr>
        <w:trPr>
          <w:trHeight w:val="228"/>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54,827</w:t>
            </w:r>
          </w:p>
        </w:tc>
      </w:tr>
      <w:tr>
        <w:trPr>
          <w:trHeight w:val="228"/>
        </w:trPr>
        <w:tc>
          <w:tcPr>
            <w:tcW w:w="400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27,223</w:t>
            </w:r>
          </w:p>
        </w:tc>
      </w:tr>
      <w:tr>
        <w:trPr>
          <w:trHeight w:val="228"/>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Petrochemical</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15,896</w:t>
            </w:r>
          </w:p>
        </w:tc>
      </w:tr>
      <w:tr>
        <w:trPr>
          <w:trHeight w:val="228"/>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15,036</w:t>
            </w:r>
          </w:p>
        </w:tc>
      </w:tr>
      <w:tr>
        <w:trPr>
          <w:trHeight w:val="247"/>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112,425</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687,373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280" w:type="dxa"/>
            <w:vAlign w:val="bottom"/>
          </w:tcPr>
          <w:p>
            <w:pPr>
              <w:spacing w:after="0"/>
              <w:rPr>
                <w:sz w:val="23"/>
                <w:szCs w:val="23"/>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3"/>
                <w:szCs w:val="23"/>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3"/>
                <w:szCs w:val="23"/>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3"/>
                <w:szCs w:val="23"/>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23"/>
                <w:szCs w:val="23"/>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5"/>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366,920</w:t>
            </w:r>
          </w:p>
        </w:tc>
      </w:tr>
      <w:tr>
        <w:trPr>
          <w:trHeight w:val="228"/>
        </w:trPr>
        <w:tc>
          <w:tcPr>
            <w:tcW w:w="400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68,392</w:t>
            </w:r>
          </w:p>
        </w:tc>
      </w:tr>
      <w:tr>
        <w:trPr>
          <w:trHeight w:val="228"/>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67,715</w:t>
            </w:r>
          </w:p>
        </w:tc>
      </w:tr>
      <w:tr>
        <w:trPr>
          <w:trHeight w:val="228"/>
        </w:trPr>
        <w:tc>
          <w:tcPr>
            <w:tcW w:w="4000" w:type="dxa"/>
            <w:vAlign w:val="bottom"/>
          </w:tcPr>
          <w:p>
            <w:pPr>
              <w:ind w:left="20"/>
              <w:spacing w:after="0"/>
              <w:rPr>
                <w:sz w:val="20"/>
                <w:szCs w:val="20"/>
                <w:color w:val="auto"/>
              </w:rPr>
            </w:pPr>
            <w:r>
              <w:rPr>
                <w:rFonts w:ascii="Arial" w:cs="Arial" w:eastAsia="Arial" w:hAnsi="Arial"/>
                <w:sz w:val="18"/>
                <w:szCs w:val="18"/>
                <w:color w:val="auto"/>
              </w:rPr>
              <w:t>Power Generation and Transmission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52,746</w:t>
            </w:r>
          </w:p>
        </w:tc>
      </w:tr>
      <w:tr>
        <w:trPr>
          <w:trHeight w:val="228"/>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r>
      <w:tr>
        <w:trPr>
          <w:trHeight w:val="228"/>
        </w:trPr>
        <w:tc>
          <w:tcPr>
            <w:tcW w:w="400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32,290</w:t>
            </w:r>
          </w:p>
        </w:tc>
      </w:tr>
      <w:tr>
        <w:trPr>
          <w:trHeight w:val="228"/>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Petrochemical</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w:t>
            </w:r>
          </w:p>
        </w:tc>
      </w:tr>
      <w:tr>
        <w:trPr>
          <w:trHeight w:val="228"/>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18,064</w:t>
            </w:r>
          </w:p>
        </w:tc>
      </w:tr>
      <w:tr>
        <w:trPr>
          <w:trHeight w:val="247"/>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117,245</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677,131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260" w:type="dxa"/>
            <w:vAlign w:val="bottom"/>
          </w:tcPr>
          <w:p>
            <w:pPr>
              <w:spacing w:after="0"/>
              <w:rPr>
                <w:sz w:val="16"/>
                <w:szCs w:val="16"/>
                <w:color w:val="auto"/>
              </w:rPr>
            </w:pPr>
          </w:p>
        </w:tc>
        <w:tc>
          <w:tcPr>
            <w:tcW w:w="1200" w:type="dxa"/>
            <w:vAlign w:val="bottom"/>
            <w:gridSpan w:val="4"/>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00" w:type="dxa"/>
            <w:vAlign w:val="bottom"/>
            <w:gridSpan w:val="4"/>
          </w:tcPr>
          <w:p>
            <w:pPr>
              <w:ind w:left="140"/>
              <w:spacing w:after="0"/>
              <w:rPr>
                <w:sz w:val="20"/>
                <w:szCs w:val="20"/>
                <w:color w:val="auto"/>
              </w:rPr>
            </w:pPr>
            <w:r>
              <w:rPr>
                <w:rFonts w:ascii="Arial" w:cs="Arial" w:eastAsia="Arial" w:hAnsi="Arial"/>
                <w:sz w:val="14"/>
                <w:szCs w:val="14"/>
                <w:b w:val="1"/>
                <w:bCs w:val="1"/>
                <w:color w:val="auto"/>
              </w:rPr>
              <w:t>Products</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5"/>
        </w:trPr>
        <w:tc>
          <w:tcPr>
            <w:tcW w:w="3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319,483</w:t>
            </w:r>
          </w:p>
        </w:tc>
      </w:tr>
      <w:tr>
        <w:trPr>
          <w:trHeight w:val="228"/>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18,166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70,271</w:t>
            </w:r>
          </w:p>
        </w:tc>
      </w:tr>
      <w:tr>
        <w:trPr>
          <w:trHeight w:val="228"/>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66,428</w:t>
            </w:r>
          </w:p>
        </w:tc>
      </w:tr>
      <w:tr>
        <w:trPr>
          <w:trHeight w:val="228"/>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Power Generation and Transmission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7,559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39,887</w:t>
            </w:r>
          </w:p>
        </w:tc>
      </w:tr>
      <w:tr>
        <w:trPr>
          <w:trHeight w:val="228"/>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34,871</w:t>
            </w:r>
          </w:p>
        </w:tc>
      </w:tr>
      <w:tr>
        <w:trPr>
          <w:trHeight w:val="228"/>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10,353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6,364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33,787</w:t>
            </w:r>
          </w:p>
        </w:tc>
      </w:tr>
      <w:tr>
        <w:trPr>
          <w:trHeight w:val="228"/>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Petrochemical</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19,280</w:t>
            </w:r>
          </w:p>
        </w:tc>
      </w:tr>
      <w:tr>
        <w:trPr>
          <w:trHeight w:val="228"/>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8,564</w:t>
            </w:r>
          </w:p>
        </w:tc>
      </w:tr>
      <w:tr>
        <w:trPr>
          <w:trHeight w:val="247"/>
        </w:trPr>
        <w:tc>
          <w:tcPr>
            <w:tcW w:w="40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476,164</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107,556</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16,449</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592,571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5460" w:type="dxa"/>
            <w:vAlign w:val="bottom"/>
            <w:gridSpan w:val="7"/>
          </w:tcPr>
          <w:p>
            <w:pPr>
              <w:spacing w:after="0"/>
              <w:rPr>
                <w:sz w:val="20"/>
                <w:szCs w:val="20"/>
                <w:color w:val="auto"/>
              </w:rPr>
            </w:pPr>
            <w:r>
              <w:rPr>
                <w:rFonts w:ascii="Arial" w:cs="Arial" w:eastAsia="Arial" w:hAnsi="Arial"/>
                <w:sz w:val="18"/>
                <w:szCs w:val="18"/>
                <w:color w:val="auto"/>
              </w:rPr>
              <w:t>Revenue per key geographic location was as follows (in thousands):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4"/>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2022</w:t>
            </w:r>
          </w:p>
        </w:tc>
        <w:tc>
          <w:tcPr>
            <w:tcW w:w="260" w:type="dxa"/>
            <w:vAlign w:val="bottom"/>
          </w:tcPr>
          <w:p>
            <w:pPr>
              <w:spacing w:after="0"/>
              <w:rPr>
                <w:sz w:val="17"/>
                <w:szCs w:val="17"/>
                <w:color w:val="auto"/>
              </w:rPr>
            </w:pPr>
          </w:p>
        </w:tc>
        <w:tc>
          <w:tcPr>
            <w:tcW w:w="1200" w:type="dxa"/>
            <w:vAlign w:val="bottom"/>
            <w:gridSpan w:val="4"/>
          </w:tcPr>
          <w:p>
            <w:pPr>
              <w:ind w:left="16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7"/>
                <w:szCs w:val="17"/>
                <w:color w:val="auto"/>
              </w:rPr>
            </w:pP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7"/>
                <w:szCs w:val="17"/>
                <w:color w:val="auto"/>
              </w:rPr>
            </w:pPr>
          </w:p>
        </w:tc>
        <w:tc>
          <w:tcPr>
            <w:tcW w:w="1200" w:type="dxa"/>
            <w:vAlign w:val="bottom"/>
            <w:gridSpan w:val="4"/>
          </w:tcPr>
          <w:p>
            <w:pPr>
              <w:ind w:left="140"/>
              <w:spacing w:after="0"/>
              <w:rPr>
                <w:sz w:val="20"/>
                <w:szCs w:val="20"/>
                <w:color w:val="auto"/>
              </w:rPr>
            </w:pPr>
            <w:r>
              <w:rPr>
                <w:rFonts w:ascii="Arial" w:cs="Arial" w:eastAsia="Arial" w:hAnsi="Arial"/>
                <w:sz w:val="14"/>
                <w:szCs w:val="14"/>
                <w:b w:val="1"/>
                <w:bCs w:val="1"/>
                <w:color w:val="auto"/>
              </w:rPr>
              <w:t>Products</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17"/>
                <w:szCs w:val="17"/>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5"/>
        </w:trPr>
        <w:tc>
          <w:tcPr>
            <w:tcW w:w="3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485,551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489,873</w:t>
            </w:r>
          </w:p>
        </w:tc>
      </w:tr>
      <w:tr>
        <w:trPr>
          <w:trHeight w:val="228"/>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83,877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89,254</w:t>
            </w:r>
          </w:p>
        </w:tc>
      </w:tr>
      <w:tr>
        <w:trPr>
          <w:trHeight w:val="228"/>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100,919</w:t>
            </w:r>
          </w:p>
        </w:tc>
      </w:tr>
      <w:tr>
        <w:trPr>
          <w:trHeight w:val="228"/>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7,327</w:t>
            </w:r>
          </w:p>
        </w:tc>
      </w:tr>
      <w:tr>
        <w:trPr>
          <w:trHeight w:val="242"/>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573,336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112,425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687,373</w:t>
            </w:r>
          </w:p>
        </w:tc>
      </w:tr>
      <w:tr>
        <w:trPr>
          <w:trHeight w:val="20"/>
        </w:trPr>
        <w:tc>
          <w:tcPr>
            <w:tcW w:w="3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260" w:type="dxa"/>
            <w:vAlign w:val="bottom"/>
          </w:tcPr>
          <w:p>
            <w:pPr>
              <w:spacing w:after="0"/>
              <w:rPr>
                <w:sz w:val="22"/>
                <w:szCs w:val="22"/>
                <w:color w:val="auto"/>
              </w:rPr>
            </w:pPr>
          </w:p>
        </w:tc>
        <w:tc>
          <w:tcPr>
            <w:tcW w:w="1200" w:type="dxa"/>
            <w:vAlign w:val="bottom"/>
            <w:gridSpan w:val="4"/>
          </w:tcPr>
          <w:p>
            <w:pPr>
              <w:ind w:left="16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2"/>
                <w:szCs w:val="22"/>
                <w:color w:val="auto"/>
              </w:rPr>
            </w:pP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2"/>
                <w:szCs w:val="22"/>
                <w:color w:val="auto"/>
              </w:rPr>
            </w:pPr>
          </w:p>
        </w:tc>
        <w:tc>
          <w:tcPr>
            <w:tcW w:w="1200" w:type="dxa"/>
            <w:vAlign w:val="bottom"/>
            <w:gridSpan w:val="4"/>
          </w:tcPr>
          <w:p>
            <w:pPr>
              <w:ind w:left="140"/>
              <w:spacing w:after="0"/>
              <w:rPr>
                <w:sz w:val="20"/>
                <w:szCs w:val="20"/>
                <w:color w:val="auto"/>
              </w:rPr>
            </w:pPr>
            <w:r>
              <w:rPr>
                <w:rFonts w:ascii="Arial" w:cs="Arial" w:eastAsia="Arial" w:hAnsi="Arial"/>
                <w:sz w:val="14"/>
                <w:szCs w:val="14"/>
                <w:b w:val="1"/>
                <w:bCs w:val="1"/>
                <w:color w:val="auto"/>
              </w:rPr>
              <w:t>Products</w:t>
            </w:r>
          </w:p>
        </w:tc>
        <w:tc>
          <w:tcPr>
            <w:tcW w:w="22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22"/>
                <w:szCs w:val="22"/>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5"/>
        </w:trPr>
        <w:tc>
          <w:tcPr>
            <w:tcW w:w="4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472,125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475,222</w:t>
            </w:r>
          </w:p>
        </w:tc>
      </w:tr>
      <w:tr>
        <w:trPr>
          <w:trHeight w:val="228"/>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83,643</w:t>
            </w:r>
          </w:p>
        </w:tc>
      </w:tr>
      <w:tr>
        <w:trPr>
          <w:trHeight w:val="228"/>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109,614</w:t>
            </w:r>
          </w:p>
        </w:tc>
      </w:tr>
      <w:tr>
        <w:trPr>
          <w:trHeight w:val="228"/>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w:t>
            </w:r>
          </w:p>
        </w:tc>
      </w:tr>
      <w:tr>
        <w:trPr>
          <w:trHeight w:val="242"/>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555,387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117,245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677,131</w:t>
            </w:r>
          </w:p>
        </w:tc>
      </w:tr>
      <w:tr>
        <w:trPr>
          <w:trHeight w:val="20"/>
        </w:trPr>
        <w:tc>
          <w:tcPr>
            <w:tcW w:w="3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0"/>
        </w:trPr>
        <w:tc>
          <w:tcPr>
            <w:tcW w:w="40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260" w:type="dxa"/>
            <w:vAlign w:val="bottom"/>
          </w:tcPr>
          <w:p>
            <w:pPr>
              <w:spacing w:after="0"/>
              <w:rPr>
                <w:sz w:val="23"/>
                <w:szCs w:val="23"/>
                <w:color w:val="auto"/>
              </w:rPr>
            </w:pPr>
          </w:p>
        </w:tc>
        <w:tc>
          <w:tcPr>
            <w:tcW w:w="1200" w:type="dxa"/>
            <w:vAlign w:val="bottom"/>
            <w:gridSpan w:val="4"/>
          </w:tcPr>
          <w:p>
            <w:pPr>
              <w:ind w:left="16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3"/>
                <w:szCs w:val="23"/>
                <w:color w:val="auto"/>
              </w:rPr>
            </w:pP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3"/>
                <w:szCs w:val="23"/>
                <w:color w:val="auto"/>
              </w:rPr>
            </w:pPr>
          </w:p>
        </w:tc>
        <w:tc>
          <w:tcPr>
            <w:tcW w:w="1200" w:type="dxa"/>
            <w:vAlign w:val="bottom"/>
            <w:gridSpan w:val="4"/>
          </w:tcPr>
          <w:p>
            <w:pPr>
              <w:ind w:left="140"/>
              <w:spacing w:after="0"/>
              <w:rPr>
                <w:sz w:val="20"/>
                <w:szCs w:val="20"/>
                <w:color w:val="auto"/>
              </w:rPr>
            </w:pPr>
            <w:r>
              <w:rPr>
                <w:rFonts w:ascii="Arial" w:cs="Arial" w:eastAsia="Arial" w:hAnsi="Arial"/>
                <w:sz w:val="14"/>
                <w:szCs w:val="14"/>
                <w:b w:val="1"/>
                <w:bCs w:val="1"/>
                <w:color w:val="auto"/>
              </w:rPr>
              <w:t>Products</w:t>
            </w:r>
          </w:p>
        </w:tc>
        <w:tc>
          <w:tcPr>
            <w:tcW w:w="22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20" w:type="dxa"/>
            <w:vAlign w:val="bottom"/>
          </w:tcPr>
          <w:p>
            <w:pPr>
              <w:spacing w:after="0"/>
              <w:rPr>
                <w:sz w:val="23"/>
                <w:szCs w:val="23"/>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5"/>
        </w:trPr>
        <w:tc>
          <w:tcPr>
            <w:tcW w:w="4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406,437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411,489</w:t>
            </w:r>
          </w:p>
        </w:tc>
      </w:tr>
      <w:tr>
        <w:trPr>
          <w:trHeight w:val="228"/>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Other Americas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68,150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4,581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72,835</w:t>
            </w:r>
          </w:p>
        </w:tc>
      </w:tr>
      <w:tr>
        <w:trPr>
          <w:trHeight w:val="228"/>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100,541</w:t>
            </w:r>
          </w:p>
        </w:tc>
      </w:tr>
      <w:tr>
        <w:trPr>
          <w:trHeight w:val="228"/>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w:t>
            </w:r>
          </w:p>
        </w:tc>
      </w:tr>
      <w:tr>
        <w:trPr>
          <w:trHeight w:val="242"/>
        </w:trPr>
        <w:tc>
          <w:tcPr>
            <w:tcW w:w="4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476,164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592,571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190"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Revenue recognized for 2022 and 2021, that was included in the contract liability balance at the beginning of the year was $4.7 million and $4.6 million, respectively. Changes in the contract asset and liability balances during the years ended December 31, 2022 and 2021, were not impacted by any other factors. The Company applies the practical expedient to expense incremental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color w:val="auto"/>
        </w:rPr>
        <w:t>costs incurred related to obtaining a contract when the amortization period of the asset that the Company otherwise would have recognized is one year or less.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Basic earnings (loss) per share is computed by dividing net income (loss) by the weighted average number of shares outstanding during the period. Diluted earnings per share is computed by dividing net income by the sum of (i) the weighted average number of shares of common stock outstanding during the period and (ii) the dilutive effect of assumed conversion of equity awards using the treasury stock method. With respect to the number of weighted average shares outstanding (denominator), diluted shares reflects: (i) the exercise of options to acquire common stock to the extent that the options’ exercise prices are less than the average market price of common stock during the period and (ii) the pro forma vesting of restricted stock units.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(loss) per share (in thousands except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ind w:right="51"/>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Pr>
          <w:p>
            <w:pPr>
              <w:spacing w:after="0"/>
              <w:rPr>
                <w:sz w:val="16"/>
                <w:szCs w:val="16"/>
                <w:color w:val="auto"/>
              </w:rPr>
            </w:pPr>
          </w:p>
        </w:tc>
      </w:tr>
      <w:tr>
        <w:trPr>
          <w:trHeight w:val="25"/>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8"/>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1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(loss) attributable to Mistras Group, Inc.</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(99,461)</w:t>
            </w:r>
          </w:p>
        </w:tc>
      </w:tr>
      <w:tr>
        <w:trPr>
          <w:trHeight w:val="228"/>
        </w:trPr>
        <w:tc>
          <w:tcPr>
            <w:tcW w:w="7060" w:type="dxa"/>
            <w:vAlign w:val="bottom"/>
          </w:tcPr>
          <w:p>
            <w:pPr>
              <w:ind w:left="140"/>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7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29,147</w:t>
            </w:r>
          </w:p>
        </w:tc>
      </w:tr>
      <w:tr>
        <w:trPr>
          <w:trHeight w:val="221"/>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00" w:type="dxa"/>
            <w:vAlign w:val="bottom"/>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(3.41)</w:t>
            </w:r>
          </w:p>
        </w:tc>
      </w:tr>
      <w:tr>
        <w:trPr>
          <w:trHeight w:val="255"/>
        </w:trPr>
        <w:tc>
          <w:tcPr>
            <w:tcW w:w="7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8"/>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8"/>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8"/>
        </w:trPr>
        <w:tc>
          <w:tcPr>
            <w:tcW w:w="7060" w:type="dxa"/>
            <w:vAlign w:val="bottom"/>
          </w:tcPr>
          <w:p>
            <w:pPr>
              <w:ind w:left="260"/>
              <w:spacing w:after="0"/>
              <w:rPr>
                <w:sz w:val="20"/>
                <w:szCs w:val="20"/>
                <w:color w:val="auto"/>
              </w:rPr>
            </w:pPr>
            <w:r>
              <w:rPr>
                <w:rFonts w:ascii="Arial" w:cs="Arial" w:eastAsia="Arial" w:hAnsi="Arial"/>
                <w:sz w:val="18"/>
                <w:szCs w:val="18"/>
                <w:color w:val="auto"/>
              </w:rPr>
              <w:t>Net income (loss) attributable to Mistras Group, Inc.</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6,499</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(99,461)</w:t>
            </w:r>
          </w:p>
        </w:tc>
      </w:tr>
      <w:tr>
        <w:trPr>
          <w:trHeight w:val="228"/>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8"/>
        </w:trPr>
        <w:tc>
          <w:tcPr>
            <w:tcW w:w="706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29,147</w:t>
            </w:r>
          </w:p>
        </w:tc>
      </w:tr>
      <w:tr>
        <w:trPr>
          <w:trHeight w:val="228"/>
        </w:trPr>
        <w:tc>
          <w:tcPr>
            <w:tcW w:w="7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Dilutive effect of stock options outstanding</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060" w:type="dxa"/>
            <w:vAlign w:val="bottom"/>
          </w:tcPr>
          <w:p>
            <w:pPr>
              <w:ind w:left="260"/>
              <w:spacing w:after="0"/>
              <w:rPr>
                <w:sz w:val="20"/>
                <w:szCs w:val="20"/>
                <w:color w:val="auto"/>
              </w:rPr>
            </w:pPr>
            <w:r>
              <w:rPr>
                <w:rFonts w:ascii="Arial" w:cs="Arial" w:eastAsia="Arial" w:hAnsi="Arial"/>
                <w:sz w:val="18"/>
                <w:szCs w:val="18"/>
                <w:color w:val="auto"/>
              </w:rPr>
              <w:t>Dilutive effect of restricted stock units outstanding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0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29,147</w:t>
            </w:r>
          </w:p>
        </w:tc>
      </w:tr>
      <w:tr>
        <w:trPr>
          <w:trHeight w:val="225"/>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00" w:type="dxa"/>
            <w:vAlign w:val="bottom"/>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(3.41)</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potential common stock were excluded from the computation of diluted earnings per share, as the effect would have been anti-dilutive:</w:t>
      </w:r>
    </w:p>
    <w:p>
      <w:pPr>
        <w:spacing w:after="0" w:line="51"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For the 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5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161"/>
        </w:trPr>
        <w:tc>
          <w:tcPr>
            <w:tcW w:w="690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8"/>
                <w:szCs w:val="18"/>
                <w:color w:val="auto"/>
                <w:w w:val="94"/>
              </w:rPr>
              <w:t>Potential common stock attributable to restricted stock units (RSUs) and performance stock</w:t>
            </w:r>
          </w:p>
        </w:tc>
        <w:tc>
          <w:tcPr>
            <w:tcW w:w="8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241"/>
        </w:trPr>
        <w:tc>
          <w:tcPr>
            <w:tcW w:w="7760" w:type="dxa"/>
            <w:vAlign w:val="bottom"/>
            <w:gridSpan w:val="2"/>
            <w:shd w:val="clear" w:color="auto" w:fill="CCEEFF"/>
          </w:tcPr>
          <w:p>
            <w:pPr>
              <w:ind w:left="20"/>
              <w:spacing w:after="0" w:line="241" w:lineRule="exact"/>
              <w:rPr>
                <w:sz w:val="20"/>
                <w:szCs w:val="20"/>
                <w:color w:val="auto"/>
              </w:rPr>
            </w:pPr>
            <w:r>
              <w:rPr>
                <w:rFonts w:ascii="Arial" w:cs="Arial" w:eastAsia="Arial" w:hAnsi="Arial"/>
                <w:sz w:val="18"/>
                <w:szCs w:val="18"/>
                <w:color w:val="auto"/>
              </w:rPr>
              <w:t xml:space="preserve">units (PSUs) outstanding </w:t>
            </w:r>
            <w:r>
              <w:rPr>
                <w:rFonts w:ascii="Arial" w:cs="Arial" w:eastAsia="Arial" w:hAnsi="Arial"/>
                <w:sz w:val="23"/>
                <w:szCs w:val="23"/>
                <w:color w:val="auto"/>
                <w:vertAlign w:val="superscript"/>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1,005</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28"/>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Potential common stock attributable to stock options outstanding</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6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1,006</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bl>
    <w:p>
      <w:pPr>
        <w:spacing w:after="0" w:line="307" w:lineRule="exact"/>
        <w:rPr>
          <w:sz w:val="20"/>
          <w:szCs w:val="20"/>
          <w:color w:val="auto"/>
        </w:rPr>
      </w:pPr>
    </w:p>
    <w:p>
      <w:pPr>
        <w:ind w:right="220" w:firstLine="52"/>
        <w:spacing w:after="0" w:line="242" w:lineRule="auto"/>
        <w:tabs>
          <w:tab w:leader="none" w:pos="209"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For the year ended December 31, 2020, 254 shares related to RSUs/PSUs, were excluded from the calculation of diluted EPS due to the net loss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25"/>
        </w:trPr>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8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2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127,767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112,739</w:t>
            </w:r>
          </w:p>
        </w:tc>
      </w:tr>
      <w:tr>
        <w:trPr>
          <w:trHeight w:val="228"/>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r>
      <w:tr>
        <w:trPr>
          <w:trHeight w:val="246"/>
        </w:trPr>
        <w:tc>
          <w:tcPr>
            <w:tcW w:w="8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123,657</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had $13.5 million and $11.9 million of unbilled revenues accrued as of December 31, 2022 and December 31, 2021, respectively, which is included within the trade accounts receivable balance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spacing w:after="0" w:line="21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Company was contracted to perform inspections of welds on various pipeline projects in Texas for a customer. As of December 31, 2019, approximately $1.4 million of past due receivables were outstanding from this customer. The Company received notice from the customer in December 2019, alleging that the work performed was not in compliance with the contract. The Company filed a lawsuit to recover the $1.4 million and other amounts due to the Company and the customer filed a counterclaim, alleging breach of contract and seeking its damages. The Company recorded a full reserve for this receivable during 2019 and the status of this situation has not changed since 2019. See Note </w:t>
      </w:r>
      <w:r>
        <w:rPr>
          <w:rFonts w:ascii="Arial" w:cs="Arial" w:eastAsia="Arial" w:hAnsi="Arial"/>
          <w:sz w:val="16"/>
          <w:szCs w:val="16"/>
          <w:i w:val="1"/>
          <w:iCs w:val="1"/>
          <w:color w:val="auto"/>
        </w:rPr>
        <w:t>18-Commitments and Contingencies</w:t>
      </w:r>
      <w:r>
        <w:rPr>
          <w:rFonts w:ascii="Arial" w:cs="Arial" w:eastAsia="Arial" w:hAnsi="Arial"/>
          <w:sz w:val="16"/>
          <w:szCs w:val="16"/>
          <w:color w:val="auto"/>
        </w:rPr>
        <w:t xml:space="preserve"> for additional details.</w:t>
      </w:r>
    </w:p>
    <w:p>
      <w:pPr>
        <w:spacing w:after="0" w:line="191"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color w:val="auto"/>
        </w:rPr>
        <w:t>During the fourth quarter of 2021, the Company wrote off approximately $5 million of past due receivables related to work performed during 2019. The Company recorded a full reserve for these receivables in the prior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ind w:left="680"/>
              <w:spacing w:after="0"/>
              <w:rPr>
                <w:sz w:val="20"/>
                <w:szCs w:val="20"/>
                <w:color w:val="auto"/>
              </w:rPr>
            </w:pPr>
            <w:r>
              <w:rPr>
                <w:rFonts w:ascii="Arial" w:cs="Arial" w:eastAsia="Arial" w:hAnsi="Arial"/>
                <w:sz w:val="14"/>
                <w:szCs w:val="14"/>
                <w:b w:val="1"/>
                <w:bCs w:val="1"/>
                <w:color w:val="auto"/>
                <w:w w:val="98"/>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90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28"/>
        </w:trPr>
        <w:tc>
          <w:tcPr>
            <w:tcW w:w="690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2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Consumable supplies</w:t>
            </w: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46"/>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12,686</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69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6900" w:type="dxa"/>
            <w:vAlign w:val="bottom"/>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3"/>
          </w:tcPr>
          <w:p>
            <w:pPr>
              <w:ind w:left="680"/>
              <w:spacing w:after="0"/>
              <w:rPr>
                <w:sz w:val="20"/>
                <w:szCs w:val="20"/>
                <w:color w:val="auto"/>
              </w:rPr>
            </w:pPr>
            <w:r>
              <w:rPr>
                <w:rFonts w:ascii="Arial" w:cs="Arial" w:eastAsia="Arial" w:hAnsi="Arial"/>
                <w:sz w:val="14"/>
                <w:szCs w:val="14"/>
                <w:b w:val="1"/>
                <w:bCs w:val="1"/>
                <w:color w:val="auto"/>
                <w:w w:val="98"/>
              </w:rPr>
              <w:t>December 31,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900" w:type="dxa"/>
            <w:vAlign w:val="bottom"/>
          </w:tcPr>
          <w:p>
            <w:pPr>
              <w:spacing w:after="0"/>
              <w:rPr>
                <w:sz w:val="2"/>
                <w:szCs w:val="2"/>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9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3"/>
        </w:trPr>
        <w:tc>
          <w:tcPr>
            <w:tcW w:w="6900" w:type="dxa"/>
            <w:vAlign w:val="bottom"/>
          </w:tcPr>
          <w:p>
            <w:pPr>
              <w:spacing w:after="0"/>
              <w:rPr>
                <w:sz w:val="16"/>
                <w:szCs w:val="16"/>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5"/>
              </w:rPr>
              <w:t>(in thousands)</w:t>
            </w: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28"/>
        </w:trPr>
        <w:tc>
          <w:tcPr>
            <w:tcW w:w="690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24,787</w:t>
            </w:r>
          </w:p>
        </w:tc>
        <w:tc>
          <w:tcPr>
            <w:tcW w:w="0" w:type="dxa"/>
            <w:vAlign w:val="bottom"/>
          </w:tcPr>
          <w:p>
            <w:pPr>
              <w:spacing w:after="0"/>
              <w:rPr>
                <w:sz w:val="1"/>
                <w:szCs w:val="1"/>
                <w:color w:val="auto"/>
              </w:rPr>
            </w:pPr>
          </w:p>
        </w:tc>
      </w:tr>
      <w:tr>
        <w:trPr>
          <w:trHeight w:val="22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w:t>
            </w:r>
          </w:p>
        </w:tc>
        <w:tc>
          <w:tcPr>
            <w:tcW w:w="0" w:type="dxa"/>
            <w:vAlign w:val="bottom"/>
          </w:tcPr>
          <w:p>
            <w:pPr>
              <w:spacing w:after="0"/>
              <w:rPr>
                <w:sz w:val="1"/>
                <w:szCs w:val="1"/>
                <w:color w:val="auto"/>
              </w:rPr>
            </w:pPr>
          </w:p>
        </w:tc>
      </w:tr>
      <w:tr>
        <w:trPr>
          <w:trHeight w:val="22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251,282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250,166</w:t>
            </w:r>
          </w:p>
        </w:tc>
        <w:tc>
          <w:tcPr>
            <w:tcW w:w="0" w:type="dxa"/>
            <w:vAlign w:val="bottom"/>
          </w:tcPr>
          <w:p>
            <w:pPr>
              <w:spacing w:after="0"/>
              <w:rPr>
                <w:sz w:val="1"/>
                <w:szCs w:val="1"/>
                <w:color w:val="auto"/>
              </w:rPr>
            </w:pPr>
          </w:p>
        </w:tc>
      </w:tr>
      <w:tr>
        <w:trPr>
          <w:trHeight w:val="222"/>
        </w:trPr>
        <w:tc>
          <w:tcPr>
            <w:tcW w:w="69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294,335</w:t>
            </w:r>
          </w:p>
        </w:tc>
        <w:tc>
          <w:tcPr>
            <w:tcW w:w="0" w:type="dxa"/>
            <w:vAlign w:val="bottom"/>
          </w:tcPr>
          <w:p>
            <w:pPr>
              <w:spacing w:after="0"/>
              <w:rPr>
                <w:sz w:val="1"/>
                <w:szCs w:val="1"/>
                <w:color w:val="auto"/>
              </w:rPr>
            </w:pPr>
          </w:p>
        </w:tc>
      </w:tr>
      <w:tr>
        <w:trPr>
          <w:trHeight w:val="22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(219,107)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(207,757)</w:t>
            </w:r>
          </w:p>
        </w:tc>
        <w:tc>
          <w:tcPr>
            <w:tcW w:w="0" w:type="dxa"/>
            <w:vAlign w:val="bottom"/>
          </w:tcPr>
          <w:p>
            <w:pPr>
              <w:spacing w:after="0"/>
              <w:rPr>
                <w:sz w:val="1"/>
                <w:szCs w:val="1"/>
                <w:color w:val="auto"/>
              </w:rPr>
            </w:pPr>
          </w:p>
        </w:tc>
      </w:tr>
      <w:tr>
        <w:trPr>
          <w:trHeight w:val="247"/>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86,578</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820"/>
        <w:spacing w:after="0" w:line="272" w:lineRule="auto"/>
        <w:rPr>
          <w:sz w:val="20"/>
          <w:szCs w:val="20"/>
          <w:color w:val="auto"/>
        </w:rPr>
      </w:pPr>
      <w:r>
        <w:rPr>
          <w:rFonts w:ascii="Arial" w:cs="Arial" w:eastAsia="Arial" w:hAnsi="Arial"/>
          <w:sz w:val="18"/>
          <w:szCs w:val="18"/>
          <w:color w:val="auto"/>
        </w:rPr>
        <w:t>Depreciation expense was approximately $24.1 million, $25.2 million, and $24.7 million for the years ended December 31, 2022,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9"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During the year ended December 31, 2021, the Company completed one acquisition for a small NDT services company in Canada. The Company acquired 100% of the common stock in exchange for approximately $0.4 million during the first quarter of 2021. The results of the acquisition's operations are included within the Services segment and are not material to the consolidated financial statements. The Company completed its acquisition accounting for this transaction in accordance with the acquisition method of accounting for business combinations during the year ended December 31, 2021.</w:t>
      </w:r>
    </w:p>
    <w:p>
      <w:pPr>
        <w:spacing w:after="0" w:line="185" w:lineRule="exact"/>
        <w:rPr>
          <w:sz w:val="20"/>
          <w:szCs w:val="20"/>
          <w:color w:val="auto"/>
        </w:rPr>
      </w:pPr>
    </w:p>
    <w:p>
      <w:pPr>
        <w:ind w:right="140"/>
        <w:spacing w:after="0" w:line="336" w:lineRule="auto"/>
        <w:rPr>
          <w:sz w:val="20"/>
          <w:szCs w:val="20"/>
          <w:color w:val="auto"/>
        </w:rPr>
      </w:pPr>
      <w:r>
        <w:rPr>
          <w:rFonts w:ascii="Arial" w:cs="Arial" w:eastAsia="Arial" w:hAnsi="Arial"/>
          <w:sz w:val="16"/>
          <w:szCs w:val="16"/>
          <w:color w:val="auto"/>
        </w:rPr>
        <w:t>Assets and liabilities of the acquired business were included in the Consolidated Balance Sheet based on their respective estimated fair value on the date of acquisition as determined in a purchase price allocation, using available information and making assumptions management believes are reasonable.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pacing w:after="0" w:line="2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professional fees, and other expenses. Additionally, the Company adjusts the fair value of acquisition-related contingent consideration liabilities on a quarterly basis. These amounts are recorded as acquisition-related expense, net, on the Consolidated Statements of Income (Loss) and were as follows for the years ended December 31, 2022, 2021 and 2020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40" w:type="dxa"/>
            <w:vAlign w:val="bottom"/>
            <w:gridSpan w:val="6"/>
          </w:tcPr>
          <w:p>
            <w:pPr>
              <w:jc w:val="right"/>
              <w:ind w:right="71"/>
              <w:spacing w:after="0"/>
              <w:rPr>
                <w:sz w:val="20"/>
                <w:szCs w:val="20"/>
                <w:color w:val="auto"/>
              </w:rPr>
            </w:pPr>
            <w:r>
              <w:rPr>
                <w:rFonts w:ascii="Arial" w:cs="Arial" w:eastAsia="Arial" w:hAnsi="Arial"/>
                <w:sz w:val="14"/>
                <w:szCs w:val="14"/>
                <w:b w:val="1"/>
                <w:bCs w:val="1"/>
                <w:color w:val="auto"/>
                <w:w w:val="98"/>
              </w:rPr>
              <w:t>For the year ended December 31,</w:t>
            </w:r>
          </w:p>
        </w:tc>
        <w:tc>
          <w:tcPr>
            <w:tcW w:w="1000" w:type="dxa"/>
            <w:vAlign w:val="bottom"/>
          </w:tcPr>
          <w:p>
            <w:pPr>
              <w:spacing w:after="0"/>
              <w:rPr>
                <w:sz w:val="16"/>
                <w:szCs w:val="16"/>
                <w:color w:val="auto"/>
              </w:rPr>
            </w:pPr>
          </w:p>
        </w:tc>
      </w:tr>
      <w:tr>
        <w:trPr>
          <w:trHeight w:val="25"/>
        </w:trPr>
        <w:tc>
          <w:tcPr>
            <w:tcW w:w="6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9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diligence, professional fees and other transaction costs</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to fair value of contingent consideration liabilities</w:t>
            </w: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47"/>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 net</w:t>
            </w:r>
          </w:p>
        </w:tc>
        <w:tc>
          <w:tcPr>
            <w:tcW w:w="98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right="60"/>
        <w:spacing w:after="0" w:line="272" w:lineRule="auto"/>
        <w:rPr>
          <w:sz w:val="20"/>
          <w:szCs w:val="20"/>
          <w:color w:val="auto"/>
        </w:rPr>
      </w:pPr>
      <w:r>
        <w:rPr>
          <w:rFonts w:ascii="Arial" w:cs="Arial" w:eastAsia="Arial" w:hAnsi="Arial"/>
          <w:sz w:val="18"/>
          <w:szCs w:val="18"/>
          <w:color w:val="auto"/>
        </w:rPr>
        <w:t>As of December 31, 2022, the Company’s contingent consideration liabilities are recorded on the Consolidated Balance Sheet in accrued expenses and other current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is shown below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Products and Systems</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5160" w:type="dxa"/>
            <w:vAlign w:val="bottom"/>
            <w:shd w:val="clear" w:color="auto" w:fill="CCEEFF"/>
          </w:tcPr>
          <w:p>
            <w:pPr>
              <w:jc w:val="center"/>
              <w:ind w:right="2831"/>
              <w:spacing w:after="0"/>
              <w:rPr>
                <w:sz w:val="20"/>
                <w:szCs w:val="20"/>
                <w:color w:val="auto"/>
              </w:rPr>
            </w:pPr>
            <w:r>
              <w:rPr>
                <w:rFonts w:ascii="Arial" w:cs="Arial" w:eastAsia="Arial" w:hAnsi="Arial"/>
                <w:sz w:val="18"/>
                <w:szCs w:val="18"/>
                <w:color w:val="auto"/>
                <w:w w:val="88"/>
              </w:rPr>
              <w:t>Balance at December 31, 2020</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206,008</w:t>
            </w:r>
          </w:p>
        </w:tc>
      </w:tr>
      <w:tr>
        <w:trPr>
          <w:trHeight w:val="228"/>
        </w:trPr>
        <w:tc>
          <w:tcPr>
            <w:tcW w:w="5160" w:type="dxa"/>
            <w:vAlign w:val="bottom"/>
          </w:tcPr>
          <w:p>
            <w:pPr>
              <w:ind w:left="14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28"/>
        </w:trPr>
        <w:tc>
          <w:tcPr>
            <w:tcW w:w="5160" w:type="dxa"/>
            <w:vAlign w:val="bottom"/>
            <w:shd w:val="clear" w:color="auto" w:fill="CCEEFF"/>
          </w:tcPr>
          <w:p>
            <w:pPr>
              <w:jc w:val="center"/>
              <w:ind w:right="2771"/>
              <w:spacing w:after="0"/>
              <w:rPr>
                <w:sz w:val="20"/>
                <w:szCs w:val="20"/>
                <w:color w:val="auto"/>
              </w:rPr>
            </w:pPr>
            <w:r>
              <w:rPr>
                <w:rFonts w:ascii="Arial" w:cs="Arial" w:eastAsia="Arial" w:hAnsi="Arial"/>
                <w:sz w:val="18"/>
                <w:szCs w:val="18"/>
                <w:color w:val="auto"/>
                <w:w w:val="90"/>
              </w:rPr>
              <w:t>Foreign currency translation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194"/>
        </w:trPr>
        <w:tc>
          <w:tcPr>
            <w:tcW w:w="5160" w:type="dxa"/>
            <w:vAlign w:val="bottom"/>
          </w:tcPr>
          <w:p>
            <w:pPr>
              <w:jc w:val="center"/>
              <w:ind w:right="2831"/>
              <w:spacing w:after="0" w:line="195" w:lineRule="exact"/>
              <w:rPr>
                <w:sz w:val="20"/>
                <w:szCs w:val="20"/>
                <w:color w:val="auto"/>
              </w:rPr>
            </w:pPr>
            <w:r>
              <w:rPr>
                <w:rFonts w:ascii="Arial" w:cs="Arial" w:eastAsia="Arial" w:hAnsi="Arial"/>
                <w:sz w:val="18"/>
                <w:szCs w:val="18"/>
                <w:color w:val="auto"/>
                <w:w w:val="88"/>
              </w:rPr>
              <w:t>Balance at December 31, 2021</w:t>
            </w:r>
          </w:p>
        </w:tc>
        <w:tc>
          <w:tcPr>
            <w:tcW w:w="300" w:type="dxa"/>
            <w:vAlign w:val="bottom"/>
            <w:tcBorders>
              <w:top w:val="single" w:sz="8" w:color="auto"/>
              <w:bottom w:val="single" w:sz="8" w:color="auto"/>
            </w:tcBorders>
          </w:tcPr>
          <w:p>
            <w:pPr>
              <w:jc w:val="right"/>
              <w:ind w:right="91"/>
              <w:spacing w:after="0" w:line="195"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190,656</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1"/>
              <w:spacing w:after="0" w:line="195"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14,783</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55"/>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4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1"/>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205,439</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2"/>
        </w:trPr>
        <w:tc>
          <w:tcPr>
            <w:tcW w:w="5160" w:type="dxa"/>
            <w:vAlign w:val="bottom"/>
            <w:shd w:val="clear" w:color="auto" w:fill="CCEEFF"/>
          </w:tcPr>
          <w:p>
            <w:pPr>
              <w:jc w:val="center"/>
              <w:ind w:right="2771"/>
              <w:spacing w:after="0"/>
              <w:rPr>
                <w:sz w:val="20"/>
                <w:szCs w:val="20"/>
                <w:color w:val="auto"/>
              </w:rPr>
            </w:pPr>
            <w:r>
              <w:rPr>
                <w:rFonts w:ascii="Arial" w:cs="Arial" w:eastAsia="Arial" w:hAnsi="Arial"/>
                <w:sz w:val="18"/>
                <w:szCs w:val="18"/>
                <w:color w:val="auto"/>
                <w:w w:val="90"/>
              </w:rPr>
              <w:t>Foreign currency translation</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w:t>
            </w:r>
          </w:p>
        </w:tc>
      </w:tr>
      <w:tr>
        <w:trPr>
          <w:trHeight w:val="221"/>
        </w:trPr>
        <w:tc>
          <w:tcPr>
            <w:tcW w:w="5160" w:type="dxa"/>
            <w:vAlign w:val="bottom"/>
          </w:tcPr>
          <w:p>
            <w:pPr>
              <w:jc w:val="center"/>
              <w:ind w:right="2831"/>
              <w:spacing w:after="0"/>
              <w:rPr>
                <w:sz w:val="20"/>
                <w:szCs w:val="20"/>
                <w:color w:val="auto"/>
              </w:rPr>
            </w:pPr>
            <w:r>
              <w:rPr>
                <w:rFonts w:ascii="Arial" w:cs="Arial" w:eastAsia="Arial" w:hAnsi="Arial"/>
                <w:sz w:val="18"/>
                <w:szCs w:val="18"/>
                <w:color w:val="auto"/>
                <w:w w:val="88"/>
              </w:rPr>
              <w:t>Balance at December 31, 2022</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185,710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13,925</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199,635</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560"/>
        <w:spacing w:after="0" w:line="272"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20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first quarter of 2020, the Company’s market capitalization declined significantly compared to the fourth quarter of 2019. Over the same period, the equity value of the Company’s peer group, and the overall U.S. stock market also declined significantly amid market volatility. In addition, oil prices had dropped significantly. These declines were driven in large part by the uncertainty surrounding the COVID-19 pandemic and other macroeconomic events such as the geopolitical tensions between OPEC and Russia. Based on these factors, the Company concluded that multiple triggering events occurred and, accordingly, an interim quantitative goodwill impairment test was performed for each reporting unit as of March 31, 2020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340"/>
        <w:spacing w:after="0" w:line="272" w:lineRule="auto"/>
        <w:rPr>
          <w:sz w:val="20"/>
          <w:szCs w:val="20"/>
          <w:color w:val="auto"/>
        </w:rPr>
      </w:pPr>
      <w:r>
        <w:rPr>
          <w:rFonts w:ascii="Arial" w:cs="Arial" w:eastAsia="Arial" w:hAnsi="Arial"/>
          <w:sz w:val="18"/>
          <w:szCs w:val="18"/>
          <w:color w:val="auto"/>
        </w:rPr>
        <w:t xml:space="preserve">("testing date"). During the first quarter of 2020, the Company also performed an analysis to determine any impairment of long-lived assets (see Note </w:t>
      </w:r>
      <w:r>
        <w:rPr>
          <w:rFonts w:ascii="Arial" w:cs="Arial" w:eastAsia="Arial" w:hAnsi="Arial"/>
          <w:sz w:val="18"/>
          <w:szCs w:val="18"/>
          <w:i w:val="1"/>
          <w:iCs w:val="1"/>
          <w:color w:val="auto"/>
        </w:rPr>
        <w:t>9-Intangible Assets</w:t>
      </w:r>
      <w:r>
        <w:rPr>
          <w:rFonts w:ascii="Arial" w:cs="Arial" w:eastAsia="Arial" w:hAnsi="Arial"/>
          <w:sz w:val="18"/>
          <w:szCs w:val="18"/>
          <w:color w:val="auto"/>
        </w:rPr>
        <w:t>) based on the triggering events noted above.</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Based upon the results of the interim quantitative goodwill impairment test during the first quarter of 2020, the Company recorded an aggregate impairment charge of $77.1 million, which consisted of $57.2 million in the services reporting unit within the Services segment, and $19.3 million in the European reporting unit and $0.6 million in the Brazilian reporting unit, both within the International segment. The impairment was calculated based on the difference between the estimated fair value and the carrying value of the reporting units and are included in Impairment charges on the Consolidated Statements of Income (Loss) for the year ended December 31, 2020. The Company performed a quantitative annual impairment test as of October 1, 2022 and 2021 and the Company did not identify any changes in circumstances that would indicate the carrying value of goodwill may not be recoverable. Additionally, through December 31, 2022,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7"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color w:val="auto"/>
        </w:rPr>
        <w:t>The Company's cumulative goodwill impairment as of December 31, 2022 was $100.2 million, of which $57.2 million related to the Services segment, $29.8 million related to the International segment and $13.2 million related to the Products and Systems segment.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intangible assets were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tcPr>
          <w:p>
            <w:pPr>
              <w:spacing w:after="0"/>
              <w:rPr>
                <w:sz w:val="12"/>
                <w:szCs w:val="12"/>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260" w:type="dxa"/>
            <w:vAlign w:val="bottom"/>
          </w:tcPr>
          <w:p>
            <w:pPr>
              <w:spacing w:after="0"/>
              <w:rPr>
                <w:sz w:val="12"/>
                <w:szCs w:val="12"/>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2"/>
                <w:szCs w:val="12"/>
                <w:color w:val="auto"/>
              </w:rPr>
            </w:pPr>
          </w:p>
        </w:tc>
        <w:tc>
          <w:tcPr>
            <w:tcW w:w="980" w:type="dxa"/>
            <w:vAlign w:val="bottom"/>
          </w:tcPr>
          <w:p>
            <w:pPr>
              <w:jc w:val="center"/>
              <w:ind w:right="119"/>
              <w:spacing w:after="0" w:line="138"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980" w:type="dxa"/>
            <w:vAlign w:val="bottom"/>
          </w:tcPr>
          <w:p>
            <w:pPr>
              <w:jc w:val="center"/>
              <w:ind w:right="117"/>
              <w:spacing w:after="0" w:line="138"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3"/>
        </w:trPr>
        <w:tc>
          <w:tcPr>
            <w:tcW w:w="19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6"/>
                <w:szCs w:val="16"/>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98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7"/>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(84,130)</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31,790</w:t>
            </w:r>
          </w:p>
        </w:tc>
        <w:tc>
          <w:tcPr>
            <w:tcW w:w="0" w:type="dxa"/>
            <w:vAlign w:val="bottom"/>
          </w:tcPr>
          <w:p>
            <w:pPr>
              <w:spacing w:after="0"/>
              <w:rPr>
                <w:sz w:val="1"/>
                <w:szCs w:val="1"/>
                <w:color w:val="auto"/>
              </w:rPr>
            </w:pPr>
          </w:p>
        </w:tc>
      </w:tr>
      <w:tr>
        <w:trPr>
          <w:trHeight w:val="228"/>
        </w:trPr>
        <w:tc>
          <w:tcPr>
            <w:tcW w:w="1960" w:type="dxa"/>
            <w:vAlign w:val="bottom"/>
          </w:tcPr>
          <w:p>
            <w:pPr>
              <w:ind w:left="20"/>
              <w:spacing w:after="0"/>
              <w:rPr>
                <w:sz w:val="20"/>
                <w:szCs w:val="20"/>
                <w:color w:val="auto"/>
              </w:rPr>
            </w:pPr>
            <w:r>
              <w:rPr>
                <w:rFonts w:ascii="Arial" w:cs="Arial" w:eastAsia="Arial" w:hAnsi="Arial"/>
                <w:sz w:val="18"/>
                <w:szCs w:val="18"/>
                <w:color w:val="auto"/>
              </w:rPr>
              <w:t>Software/Technology</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(28,669)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52,265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25,850</w:t>
            </w:r>
          </w:p>
        </w:tc>
        <w:tc>
          <w:tcPr>
            <w:tcW w:w="0" w:type="dxa"/>
            <w:vAlign w:val="bottom"/>
          </w:tcPr>
          <w:p>
            <w:pPr>
              <w:spacing w:after="0"/>
              <w:rPr>
                <w:sz w:val="1"/>
                <w:szCs w:val="1"/>
                <w:color w:val="auto"/>
              </w:rPr>
            </w:pPr>
          </w:p>
        </w:tc>
      </w:tr>
      <w:tr>
        <w:trPr>
          <w:trHeight w:val="228"/>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Covenants not to compete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8"/>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2-12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(9,358)</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46"/>
        </w:trPr>
        <w:tc>
          <w:tcPr>
            <w:tcW w:w="1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(134,573)</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59,381</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As described in Note </w:t>
      </w:r>
      <w:r>
        <w:rPr>
          <w:rFonts w:ascii="Arial" w:cs="Arial" w:eastAsia="Arial" w:hAnsi="Arial"/>
          <w:sz w:val="16"/>
          <w:szCs w:val="16"/>
          <w:i w:val="1"/>
          <w:iCs w:val="1"/>
          <w:color w:val="auto"/>
        </w:rPr>
        <w:t>8- Goodwill</w:t>
      </w:r>
      <w:r>
        <w:rPr>
          <w:rFonts w:ascii="Arial" w:cs="Arial" w:eastAsia="Arial" w:hAnsi="Arial"/>
          <w:sz w:val="16"/>
          <w:szCs w:val="16"/>
          <w:color w:val="auto"/>
        </w:rPr>
        <w:t xml:space="preserve">, during the first quarter of 2020, there were negative market indicators that were determined to be triggering events indicating a potential impairment of certain long-lived assets within asset groups in the Services, International, and Products and Systems segments, as well as Corporate and Eliminations. The asset groups are groupings of assets and liabilities determined at the lowest level for which identifiable cash flows are largely independent of the cash flows of other assets and liabilities. Recoverability testing indicated that certain intangible assets and right of use assets (See Note </w:t>
      </w:r>
      <w:r>
        <w:rPr>
          <w:rFonts w:ascii="Arial" w:cs="Arial" w:eastAsia="Arial" w:hAnsi="Arial"/>
          <w:sz w:val="16"/>
          <w:szCs w:val="16"/>
          <w:i w:val="1"/>
          <w:iCs w:val="1"/>
          <w:color w:val="auto"/>
        </w:rPr>
        <w:t>17-Leases</w:t>
      </w:r>
      <w:r>
        <w:rPr>
          <w:rFonts w:ascii="Arial" w:cs="Arial" w:eastAsia="Arial" w:hAnsi="Arial"/>
          <w:sz w:val="16"/>
          <w:szCs w:val="16"/>
          <w:color w:val="auto"/>
        </w:rPr>
        <w:t>) were potentially impaired. For asset groups that required an impairment measurement, similar to the valuations performed to determine the goodwill impairment, the Company used income and market approaches to estimate the fair value of the long-lived assets, which requires significant judgment in evaluation of the useful lives of the assets, economic and industry trends, estimated future cash flows, discount rates, and other factors. The result of the analysis was an aggregate impairment charge of $28.8 million, which consisted of $25.9 million to software/technology, $2.2 million to customer relationships, $0.5 million to other intangibles and $0.2 million to covenants not to compete, all of which are in the Services reporting unit within the Services segment and are included in Impairment charges on the Consolidated Statements of Income (Loss) for the year ended December 31, 2020.</w:t>
      </w:r>
    </w:p>
    <w:p>
      <w:pPr>
        <w:spacing w:after="0" w:line="194" w:lineRule="exact"/>
        <w:rPr>
          <w:sz w:val="20"/>
          <w:szCs w:val="20"/>
          <w:color w:val="auto"/>
        </w:rPr>
      </w:pPr>
    </w:p>
    <w:p>
      <w:pPr>
        <w:ind w:right="940"/>
        <w:spacing w:after="0" w:line="336" w:lineRule="auto"/>
        <w:rPr>
          <w:sz w:val="20"/>
          <w:szCs w:val="20"/>
          <w:color w:val="auto"/>
        </w:rPr>
      </w:pPr>
      <w:r>
        <w:rPr>
          <w:rFonts w:ascii="Arial" w:cs="Arial" w:eastAsia="Arial" w:hAnsi="Arial"/>
          <w:sz w:val="16"/>
          <w:szCs w:val="16"/>
          <w:color w:val="auto"/>
        </w:rPr>
        <w:t>Amortization expense for the years ended December 31, 2022, 2021 and 2020, was approximately $9.1 million, $9.7 million, and $11.0 million, respectively, including amortization of software/technology for these periods of $2.9 million, $3.0 million, and $3.6 million, respectively.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Amortization expense in each of the five years and thereafter subsequent to December 31, 2022 related to the Company’s intangible assets is expected to be as follows (in thousands):</w:t>
      </w:r>
    </w:p>
    <w:p>
      <w:pPr>
        <w:ind w:left="10220"/>
        <w:spacing w:after="0"/>
        <w:rPr>
          <w:sz w:val="20"/>
          <w:szCs w:val="20"/>
          <w:color w:val="auto"/>
        </w:rPr>
      </w:pPr>
      <w:r>
        <w:rPr>
          <w:rFonts w:ascii="Arial" w:cs="Arial" w:eastAsia="Arial" w:hAnsi="Arial"/>
          <w:sz w:val="14"/>
          <w:szCs w:val="14"/>
          <w:b w:val="1"/>
          <w:bCs w:val="1"/>
          <w:color w:val="auto"/>
        </w:rPr>
        <w:t>Expected</w:t>
      </w:r>
    </w:p>
    <w:p>
      <w:pPr>
        <w:ind w:left="10080"/>
        <w:spacing w:after="0" w:line="203" w:lineRule="auto"/>
        <w:rPr>
          <w:sz w:val="20"/>
          <w:szCs w:val="20"/>
          <w:color w:val="auto"/>
        </w:rPr>
      </w:pPr>
      <w:r>
        <w:rPr>
          <w:rFonts w:ascii="Arial" w:cs="Arial" w:eastAsia="Arial" w:hAnsi="Arial"/>
          <w:sz w:val="14"/>
          <w:szCs w:val="14"/>
          <w:b w:val="1"/>
          <w:bCs w:val="1"/>
          <w:color w:val="auto"/>
        </w:rPr>
        <w:t>Amortization</w:t>
      </w:r>
    </w:p>
    <w:p>
      <w:pPr>
        <w:ind w:left="10240"/>
        <w:spacing w:after="0"/>
        <w:rPr>
          <w:sz w:val="20"/>
          <w:szCs w:val="20"/>
          <w:color w:val="auto"/>
        </w:rPr>
      </w:pPr>
      <w:r>
        <w:rPr>
          <w:rFonts w:ascii="Arial" w:cs="Arial" w:eastAsia="Arial" w:hAnsi="Arial"/>
          <w:sz w:val="14"/>
          <w:szCs w:val="14"/>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116445" cy="153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6445" cy="153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16445" cy="1447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644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16445" cy="144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644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16445" cy="170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6445" cy="170180"/>
                    </a:xfrm>
                    <a:prstGeom prst="rect">
                      <a:avLst/>
                    </a:prstGeom>
                    <a:noFill/>
                  </pic:spPr>
                </pic:pic>
              </a:graphicData>
            </a:graphic>
          </wp:anchor>
        </w:drawing>
      </w:r>
    </w:p>
    <w:p>
      <w:pPr>
        <w:spacing w:after="0" w:line="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 and Other Current Liabilities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consist of the following (in thousands):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660" w:hanging="943"/>
        <w:spacing w:after="0"/>
        <w:tabs>
          <w:tab w:leader="none" w:pos="1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8,915</w:t>
      </w:r>
    </w:p>
    <w:p>
      <w:pPr>
        <w:spacing w:after="0" w:line="55" w:lineRule="exact"/>
        <w:rPr>
          <w:rFonts w:ascii="Arial" w:cs="Arial" w:eastAsia="Arial" w:hAnsi="Arial"/>
          <w:sz w:val="15"/>
          <w:szCs w:val="15"/>
          <w:color w:val="auto"/>
        </w:rPr>
      </w:pPr>
    </w:p>
    <w:p>
      <w:pPr>
        <w:ind w:left="1660"/>
        <w:spacing w:after="0"/>
        <w:rPr>
          <w:rFonts w:ascii="Arial" w:cs="Arial" w:eastAsia="Arial" w:hAnsi="Arial"/>
          <w:sz w:val="15"/>
          <w:szCs w:val="15"/>
          <w:color w:val="auto"/>
        </w:rPr>
      </w:pPr>
      <w:r>
        <w:rPr>
          <w:rFonts w:ascii="Arial" w:cs="Arial" w:eastAsia="Arial" w:hAnsi="Arial"/>
          <w:sz w:val="15"/>
          <w:szCs w:val="15"/>
          <w:color w:val="auto"/>
        </w:rPr>
        <w:t>7,633</w:t>
      </w:r>
    </w:p>
    <w:p>
      <w:pPr>
        <w:spacing w:after="0" w:line="55" w:lineRule="exact"/>
        <w:rPr>
          <w:rFonts w:ascii="Arial" w:cs="Arial" w:eastAsia="Arial" w:hAnsi="Arial"/>
          <w:sz w:val="15"/>
          <w:szCs w:val="15"/>
          <w:color w:val="auto"/>
        </w:rPr>
      </w:pPr>
    </w:p>
    <w:p>
      <w:pPr>
        <w:ind w:left="1660"/>
        <w:spacing w:after="0"/>
        <w:rPr>
          <w:rFonts w:ascii="Arial" w:cs="Arial" w:eastAsia="Arial" w:hAnsi="Arial"/>
          <w:sz w:val="15"/>
          <w:szCs w:val="15"/>
          <w:color w:val="auto"/>
        </w:rPr>
      </w:pPr>
      <w:r>
        <w:rPr>
          <w:rFonts w:ascii="Arial" w:cs="Arial" w:eastAsia="Arial" w:hAnsi="Arial"/>
          <w:sz w:val="15"/>
          <w:szCs w:val="15"/>
          <w:color w:val="auto"/>
        </w:rPr>
        <w:t>5,796</w:t>
      </w:r>
    </w:p>
    <w:p>
      <w:pPr>
        <w:spacing w:after="0" w:line="55" w:lineRule="exact"/>
        <w:rPr>
          <w:rFonts w:ascii="Arial" w:cs="Arial" w:eastAsia="Arial" w:hAnsi="Arial"/>
          <w:sz w:val="15"/>
          <w:szCs w:val="15"/>
          <w:color w:val="auto"/>
        </w:rPr>
      </w:pPr>
    </w:p>
    <w:p>
      <w:pPr>
        <w:ind w:left="1660"/>
        <w:spacing w:after="0"/>
        <w:rPr>
          <w:rFonts w:ascii="Arial" w:cs="Arial" w:eastAsia="Arial" w:hAnsi="Arial"/>
          <w:sz w:val="15"/>
          <w:szCs w:val="15"/>
          <w:color w:val="auto"/>
        </w:rPr>
      </w:pPr>
      <w:r>
        <w:rPr>
          <w:rFonts w:ascii="Arial" w:cs="Arial" w:eastAsia="Arial" w:hAnsi="Arial"/>
          <w:sz w:val="15"/>
          <w:szCs w:val="15"/>
          <w:color w:val="auto"/>
        </w:rPr>
        <w:t>4,988</w:t>
      </w:r>
    </w:p>
    <w:p>
      <w:pPr>
        <w:spacing w:after="0" w:line="55" w:lineRule="exact"/>
        <w:rPr>
          <w:rFonts w:ascii="Arial" w:cs="Arial" w:eastAsia="Arial" w:hAnsi="Arial"/>
          <w:sz w:val="15"/>
          <w:szCs w:val="15"/>
          <w:color w:val="auto"/>
        </w:rPr>
      </w:pPr>
    </w:p>
    <w:p>
      <w:pPr>
        <w:ind w:left="1660"/>
        <w:spacing w:after="0"/>
        <w:rPr>
          <w:rFonts w:ascii="Arial" w:cs="Arial" w:eastAsia="Arial" w:hAnsi="Arial"/>
          <w:sz w:val="15"/>
          <w:szCs w:val="15"/>
          <w:color w:val="auto"/>
        </w:rPr>
      </w:pPr>
      <w:r>
        <w:rPr>
          <w:rFonts w:ascii="Arial" w:cs="Arial" w:eastAsia="Arial" w:hAnsi="Arial"/>
          <w:sz w:val="15"/>
          <w:szCs w:val="15"/>
          <w:color w:val="auto"/>
        </w:rPr>
        <w:t>4,664</w:t>
      </w:r>
    </w:p>
    <w:p>
      <w:pPr>
        <w:spacing w:after="0" w:line="55"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17,019</w:t>
      </w:r>
    </w:p>
    <w:p>
      <w:pPr>
        <w:spacing w:after="0" w:line="69" w:lineRule="exact"/>
        <w:rPr>
          <w:sz w:val="20"/>
          <w:szCs w:val="20"/>
          <w:color w:val="auto"/>
        </w:rPr>
      </w:pPr>
    </w:p>
    <w:p>
      <w:pPr>
        <w:ind w:left="1580" w:hanging="863"/>
        <w:spacing w:after="0"/>
        <w:tabs>
          <w:tab w:leader="none" w:pos="1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49,015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61595</wp:posOffset>
            </wp:positionV>
            <wp:extent cx="9105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31115</wp:posOffset>
            </wp:positionV>
            <wp:extent cx="16516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51635" cy="8255"/>
                    </a:xfrm>
                    <a:prstGeom prst="rect">
                      <a:avLst/>
                    </a:prstGeom>
                    <a:noFill/>
                  </pic:spPr>
                </pic:pic>
              </a:graphicData>
            </a:graphic>
          </wp:anchor>
        </w:drawing>
      </w:r>
    </w:p>
    <w:p>
      <w:pPr>
        <w:spacing w:after="0" w:line="33"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9" w:lineRule="exact"/>
        <w:rPr>
          <w:sz w:val="20"/>
          <w:szCs w:val="20"/>
          <w:color w:val="auto"/>
        </w:rPr>
      </w:pPr>
    </w:p>
    <w:p>
      <w:pPr>
        <w:sectPr>
          <w:pgSz w:w="11900" w:h="16838" w:orient="portrait"/>
          <w:cols w:equalWidth="0" w:num="2">
            <w:col w:w="8360" w:space="720"/>
            <w:col w:w="21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salaries, wages and related employee benefits</w:t>
            </w:r>
          </w:p>
        </w:tc>
        <w:tc>
          <w:tcPr>
            <w:tcW w:w="340" w:type="dxa"/>
            <w:vAlign w:val="bottom"/>
            <w:tcBorders>
              <w:top w:val="single" w:sz="8" w:color="auto"/>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26,684</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gridSpan w:val="2"/>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workers' compensation and health benefits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0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liability - Operating</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00" w:type="dxa"/>
            <w:vAlign w:val="bottom"/>
          </w:tcPr>
          <w:p>
            <w:pPr>
              <w:ind w:left="20"/>
              <w:spacing w:after="0"/>
              <w:rPr>
                <w:sz w:val="20"/>
                <w:szCs w:val="20"/>
                <w:color w:val="auto"/>
              </w:rPr>
            </w:pPr>
            <w:r>
              <w:rPr>
                <w:rFonts w:ascii="Arial" w:cs="Arial" w:eastAsia="Arial" w:hAnsi="Arial"/>
                <w:sz w:val="18"/>
                <w:szCs w:val="18"/>
                <w:color w:val="auto"/>
              </w:rPr>
              <w:t>Pension accrual</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600" w:type="dxa"/>
            <w:vAlign w:val="bottom"/>
          </w:tcPr>
          <w:p>
            <w:pPr>
              <w:ind w:left="140"/>
              <w:spacing w:after="0"/>
              <w:rPr>
                <w:sz w:val="20"/>
                <w:szCs w:val="20"/>
                <w:color w:val="auto"/>
              </w:rPr>
            </w:pPr>
            <w:r>
              <w:rPr>
                <w:rFonts w:ascii="Arial" w:cs="Arial" w:eastAsia="Arial" w:hAnsi="Arial"/>
                <w:sz w:val="18"/>
                <w:szCs w:val="18"/>
                <w:color w:val="auto"/>
              </w:rPr>
              <w:t>Total accrued expenses and other current liabilities</w:t>
            </w:r>
          </w:p>
        </w:tc>
        <w:tc>
          <w:tcPr>
            <w:tcW w:w="34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1"/>
        </w:trPr>
        <w:tc>
          <w:tcPr>
            <w:tcW w:w="8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8600" w:type="dxa"/>
            <w:vAlign w:val="bottom"/>
          </w:tcPr>
          <w:p>
            <w:pPr>
              <w:spacing w:after="0"/>
              <w:rPr>
                <w:sz w:val="20"/>
                <w:szCs w:val="20"/>
                <w:color w:val="auto"/>
              </w:rPr>
            </w:pPr>
            <w:r>
              <w:rPr>
                <w:rFonts w:ascii="Arial" w:cs="Arial" w:eastAsia="Arial" w:hAnsi="Arial"/>
                <w:sz w:val="18"/>
                <w:szCs w:val="18"/>
                <w:color w:val="auto"/>
              </w:rPr>
              <w:t>Long-term debt consisted of the following (in thousands):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6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00" w:type="dxa"/>
            <w:vAlign w:val="bottom"/>
          </w:tcPr>
          <w:p>
            <w:pPr>
              <w:ind w:left="20"/>
              <w:spacing w:after="0"/>
              <w:rPr>
                <w:sz w:val="20"/>
                <w:szCs w:val="20"/>
                <w:color w:val="auto"/>
              </w:rPr>
            </w:pPr>
            <w:r>
              <w:rPr>
                <w:rFonts w:ascii="Arial" w:cs="Arial" w:eastAsia="Arial" w:hAnsi="Arial"/>
                <w:sz w:val="18"/>
                <w:szCs w:val="18"/>
                <w:color w:val="auto"/>
              </w:rPr>
              <w:t>Senior secured term loan, net of unamortized debt issuance costs of $0.5 million and $0.2 million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121,399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60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191,251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600" w:type="dxa"/>
            <w:vAlign w:val="bottom"/>
          </w:tcPr>
          <w:p>
            <w:pPr>
              <w:ind w:left="140"/>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183,826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09" w:lineRule="exact"/>
        <w:rPr>
          <w:sz w:val="20"/>
          <w:szCs w:val="20"/>
          <w:color w:val="auto"/>
        </w:rPr>
      </w:pPr>
    </w:p>
    <w:p>
      <w:pPr>
        <w:ind w:right="300"/>
        <w:spacing w:after="0" w:line="228" w:lineRule="auto"/>
        <w:rPr>
          <w:sz w:val="20"/>
          <w:szCs w:val="20"/>
          <w:color w:val="auto"/>
        </w:rPr>
      </w:pPr>
      <w:r>
        <w:rPr>
          <w:rFonts w:ascii="Arial" w:cs="Arial" w:eastAsia="Arial" w:hAnsi="Arial"/>
          <w:sz w:val="18"/>
          <w:szCs w:val="18"/>
          <w:color w:val="auto"/>
        </w:rPr>
        <w:t>Prior to entering into the New Credit Agreement (defined and described below), the Company had a credit agreement with its banking group (the "Credit Agreement") which provided the Company with a $150 million revolving credit facility and a $100 million term loan. The Credit Agreement was most recently amended on May 19, 2021 and had a maturity date of December 12, 2023.</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On August 1, 2022, the Company entered into a new credit agreement (the “New Credit Agreement”) which replaced the prior Credit Agreement and provides the Company with a $190 million 5-year committed revolving credit facility and a $125 million term loan with a balance of $121.4 million as of December 31, 2022. The New Credit Agreement permits the Company to borrow up to $100 million in non-US dollar currencies and to use up to $20 million of the credit limit for the issuance of letters of credit. Both the revolving line of credit and the term loan under the New Credit Agreement have a maturity date of July 30, 2027.</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The New Credit Agreement has the following key terms, conditions and financial covenants:</w:t>
      </w:r>
    </w:p>
    <w:p>
      <w:pPr>
        <w:spacing w:after="0" w:line="222" w:lineRule="exact"/>
        <w:rPr>
          <w:sz w:val="20"/>
          <w:szCs w:val="20"/>
          <w:color w:val="auto"/>
        </w:rPr>
      </w:pPr>
    </w:p>
    <w:p>
      <w:pPr>
        <w:jc w:val="both"/>
        <w:ind w:left="660" w:right="20" w:hanging="331"/>
        <w:spacing w:after="0" w:line="23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Borrowings bear interest at Secured Overnight Financing Rate ("SOFR") plus a credit spread adjustment and applicable SOFR margin ranging from 1.25% to 2.75%, based upon our Total Consolidated Debt Leverage Ratio (defined below); under the Credit Agreement, the margin was based upon the LIBOR margin.</w:t>
      </w:r>
    </w:p>
    <w:p>
      <w:pPr>
        <w:ind w:left="1300" w:right="420" w:hanging="328"/>
        <w:spacing w:after="0" w:line="225" w:lineRule="auto"/>
        <w:tabs>
          <w:tab w:leader="none" w:pos="12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Total Consolidated Debt Leverage Ratio means the ratio of (a) Total Consolidated Debt to (b) EBITDA (as defined in the New Credit Agreement) for the trailing four consecutive fiscal quarters.</w:t>
      </w:r>
    </w:p>
    <w:p>
      <w:pPr>
        <w:ind w:left="1300" w:hanging="328"/>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Total Consolidated Debt means all indebtedness (including subordinated debt) of the Company on a consolidated basis.</w:t>
      </w:r>
    </w:p>
    <w:p>
      <w:pPr>
        <w:spacing w:after="0" w:line="205" w:lineRule="exact"/>
        <w:rPr>
          <w:rFonts w:ascii="Arial" w:cs="Arial" w:eastAsia="Arial" w:hAnsi="Arial"/>
          <w:sz w:val="18"/>
          <w:szCs w:val="18"/>
          <w:color w:val="auto"/>
        </w:rPr>
      </w:pPr>
    </w:p>
    <w:p>
      <w:pPr>
        <w:ind w:left="660" w:right="120" w:hanging="331"/>
        <w:spacing w:after="0" w:line="273"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has the benefit of the lowest SOFR margin if its Total Consolidated Debt Leverage Ratio is equal to or less than 1.25 to 1.0, and the margin increases as the ratio increases, to the maximum margin if the ratio is greater than 3.75 to 1.0. The New Credit Agreement is secured by liens on substantially all the assets of the Company and certain of its U.S subsidiaries and is guaranteed by those U.S subsidiaries.</w:t>
      </w:r>
    </w:p>
    <w:p>
      <w:pPr>
        <w:spacing w:after="0" w:line="189" w:lineRule="exact"/>
        <w:rPr>
          <w:rFonts w:ascii="Arial" w:cs="Arial" w:eastAsia="Arial" w:hAnsi="Arial"/>
          <w:sz w:val="16"/>
          <w:szCs w:val="16"/>
          <w:color w:val="auto"/>
        </w:rPr>
      </w:pPr>
    </w:p>
    <w:p>
      <w:pPr>
        <w:ind w:left="660" w:right="400" w:hanging="331"/>
        <w:spacing w:after="0" w:line="269"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 has to maintain a Total Consolidated Debt Leverage Ratio of no more than 4.0 to 1.0 at the end of each quarter through June 30, 2023 and stepping down to a maximum permitted ratio of no more than 3.75 to 1.0 for the remainder of the term.</w:t>
      </w:r>
    </w:p>
    <w:p>
      <w:pPr>
        <w:spacing w:after="0" w:line="178" w:lineRule="exact"/>
        <w:rPr>
          <w:rFonts w:ascii="Arial" w:cs="Arial" w:eastAsia="Arial" w:hAnsi="Arial"/>
          <w:sz w:val="17"/>
          <w:szCs w:val="17"/>
          <w:color w:val="auto"/>
        </w:rPr>
      </w:pPr>
    </w:p>
    <w:p>
      <w:pPr>
        <w:ind w:left="660" w:right="180" w:hanging="331"/>
        <w:spacing w:after="0" w:line="24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to maintain a Fixed Charge Coverage Ratio of 1.25 to 1.0 for the duration of the New Credit Agreement, as defined in the New Credit Agreement.</w:t>
      </w:r>
    </w:p>
    <w:p>
      <w:pPr>
        <w:spacing w:after="0" w:line="214" w:lineRule="exact"/>
        <w:rPr>
          <w:rFonts w:ascii="Arial" w:cs="Arial" w:eastAsia="Arial" w:hAnsi="Arial"/>
          <w:sz w:val="18"/>
          <w:szCs w:val="18"/>
          <w:color w:val="auto"/>
        </w:rPr>
      </w:pPr>
    </w:p>
    <w:p>
      <w:pPr>
        <w:ind w:left="660" w:right="40" w:hanging="331"/>
        <w:spacing w:after="0" w:line="23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New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204" w:lineRule="exact"/>
        <w:rPr>
          <w:rFonts w:ascii="Arial" w:cs="Arial" w:eastAsia="Arial" w:hAnsi="Arial"/>
          <w:sz w:val="18"/>
          <w:szCs w:val="18"/>
          <w:color w:val="auto"/>
        </w:rPr>
      </w:pPr>
    </w:p>
    <w:p>
      <w:pPr>
        <w:ind w:left="660" w:right="260" w:hanging="331"/>
        <w:spacing w:after="0" w:line="232"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New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spacing w:after="0" w:line="218" w:lineRule="exact"/>
        <w:rPr>
          <w:rFonts w:ascii="Arial" w:cs="Arial" w:eastAsia="Arial" w:hAnsi="Arial"/>
          <w:sz w:val="18"/>
          <w:szCs w:val="18"/>
          <w:color w:val="auto"/>
        </w:rPr>
      </w:pPr>
    </w:p>
    <w:p>
      <w:pPr>
        <w:ind w:left="660" w:right="580" w:hanging="331"/>
        <w:spacing w:after="0" w:line="24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New Credit Agreement was accounted for as a modification and the Company expensed $0.8 million in unamortized capitalized debt issuance costs and fees during the three months ended September 30, 2022, which was included in selling, general and administrative expenses on the Consolidated Statements of Income (Loss). The Company incurred $1.6 million in financing costs for the New Credit Agreement, of which $0.2 million of third party costs were expensed and included in selling, general and administrative expenses on the Consolidated Statements of Income (Loss).</w:t>
      </w:r>
    </w:p>
    <w:p>
      <w:pPr>
        <w:spacing w:after="0" w:line="18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December 31, 2022, the Company had borrowings of $186.6 million and a total of $3.0 million of letters of credit outstanding under the New Credit Agreement. The Company has capitalized costs associated with debt modifications of $1.4 million as of December 31, 2022, which is included in Other assets on the Consolidated Balance Sheet and will be amortized into interest expense over the remaining term of the Credit Agreement through July 30, 2027.</w:t>
      </w:r>
    </w:p>
    <w:p>
      <w:pPr>
        <w:spacing w:after="0" w:line="2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December 31, 2022, the Company was in compliance with the terms of the New Credit Agreement. The Company continuously monitors compliance with the covenants contained in the New Credit Agreement. The Company believes that it is probable that the Company will be able to comply with the financial covenants in the New Credit Agreement and that sufficient credit remains available under the New Credit Agreement to meet the Company's liquidity needs. However, such matters cannot be predicted with certainty.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22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Company's other debt includes bank financing provided at the local subsidiary level used to support working capital requirements and fund capital expenditures. At December 31, 2022, there was an aggregate of approximately $4.6 million outstanding, payable at various times through 2030. Monthly payments range from $1 thousand to $15 thousand and interest rates range from 0.4% to 3.5%.</w:t>
      </w:r>
    </w:p>
    <w:p>
      <w:pPr>
        <w:spacing w:after="0" w:line="212"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color w:val="auto"/>
        </w:rPr>
        <w:t>Scheduled principal payments due under all borrowing agreements in each of the five years and thereafter subsequent to December 31, 2022 are as follows (in thousands):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r>
      <w:tr>
        <w:trPr>
          <w:trHeight w:val="228"/>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9,711</w:t>
            </w:r>
          </w:p>
        </w:tc>
      </w:tr>
      <w:tr>
        <w:trPr>
          <w:trHeight w:val="228"/>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w:t>
            </w:r>
          </w:p>
        </w:tc>
      </w:tr>
      <w:tr>
        <w:trPr>
          <w:trHeight w:val="228"/>
        </w:trPr>
        <w:tc>
          <w:tcPr>
            <w:tcW w:w="9780" w:type="dxa"/>
            <w:vAlign w:val="bottom"/>
          </w:tcPr>
          <w:p>
            <w:pPr>
              <w:ind w:left="20"/>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12,864</w:t>
            </w:r>
          </w:p>
        </w:tc>
      </w:tr>
      <w:tr>
        <w:trPr>
          <w:trHeight w:val="228"/>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148,728</w:t>
            </w:r>
          </w:p>
        </w:tc>
      </w:tr>
      <w:tr>
        <w:trPr>
          <w:trHeight w:val="228"/>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r>
      <w:tr>
        <w:trPr>
          <w:trHeight w:val="247"/>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191,251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580" w:hanging="573"/>
        <w:spacing w:after="0"/>
        <w:tabs>
          <w:tab w:leader="none" w:pos="5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Company performs fair value measurements in accordance with the guidance provided by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9" w:lineRule="exact"/>
        <w:rPr>
          <w:sz w:val="20"/>
          <w:szCs w:val="20"/>
          <w:color w:val="auto"/>
        </w:rPr>
      </w:pPr>
    </w:p>
    <w:p>
      <w:pPr>
        <w:ind w:right="220" w:firstLine="643"/>
        <w:spacing w:after="0" w:line="272"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4" w:lineRule="exact"/>
        <w:rPr>
          <w:sz w:val="20"/>
          <w:szCs w:val="20"/>
          <w:color w:val="auto"/>
        </w:rPr>
      </w:pPr>
    </w:p>
    <w:p>
      <w:pPr>
        <w:ind w:right="60" w:firstLine="643"/>
        <w:spacing w:after="0" w:line="260"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212" w:lineRule="exact"/>
        <w:rPr>
          <w:sz w:val="20"/>
          <w:szCs w:val="20"/>
          <w:color w:val="auto"/>
        </w:rPr>
      </w:pPr>
    </w:p>
    <w:p>
      <w:pPr>
        <w:ind w:right="160" w:firstLine="643"/>
        <w:spacing w:after="0" w:line="272"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6"/>
                <w:szCs w:val="16"/>
                <w:color w:val="auto"/>
              </w:rPr>
            </w:pPr>
          </w:p>
        </w:tc>
      </w:tr>
      <w:tr>
        <w:trPr>
          <w:trHeight w:val="25"/>
        </w:trPr>
        <w:tc>
          <w:tcPr>
            <w:tcW w:w="8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83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2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88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r>
      <w:tr>
        <w:trPr>
          <w:trHeight w:val="228"/>
        </w:trPr>
        <w:tc>
          <w:tcPr>
            <w:tcW w:w="8380" w:type="dxa"/>
            <w:vAlign w:val="bottom"/>
          </w:tcPr>
          <w:p>
            <w:pPr>
              <w:ind w:left="240"/>
              <w:spacing w:after="0"/>
              <w:rPr>
                <w:sz w:val="20"/>
                <w:szCs w:val="20"/>
                <w:color w:val="auto"/>
              </w:rPr>
            </w:pPr>
            <w:r>
              <w:rPr>
                <w:rFonts w:ascii="Arial" w:cs="Arial" w:eastAsia="Arial" w:hAnsi="Arial"/>
                <w:sz w:val="18"/>
                <w:szCs w:val="18"/>
                <w:color w:val="auto"/>
              </w:rPr>
              <w:t>Acquisitions</w:t>
            </w:r>
          </w:p>
        </w:tc>
        <w:tc>
          <w:tcPr>
            <w:tcW w:w="8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28"/>
        </w:trPr>
        <w:tc>
          <w:tcPr>
            <w:tcW w:w="8380" w:type="dxa"/>
            <w:vAlign w:val="bottom"/>
          </w:tcPr>
          <w:p>
            <w:pPr>
              <w:ind w:left="240"/>
              <w:spacing w:after="0"/>
              <w:rPr>
                <w:sz w:val="20"/>
                <w:szCs w:val="20"/>
                <w:color w:val="auto"/>
              </w:rPr>
            </w:pPr>
            <w:r>
              <w:rPr>
                <w:rFonts w:ascii="Arial" w:cs="Arial" w:eastAsia="Arial" w:hAnsi="Arial"/>
                <w:sz w:val="18"/>
                <w:szCs w:val="18"/>
                <w:color w:val="auto"/>
              </w:rPr>
              <w:t>Accretion of liability</w:t>
            </w:r>
          </w:p>
        </w:tc>
        <w:tc>
          <w:tcPr>
            <w:tcW w:w="8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Revaluation</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28"/>
        </w:trPr>
        <w:tc>
          <w:tcPr>
            <w:tcW w:w="838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8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8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period:</w:t>
            </w:r>
          </w:p>
        </w:tc>
        <w:tc>
          <w:tcPr>
            <w:tcW w:w="88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49" w:lineRule="exact"/>
        <w:rPr>
          <w:sz w:val="20"/>
          <w:szCs w:val="20"/>
          <w:color w:val="auto"/>
        </w:rPr>
      </w:pPr>
    </w:p>
    <w:p>
      <w:pPr>
        <w:jc w:val="both"/>
        <w:ind w:right="660"/>
        <w:spacing w:after="0" w:line="307"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grants share-based incentive awards to its eligible employees and non-employee directors under two equity incentive plans: (i) the 2009 Long-Term Incentive Plan (the "2009 Plan") and (ii) the 2016 Long-Term Incentive Plan (the "2016 Plan"). No further awards may be granted under the 2009 Plan, and the remaining stock option award granted under the 2009 Plan expired during the three months ended March 31, 2022. Awards granted under the 2016 Plan may be in the form of stock options, restricted stock units and other forms of share-based incentives, including performance restricted stock units, stock appreciation rights and deferred stock rights. At the annual stockholders meeting on May 23, 2022, the Company’s stockholders approved an amendment to increase the total number of shares that may be issued under the 2016 Plan by 1.2 million, for a total of 4.9 million shares that are authorized for issuance under the 2016 plan, of which approximately 1,900,000 shares were available for future grants as of December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2" w:lineRule="exact"/>
        <w:rPr>
          <w:sz w:val="20"/>
          <w:szCs w:val="20"/>
          <w:color w:val="auto"/>
        </w:rPr>
      </w:pPr>
    </w:p>
    <w:p>
      <w:pPr>
        <w:jc w:val="both"/>
        <w:ind w:right="60"/>
        <w:spacing w:after="0" w:line="282" w:lineRule="auto"/>
        <w:rPr>
          <w:sz w:val="20"/>
          <w:szCs w:val="20"/>
          <w:color w:val="auto"/>
        </w:rPr>
      </w:pPr>
      <w:r>
        <w:rPr>
          <w:rFonts w:ascii="Arial" w:cs="Arial" w:eastAsia="Arial" w:hAnsi="Arial"/>
          <w:sz w:val="17"/>
          <w:szCs w:val="17"/>
          <w:color w:val="auto"/>
        </w:rPr>
        <w:t>For each of the years ended December 31, 2022, 2021 and 2020, the Company did not recognize any share-based compensation expense related to the stock option award, as the one outstanding stock option award was already fully vested. No unrecognized compensation costs remained related to the stock option awards. In addition, there were no stock options exercised during the years ended December 31, 2022, 2021 and 2020.</w:t>
      </w:r>
    </w:p>
    <w:p>
      <w:pPr>
        <w:spacing w:after="0" w:line="169"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The following table sets forth a summary of the stock option activity, weighted-average exercise prices and options outstanding as of December 31, 2022, 2021 and 2020 as follows (in thousands, except per share amounts and years):</w:t>
      </w: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520" w:type="dxa"/>
            <w:vAlign w:val="bottom"/>
          </w:tcPr>
          <w:p>
            <w:pPr>
              <w:spacing w:after="0"/>
              <w:rPr>
                <w:sz w:val="16"/>
                <w:szCs w:val="16"/>
                <w:color w:val="auto"/>
              </w:rPr>
            </w:pPr>
          </w:p>
        </w:tc>
        <w:tc>
          <w:tcPr>
            <w:tcW w:w="1720" w:type="dxa"/>
            <w:vAlign w:val="bottom"/>
            <w:gridSpan w:val="3"/>
          </w:tcPr>
          <w:p>
            <w:pPr>
              <w:jc w:val="right"/>
              <w:ind w:right="71"/>
              <w:spacing w:after="0"/>
              <w:rPr>
                <w:sz w:val="20"/>
                <w:szCs w:val="20"/>
                <w:color w:val="auto"/>
              </w:rPr>
            </w:pPr>
            <w:r>
              <w:rPr>
                <w:rFonts w:ascii="Arial" w:cs="Arial" w:eastAsia="Arial" w:hAnsi="Arial"/>
                <w:sz w:val="14"/>
                <w:szCs w:val="14"/>
                <w:b w:val="1"/>
                <w:bCs w:val="1"/>
                <w:color w:val="auto"/>
              </w:rPr>
              <w:t>2022</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260" w:type="dxa"/>
            <w:vAlign w:val="bottom"/>
          </w:tcPr>
          <w:p>
            <w:pPr>
              <w:spacing w:after="0"/>
              <w:rPr>
                <w:sz w:val="16"/>
                <w:szCs w:val="16"/>
                <w:color w:val="auto"/>
              </w:rPr>
            </w:pPr>
          </w:p>
        </w:tc>
        <w:tc>
          <w:tcPr>
            <w:tcW w:w="182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20" w:type="dxa"/>
            <w:vAlign w:val="bottom"/>
          </w:tcPr>
          <w:p>
            <w:pPr>
              <w:spacing w:after="0"/>
              <w:rPr>
                <w:sz w:val="12"/>
                <w:szCs w:val="12"/>
                <w:color w:val="auto"/>
              </w:rPr>
            </w:pPr>
          </w:p>
        </w:tc>
        <w:tc>
          <w:tcPr>
            <w:tcW w:w="146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79"/>
              <w:spacing w:after="0" w:line="138"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79"/>
              <w:spacing w:after="0" w:line="138"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3"/>
        </w:trPr>
        <w:tc>
          <w:tcPr>
            <w:tcW w:w="25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2"/>
                <w:szCs w:val="12"/>
                <w:color w:val="auto"/>
              </w:rPr>
            </w:pPr>
          </w:p>
        </w:tc>
        <w:tc>
          <w:tcPr>
            <w:tcW w:w="12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9"/>
              <w:spacing w:after="0" w:line="14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7"/>
        </w:trPr>
        <w:tc>
          <w:tcPr>
            <w:tcW w:w="2520" w:type="dxa"/>
            <w:vAlign w:val="bottom"/>
          </w:tcPr>
          <w:p>
            <w:pPr>
              <w:spacing w:after="0"/>
              <w:rPr>
                <w:sz w:val="12"/>
                <w:szCs w:val="12"/>
                <w:color w:val="auto"/>
              </w:rPr>
            </w:pPr>
          </w:p>
        </w:tc>
        <w:tc>
          <w:tcPr>
            <w:tcW w:w="146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12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6"/>
              </w:rPr>
              <w:t>Exercise</w:t>
            </w: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120" w:type="dxa"/>
            <w:vAlign w:val="bottom"/>
          </w:tcPr>
          <w:p>
            <w:pPr>
              <w:jc w:val="center"/>
              <w:ind w:right="159"/>
              <w:spacing w:after="0" w:line="147"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5"/>
        </w:trPr>
        <w:tc>
          <w:tcPr>
            <w:tcW w:w="2520" w:type="dxa"/>
            <w:vAlign w:val="bottom"/>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6"/>
                <w:szCs w:val="16"/>
                <w:color w:val="auto"/>
              </w:rPr>
            </w:pPr>
          </w:p>
        </w:tc>
        <w:tc>
          <w:tcPr>
            <w:tcW w:w="112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7"/>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Outstanding at beginning of year:</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8"/>
        </w:trPr>
        <w:tc>
          <w:tcPr>
            <w:tcW w:w="25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or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22.35</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4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Restricted Stock Units generally vest ratably on each of the first four anniversary dates of issuance. The Company recognized approximately $3.7 million, $3.5 million and $4.4 million of share-based compensation for the years ended December 31, 2022, 2021 and 2020, respectively, related to restricted stock unit awards. As of December 31, 2022, there were approximately $6.6 million of unrecognized compensation costs, net of estimated forfeitures, related to restricted stock unit awards, which are expected to be recognized over a remaining weighted average period of 2.6 years. Upon vesting, restricted stock units are generally net share-settled to cover the required minimum withholding tax and the remaining amount is converted into an equivalent number of shares of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activity of restricted stock unit awards, with the respective fair value of the awards, is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80" w:type="dxa"/>
            <w:vAlign w:val="bottom"/>
            <w:gridSpan w:val="6"/>
          </w:tcPr>
          <w:p>
            <w:pPr>
              <w:jc w:val="right"/>
              <w:ind w:right="71"/>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25"/>
        </w:trPr>
        <w:tc>
          <w:tcPr>
            <w:tcW w:w="69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9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22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 vested</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7"/>
        </w:trPr>
        <w:tc>
          <w:tcPr>
            <w:tcW w:w="6900" w:type="dxa"/>
            <w:vAlign w:val="bottom"/>
          </w:tcPr>
          <w:p>
            <w:pPr>
              <w:ind w:left="20"/>
              <w:spacing w:after="0"/>
              <w:rPr>
                <w:sz w:val="20"/>
                <w:szCs w:val="20"/>
                <w:color w:val="auto"/>
              </w:rPr>
            </w:pPr>
            <w:r>
              <w:rPr>
                <w:rFonts w:ascii="Arial" w:cs="Arial" w:eastAsia="Arial" w:hAnsi="Arial"/>
                <w:sz w:val="18"/>
                <w:szCs w:val="18"/>
                <w:color w:val="auto"/>
              </w:rPr>
              <w:t>Fair value of awards vested</w:t>
            </w:r>
          </w:p>
        </w:tc>
        <w:tc>
          <w:tcPr>
            <w:tcW w:w="860" w:type="dxa"/>
            <w:vAlign w:val="bottom"/>
          </w:tcPr>
          <w:p>
            <w:pPr>
              <w:jc w:val="right"/>
              <w:ind w:right="6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2,524</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837</w:t>
            </w:r>
          </w:p>
        </w:tc>
      </w:tr>
    </w:tbl>
    <w:p>
      <w:pPr>
        <w:spacing w:after="0" w:line="308" w:lineRule="exact"/>
        <w:rPr>
          <w:sz w:val="20"/>
          <w:szCs w:val="20"/>
          <w:color w:val="auto"/>
        </w:rPr>
      </w:pPr>
    </w:p>
    <w:p>
      <w:pPr>
        <w:ind w:right="760"/>
        <w:spacing w:after="0" w:line="272" w:lineRule="auto"/>
        <w:rPr>
          <w:sz w:val="20"/>
          <w:szCs w:val="20"/>
          <w:color w:val="auto"/>
        </w:rPr>
      </w:pPr>
      <w:r>
        <w:rPr>
          <w:rFonts w:ascii="Arial" w:cs="Arial" w:eastAsia="Arial" w:hAnsi="Arial"/>
          <w:sz w:val="18"/>
          <w:szCs w:val="18"/>
          <w:color w:val="auto"/>
        </w:rPr>
        <w:t>A summary of the fully-vested common stock the Company issued to its six non-employee directors, in connection with its non-employee director compensation plan, is as follows (in thousands):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0" w:type="dxa"/>
            <w:vAlign w:val="bottom"/>
            <w:gridSpan w:val="6"/>
          </w:tcPr>
          <w:p>
            <w:pPr>
              <w:jc w:val="right"/>
              <w:ind w:right="71"/>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25"/>
        </w:trPr>
        <w:tc>
          <w:tcPr>
            <w:tcW w:w="6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9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22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issued</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7"/>
        </w:trPr>
        <w:tc>
          <w:tcPr>
            <w:tcW w:w="6900" w:type="dxa"/>
            <w:vAlign w:val="bottom"/>
          </w:tcPr>
          <w:p>
            <w:pPr>
              <w:ind w:left="20"/>
              <w:spacing w:after="0"/>
              <w:rPr>
                <w:sz w:val="20"/>
                <w:szCs w:val="20"/>
                <w:color w:val="auto"/>
              </w:rPr>
            </w:pPr>
            <w:r>
              <w:rPr>
                <w:rFonts w:ascii="Arial" w:cs="Arial" w:eastAsia="Arial" w:hAnsi="Arial"/>
                <w:sz w:val="18"/>
                <w:szCs w:val="18"/>
                <w:color w:val="auto"/>
              </w:rPr>
              <w:t>Grant date fair value of awards issued</w:t>
            </w:r>
          </w:p>
        </w:tc>
        <w:tc>
          <w:tcPr>
            <w:tcW w:w="940" w:type="dxa"/>
            <w:vAlign w:val="bottom"/>
          </w:tcPr>
          <w:p>
            <w:pPr>
              <w:jc w:val="right"/>
              <w:ind w:right="76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326</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outstanding, non-vested restricted share units is as follows (in thousands, except per share amounts and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right="100"/>
        <w:spacing w:after="0" w:line="232" w:lineRule="auto"/>
        <w:rPr>
          <w:sz w:val="20"/>
          <w:szCs w:val="20"/>
          <w:color w:val="auto"/>
        </w:rPr>
      </w:pPr>
      <w:r>
        <w:rPr>
          <w:rFonts w:ascii="Arial" w:cs="Arial" w:eastAsia="Arial" w:hAnsi="Arial"/>
          <w:sz w:val="18"/>
          <w:szCs w:val="18"/>
          <w:color w:val="auto"/>
        </w:rPr>
        <w:t>Outstanding at beginning of period:</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Granted</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Released</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Forfeited</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Outstanding at end of period:</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3340"/>
        <w:spacing w:after="0"/>
        <w:rPr>
          <w:sz w:val="20"/>
          <w:szCs w:val="20"/>
          <w:color w:val="auto"/>
        </w:rPr>
      </w:pPr>
      <w:r>
        <w:rPr>
          <w:rFonts w:ascii="Arial" w:cs="Arial" w:eastAsia="Arial" w:hAnsi="Arial"/>
          <w:sz w:val="14"/>
          <w:szCs w:val="14"/>
          <w:b w:val="1"/>
          <w:bCs w:val="1"/>
          <w:color w:val="auto"/>
        </w:rPr>
        <w:t>For the 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8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19"/>
              <w:spacing w:after="0" w:line="134"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99"/>
              <w:spacing w:after="0" w:line="134"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39"/>
              <w:spacing w:after="0" w:line="134"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8"/>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38"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80"/>
              <w:spacing w:after="0" w:line="138"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39"/>
              <w:spacing w:after="0" w:line="13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7"/>
        </w:trPr>
        <w:tc>
          <w:tcPr>
            <w:tcW w:w="136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6"/>
              </w:rPr>
              <w:t>Grant-Date</w:t>
            </w:r>
          </w:p>
        </w:tc>
        <w:tc>
          <w:tcPr>
            <w:tcW w:w="88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97"/>
              </w:rPr>
              <w:t>Units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6"/>
              </w:rPr>
              <w:t>Grant-Date</w:t>
            </w:r>
          </w:p>
        </w:tc>
        <w:tc>
          <w:tcPr>
            <w:tcW w:w="86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59"/>
              <w:spacing w:after="0" w:line="147"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5"/>
        </w:trPr>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8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4"/>
        </w:trPr>
        <w:tc>
          <w:tcPr>
            <w:tcW w:w="1360" w:type="dxa"/>
            <w:vAlign w:val="bottom"/>
          </w:tcPr>
          <w:p>
            <w:pPr>
              <w:jc w:val="right"/>
              <w:spacing w:after="0"/>
              <w:rPr>
                <w:sz w:val="20"/>
                <w:szCs w:val="20"/>
                <w:color w:val="auto"/>
              </w:rPr>
            </w:pPr>
            <w:r>
              <w:rPr>
                <w:rFonts w:ascii="Arial" w:cs="Arial" w:eastAsia="Arial" w:hAnsi="Arial"/>
                <w:sz w:val="18"/>
                <w:szCs w:val="18"/>
                <w:color w:val="auto"/>
              </w:rPr>
              <w:t>1,208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1,076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28"/>
        </w:trPr>
        <w:tc>
          <w:tcPr>
            <w:tcW w:w="1360" w:type="dxa"/>
            <w:vAlign w:val="bottom"/>
          </w:tcPr>
          <w:p>
            <w:pPr>
              <w:jc w:val="right"/>
              <w:spacing w:after="0"/>
              <w:rPr>
                <w:sz w:val="20"/>
                <w:szCs w:val="20"/>
                <w:color w:val="auto"/>
              </w:rPr>
            </w:pPr>
            <w:r>
              <w:rPr>
                <w:rFonts w:ascii="Arial" w:cs="Arial" w:eastAsia="Arial" w:hAnsi="Arial"/>
                <w:sz w:val="18"/>
                <w:szCs w:val="18"/>
                <w:color w:val="auto"/>
              </w:rPr>
              <w:t>687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8"/>
        </w:trPr>
        <w:tc>
          <w:tcPr>
            <w:tcW w:w="1360" w:type="dxa"/>
            <w:vAlign w:val="bottom"/>
          </w:tcPr>
          <w:p>
            <w:pPr>
              <w:jc w:val="right"/>
              <w:spacing w:after="0"/>
              <w:rPr>
                <w:sz w:val="20"/>
                <w:szCs w:val="20"/>
                <w:color w:val="auto"/>
              </w:rPr>
            </w:pPr>
            <w:r>
              <w:rPr>
                <w:rFonts w:ascii="Arial" w:cs="Arial" w:eastAsia="Arial" w:hAnsi="Arial"/>
                <w:sz w:val="18"/>
                <w:szCs w:val="18"/>
                <w:color w:val="auto"/>
              </w:rPr>
              <w:t>(401)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29"/>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2"/>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1,208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1,076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-884555</wp:posOffset>
            </wp:positionV>
            <wp:extent cx="7133590" cy="264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3590" cy="26416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-476250</wp:posOffset>
            </wp:positionV>
            <wp:extent cx="7133590" cy="1447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3590" cy="14478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-186690</wp:posOffset>
            </wp:positionV>
            <wp:extent cx="7133590" cy="170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3590" cy="170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420"/>
            <w:col w:w="8700"/>
          </w:cols>
          <w:pgMar w:left="320" w:top="125" w:right="3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4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Company maintains Performance Restricted Stock Units (PRSUs) that have been granted to select executives and senior officers whose ultimate payout is based on the Company’s performance over a one-year period based on specific metrics approved by the Compensation Committee of the Board of Directors of the Company.</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2021, the Compensation Committee made changes to the Company’s equity incentive compensation plan for its executive officers and approved the new target awards for 2021. For 2021, the three metrics were:</w:t>
      </w:r>
    </w:p>
    <w:p>
      <w:pPr>
        <w:ind w:left="660" w:hanging="331"/>
        <w:spacing w:after="0" w:line="24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net cash provided by operating activities less purchases of property, plant, equipment and intangible assets and 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approved by the Compensation Committee.</w:t>
      </w:r>
    </w:p>
    <w:p>
      <w:pPr>
        <w:spacing w:after="0" w:line="1" w:lineRule="exact"/>
        <w:rPr>
          <w:rFonts w:ascii="Arial" w:cs="Arial" w:eastAsia="Arial" w:hAnsi="Arial"/>
          <w:sz w:val="18"/>
          <w:szCs w:val="18"/>
          <w:color w:val="auto"/>
        </w:rPr>
      </w:pPr>
    </w:p>
    <w:p>
      <w:pPr>
        <w:jc w:val="both"/>
        <w:ind w:left="660" w:hanging="331"/>
        <w:spacing w:after="0" w:line="279" w:lineRule="auto"/>
        <w:tabs>
          <w:tab w:leader="none" w:pos="66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defined as net income attributable to the Company plus: interest expense, provision for income taxes,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Arial" w:cs="Arial" w:eastAsia="Arial" w:hAnsi="Arial"/>
          <w:sz w:val="16"/>
          <w:szCs w:val="16"/>
          <w:i w:val="1"/>
          <w:iCs w:val="1"/>
          <w:color w:val="auto"/>
        </w:rPr>
      </w:pPr>
    </w:p>
    <w:p>
      <w:pPr>
        <w:jc w:val="both"/>
        <w:ind w:left="660" w:hanging="331"/>
        <w:spacing w:after="0" w:line="279"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Total Shareholder Return (TSR) </w:t>
      </w:r>
      <w:r>
        <w:rPr>
          <w:rFonts w:ascii="Arial" w:cs="Arial" w:eastAsia="Arial" w:hAnsi="Arial"/>
          <w:sz w:val="16"/>
          <w:szCs w:val="16"/>
          <w:color w:val="auto"/>
        </w:rPr>
        <w:t>measures the total return to shareholders of the Company during 2021 versus the total return to the shareholders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a predefined peer group of companies that provide inspection, testing, certification or similar industrial services. The return will be measured by the year over year percent change in share price. The share prices used to calculate the return are the average share price during the 20-trading day period ending on the initial measurement date (the last 20 trading days of 2020), compared to the average share price during the 20-trading day period ending on the final measurement date (the last 20 trading days of 2021). Any cash dividends or distributions paid in 2021 will be added to calculate the return to shareholders during the year. TSR is considered a market condition for which the fair value of PRSUs with this condition is determined using a Monte Carlo valuation model. Key assumptions in the Monte Carlo valuation model included:</w:t>
      </w:r>
    </w:p>
    <w:p>
      <w:pPr>
        <w:spacing w:after="0" w:line="4" w:lineRule="exact"/>
        <w:rPr>
          <w:rFonts w:ascii="Arial" w:cs="Arial" w:eastAsia="Arial" w:hAnsi="Arial"/>
          <w:sz w:val="16"/>
          <w:szCs w:val="16"/>
          <w:color w:val="auto"/>
        </w:rPr>
      </w:pPr>
    </w:p>
    <w:p>
      <w:pPr>
        <w:ind w:left="1300" w:right="20" w:hanging="328"/>
        <w:spacing w:after="0" w:line="248"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Expected volatility of the Company’s common stock at the date of grant was estimated based on a historical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rate for the approximate 1-year performance period.</w:t>
      </w:r>
    </w:p>
    <w:p>
      <w:pPr>
        <w:spacing w:after="0" w:line="1" w:lineRule="exact"/>
        <w:rPr>
          <w:rFonts w:ascii="Arial" w:cs="Arial" w:eastAsia="Arial" w:hAnsi="Arial"/>
          <w:sz w:val="18"/>
          <w:szCs w:val="18"/>
          <w:color w:val="auto"/>
        </w:rPr>
      </w:pPr>
    </w:p>
    <w:p>
      <w:pPr>
        <w:ind w:left="1300" w:hanging="328"/>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dividend yield assumption was based on historical and anticipated dividend payouts (assumed at zero).</w:t>
      </w:r>
    </w:p>
    <w:p>
      <w:pPr>
        <w:spacing w:after="0" w:line="7" w:lineRule="exact"/>
        <w:rPr>
          <w:rFonts w:ascii="Arial" w:cs="Arial" w:eastAsia="Arial" w:hAnsi="Arial"/>
          <w:sz w:val="18"/>
          <w:szCs w:val="18"/>
          <w:color w:val="auto"/>
        </w:rPr>
      </w:pPr>
    </w:p>
    <w:p>
      <w:pPr>
        <w:ind w:left="1300" w:hanging="328"/>
        <w:spacing w:after="0" w:line="257"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observed interest rates consistent with the approximate 1-year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measurement period.</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For 2022, the Compensation Committee retained the Company’s prior year equity incentive compensation plan for its executive officers including utilizing the same metrics, as defined above, and approved the new target awards for 2022.</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Compensation costs related to the PRSUs are subsequently adjusted for changes in the expected outcomes of the performance conditions. Compensation cost related to the PRSUs with a market condition is not reversed if the market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line="302" w:lineRule="auto"/>
        <w:rPr>
          <w:sz w:val="20"/>
          <w:szCs w:val="20"/>
          <w:color w:val="auto"/>
        </w:rPr>
      </w:pPr>
      <w:r>
        <w:rPr>
          <w:rFonts w:ascii="Arial" w:cs="Arial" w:eastAsia="Arial" w:hAnsi="Arial"/>
          <w:sz w:val="17"/>
          <w:szCs w:val="17"/>
          <w:color w:val="auto"/>
        </w:rPr>
        <w:t>condition is not achieved, provided the employee requisite service has been rendered. PRSUs generally vest ratably on each of the first four anniversary dates upon completion of the performance period, for a total requisite service period of up to five years and have no dividend rights.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presented as follows (in thousands, except per share amounts and years):</w:t>
      </w:r>
    </w:p>
    <w:p>
      <w:pPr>
        <w:spacing w:after="0" w:line="39"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For the year ended December 31,</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268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8"/>
              <w:spacing w:after="0" w:line="138"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18"/>
              <w:spacing w:after="0" w:line="138"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8"/>
              <w:spacing w:after="0" w:line="138"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3"/>
        </w:trPr>
        <w:tc>
          <w:tcPr>
            <w:tcW w:w="2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8"/>
              <w:spacing w:after="0" w:line="14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8"/>
        </w:trPr>
        <w:tc>
          <w:tcPr>
            <w:tcW w:w="2680" w:type="dxa"/>
            <w:vAlign w:val="bottom"/>
          </w:tcPr>
          <w:p>
            <w:pPr>
              <w:spacing w:after="0"/>
              <w:rPr>
                <w:sz w:val="12"/>
                <w:szCs w:val="12"/>
                <w:color w:val="auto"/>
              </w:rPr>
            </w:pPr>
          </w:p>
        </w:tc>
        <w:tc>
          <w:tcPr>
            <w:tcW w:w="8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Units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96"/>
              </w:rPr>
              <w:t>Grant-Date</w:t>
            </w:r>
          </w:p>
        </w:tc>
        <w:tc>
          <w:tcPr>
            <w:tcW w:w="132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40"/>
              <w:spacing w:after="0" w:line="138" w:lineRule="exact"/>
              <w:rPr>
                <w:sz w:val="20"/>
                <w:szCs w:val="20"/>
                <w:color w:val="auto"/>
              </w:rPr>
            </w:pPr>
            <w:r>
              <w:rPr>
                <w:rFonts w:ascii="Arial" w:cs="Arial" w:eastAsia="Arial" w:hAnsi="Arial"/>
                <w:sz w:val="14"/>
                <w:szCs w:val="14"/>
                <w:b w:val="1"/>
                <w:bCs w:val="1"/>
                <w:color w:val="auto"/>
                <w:w w:val="96"/>
              </w:rPr>
              <w:t>Grant-Date</w:t>
            </w:r>
          </w:p>
        </w:tc>
        <w:tc>
          <w:tcPr>
            <w:tcW w:w="134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58"/>
              <w:spacing w:after="0" w:line="138"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
        </w:trPr>
        <w:tc>
          <w:tcPr>
            <w:tcW w:w="26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Outstanding at beginning of period:</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8"/>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341</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w:t>
            </w:r>
          </w:p>
        </w:tc>
        <w:tc>
          <w:tcPr>
            <w:tcW w:w="3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w:t>
            </w:r>
          </w:p>
        </w:tc>
        <w:tc>
          <w:tcPr>
            <w:tcW w:w="3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75"/>
        </w:trPr>
        <w:tc>
          <w:tcPr>
            <w:tcW w:w="356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8"/>
                <w:szCs w:val="18"/>
                <w:color w:val="auto"/>
              </w:rPr>
              <w:t>Performance condition</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adjustments, net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(376)</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8"/>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Released</w:t>
            </w: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c>
          <w:tcPr>
            <w:tcW w:w="3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28"/>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Outstanding at end of period:</w:t>
            </w:r>
          </w:p>
        </w:tc>
        <w:tc>
          <w:tcPr>
            <w:tcW w:w="440" w:type="dxa"/>
            <w:vAlign w:val="bottom"/>
          </w:tcPr>
          <w:p>
            <w:pPr>
              <w:jc w:val="right"/>
              <w:spacing w:after="0"/>
              <w:rPr>
                <w:sz w:val="20"/>
                <w:szCs w:val="20"/>
                <w:color w:val="auto"/>
              </w:rPr>
            </w:pPr>
            <w:r>
              <w:rPr>
                <w:rFonts w:ascii="Arial" w:cs="Arial" w:eastAsia="Arial" w:hAnsi="Arial"/>
                <w:sz w:val="18"/>
                <w:szCs w:val="18"/>
                <w:color w:val="auto"/>
              </w:rPr>
              <w:t>280</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388</w:t>
            </w:r>
          </w:p>
        </w:tc>
        <w:tc>
          <w:tcPr>
            <w:tcW w:w="3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w:t>
            </w:r>
          </w:p>
        </w:tc>
        <w:tc>
          <w:tcPr>
            <w:tcW w:w="3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For the year ended December 31, 2022, 341,000 PRSUs were granted. There was a 376,000 net unit reduction to these awards, which represents Company performance below target, during the year ended December 31, 2022.</w:t>
      </w:r>
    </w:p>
    <w:p>
      <w:pPr>
        <w:spacing w:after="0" w:line="201" w:lineRule="exact"/>
        <w:rPr>
          <w:sz w:val="20"/>
          <w:szCs w:val="20"/>
          <w:color w:val="auto"/>
        </w:rPr>
      </w:pPr>
    </w:p>
    <w:p>
      <w:pPr>
        <w:ind w:right="540"/>
        <w:spacing w:after="0" w:line="272" w:lineRule="auto"/>
        <w:rPr>
          <w:sz w:val="20"/>
          <w:szCs w:val="20"/>
          <w:color w:val="auto"/>
        </w:rPr>
      </w:pPr>
      <w:r>
        <w:rPr>
          <w:rFonts w:ascii="Arial" w:cs="Arial" w:eastAsia="Arial" w:hAnsi="Arial"/>
          <w:sz w:val="18"/>
          <w:szCs w:val="18"/>
          <w:color w:val="auto"/>
        </w:rPr>
        <w:t>For the year ended December 31, 2021, 189,000 PRSUs were granted. There was a 56,000 unit reduction to these awards, which represents Company performance against target, during the year ended December 31, 2021.</w:t>
      </w:r>
    </w:p>
    <w:p>
      <w:pPr>
        <w:spacing w:after="0" w:line="20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For the year ended December 31, 2020, 292,000 PRSUs were granted. There was a 99,000 unit reduction to these awards, which represents Company performance against target, (including an increase of 1,000 units due to the Compensation Committee approving the final calculation of the award metrics for calendar year 2019), during the year ended December 31, 2020.</w:t>
      </w:r>
    </w:p>
    <w:p>
      <w:pPr>
        <w:spacing w:after="0" w:line="212" w:lineRule="exact"/>
        <w:rPr>
          <w:sz w:val="20"/>
          <w:szCs w:val="20"/>
          <w:color w:val="auto"/>
        </w:rPr>
      </w:pPr>
    </w:p>
    <w:p>
      <w:pPr>
        <w:jc w:val="both"/>
        <w:ind w:right="100"/>
        <w:spacing w:after="0" w:line="290" w:lineRule="auto"/>
        <w:rPr>
          <w:sz w:val="20"/>
          <w:szCs w:val="20"/>
          <w:color w:val="auto"/>
        </w:rPr>
      </w:pPr>
      <w:r>
        <w:rPr>
          <w:rFonts w:ascii="Arial" w:cs="Arial" w:eastAsia="Arial" w:hAnsi="Arial"/>
          <w:sz w:val="16"/>
          <w:szCs w:val="16"/>
          <w:color w:val="auto"/>
        </w:rPr>
        <w:t>Compensation expense related to all PRSUs described above was $1.2 million, $1.4 million, and $1.2 million for the years ended December 31, 2022, 2021 and 2020, respectively. At December 31, 2022, there was $1.2 million of total unrecognized compensation costs related to approximately 280,000 unvested performance restricted stock units. These costs are expected to be recognized over a weighted-average period of approximately 1.3 years.</w:t>
      </w:r>
    </w:p>
    <w:p>
      <w:pPr>
        <w:spacing w:after="0" w:line="191"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For the years ended December 31, 2022, 2021 and 2020, the income tax benefit recognized on all share based compensation arrangements referenced above was approximately $1.6 million, $1.4 million, and $0.6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provision (benefit) for income taxes is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60" w:type="dxa"/>
            <w:vAlign w:val="bottom"/>
            <w:gridSpan w:val="6"/>
          </w:tcPr>
          <w:p>
            <w:pPr>
              <w:jc w:val="right"/>
              <w:ind w:right="71"/>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25"/>
        </w:trPr>
        <w:tc>
          <w:tcPr>
            <w:tcW w:w="69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9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provision (benefit) for income taxes from:</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8"/>
        </w:trPr>
        <w:tc>
          <w:tcPr>
            <w:tcW w:w="6920" w:type="dxa"/>
            <w:vAlign w:val="bottom"/>
          </w:tcPr>
          <w:p>
            <w:pPr>
              <w:ind w:left="20"/>
              <w:spacing w:after="0"/>
              <w:rPr>
                <w:sz w:val="20"/>
                <w:szCs w:val="20"/>
                <w:color w:val="auto"/>
              </w:rPr>
            </w:pPr>
            <w:r>
              <w:rPr>
                <w:rFonts w:ascii="Arial" w:cs="Arial" w:eastAsia="Arial" w:hAnsi="Arial"/>
                <w:sz w:val="18"/>
                <w:szCs w:val="18"/>
                <w:color w:val="auto"/>
              </w:rPr>
              <w:t>U.S. operations</w:t>
            </w: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(54,190)</w:t>
            </w:r>
          </w:p>
        </w:tc>
      </w:tr>
      <w:tr>
        <w:trPr>
          <w:trHeight w:val="22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operations</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8,855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(59,982)</w:t>
            </w:r>
          </w:p>
        </w:tc>
      </w:tr>
      <w:tr>
        <w:trPr>
          <w:trHeight w:val="222"/>
        </w:trPr>
        <w:tc>
          <w:tcPr>
            <w:tcW w:w="6920" w:type="dxa"/>
            <w:vAlign w:val="bottom"/>
          </w:tcPr>
          <w:p>
            <w:pPr>
              <w:ind w:left="20"/>
              <w:spacing w:after="0"/>
              <w:rPr>
                <w:sz w:val="20"/>
                <w:szCs w:val="20"/>
                <w:color w:val="auto"/>
              </w:rPr>
            </w:pPr>
            <w:r>
              <w:rPr>
                <w:rFonts w:ascii="Arial" w:cs="Arial" w:eastAsia="Arial" w:hAnsi="Arial"/>
                <w:sz w:val="18"/>
                <w:szCs w:val="18"/>
                <w:color w:val="auto"/>
              </w:rPr>
              <w:t>Income (loss) before provision (benefit) for income taxes</w:t>
            </w:r>
          </w:p>
        </w:tc>
        <w:tc>
          <w:tcPr>
            <w:tcW w:w="860" w:type="dxa"/>
            <w:vAlign w:val="bottom"/>
            <w:tcBorders>
              <w:bottom w:val="single" w:sz="8" w:color="auto"/>
            </w:tcBorders>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9,294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(114,172)</w:t>
            </w:r>
          </w:p>
        </w:tc>
      </w:tr>
      <w:tr>
        <w:trPr>
          <w:trHeight w:val="20"/>
        </w:trPr>
        <w:tc>
          <w:tcPr>
            <w:tcW w:w="6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consists of the following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00" w:type="dxa"/>
            <w:vAlign w:val="bottom"/>
            <w:gridSpan w:val="6"/>
          </w:tcPr>
          <w:p>
            <w:pPr>
              <w:jc w:val="right"/>
              <w:ind w:right="71"/>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25"/>
        </w:trPr>
        <w:tc>
          <w:tcPr>
            <w:tcW w:w="69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9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14"/>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8"/>
        </w:trPr>
        <w:tc>
          <w:tcPr>
            <w:tcW w:w="6920" w:type="dxa"/>
            <w:vAlign w:val="bottom"/>
          </w:tcPr>
          <w:p>
            <w:pPr>
              <w:ind w:left="20"/>
              <w:spacing w:after="0"/>
              <w:rPr>
                <w:sz w:val="20"/>
                <w:szCs w:val="20"/>
                <w:color w:val="auto"/>
              </w:rPr>
            </w:pPr>
            <w:r>
              <w:rPr>
                <w:rFonts w:ascii="Arial" w:cs="Arial" w:eastAsia="Arial" w:hAnsi="Arial"/>
                <w:sz w:val="18"/>
                <w:szCs w:val="18"/>
                <w:color w:val="auto"/>
              </w:rPr>
              <w:t>Federal</w:t>
            </w:r>
          </w:p>
        </w:tc>
        <w:tc>
          <w:tcPr>
            <w:tcW w:w="820" w:type="dxa"/>
            <w:vAlign w:val="bottom"/>
          </w:tcPr>
          <w:p>
            <w:pPr>
              <w:jc w:val="right"/>
              <w:ind w:right="637"/>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(6,278)</w:t>
            </w:r>
          </w:p>
        </w:tc>
      </w:tr>
      <w:tr>
        <w:trPr>
          <w:trHeight w:val="22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States and local</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8"/>
        </w:trPr>
        <w:tc>
          <w:tcPr>
            <w:tcW w:w="6920" w:type="dxa"/>
            <w:vAlign w:val="bottom"/>
          </w:tcPr>
          <w:p>
            <w:pPr>
              <w:ind w:left="20"/>
              <w:spacing w:after="0"/>
              <w:rPr>
                <w:sz w:val="20"/>
                <w:szCs w:val="20"/>
                <w:color w:val="auto"/>
              </w:rPr>
            </w:pPr>
            <w:r>
              <w:rPr>
                <w:rFonts w:ascii="Arial" w:cs="Arial" w:eastAsia="Arial" w:hAnsi="Arial"/>
                <w:sz w:val="18"/>
                <w:szCs w:val="18"/>
                <w:color w:val="auto"/>
              </w:rPr>
              <w:t>Foreign</w:t>
            </w: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4,006</w:t>
            </w:r>
          </w:p>
        </w:tc>
      </w:tr>
      <w:tr>
        <w:trPr>
          <w:trHeight w:val="22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uncertain tax positions</w:t>
            </w:r>
          </w:p>
        </w:tc>
        <w:tc>
          <w:tcPr>
            <w:tcW w:w="8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1"/>
        </w:trPr>
        <w:tc>
          <w:tcPr>
            <w:tcW w:w="6920" w:type="dxa"/>
            <w:vAlign w:val="bottom"/>
          </w:tcPr>
          <w:p>
            <w:pPr>
              <w:ind w:left="140"/>
              <w:spacing w:after="0"/>
              <w:rPr>
                <w:sz w:val="20"/>
                <w:szCs w:val="20"/>
                <w:color w:val="auto"/>
              </w:rPr>
            </w:pPr>
            <w:r>
              <w:rPr>
                <w:rFonts w:ascii="Arial" w:cs="Arial" w:eastAsia="Arial" w:hAnsi="Arial"/>
                <w:sz w:val="18"/>
                <w:szCs w:val="18"/>
                <w:color w:val="auto"/>
              </w:rPr>
              <w:t>Total current provision (benefit)</w:t>
            </w: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(1,772)</w:t>
            </w:r>
          </w:p>
        </w:tc>
      </w:tr>
      <w:tr>
        <w:trPr>
          <w:trHeight w:val="22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8"/>
        </w:trPr>
        <w:tc>
          <w:tcPr>
            <w:tcW w:w="6920" w:type="dxa"/>
            <w:vAlign w:val="bottom"/>
          </w:tcPr>
          <w:p>
            <w:pPr>
              <w:ind w:left="20"/>
              <w:spacing w:after="0"/>
              <w:rPr>
                <w:sz w:val="20"/>
                <w:szCs w:val="20"/>
                <w:color w:val="auto"/>
              </w:rPr>
            </w:pPr>
            <w:r>
              <w:rPr>
                <w:rFonts w:ascii="Arial" w:cs="Arial" w:eastAsia="Arial" w:hAnsi="Arial"/>
                <w:sz w:val="18"/>
                <w:szCs w:val="18"/>
                <w:color w:val="auto"/>
              </w:rPr>
              <w:t>Federal</w:t>
            </w: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(2,781)</w:t>
            </w:r>
          </w:p>
        </w:tc>
      </w:tr>
      <w:tr>
        <w:trPr>
          <w:trHeight w:val="22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States and local</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28"/>
        </w:trPr>
        <w:tc>
          <w:tcPr>
            <w:tcW w:w="6920" w:type="dxa"/>
            <w:vAlign w:val="bottom"/>
          </w:tcPr>
          <w:p>
            <w:pPr>
              <w:ind w:left="20"/>
              <w:spacing w:after="0"/>
              <w:rPr>
                <w:sz w:val="20"/>
                <w:szCs w:val="20"/>
                <w:color w:val="auto"/>
              </w:rPr>
            </w:pPr>
            <w:r>
              <w:rPr>
                <w:rFonts w:ascii="Arial" w:cs="Arial" w:eastAsia="Arial" w:hAnsi="Arial"/>
                <w:sz w:val="18"/>
                <w:szCs w:val="18"/>
                <w:color w:val="auto"/>
              </w:rPr>
              <w:t>Foreign</w:t>
            </w: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(1,614)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(10,045)</w:t>
            </w:r>
          </w:p>
        </w:tc>
      </w:tr>
      <w:tr>
        <w:trPr>
          <w:trHeight w:val="228"/>
        </w:trPr>
        <w:tc>
          <w:tcPr>
            <w:tcW w:w="6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uncertain tax positions</w:t>
            </w:r>
          </w:p>
        </w:tc>
        <w:tc>
          <w:tcPr>
            <w:tcW w:w="8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6920" w:type="dxa"/>
            <w:vAlign w:val="bottom"/>
          </w:tcPr>
          <w:p>
            <w:pPr>
              <w:ind w:left="140"/>
              <w:spacing w:after="0"/>
              <w:rPr>
                <w:sz w:val="20"/>
                <w:szCs w:val="20"/>
                <w:color w:val="auto"/>
              </w:rPr>
            </w:pPr>
            <w:r>
              <w:rPr>
                <w:rFonts w:ascii="Arial" w:cs="Arial" w:eastAsia="Arial" w:hAnsi="Arial"/>
                <w:sz w:val="18"/>
                <w:szCs w:val="18"/>
                <w:color w:val="auto"/>
              </w:rPr>
              <w:t>Total deferred benefit</w:t>
            </w:r>
          </w:p>
        </w:tc>
        <w:tc>
          <w:tcPr>
            <w:tcW w:w="8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(1,807)</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(14,070)</w:t>
            </w:r>
          </w:p>
        </w:tc>
      </w:tr>
      <w:tr>
        <w:trPr>
          <w:trHeight w:val="22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valuation allowance</w:t>
            </w:r>
          </w:p>
        </w:tc>
        <w:tc>
          <w:tcPr>
            <w:tcW w:w="8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21"/>
        </w:trPr>
        <w:tc>
          <w:tcPr>
            <w:tcW w:w="6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deferred benefit</w:t>
            </w: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(12,934)</w:t>
            </w:r>
          </w:p>
        </w:tc>
      </w:tr>
      <w:tr>
        <w:trPr>
          <w:trHeight w:val="247"/>
        </w:trPr>
        <w:tc>
          <w:tcPr>
            <w:tcW w:w="6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provision (benefit) for income taxes</w:t>
            </w:r>
          </w:p>
        </w:tc>
        <w:tc>
          <w:tcPr>
            <w:tcW w:w="82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(14,706)</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The provision (benefit) for income taxes differs from the amount computed by applying the statutory federal tax rate to income tax as follows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For the years ended December 31,</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
        </w:trPr>
        <w:tc>
          <w:tcPr>
            <w:tcW w:w="3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32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6"/>
                <w:szCs w:val="16"/>
                <w:color w:val="auto"/>
              </w:rPr>
            </w:pPr>
          </w:p>
        </w:tc>
      </w:tr>
      <w:tr>
        <w:trPr>
          <w:trHeight w:val="228"/>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8"/>
        </w:trPr>
        <w:tc>
          <w:tcPr>
            <w:tcW w:w="320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8"/>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28"/>
        </w:trPr>
        <w:tc>
          <w:tcPr>
            <w:tcW w:w="320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440" w:type="dxa"/>
            <w:vAlign w:val="bottom"/>
          </w:tcPr>
          <w:p>
            <w:pPr>
              <w:spacing w:after="0"/>
              <w:rPr>
                <w:sz w:val="19"/>
                <w:szCs w:val="19"/>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15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8"/>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compensation</w:t>
            </w:r>
          </w:p>
        </w:tc>
        <w:tc>
          <w:tcPr>
            <w:tcW w:w="4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8"/>
        </w:trPr>
        <w:tc>
          <w:tcPr>
            <w:tcW w:w="3200" w:type="dxa"/>
            <w:vAlign w:val="bottom"/>
          </w:tcPr>
          <w:p>
            <w:pPr>
              <w:ind w:left="20"/>
              <w:spacing w:after="0"/>
              <w:rPr>
                <w:sz w:val="20"/>
                <w:szCs w:val="20"/>
                <w:color w:val="auto"/>
              </w:rPr>
            </w:pPr>
            <w:r>
              <w:rPr>
                <w:rFonts w:ascii="Arial" w:cs="Arial" w:eastAsia="Arial" w:hAnsi="Arial"/>
                <w:sz w:val="18"/>
                <w:szCs w:val="18"/>
                <w:color w:val="auto"/>
              </w:rPr>
              <w:t>US taxation of foreign earnings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8"/>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8"/>
        </w:trPr>
        <w:tc>
          <w:tcPr>
            <w:tcW w:w="3200" w:type="dxa"/>
            <w:vAlign w:val="bottom"/>
          </w:tcPr>
          <w:p>
            <w:pPr>
              <w:ind w:left="20"/>
              <w:spacing w:after="0"/>
              <w:rPr>
                <w:sz w:val="20"/>
                <w:szCs w:val="20"/>
                <w:color w:val="auto"/>
              </w:rPr>
            </w:pPr>
            <w:r>
              <w:rPr>
                <w:rFonts w:ascii="Arial" w:cs="Arial" w:eastAsia="Arial" w:hAnsi="Arial"/>
                <w:sz w:val="18"/>
                <w:szCs w:val="18"/>
                <w:color w:val="auto"/>
              </w:rPr>
              <w:t>Research and Development Credit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28"/>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loss carryback</w:t>
            </w:r>
          </w:p>
        </w:tc>
        <w:tc>
          <w:tcPr>
            <w:tcW w:w="4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8"/>
        </w:trPr>
        <w:tc>
          <w:tcPr>
            <w:tcW w:w="320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8"/>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foreign tax rate changes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8"/>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r>
      <w:tr>
        <w:trPr>
          <w:trHeight w:val="246"/>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Total provision (benefit) for income taxes</w:t>
            </w: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52.4 %</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color w:val="auto"/>
        </w:rPr>
        <w:t>The permanent differences identified above include normal recurring differences, such as meals, entertainment, and parking fringe benefits as well as a portion of the goodwill impairment charge.</w:t>
      </w:r>
    </w:p>
    <w:p>
      <w:pPr>
        <w:spacing w:after="0" w:line="201" w:lineRule="exact"/>
        <w:rPr>
          <w:sz w:val="20"/>
          <w:szCs w:val="20"/>
          <w:color w:val="auto"/>
        </w:rPr>
      </w:pPr>
    </w:p>
    <w:p>
      <w:pPr>
        <w:ind w:right="140"/>
        <w:spacing w:after="0" w:line="320" w:lineRule="auto"/>
        <w:rPr>
          <w:sz w:val="20"/>
          <w:szCs w:val="20"/>
          <w:color w:val="auto"/>
        </w:rPr>
      </w:pPr>
      <w:r>
        <w:rPr>
          <w:rFonts w:ascii="Arial" w:cs="Arial" w:eastAsia="Arial" w:hAnsi="Arial"/>
          <w:sz w:val="16"/>
          <w:szCs w:val="16"/>
          <w:color w:val="auto"/>
        </w:rPr>
        <w:t>On June 28, 2019, the Canadian province of Alberta enacted the Job Creation Tax Cut which reduced the Alberta corporate income tax rate from 12% to 11% starting in 2019 with further annual reductions to 10% in 2020, 9% in 2021, and 8% in 2022. This rate reduction had a favorable impact of approximately $1.9 million on the Company’s net deferred tax liabilities in this jurisdiction in 2019. As part of Alberta’s Recovery plan associated with the</w:t>
      </w:r>
    </w:p>
    <w:p>
      <w:pPr>
        <w:spacing w:after="0" w:line="1" w:lineRule="exact"/>
        <w:rPr>
          <w:sz w:val="20"/>
          <w:szCs w:val="20"/>
          <w:color w:val="auto"/>
        </w:rPr>
      </w:pPr>
    </w:p>
    <w:p>
      <w:pPr>
        <w:ind w:right="700"/>
        <w:spacing w:after="0" w:line="302" w:lineRule="auto"/>
        <w:rPr>
          <w:sz w:val="20"/>
          <w:szCs w:val="20"/>
          <w:color w:val="auto"/>
        </w:rPr>
      </w:pPr>
      <w:r>
        <w:rPr>
          <w:rFonts w:ascii="Arial" w:cs="Arial" w:eastAsia="Arial" w:hAnsi="Arial"/>
          <w:sz w:val="17"/>
          <w:szCs w:val="17"/>
          <w:color w:val="auto"/>
        </w:rPr>
        <w:t>COVID-19 pandemic, Alberta accelerated the decrease in income tax rates from 10% in 2020 to 8% effective July 1, 2020. The accelerated tax rate reduction did not have a material impact on the Company’s net deferred tax liabilities but did reduce current taxes.</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On March 27, 2020, the United States enacted the Coronavirus Aid, Relief, and Economic Security Act (CARES Act). The CARES Act is an approximately $2 trillion emergency economic stimulus package in response to the Coronavirus outbreak,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which among other things contains numerous income tax provisions. Some of these tax provisions are effective retroactively for years ending before the date</w:t>
      </w:r>
    </w:p>
    <w:p>
      <w:pPr>
        <w:spacing w:after="0" w:line="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of enactment. The CARES Act provides a five-year carryback of net operating losses generated in years 2018 through 2020. As the statutory federal income tax rate applicable to certain years within the carryback period is 35%, carryback to those years of our estimated 2020 annual federal tax loss provides a tax benefit in excess of the current federal statutory rate of 21%, resulting in an increased income tax benefit of $1.9 million. The income tax effects of the CARES Act resulted in a cash refund of approximately $4.9 million in 2021 of taxes paid in prior years.</w:t>
      </w:r>
    </w:p>
    <w:p>
      <w:pPr>
        <w:spacing w:after="0" w:line="20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The Appropriations Act did not have a material impact on our </w:t>
      </w:r>
      <w:r>
        <w:rPr>
          <w:rFonts w:ascii="Arial" w:cs="Arial" w:eastAsia="Arial" w:hAnsi="Arial"/>
          <w:sz w:val="18"/>
          <w:szCs w:val="18"/>
          <w:color w:val="080808"/>
        </w:rPr>
        <w:t>consolidated financial position, results of operations, and cash flows</w:t>
      </w:r>
      <w:r>
        <w:rPr>
          <w:rFonts w:ascii="Arial" w:cs="Arial" w:eastAsia="Arial" w:hAnsi="Arial"/>
          <w:sz w:val="18"/>
          <w:szCs w:val="18"/>
          <w:color w:val="000000"/>
        </w:rPr>
        <w: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 response to the COVID-19 pandemic, the American Rescue Plan Act was signed into law on March 11, 2021. This act, among other things, provides</w:t>
      </w:r>
    </w:p>
    <w:p>
      <w:pPr>
        <w:spacing w:after="0" w:line="84"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economic relief provisions to individuals and funding to certain businesses and programs. This guidance did not have a material impact on our consolidated financial position, results of operations, and cash flows.</w:t>
      </w:r>
    </w:p>
    <w:p>
      <w:pPr>
        <w:spacing w:after="0" w:line="18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August 2022 the United States enacted the Inflation Reduction Act (“IRA”) of 2022 (Public Law No. 117-169), which includes a 15% book minimum tax on corporations with financial accounting profits over 1 billion US dollars (USD) and a 1% excise tax on certain stock buybacks. The IRA also contains numerous clean energy tax incentives related to electricity production, carbon sequestration, alternative vehicles and fuels, and residential and commercial energy efficiency. The company does not expect this act to have a material impact.</w:t>
      </w:r>
    </w:p>
    <w:p>
      <w:pPr>
        <w:spacing w:after="0" w:line="218"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Deferred income tax attributes resulting from differences between financial accounting amounts and income tax basis of assets and liabilities are as follows (in thousands):</w:t>
      </w: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6"/>
                <w:szCs w:val="16"/>
                <w:color w:val="auto"/>
              </w:rPr>
            </w:pPr>
          </w:p>
        </w:tc>
      </w:tr>
      <w:tr>
        <w:trPr>
          <w:trHeight w:val="25"/>
        </w:trPr>
        <w:tc>
          <w:tcPr>
            <w:tcW w:w="8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83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 assets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8"/>
        </w:trPr>
        <w:tc>
          <w:tcPr>
            <w:tcW w:w="83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2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28"/>
        </w:trPr>
        <w:tc>
          <w:tcPr>
            <w:tcW w:w="83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2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r>
      <w:tr>
        <w:trPr>
          <w:trHeight w:val="228"/>
        </w:trPr>
        <w:tc>
          <w:tcPr>
            <w:tcW w:w="8380" w:type="dxa"/>
            <w:vAlign w:val="bottom"/>
          </w:tcPr>
          <w:p>
            <w:pPr>
              <w:ind w:left="2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6,303</w:t>
            </w:r>
          </w:p>
        </w:tc>
      </w:tr>
      <w:tr>
        <w:trPr>
          <w:trHeight w:val="22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28"/>
        </w:trPr>
        <w:tc>
          <w:tcPr>
            <w:tcW w:w="8380" w:type="dxa"/>
            <w:vAlign w:val="bottom"/>
          </w:tcPr>
          <w:p>
            <w:pPr>
              <w:ind w:left="20"/>
              <w:spacing w:after="0"/>
              <w:rPr>
                <w:sz w:val="20"/>
                <w:szCs w:val="20"/>
                <w:color w:val="auto"/>
              </w:rPr>
            </w:pPr>
            <w:r>
              <w:rPr>
                <w:rFonts w:ascii="Arial" w:cs="Arial" w:eastAsia="Arial" w:hAnsi="Arial"/>
                <w:sz w:val="18"/>
                <w:szCs w:val="18"/>
                <w:color w:val="auto"/>
              </w:rPr>
              <w:t>Deferred stock based compensation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2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carryforward</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28"/>
        </w:trPr>
        <w:tc>
          <w:tcPr>
            <w:tcW w:w="8380" w:type="dxa"/>
            <w:vAlign w:val="bottom"/>
          </w:tcPr>
          <w:p>
            <w:pPr>
              <w:ind w:left="20"/>
              <w:spacing w:after="0"/>
              <w:rPr>
                <w:sz w:val="20"/>
                <w:szCs w:val="20"/>
                <w:color w:val="auto"/>
              </w:rPr>
            </w:pPr>
            <w:r>
              <w:rPr>
                <w:rFonts w:ascii="Arial" w:cs="Arial" w:eastAsia="Arial" w:hAnsi="Arial"/>
                <w:sz w:val="18"/>
                <w:szCs w:val="18"/>
                <w:color w:val="auto"/>
              </w:rPr>
              <w:t>Right-of-use liability</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10,786</w:t>
            </w:r>
          </w:p>
        </w:tc>
      </w:tr>
      <w:tr>
        <w:trPr>
          <w:trHeight w:val="22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 Expense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380" w:type="dxa"/>
            <w:vAlign w:val="bottom"/>
          </w:tcPr>
          <w:p>
            <w:pPr>
              <w:ind w:left="20"/>
              <w:spacing w:after="0"/>
              <w:rPr>
                <w:sz w:val="20"/>
                <w:szCs w:val="20"/>
                <w:color w:val="auto"/>
              </w:rPr>
            </w:pPr>
            <w:r>
              <w:rPr>
                <w:rFonts w:ascii="Arial" w:cs="Arial" w:eastAsia="Arial" w:hAnsi="Arial"/>
                <w:sz w:val="18"/>
                <w:szCs w:val="18"/>
                <w:color w:val="auto"/>
              </w:rPr>
              <w:t>Credits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2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21"/>
        </w:trPr>
        <w:tc>
          <w:tcPr>
            <w:tcW w:w="8380" w:type="dxa"/>
            <w:vAlign w:val="bottom"/>
          </w:tcPr>
          <w:p>
            <w:pPr>
              <w:ind w:left="140"/>
              <w:spacing w:after="0"/>
              <w:rPr>
                <w:sz w:val="20"/>
                <w:szCs w:val="20"/>
                <w:color w:val="auto"/>
              </w:rPr>
            </w:pPr>
            <w:r>
              <w:rPr>
                <w:rFonts w:ascii="Arial" w:cs="Arial" w:eastAsia="Arial" w:hAnsi="Arial"/>
                <w:sz w:val="18"/>
                <w:szCs w:val="18"/>
                <w:color w:val="auto"/>
              </w:rPr>
              <w:t>Deferred income tax assets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29,845</w:t>
            </w:r>
          </w:p>
        </w:tc>
      </w:tr>
      <w:tr>
        <w:trPr>
          <w:trHeight w:val="22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w:t>
            </w:r>
          </w:p>
        </w:tc>
      </w:tr>
      <w:tr>
        <w:trPr>
          <w:trHeight w:val="222"/>
        </w:trPr>
        <w:tc>
          <w:tcPr>
            <w:tcW w:w="8380" w:type="dxa"/>
            <w:vAlign w:val="bottom"/>
          </w:tcPr>
          <w:p>
            <w:pPr>
              <w:ind w:left="140"/>
              <w:spacing w:after="0"/>
              <w:rPr>
                <w:sz w:val="20"/>
                <w:szCs w:val="20"/>
                <w:color w:val="auto"/>
              </w:rPr>
            </w:pPr>
            <w:r>
              <w:rPr>
                <w:rFonts w:ascii="Arial" w:cs="Arial" w:eastAsia="Arial" w:hAnsi="Arial"/>
                <w:sz w:val="18"/>
                <w:szCs w:val="18"/>
                <w:color w:val="auto"/>
              </w:rPr>
              <w:t>Net deferred income tax assets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22,196</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23,505</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5"/>
        </w:trPr>
        <w:tc>
          <w:tcPr>
            <w:tcW w:w="83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Deferred income tax liabilities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8"/>
        </w:trPr>
        <w:tc>
          <w:tcPr>
            <w:tcW w:w="83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(8,157)</w:t>
            </w:r>
          </w:p>
        </w:tc>
      </w:tr>
      <w:tr>
        <w:trPr>
          <w:trHeight w:val="22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r>
      <w:tr>
        <w:trPr>
          <w:trHeight w:val="228"/>
        </w:trPr>
        <w:tc>
          <w:tcPr>
            <w:tcW w:w="83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(4,935)</w:t>
            </w:r>
          </w:p>
        </w:tc>
      </w:tr>
      <w:tr>
        <w:trPr>
          <w:trHeight w:val="22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w:t>
            </w:r>
          </w:p>
        </w:tc>
      </w:tr>
      <w:tr>
        <w:trPr>
          <w:trHeight w:val="228"/>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21"/>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(29,716)</w:t>
            </w:r>
          </w:p>
        </w:tc>
      </w:tr>
      <w:tr>
        <w:trPr>
          <w:trHeight w:val="222"/>
        </w:trPr>
        <w:tc>
          <w:tcPr>
            <w:tcW w:w="8380" w:type="dxa"/>
            <w:vAlign w:val="bottom"/>
          </w:tcPr>
          <w:p>
            <w:pPr>
              <w:ind w:left="140"/>
              <w:spacing w:after="0"/>
              <w:rPr>
                <w:sz w:val="20"/>
                <w:szCs w:val="20"/>
                <w:color w:val="auto"/>
              </w:rPr>
            </w:pPr>
            <w:r>
              <w:rPr>
                <w:rFonts w:ascii="Arial" w:cs="Arial" w:eastAsia="Arial" w:hAnsi="Arial"/>
                <w:sz w:val="18"/>
                <w:szCs w:val="18"/>
                <w:color w:val="auto"/>
              </w:rPr>
              <w:t>Net deferred income taxes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(6,211)</w:t>
            </w:r>
          </w:p>
        </w:tc>
      </w:tr>
      <w:tr>
        <w:trPr>
          <w:trHeight w:val="20"/>
        </w:trPr>
        <w:tc>
          <w:tcPr>
            <w:tcW w:w="8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December 31, 2022, the Company had no federal net operating loss carry forwards (NOLs). In addition, as of December 31, 2022, the Company had state and foreign NOLs of $20.6 million and $14.1 million, respectively. Approximately $6.6 million of the state NOLs expire at various times from 2031 to 2040, while the remainder of the Company's state NOLs do not expire. Approximately $1.8 million of the foreign NOLs expire at various times from 2023 to 2041, while the remainder of the Company's foreign NOLs do not expire.</w:t>
      </w:r>
    </w:p>
    <w:p>
      <w:pPr>
        <w:spacing w:after="0" w:line="2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assessing the ability to realize deferred tax assets, management considers whether it is more likely than not that some portion or all of the deferred tax assets will be realized. Valuation allowances are provided when management believes the Company's deferred tax assets are not recoverable based on future reversals of existing taxable temporary differences, taxable income in prior carryback year(s) if carryback is permitted under the tax law, and an assessment of estimated future taxable income, exclusive of reversing temporary differences and carryforwards, that incorporates ongoing, prudent and feasible tax planning strategies. At December 31, 2022 and December 31, 2021, the Company has a valuation allowance of approximately $7.8 million and $6.3 million, respectively, primarily against certain state and foreign NOLs and other specific deferred tax assets. The net increase in the valuation allowance of approximately $0.1 million is primarily attributable to state and foreign net operating losses and changes in foreign exchange rates, offset by a reduction of expiring losses. Except for those deferred tax assets subject to the valuation allowance, management believes that it will realize all deferred tax assets as a result of sufficient future taxable income in each tax jurisdiction in which the Company has deferred tax assets. .</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the Company’s gross unrecognized tax benefits, excluding interest and penalties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420" w:type="dxa"/>
            <w:vAlign w:val="bottom"/>
          </w:tcPr>
          <w:p>
            <w:pPr>
              <w:spacing w:after="0"/>
              <w:rPr>
                <w:sz w:val="16"/>
                <w:szCs w:val="16"/>
                <w:color w:val="auto"/>
              </w:rPr>
            </w:pPr>
          </w:p>
        </w:tc>
      </w:tr>
      <w:tr>
        <w:trPr>
          <w:trHeight w:val="25"/>
        </w:trPr>
        <w:tc>
          <w:tcPr>
            <w:tcW w:w="8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8"/>
        </w:trPr>
        <w:tc>
          <w:tcPr>
            <w:tcW w:w="83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r>
      <w:tr>
        <w:trPr>
          <w:trHeight w:val="22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940" w:type="dxa"/>
            <w:vAlign w:val="bottom"/>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8"/>
        </w:trPr>
        <w:tc>
          <w:tcPr>
            <w:tcW w:w="8380" w:type="dxa"/>
            <w:vAlign w:val="bottom"/>
          </w:tcPr>
          <w:p>
            <w:pPr>
              <w:ind w:left="140"/>
              <w:spacing w:after="0"/>
              <w:rPr>
                <w:sz w:val="20"/>
                <w:szCs w:val="20"/>
                <w:color w:val="auto"/>
              </w:rPr>
            </w:pPr>
            <w:r>
              <w:rPr>
                <w:rFonts w:ascii="Arial" w:cs="Arial" w:eastAsia="Arial" w:hAnsi="Arial"/>
                <w:sz w:val="18"/>
                <w:szCs w:val="18"/>
                <w:color w:val="auto"/>
              </w:rPr>
              <w:t>Additions for tax positions related to the current fiscal period</w:t>
            </w:r>
          </w:p>
        </w:tc>
        <w:tc>
          <w:tcPr>
            <w:tcW w:w="9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8"/>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for tax positions related to prior years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Reductions related to the expiration of statutes of limitations</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(203)</w:t>
            </w:r>
          </w:p>
        </w:tc>
      </w:tr>
      <w:tr>
        <w:trPr>
          <w:trHeight w:val="247"/>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94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has recorded the unrecognized tax benefits in other long-term liabilities in the consolidated balance sheets. As of December 31, 2022 and December 31, 2021, there were approximately $0.3 million and $0.3 million of unrecognized tax benefits, respectively, including penalties and interest. If the Company recognized these unrecognized tax benefits, approximately $0.3 million and $0.3 million would favorably affect the effective tax rate for both December 31, 2022 and December 31, 2021, respectively. Interest and penalties related to unrecognized tax benefits are recorded in income tax expense and are not significant for the years ended December 31, 2022, 2021 and 2020. The Company anticipates a decrease to its unrecognized tax benefits of $0.1 million excluding interest and penalties within the next 12 months.</w:t>
      </w:r>
    </w:p>
    <w:p>
      <w:pPr>
        <w:spacing w:after="0" w:line="17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The Company is no longer subject to U.S. federal income tax examinations for years ending before December 31, 2017 and generally is no longer subject to state, local or foreign income tax examinations by tax authorities for years ending before December 31, 2016.</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Net income (loss) of foreign subsidiaries was $5.8 million, $3.7 million, and $(55.7) million for the years ended December 31, 2022, 2021 and 2020, respectively. Generally, it has been the Company's practice and intention to reinvest the earnings of its non-U.S. subsidiaries in those operations. As previously noted, the Tax Act made significant changes to the taxation of undistributed earnings, requiring that all previously untaxed earnings and profits of the Company's controlled foreign operations be subjected to the transition tax. Since these earnings have now been subjected to U.S. federal tax, they would only be potentially subject to limited other taxes, including foreign withholding and certain state taxes. As of December 31, 2022, the Company has not recognized a deferred tax liability for foreign withholdings and state taxes on its undistributed international earnings or losses of its foreign subsidiaries since it intends to indefinitely reinvest the earnings outside the United States. The Company has estimated that the amount of the unrecorded deferred tax liability related to undistributed international earnings is approximately $1.8 million.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22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provides a 401(k) savings plan for eligible U.S. based employees. Employee contributions are discretionary up to the IRS limits each year and catch up contributions are allowed for employees 50 years of age or older. Under the 401(k) plan, employees become eligible to participate on the first day of the month after three months of continuous service. Under this plan, the Company matches 50% of the employee’s contributions up to 4% of the employee’s annual compensation, as defined by the plan. There is a five-year vesting schedule for the Company match.</w:t>
      </w:r>
    </w:p>
    <w:p>
      <w:pPr>
        <w:spacing w:after="0" w:line="200"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During the third quarter of 2021, the Company re-installed the employer match which was previously suspended as part of the Company's cost reduction initiatives undertaken in 2020 due to the COVID-19 pandemic. The Company’s contribution to the plan was $3.0 million, $1.2 million, and $1.1 million for the years ended December 31, 2022, 2021 and 2020, respectively.</w:t>
      </w:r>
    </w:p>
    <w:p>
      <w:pPr>
        <w:spacing w:after="0" w:line="21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Company's subsidiary participated with other employers in contributing to the Boilermaker-Blacksmith National Pension Trust (EIN 48-6168020) (“Boilermakers”) and Plumbers and Pipefitters National Pension Fund (EIN 52-6152779) (“Pipefitters”), multi-employer defined benefit pension plans, which covers certain U.S. based union employees. The plans provide multiple plan benefits with corresponding contribution rates that are collectively bargained between participating employers and their affiliated Boilermakers and Pipefitters local unions. Both the Boilermakers and Pipefitters plans are approximately 70 percent funded as of the latest Form 5500 filed, respectively. The Company did not make any contributions to the Boilermakers during the years ended December 31, 2022 and 2021 while making de minimis contributions to the Pipefitters plan during the same periods. See Note </w:t>
      </w:r>
      <w:r>
        <w:rPr>
          <w:rFonts w:ascii="Arial" w:cs="Arial" w:eastAsia="Arial" w:hAnsi="Arial"/>
          <w:sz w:val="17"/>
          <w:szCs w:val="17"/>
          <w:i w:val="1"/>
          <w:iCs w:val="1"/>
          <w:color w:val="auto"/>
        </w:rPr>
        <w:t>18-Commitments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Contingencies, Pension Related Contingencies, </w:t>
      </w:r>
      <w:r>
        <w:rPr>
          <w:rFonts w:ascii="Arial" w:cs="Arial" w:eastAsia="Arial" w:hAnsi="Arial"/>
          <w:sz w:val="17"/>
          <w:szCs w:val="17"/>
          <w:color w:val="auto"/>
        </w:rPr>
        <w:t>for additional detail.</w:t>
      </w:r>
    </w:p>
    <w:p>
      <w:pPr>
        <w:spacing w:after="0" w:line="209" w:lineRule="exact"/>
        <w:rPr>
          <w:sz w:val="20"/>
          <w:szCs w:val="20"/>
          <w:color w:val="auto"/>
        </w:rPr>
      </w:pPr>
    </w:p>
    <w:p>
      <w:pPr>
        <w:ind w:right="620"/>
        <w:spacing w:after="0" w:line="272" w:lineRule="auto"/>
        <w:rPr>
          <w:sz w:val="20"/>
          <w:szCs w:val="20"/>
          <w:color w:val="auto"/>
        </w:rPr>
      </w:pPr>
      <w:r>
        <w:rPr>
          <w:rFonts w:ascii="Arial" w:cs="Arial" w:eastAsia="Arial" w:hAnsi="Arial"/>
          <w:sz w:val="18"/>
          <w:szCs w:val="18"/>
          <w:color w:val="auto"/>
        </w:rPr>
        <w:t>The Company has other benefit plans covering certain employees throughout the Company. Amounts charged to expense under these plans were not significant in any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 xml:space="preserve">The Company leases its headquarters under an operating lease from a stockholder and director of the Company. On August 1, 2014, the Company extended its lease at its headquarters requiring monthly payments through October 2024. Total rent payments made during the year ended December 31, 2022 were approximately $1.0 million. See Note </w:t>
      </w:r>
      <w:r>
        <w:rPr>
          <w:rFonts w:ascii="Arial" w:cs="Arial" w:eastAsia="Arial" w:hAnsi="Arial"/>
          <w:sz w:val="18"/>
          <w:szCs w:val="18"/>
          <w:i w:val="1"/>
          <w:iCs w:val="1"/>
          <w:color w:val="auto"/>
        </w:rPr>
        <w:t>17-Leases</w:t>
      </w:r>
      <w:r>
        <w:rPr>
          <w:rFonts w:ascii="Arial" w:cs="Arial" w:eastAsia="Arial" w:hAnsi="Arial"/>
          <w:sz w:val="18"/>
          <w:szCs w:val="18"/>
          <w:color w:val="auto"/>
        </w:rPr>
        <w:t xml:space="preserve"> for further detail.</w:t>
      </w:r>
    </w:p>
    <w:p>
      <w:pPr>
        <w:spacing w:after="0" w:line="18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Company receives benefits consulting services from Capital Management Enterprise (“CME”). Manuel N. Stamatakis, one of the Company's non-employee directors, is the Chief Executive Officer of CME. The Company does not pay any fees to CME and, any compensation CME receives related to work for the Company is received by commissions paid by the third-party benefit providers.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22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Company leases certain office and operating facilities, machinery, equipment, and vehicles. Concurrent with the adoption of ASC 842, the Company recognized a right-of-use (ROU) asset and lease liability based on the present value of the future lease payments over the lease term for each lease agreement. The Company elected not to recognize a ROU asset and lease liability for leases with terms of 12 months or less and will continue to recognize lease expense for these leases on a straight-line basis over the lease term. The Company has leases with both lease components and non-lease components, such as common area maintenance, utilities, or other repairs and maintenance. For all asset classes, the Company decided to utilize the practical expedient to include both fixed lease components and fixed non-lease components in calculating the ROU asset and lease liability. The Company identified variable lease payments, such as maintenance payments based on actual activities performed or costs incurred, at lease commencement by assessing the nature of the payment provisions, including whether the payments are subject to a minimum charge. Many of the Company's leases include one or more options to renew. When it is reasonably certain that the Company will exercise the option, the Company will include the impact of the option in the lease term for purposes of determining future lease payments. As the Company is unable to determine the discount rate implicit in its lease agreements, the Company uses its incremental borrowing rate on the commencement date to calculate the present value of future payments.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Consolidated Balance Sheets include the following related to operating leases as of December 31, 2022 and 2021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44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5"/>
        </w:trPr>
        <w:tc>
          <w:tcPr>
            <w:tcW w:w="3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1"/>
        </w:trPr>
        <w:tc>
          <w:tcPr>
            <w:tcW w:w="3560" w:type="dxa"/>
            <w:vAlign w:val="bottom"/>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3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ROU assets</w:t>
            </w:r>
          </w:p>
        </w:tc>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42,451</w:t>
            </w:r>
          </w:p>
        </w:tc>
      </w:tr>
      <w:tr>
        <w:trPr>
          <w:trHeight w:val="268"/>
        </w:trPr>
        <w:tc>
          <w:tcPr>
            <w:tcW w:w="3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8"/>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8"/>
        </w:trPr>
        <w:tc>
          <w:tcPr>
            <w:tcW w:w="3660" w:type="dxa"/>
            <w:vAlign w:val="bottom"/>
            <w:gridSpan w:val="2"/>
          </w:tcPr>
          <w:p>
            <w:pPr>
              <w:ind w:left="240"/>
              <w:spacing w:after="0"/>
              <w:rPr>
                <w:sz w:val="20"/>
                <w:szCs w:val="20"/>
                <w:color w:val="auto"/>
              </w:rPr>
            </w:pPr>
            <w:r>
              <w:rPr>
                <w:rFonts w:ascii="Arial" w:cs="Arial" w:eastAsia="Arial" w:hAnsi="Arial"/>
                <w:sz w:val="18"/>
                <w:szCs w:val="18"/>
                <w:color w:val="auto"/>
              </w:rPr>
              <w:t>ROU liability - current</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10,376</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10,040</w:t>
            </w:r>
          </w:p>
        </w:tc>
      </w:tr>
      <w:tr>
        <w:trPr>
          <w:trHeight w:val="228"/>
        </w:trPr>
        <w:tc>
          <w:tcPr>
            <w:tcW w:w="3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ROU liability - long-term</w:t>
            </w:r>
          </w:p>
        </w:tc>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34,030</w:t>
            </w:r>
          </w:p>
        </w:tc>
      </w:tr>
      <w:tr>
        <w:trPr>
          <w:trHeight w:val="222"/>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Total ROU liabilities</w:t>
            </w:r>
          </w:p>
        </w:tc>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44,070</w:t>
            </w: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Included within the balance of operating leases is a lease for the Company’s headquarters which is with a related party. The ROU liability for this facility is approximately $1.8 million as of December 31, 2022 and $2.9 million as of December 31, 2021. Total rent payments for this facility were approximately $1.0 million and $1.3 million during the years ended December 31, 2022 and 2021. An agreement was reached with the related party to reduce rental payments by 12.5% for the lease of the Company’s headquarters, effective February 2022 as part of a voluntary reduction.</w:t>
      </w:r>
    </w:p>
    <w:p>
      <w:pPr>
        <w:spacing w:after="0" w:line="200"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color w:val="auto"/>
        </w:rPr>
        <w:t>As of December 31, 2022 and 2021, the total ROU assets attributable to finance leases are approximately $13.0 million and $13.8 million, respectively, which is included in Property, plant, and equipment, net on the Consolidated Balance Sheets.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for the year ended December 31, 2022 and 2021 are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580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34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2580" w:type="dxa"/>
            <w:vAlign w:val="bottom"/>
            <w:vMerge w:val="restart"/>
          </w:tcPr>
          <w:p>
            <w:pPr>
              <w:ind w:left="20"/>
              <w:spacing w:after="0"/>
              <w:rPr>
                <w:sz w:val="20"/>
                <w:szCs w:val="20"/>
                <w:color w:val="auto"/>
              </w:rPr>
            </w:pPr>
            <w:r>
              <w:rPr>
                <w:rFonts w:ascii="Arial" w:cs="Arial" w:eastAsia="Arial" w:hAnsi="Arial"/>
                <w:sz w:val="18"/>
                <w:szCs w:val="18"/>
                <w:color w:val="auto"/>
              </w:rPr>
              <w:t>Finance lease expense:</w:t>
            </w:r>
          </w:p>
        </w:tc>
        <w:tc>
          <w:tcPr>
            <w:tcW w:w="5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580" w:type="dxa"/>
            <w:vAlign w:val="bottom"/>
            <w:vMerge w:val="continue"/>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ROU assets</w:t>
            </w:r>
          </w:p>
        </w:tc>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28"/>
        </w:trPr>
        <w:tc>
          <w:tcPr>
            <w:tcW w:w="258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8"/>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0" w:type="dxa"/>
            <w:vAlign w:val="bottom"/>
          </w:tcPr>
          <w:p>
            <w:pPr>
              <w:spacing w:after="0"/>
              <w:rPr>
                <w:sz w:val="1"/>
                <w:szCs w:val="1"/>
                <w:color w:val="auto"/>
              </w:rPr>
            </w:pPr>
          </w:p>
        </w:tc>
      </w:tr>
      <w:tr>
        <w:trPr>
          <w:trHeight w:val="228"/>
        </w:trPr>
        <w:tc>
          <w:tcPr>
            <w:tcW w:w="258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8"/>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22"/>
        </w:trPr>
        <w:tc>
          <w:tcPr>
            <w:tcW w:w="2580" w:type="dxa"/>
            <w:vAlign w:val="bottom"/>
          </w:tcPr>
          <w:p>
            <w:pPr>
              <w:ind w:left="20"/>
              <w:spacing w:after="0"/>
              <w:rPr>
                <w:sz w:val="20"/>
                <w:szCs w:val="20"/>
                <w:color w:val="auto"/>
              </w:rPr>
            </w:pPr>
            <w:r>
              <w:rPr>
                <w:rFonts w:ascii="Arial" w:cs="Arial" w:eastAsia="Arial" w:hAnsi="Arial"/>
                <w:sz w:val="18"/>
                <w:szCs w:val="18"/>
                <w:color w:val="auto"/>
              </w:rPr>
              <w:t>Total</w:t>
            </w:r>
          </w:p>
        </w:tc>
        <w:tc>
          <w:tcPr>
            <w:tcW w:w="5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related to leases as of December 31, 2022 and 2021 is as follows: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8140" w:type="dxa"/>
            <w:vAlign w:val="bottom"/>
            <w:vMerge w:val="restart"/>
          </w:tcPr>
          <w:p>
            <w:pPr>
              <w:ind w:left="20"/>
              <w:spacing w:after="0" w:line="200" w:lineRule="exact"/>
              <w:rPr>
                <w:sz w:val="20"/>
                <w:szCs w:val="20"/>
                <w:color w:val="auto"/>
              </w:rPr>
            </w:pPr>
            <w:r>
              <w:rPr>
                <w:rFonts w:ascii="Arial" w:cs="Arial" w:eastAsia="Arial" w:hAnsi="Arial"/>
                <w:sz w:val="18"/>
                <w:szCs w:val="18"/>
                <w:color w:val="auto"/>
                <w:w w:val="95"/>
              </w:rPr>
              <w:t>Cash paid for amounts included in the measurement of lease liabilities for finance and operating leases (in</w:t>
            </w: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8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140" w:type="dxa"/>
            <w:vAlign w:val="bottom"/>
          </w:tcPr>
          <w:p>
            <w:pPr>
              <w:ind w:left="20"/>
              <w:spacing w:after="0"/>
              <w:rPr>
                <w:sz w:val="20"/>
                <w:szCs w:val="20"/>
                <w:color w:val="auto"/>
              </w:rPr>
            </w:pPr>
            <w:r>
              <w:rPr>
                <w:rFonts w:ascii="Arial" w:cs="Arial" w:eastAsia="Arial" w:hAnsi="Arial"/>
                <w:sz w:val="18"/>
                <w:szCs w:val="18"/>
                <w:color w:val="auto"/>
              </w:rPr>
              <w:t>thousands):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 financing cash flows</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4,140</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28"/>
        </w:trPr>
        <w:tc>
          <w:tcPr>
            <w:tcW w:w="8140" w:type="dxa"/>
            <w:vAlign w:val="bottom"/>
          </w:tcPr>
          <w:p>
            <w:pPr>
              <w:ind w:left="240"/>
              <w:spacing w:after="0"/>
              <w:rPr>
                <w:sz w:val="20"/>
                <w:szCs w:val="20"/>
                <w:color w:val="auto"/>
              </w:rPr>
            </w:pPr>
            <w:r>
              <w:rPr>
                <w:rFonts w:ascii="Arial" w:cs="Arial" w:eastAsia="Arial" w:hAnsi="Arial"/>
                <w:sz w:val="18"/>
                <w:szCs w:val="18"/>
                <w:color w:val="auto"/>
              </w:rPr>
              <w:t>Finance - operating cash flows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8"/>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 operating cash flows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12,502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13,098</w:t>
            </w:r>
          </w:p>
        </w:tc>
        <w:tc>
          <w:tcPr>
            <w:tcW w:w="0" w:type="dxa"/>
            <w:vAlign w:val="bottom"/>
          </w:tcPr>
          <w:p>
            <w:pPr>
              <w:spacing w:after="0"/>
              <w:rPr>
                <w:sz w:val="1"/>
                <w:szCs w:val="1"/>
                <w:color w:val="auto"/>
              </w:rPr>
            </w:pPr>
          </w:p>
        </w:tc>
      </w:tr>
      <w:tr>
        <w:trPr>
          <w:trHeight w:val="228"/>
        </w:trPr>
        <w:tc>
          <w:tcPr>
            <w:tcW w:w="8140" w:type="dxa"/>
            <w:vAlign w:val="bottom"/>
          </w:tcPr>
          <w:p>
            <w:pPr>
              <w:ind w:left="20"/>
              <w:spacing w:after="0"/>
              <w:rPr>
                <w:sz w:val="20"/>
                <w:szCs w:val="20"/>
                <w:color w:val="auto"/>
              </w:rPr>
            </w:pPr>
            <w:r>
              <w:rPr>
                <w:rFonts w:ascii="Arial" w:cs="Arial" w:eastAsia="Arial" w:hAnsi="Arial"/>
                <w:sz w:val="18"/>
                <w:szCs w:val="18"/>
                <w:color w:val="auto"/>
              </w:rPr>
              <w:t>ROU assets obtained in the exchange for lease liabilities: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27"/>
        </w:trPr>
        <w:tc>
          <w:tcPr>
            <w:tcW w:w="814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6,067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28"/>
        </w:trPr>
        <w:tc>
          <w:tcPr>
            <w:tcW w:w="814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8"/>
        </w:trPr>
        <w:tc>
          <w:tcPr>
            <w:tcW w:w="814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8"/>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4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8"/>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548"/>
        </w:trPr>
        <w:tc>
          <w:tcPr>
            <w:tcW w:w="8140" w:type="dxa"/>
            <w:vAlign w:val="bottom"/>
          </w:tcPr>
          <w:p>
            <w:pPr>
              <w:spacing w:after="0"/>
              <w:rPr>
                <w:sz w:val="20"/>
                <w:szCs w:val="20"/>
                <w:color w:val="auto"/>
              </w:rPr>
            </w:pPr>
            <w:r>
              <w:rPr>
                <w:rFonts w:ascii="Arial" w:cs="Arial" w:eastAsia="Arial" w:hAnsi="Arial"/>
                <w:sz w:val="18"/>
                <w:szCs w:val="18"/>
                <w:color w:val="auto"/>
              </w:rPr>
              <w:t>Maturities of lease liabilities as of December 31, 2022 is as follows (in thousands):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Finance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292"/>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25"/>
        </w:trPr>
        <w:tc>
          <w:tcPr>
            <w:tcW w:w="8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12,109</w:t>
            </w: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9,869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28"/>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255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5,089</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43,762</w:t>
            </w:r>
          </w:p>
        </w:tc>
        <w:tc>
          <w:tcPr>
            <w:tcW w:w="0" w:type="dxa"/>
            <w:vAlign w:val="bottom"/>
          </w:tcPr>
          <w:p>
            <w:pPr>
              <w:spacing w:after="0"/>
              <w:rPr>
                <w:sz w:val="1"/>
                <w:szCs w:val="1"/>
                <w:color w:val="auto"/>
              </w:rPr>
            </w:pPr>
          </w:p>
        </w:tc>
      </w:tr>
      <w:tr>
        <w:trPr>
          <w:trHeight w:val="228"/>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1,147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4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14,246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2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is periodically involved in lawsuits, investigations and claims that arise in the ordinary course of business. The Company cannot predict with certainty the ultimate resolution of lawsuits, investigations and claims asserted against it. Except for possible losses from the matters described below, the Company does not believe that any currently pending or threatened legal proceeding to which the Company is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was contracted to perform inspections of welds on various pipeline projects in Texas for a customer. As of December 31, 2022 approximately $1.4 million of past due receivables were outstanding from this customer. The customer provided the Company with notice in December 2019, alleging that the Company’s inspection of 66 welds (out of approximately 16,000 welds inspected) were not in compliance with the contract, claimed approximately $7.6 million in damages, and requested that the Company pay these damages and any other damages incurred. The Company filed a lawsuit in the District Court of Bexar County, Texas, 37th Judicial District, on December 17, 2019, in an action captioned Mistras Group, Inc. v. Epic Y-Grade Pipeline LP, to recover the $1.4 million and other amounts due to the Company. The customer filed a</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counterclaim on March 6, 2020, alleging breach of contract and seeking recovery of its alleged damages. The Company believes that any successful claim by the customer regarding the Company’s workmanship will be covered by insurance, subject to payment of a deductible. At this time, the Company is unable to determine whether it has any liability in connection with this matter and if so, the amount or range of any such liability. In the year ended December 31, 2022, the Company recorded a charge of $0.1 million for a potential loss from this matter. The Company recorded a reserve in the amount of $1.4 million during the twelve months ended December 31, 2019 for these past due receivables.</w:t>
      </w:r>
    </w:p>
    <w:p>
      <w:pPr>
        <w:spacing w:after="0" w:line="20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Two proceedings have been filed in California Superior Court for the County of Los Angeles regarding alleged violations of the California Labor Code. Both cases are captioned Justin Price v. Mistras Group, Inc., one being a purported class action lawsuit on behalf of current and former Mistras employees in California, filed on June 10, 2020, and the other was filed on September 18, 2020, behalf of the State of California under the California Private Attorney General Act on the basis of the same alleged violations. The two cases was consolidated and requested payment of all damages, including unpaid wages, and various fines and penalties available under California law. On May 4, 2021, the Company agreed to a settlement of all claims in the cases, which was more formally documented pursuant to a settlement agreement completed October 5, 2021, as amended as of May 3, 2022. Pursuant to the settlement, the Company agreed to pay $2.3 million to resolve the allegations in these proceedings and to be responsible for the employer portion of payroll taxes on the amount of the settlement allocated to wages. The settlement as agreed upon by the parties received final court approval on September 26, 2022, and the Company paid the settlement proceeds and related payroll taxes to the claims administrator in the fourth quarter of 2022. The Company recorded expense of approximately $1.6 million during the three months ended March 31, 2021 related to this settlement, which is in addition to expense of $0.8 million the Company recorded during the three months ended December 31,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Certain of Company’s subsidiaries had significant reductions in their unionized workers in 2018. The collective bargaining agreements for the employees of</w:t>
      </w:r>
    </w:p>
    <w:p>
      <w:pPr>
        <w:spacing w:after="0" w:line="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this subsidiary required contributions for these employees to two national multi-employer pension funds. The reduction in employees resulted in the subsidiary incurring a complete withdrawal to one of the pension funds under the Employee Retirement Income Security Act of 1974 ("ERISA"), which was</w:t>
      </w:r>
    </w:p>
    <w:p>
      <w:pPr>
        <w:jc w:val="both"/>
        <w:ind w:right="80"/>
        <w:spacing w:after="0" w:line="268" w:lineRule="auto"/>
        <w:rPr>
          <w:sz w:val="20"/>
          <w:szCs w:val="20"/>
          <w:color w:val="auto"/>
        </w:rPr>
      </w:pPr>
      <w:r>
        <w:rPr>
          <w:rFonts w:ascii="Arial" w:cs="Arial" w:eastAsia="Arial" w:hAnsi="Arial"/>
          <w:sz w:val="18"/>
          <w:szCs w:val="18"/>
          <w:color w:val="auto"/>
        </w:rPr>
        <w:t>fully satisfied in 2019. The Company has determined that the subsidiary is likely to incur partial or complete withdrawal liability to the other pension fund. The balance of the estimated total amount of this potential liability as of December 31, 2022 is approximately $2.5 million, which was incurred in 2018 and 2019.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labor disputes</w:t>
      </w:r>
    </w:p>
    <w:p>
      <w:pPr>
        <w:spacing w:after="0" w:line="24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During December 2019, the Company executed an agreement to sell the rights of certain customer "staff leasing" contracts related to its German subsidiary for total consideration of approximately $0.1 million, effective January 1, 2020. No other assets or liabilities other than those employee benefits related to employees working on the customer contracts were included in the sale. As of December 31, 2022, the Company has approximately $0.1 million of accrued estimated severance payment obligations, which takes into account the Company's estimate with respect to the employees that have been or will be transitioned to the German subsidiaries' other customers. The $0.1 million of estimated obligations is net of $0.4 million in payments made and $1.0 million in reversals due to employees being transitioned to customer contracts.</w:t>
      </w:r>
    </w:p>
    <w:p>
      <w:pPr>
        <w:spacing w:after="0" w:line="2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was entitled to indemnification on certain labor claims from the sellers of a company acquired by its Brazilian subsidiary. The Company and the sellers entered into a settlement agreement for approximately $1.0 million, which provided for payment in two installments, the first for approximately 31% of the settlement and the second for the remaining 69%. The first installment in the amount of approximately $0.3 million was paid by the sellers in December 2020 and the Company recognized that amount as a gain in selling, general and administrative expenses in the same period. The remaining payment for $0.6 million was received in the first quarter of 2021 and the Company recognized that amount as a gain in selling, general and administrative expenses in the same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disposition related contingencies</w:t>
      </w:r>
    </w:p>
    <w:p>
      <w:pPr>
        <w:spacing w:after="0" w:line="222" w:lineRule="exact"/>
        <w:rPr>
          <w:sz w:val="20"/>
          <w:szCs w:val="20"/>
          <w:color w:val="auto"/>
        </w:rPr>
      </w:pPr>
    </w:p>
    <w:p>
      <w:pPr>
        <w:ind w:right="420"/>
        <w:spacing w:after="0" w:line="272"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December 31, 2022, total potential acquisition-related contingent consideration ranged from zero to approximately $0.9 million.</w:t>
      </w:r>
    </w:p>
    <w:p>
      <w:pPr>
        <w:spacing w:after="0" w:line="20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During 2018, the Company sold a subsidiary in the Products and Systems segment. As part of the sale, the Company entered into a three-year agreement to purchase products from the buyer, with a cumulative commitment of $2.3 million. On August 3, 2021, the parties amended the agreement and extended the</w:t>
      </w:r>
    </w:p>
    <w:p>
      <w:pPr>
        <w:spacing w:after="0"/>
        <w:rPr>
          <w:sz w:val="20"/>
          <w:szCs w:val="20"/>
          <w:color w:val="auto"/>
        </w:rPr>
      </w:pPr>
      <w:r>
        <w:rPr>
          <w:rFonts w:ascii="Arial" w:cs="Arial" w:eastAsia="Arial" w:hAnsi="Arial"/>
          <w:sz w:val="18"/>
          <w:szCs w:val="18"/>
          <w:color w:val="auto"/>
        </w:rPr>
        <w:t>period by 12 months</w:t>
      </w:r>
      <w:r>
        <w:rPr>
          <w:rFonts w:ascii="Arial" w:cs="Arial" w:eastAsia="Arial" w:hAnsi="Arial"/>
          <w:sz w:val="21"/>
          <w:szCs w:val="21"/>
          <w:color w:val="auto"/>
        </w:rPr>
        <w:t>.</w:t>
      </w:r>
      <w:r>
        <w:rPr>
          <w:rFonts w:ascii="Arial" w:cs="Arial" w:eastAsia="Arial" w:hAnsi="Arial"/>
          <w:sz w:val="18"/>
          <w:szCs w:val="18"/>
          <w:color w:val="auto"/>
        </w:rPr>
        <w:t xml:space="preserve"> As of December 31, 2022, the commitment was fully satisfied.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Disclosure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62" w:lineRule="exact"/>
        <w:rPr>
          <w:sz w:val="20"/>
          <w:szCs w:val="20"/>
          <w:color w:val="auto"/>
        </w:rPr>
      </w:pPr>
    </w:p>
    <w:p>
      <w:pPr>
        <w:ind w:left="660" w:right="240" w:hanging="331"/>
        <w:spacing w:after="0" w:line="243" w:lineRule="auto"/>
        <w:tabs>
          <w:tab w:leader="none" w:pos="655" w:val="left"/>
        </w:tabs>
        <w:numPr>
          <w:ilvl w:val="0"/>
          <w:numId w:val="28"/>
        </w:numPr>
        <w:rPr>
          <w:rFonts w:ascii="Arial" w:cs="Arial" w:eastAsia="Arial" w:hAnsi="Arial"/>
          <w:sz w:val="21"/>
          <w:szCs w:val="2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predominantly in North America, with the largest concentration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226" w:lineRule="exact"/>
        <w:rPr>
          <w:rFonts w:ascii="Arial" w:cs="Arial" w:eastAsia="Arial" w:hAnsi="Arial"/>
          <w:sz w:val="21"/>
          <w:szCs w:val="21"/>
          <w:color w:val="auto"/>
        </w:rPr>
      </w:pPr>
    </w:p>
    <w:p>
      <w:pPr>
        <w:jc w:val="both"/>
        <w:ind w:left="660" w:right="480" w:hanging="331"/>
        <w:spacing w:after="0" w:line="260" w:lineRule="auto"/>
        <w:tabs>
          <w:tab w:leader="none" w:pos="655"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212" w:lineRule="exact"/>
        <w:rPr>
          <w:rFonts w:ascii="Arial" w:cs="Arial" w:eastAsia="Arial" w:hAnsi="Arial"/>
          <w:sz w:val="18"/>
          <w:szCs w:val="18"/>
          <w:i w:val="1"/>
          <w:iCs w:val="1"/>
          <w:color w:val="auto"/>
        </w:rPr>
      </w:pPr>
    </w:p>
    <w:p>
      <w:pPr>
        <w:ind w:left="660" w:right="540" w:hanging="331"/>
        <w:spacing w:after="0" w:line="27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20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w:t>
      </w:r>
    </w:p>
    <w:p>
      <w:pPr>
        <w:spacing w:after="0" w:line="15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The accounting policies of the reportable segments are the same as those described in Note </w:t>
      </w:r>
      <w:r>
        <w:rPr>
          <w:rFonts w:ascii="Arial" w:cs="Arial" w:eastAsia="Arial" w:hAnsi="Arial"/>
          <w:sz w:val="18"/>
          <w:szCs w:val="18"/>
          <w:i w:val="1"/>
          <w:iCs w:val="1"/>
          <w:color w:val="auto"/>
        </w:rPr>
        <w:t>1-Summary of Significant Accounting Policies and Practices</w:t>
      </w:r>
      <w:r>
        <w:rPr>
          <w:rFonts w:ascii="Arial" w:cs="Arial" w:eastAsia="Arial" w:hAnsi="Arial"/>
          <w:sz w:val="18"/>
          <w:szCs w:val="18"/>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195"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Selected consolidated financial information by segment for the periods shown was as follows (with intercompany transactions eliminated in Corporate and eliminations):</w:t>
      </w:r>
    </w:p>
    <w:tbl>
      <w:tblPr>
        <w:tblLayout w:type="fixed"/>
        <w:tblInd w:w="0" w:type="dxa"/>
        <w:tblCellMar>
          <w:top w:w="0" w:type="dxa"/>
          <w:left w:w="0" w:type="dxa"/>
          <w:bottom w:w="0" w:type="dxa"/>
          <w:right w:w="0" w:type="dxa"/>
        </w:tblCellMar>
      </w:tblPr>
      <w:tr>
        <w:trPr>
          <w:trHeight w:val="185"/>
        </w:trPr>
        <w:tc>
          <w:tcPr>
            <w:tcW w:w="6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7"/>
          </w:tcPr>
          <w:p>
            <w:pPr>
              <w:jc w:val="center"/>
              <w:ind w:left="616"/>
              <w:spacing w:after="0"/>
              <w:rPr>
                <w:sz w:val="20"/>
                <w:szCs w:val="20"/>
                <w:color w:val="auto"/>
              </w:rPr>
            </w:pPr>
            <w:r>
              <w:rPr>
                <w:rFonts w:ascii="Arial" w:cs="Arial" w:eastAsia="Arial" w:hAnsi="Arial"/>
                <w:sz w:val="14"/>
                <w:szCs w:val="14"/>
                <w:b w:val="1"/>
                <w:bCs w:val="1"/>
                <w:color w:val="auto"/>
                <w:w w:val="91"/>
              </w:rPr>
              <w:t>For the year ended December 31,</w:t>
            </w:r>
          </w:p>
        </w:tc>
        <w:tc>
          <w:tcPr>
            <w:tcW w:w="1000" w:type="dxa"/>
            <w:vAlign w:val="bottom"/>
          </w:tcPr>
          <w:p>
            <w:pPr>
              <w:spacing w:after="0"/>
              <w:rPr>
                <w:sz w:val="16"/>
                <w:szCs w:val="16"/>
                <w:color w:val="auto"/>
              </w:rPr>
            </w:pPr>
          </w:p>
        </w:tc>
      </w:tr>
      <w:tr>
        <w:trPr>
          <w:trHeight w:val="25"/>
        </w:trPr>
        <w:tc>
          <w:tcPr>
            <w:tcW w:w="68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8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1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8"/>
        </w:trPr>
        <w:tc>
          <w:tcPr>
            <w:tcW w:w="686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4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573,336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555,387</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476,164</w:t>
            </w:r>
          </w:p>
        </w:tc>
      </w:tr>
      <w:tr>
        <w:trPr>
          <w:trHeight w:val="228"/>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112,425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107,556</w:t>
            </w:r>
          </w:p>
        </w:tc>
      </w:tr>
      <w:tr>
        <w:trPr>
          <w:trHeight w:val="228"/>
        </w:trPr>
        <w:tc>
          <w:tcPr>
            <w:tcW w:w="686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16,449</w:t>
            </w:r>
          </w:p>
        </w:tc>
      </w:tr>
      <w:tr>
        <w:trPr>
          <w:trHeight w:val="228"/>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w:t>
            </w:r>
          </w:p>
        </w:tc>
      </w:tr>
      <w:tr>
        <w:trPr>
          <w:trHeight w:val="221"/>
        </w:trPr>
        <w:tc>
          <w:tcPr>
            <w:tcW w:w="6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687,373</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677,131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592,571</w:t>
            </w:r>
          </w:p>
        </w:tc>
      </w:tr>
      <w:tr>
        <w:trPr>
          <w:trHeight w:val="21"/>
        </w:trPr>
        <w:tc>
          <w:tcPr>
            <w:tcW w:w="6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05"/>
        </w:trPr>
        <w:tc>
          <w:tcPr>
            <w:tcW w:w="6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40" w:type="dxa"/>
            <w:vAlign w:val="bottom"/>
            <w:gridSpan w:val="7"/>
          </w:tcPr>
          <w:p>
            <w:pPr>
              <w:jc w:val="center"/>
              <w:ind w:left="576"/>
              <w:spacing w:after="0"/>
              <w:rPr>
                <w:sz w:val="20"/>
                <w:szCs w:val="20"/>
                <w:color w:val="auto"/>
              </w:rPr>
            </w:pPr>
            <w:r>
              <w:rPr>
                <w:rFonts w:ascii="Arial" w:cs="Arial" w:eastAsia="Arial" w:hAnsi="Arial"/>
                <w:sz w:val="14"/>
                <w:szCs w:val="14"/>
                <w:b w:val="1"/>
                <w:bCs w:val="1"/>
                <w:color w:val="auto"/>
                <w:w w:val="91"/>
              </w:rPr>
              <w:t>For the year ended December 31,</w:t>
            </w:r>
          </w:p>
        </w:tc>
        <w:tc>
          <w:tcPr>
            <w:tcW w:w="1000" w:type="dxa"/>
            <w:vAlign w:val="bottom"/>
          </w:tcPr>
          <w:p>
            <w:pPr>
              <w:spacing w:after="0"/>
              <w:rPr>
                <w:sz w:val="24"/>
                <w:szCs w:val="24"/>
                <w:color w:val="auto"/>
              </w:rPr>
            </w:pPr>
          </w:p>
        </w:tc>
      </w:tr>
      <w:tr>
        <w:trPr>
          <w:trHeight w:val="25"/>
        </w:trPr>
        <w:tc>
          <w:tcPr>
            <w:tcW w:w="68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8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1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8"/>
        </w:trPr>
        <w:tc>
          <w:tcPr>
            <w:tcW w:w="686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40" w:type="dxa"/>
            <w:vAlign w:val="bottom"/>
            <w:gridSpan w:val="2"/>
          </w:tcPr>
          <w:p>
            <w:pPr>
              <w:jc w:val="right"/>
              <w:ind w:right="15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159,049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155,384</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141,084</w:t>
            </w:r>
          </w:p>
        </w:tc>
      </w:tr>
      <w:tr>
        <w:trPr>
          <w:trHeight w:val="228"/>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31,046</w:t>
            </w:r>
          </w:p>
        </w:tc>
      </w:tr>
      <w:tr>
        <w:trPr>
          <w:trHeight w:val="228"/>
        </w:trPr>
        <w:tc>
          <w:tcPr>
            <w:tcW w:w="686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6,826</w:t>
            </w:r>
          </w:p>
        </w:tc>
      </w:tr>
      <w:tr>
        <w:trPr>
          <w:trHeight w:val="228"/>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1"/>
        </w:trPr>
        <w:tc>
          <w:tcPr>
            <w:tcW w:w="686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197,147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178,531</w:t>
            </w:r>
          </w:p>
        </w:tc>
      </w:tr>
      <w:tr>
        <w:trPr>
          <w:trHeight w:val="21"/>
        </w:trPr>
        <w:tc>
          <w:tcPr>
            <w:tcW w:w="6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r>
        <w:rPr>
          <w:rFonts w:ascii="Arial" w:cs="Arial" w:eastAsia="Arial" w:hAnsi="Arial"/>
          <w:sz w:val="21"/>
          <w:szCs w:val="21"/>
          <w:color w:val="008080"/>
        </w:rPr>
        <w: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40" w:type="dxa"/>
            <w:vAlign w:val="bottom"/>
            <w:gridSpan w:val="9"/>
          </w:tcPr>
          <w:p>
            <w:pPr>
              <w:jc w:val="center"/>
              <w:ind w:left="438"/>
              <w:spacing w:after="0"/>
              <w:rPr>
                <w:sz w:val="20"/>
                <w:szCs w:val="20"/>
                <w:color w:val="auto"/>
              </w:rPr>
            </w:pPr>
            <w:r>
              <w:rPr>
                <w:rFonts w:ascii="Arial" w:cs="Arial" w:eastAsia="Arial" w:hAnsi="Arial"/>
                <w:sz w:val="14"/>
                <w:szCs w:val="14"/>
                <w:b w:val="1"/>
                <w:bCs w:val="1"/>
                <w:color w:val="auto"/>
                <w:w w:val="91"/>
              </w:rPr>
              <w:t>For the year ended December 31,</w:t>
            </w:r>
          </w:p>
        </w:tc>
        <w:tc>
          <w:tcPr>
            <w:tcW w:w="860" w:type="dxa"/>
            <w:vAlign w:val="bottom"/>
          </w:tcPr>
          <w:p>
            <w:pPr>
              <w:spacing w:after="0"/>
              <w:rPr>
                <w:sz w:val="16"/>
                <w:szCs w:val="16"/>
                <w:color w:val="auto"/>
              </w:rPr>
            </w:pPr>
          </w:p>
        </w:tc>
      </w:tr>
      <w:tr>
        <w:trPr>
          <w:trHeight w:val="25"/>
        </w:trPr>
        <w:tc>
          <w:tcPr>
            <w:tcW w:w="6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69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2020</w:t>
            </w:r>
          </w:p>
        </w:tc>
      </w:tr>
      <w:tr>
        <w:trPr>
          <w:trHeight w:val="21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8"/>
        </w:trPr>
        <w:tc>
          <w:tcPr>
            <w:tcW w:w="690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40" w:type="dxa"/>
            <w:vAlign w:val="bottom"/>
            <w:gridSpan w:val="2"/>
          </w:tcPr>
          <w:p>
            <w:pPr>
              <w:jc w:val="right"/>
              <w:ind w:right="15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49,616</w:t>
            </w:r>
          </w:p>
        </w:tc>
        <w:tc>
          <w:tcPr>
            <w:tcW w:w="100" w:type="dxa"/>
            <w:vAlign w:val="bottom"/>
          </w:tcPr>
          <w:p>
            <w:pPr>
              <w:spacing w:after="0"/>
              <w:rPr>
                <w:sz w:val="19"/>
                <w:szCs w:val="19"/>
                <w:color w:val="auto"/>
              </w:rPr>
            </w:pPr>
          </w:p>
        </w:tc>
        <w:tc>
          <w:tcPr>
            <w:tcW w:w="680" w:type="dxa"/>
            <w:vAlign w:val="bottom"/>
          </w:tcPr>
          <w:p>
            <w:pPr>
              <w:jc w:val="right"/>
              <w:ind w:right="495"/>
              <w:spacing w:after="0"/>
              <w:rPr>
                <w:sz w:val="20"/>
                <w:szCs w:val="20"/>
                <w:color w:val="auto"/>
              </w:rPr>
            </w:pPr>
            <w:r>
              <w:rPr>
                <w:rFonts w:ascii="Arial" w:cs="Arial" w:eastAsia="Arial" w:hAnsi="Arial"/>
                <w:sz w:val="18"/>
                <w:szCs w:val="18"/>
                <w:color w:val="auto"/>
                <w:w w:val="79"/>
              </w:rPr>
              <w:t>$</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48,458</w:t>
            </w:r>
          </w:p>
        </w:tc>
        <w:tc>
          <w:tcPr>
            <w:tcW w:w="100" w:type="dxa"/>
            <w:vAlign w:val="bottom"/>
          </w:tcPr>
          <w:p>
            <w:pPr>
              <w:spacing w:after="0"/>
              <w:rPr>
                <w:sz w:val="19"/>
                <w:szCs w:val="19"/>
                <w:color w:val="auto"/>
              </w:rPr>
            </w:pPr>
          </w:p>
        </w:tc>
        <w:tc>
          <w:tcPr>
            <w:tcW w:w="520" w:type="dxa"/>
            <w:vAlign w:val="bottom"/>
          </w:tcPr>
          <w:p>
            <w:pPr>
              <w:jc w:val="right"/>
              <w:ind w:right="338"/>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(44,222)</w:t>
            </w:r>
          </w:p>
        </w:tc>
      </w:tr>
      <w:tr>
        <w:trPr>
          <w:trHeight w:val="228"/>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w:t>
            </w:r>
          </w:p>
        </w:tc>
      </w:tr>
      <w:tr>
        <w:trPr>
          <w:trHeight w:val="228"/>
        </w:trPr>
        <w:tc>
          <w:tcPr>
            <w:tcW w:w="690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28"/>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(32,010)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(34,204)</w:t>
            </w:r>
          </w:p>
        </w:tc>
      </w:tr>
      <w:tr>
        <w:trPr>
          <w:trHeight w:val="221"/>
        </w:trPr>
        <w:tc>
          <w:tcPr>
            <w:tcW w:w="69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19,799</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18,170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(101,217)</w:t>
            </w:r>
          </w:p>
        </w:tc>
      </w:tr>
      <w:tr>
        <w:trPr>
          <w:trHeight w:val="21"/>
        </w:trPr>
        <w:tc>
          <w:tcPr>
            <w:tcW w:w="6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05"/>
        </w:trPr>
        <w:tc>
          <w:tcPr>
            <w:tcW w:w="6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gridSpan w:val="9"/>
          </w:tcPr>
          <w:p>
            <w:pPr>
              <w:jc w:val="center"/>
              <w:ind w:left="438"/>
              <w:spacing w:after="0"/>
              <w:rPr>
                <w:sz w:val="20"/>
                <w:szCs w:val="20"/>
                <w:color w:val="auto"/>
              </w:rPr>
            </w:pPr>
            <w:r>
              <w:rPr>
                <w:rFonts w:ascii="Arial" w:cs="Arial" w:eastAsia="Arial" w:hAnsi="Arial"/>
                <w:sz w:val="14"/>
                <w:szCs w:val="14"/>
                <w:b w:val="1"/>
                <w:bCs w:val="1"/>
                <w:color w:val="auto"/>
                <w:w w:val="91"/>
              </w:rPr>
              <w:t>For the year ended December 31,</w:t>
            </w:r>
          </w:p>
        </w:tc>
        <w:tc>
          <w:tcPr>
            <w:tcW w:w="860" w:type="dxa"/>
            <w:vAlign w:val="bottom"/>
          </w:tcPr>
          <w:p>
            <w:pPr>
              <w:spacing w:after="0"/>
              <w:rPr>
                <w:sz w:val="24"/>
                <w:szCs w:val="24"/>
                <w:color w:val="auto"/>
              </w:rPr>
            </w:pPr>
          </w:p>
        </w:tc>
      </w:tr>
      <w:tr>
        <w:trPr>
          <w:trHeight w:val="25"/>
        </w:trPr>
        <w:tc>
          <w:tcPr>
            <w:tcW w:w="6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69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2020</w:t>
            </w:r>
          </w:p>
        </w:tc>
      </w:tr>
      <w:tr>
        <w:trPr>
          <w:trHeight w:val="21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8"/>
        </w:trPr>
        <w:tc>
          <w:tcPr>
            <w:tcW w:w="690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40" w:type="dxa"/>
            <w:vAlign w:val="bottom"/>
            <w:gridSpan w:val="2"/>
          </w:tcPr>
          <w:p>
            <w:pPr>
              <w:jc w:val="right"/>
              <w:ind w:right="15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25,103</w:t>
            </w:r>
          </w:p>
        </w:tc>
        <w:tc>
          <w:tcPr>
            <w:tcW w:w="100" w:type="dxa"/>
            <w:vAlign w:val="bottom"/>
          </w:tcPr>
          <w:p>
            <w:pPr>
              <w:spacing w:after="0"/>
              <w:rPr>
                <w:sz w:val="19"/>
                <w:szCs w:val="19"/>
                <w:color w:val="auto"/>
              </w:rPr>
            </w:pPr>
          </w:p>
        </w:tc>
        <w:tc>
          <w:tcPr>
            <w:tcW w:w="680" w:type="dxa"/>
            <w:vAlign w:val="bottom"/>
          </w:tcPr>
          <w:p>
            <w:pPr>
              <w:jc w:val="right"/>
              <w:ind w:right="495"/>
              <w:spacing w:after="0"/>
              <w:rPr>
                <w:sz w:val="20"/>
                <w:szCs w:val="20"/>
                <w:color w:val="auto"/>
              </w:rPr>
            </w:pPr>
            <w:r>
              <w:rPr>
                <w:rFonts w:ascii="Arial" w:cs="Arial" w:eastAsia="Arial" w:hAnsi="Arial"/>
                <w:sz w:val="18"/>
                <w:szCs w:val="18"/>
                <w:color w:val="auto"/>
                <w:w w:val="79"/>
              </w:rPr>
              <w:t>$</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25,259</w:t>
            </w:r>
          </w:p>
        </w:tc>
        <w:tc>
          <w:tcPr>
            <w:tcW w:w="100" w:type="dxa"/>
            <w:vAlign w:val="bottom"/>
          </w:tcPr>
          <w:p>
            <w:pPr>
              <w:spacing w:after="0"/>
              <w:rPr>
                <w:sz w:val="19"/>
                <w:szCs w:val="19"/>
                <w:color w:val="auto"/>
              </w:rPr>
            </w:pPr>
          </w:p>
        </w:tc>
        <w:tc>
          <w:tcPr>
            <w:tcW w:w="520" w:type="dxa"/>
            <w:vAlign w:val="bottom"/>
          </w:tcPr>
          <w:p>
            <w:pPr>
              <w:jc w:val="right"/>
              <w:ind w:right="338"/>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26,093</w:t>
            </w:r>
          </w:p>
        </w:tc>
      </w:tr>
      <w:tr>
        <w:trPr>
          <w:trHeight w:val="228"/>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r>
      <w:tr>
        <w:trPr>
          <w:trHeight w:val="228"/>
        </w:trPr>
        <w:tc>
          <w:tcPr>
            <w:tcW w:w="690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28"/>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1"/>
        </w:trPr>
        <w:tc>
          <w:tcPr>
            <w:tcW w:w="69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33,294</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34,921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35,705</w:t>
            </w:r>
          </w:p>
        </w:tc>
      </w:tr>
      <w:tr>
        <w:trPr>
          <w:trHeight w:val="21"/>
        </w:trPr>
        <w:tc>
          <w:tcPr>
            <w:tcW w:w="6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05"/>
        </w:trPr>
        <w:tc>
          <w:tcPr>
            <w:tcW w:w="6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
        </w:trPr>
        <w:tc>
          <w:tcPr>
            <w:tcW w:w="69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69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6"/>
                <w:szCs w:val="16"/>
                <w:color w:val="auto"/>
              </w:rPr>
            </w:pPr>
          </w:p>
        </w:tc>
      </w:tr>
      <w:tr>
        <w:trPr>
          <w:trHeight w:val="21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8"/>
        </w:trPr>
        <w:tc>
          <w:tcPr>
            <w:tcW w:w="690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40" w:type="dxa"/>
            <w:vAlign w:val="bottom"/>
            <w:gridSpan w:val="2"/>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43,260</w:t>
            </w:r>
          </w:p>
        </w:tc>
        <w:tc>
          <w:tcPr>
            <w:tcW w:w="700" w:type="dxa"/>
            <w:vAlign w:val="bottom"/>
            <w:gridSpan w:val="4"/>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51,862</w:t>
            </w:r>
          </w:p>
        </w:tc>
      </w:tr>
      <w:tr>
        <w:trPr>
          <w:trHeight w:val="228"/>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r>
      <w:tr>
        <w:trPr>
          <w:trHeight w:val="228"/>
        </w:trPr>
        <w:tc>
          <w:tcPr>
            <w:tcW w:w="690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28"/>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1"/>
        </w:trPr>
        <w:tc>
          <w:tcPr>
            <w:tcW w:w="6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gridSpan w:val="2"/>
          </w:tcPr>
          <w:p>
            <w:pPr>
              <w:jc w:val="right"/>
              <w:ind w:right="41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59,381</w:t>
            </w:r>
          </w:p>
        </w:tc>
      </w:tr>
      <w:tr>
        <w:trPr>
          <w:trHeight w:val="21"/>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7"/>
        </w:trPr>
        <w:tc>
          <w:tcPr>
            <w:tcW w:w="6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
        </w:trPr>
        <w:tc>
          <w:tcPr>
            <w:tcW w:w="6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69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6"/>
                <w:szCs w:val="16"/>
                <w:color w:val="auto"/>
              </w:rPr>
            </w:pPr>
          </w:p>
        </w:tc>
      </w:tr>
      <w:tr>
        <w:trPr>
          <w:trHeight w:val="21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8"/>
        </w:trPr>
        <w:tc>
          <w:tcPr>
            <w:tcW w:w="690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40" w:type="dxa"/>
            <w:vAlign w:val="bottom"/>
            <w:gridSpan w:val="2"/>
          </w:tcPr>
          <w:p>
            <w:pPr>
              <w:jc w:val="right"/>
              <w:ind w:right="151"/>
              <w:spacing w:after="0"/>
              <w:rPr>
                <w:sz w:val="20"/>
                <w:szCs w:val="20"/>
                <w:color w:val="auto"/>
              </w:rPr>
            </w:pPr>
            <w:r>
              <w:rPr>
                <w:rFonts w:ascii="Arial" w:cs="Arial" w:eastAsia="Arial" w:hAnsi="Arial"/>
                <w:sz w:val="18"/>
                <w:szCs w:val="18"/>
                <w:color w:val="auto"/>
                <w:w w:val="79"/>
              </w:rPr>
              <w: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407,779</w:t>
            </w:r>
          </w:p>
        </w:tc>
        <w:tc>
          <w:tcPr>
            <w:tcW w:w="700" w:type="dxa"/>
            <w:vAlign w:val="bottom"/>
            <w:gridSpan w:val="4"/>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424,058</w:t>
            </w:r>
          </w:p>
        </w:tc>
      </w:tr>
      <w:tr>
        <w:trPr>
          <w:trHeight w:val="228"/>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104,531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111,619</w:t>
            </w:r>
          </w:p>
        </w:tc>
      </w:tr>
      <w:tr>
        <w:trPr>
          <w:trHeight w:val="228"/>
        </w:trPr>
        <w:tc>
          <w:tcPr>
            <w:tcW w:w="690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10,532</w:t>
            </w:r>
          </w:p>
        </w:tc>
      </w:tr>
      <w:tr>
        <w:trPr>
          <w:trHeight w:val="228"/>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15,986</w:t>
            </w:r>
          </w:p>
        </w:tc>
      </w:tr>
      <w:tr>
        <w:trPr>
          <w:trHeight w:val="221"/>
        </w:trPr>
        <w:tc>
          <w:tcPr>
            <w:tcW w:w="69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534,904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gridSpan w:val="2"/>
          </w:tcPr>
          <w:p>
            <w:pPr>
              <w:jc w:val="right"/>
              <w:ind w:right="41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562,195</w:t>
            </w:r>
          </w:p>
        </w:tc>
      </w:tr>
      <w:tr>
        <w:trPr>
          <w:trHeight w:val="21"/>
        </w:trPr>
        <w:tc>
          <w:tcPr>
            <w:tcW w:w="6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05"/>
        </w:trPr>
        <w:tc>
          <w:tcPr>
            <w:tcW w:w="6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
        </w:trPr>
        <w:tc>
          <w:tcPr>
            <w:tcW w:w="69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69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6"/>
                <w:szCs w:val="16"/>
                <w:color w:val="auto"/>
              </w:rPr>
            </w:pPr>
          </w:p>
        </w:tc>
      </w:tr>
      <w:tr>
        <w:trPr>
          <w:trHeight w:val="21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8"/>
        </w:trPr>
        <w:tc>
          <w:tcPr>
            <w:tcW w:w="69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gridSpan w:val="2"/>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176,237</w:t>
            </w:r>
          </w:p>
        </w:tc>
        <w:tc>
          <w:tcPr>
            <w:tcW w:w="700" w:type="dxa"/>
            <w:vAlign w:val="bottom"/>
            <w:gridSpan w:val="4"/>
          </w:tcPr>
          <w:p>
            <w:pPr>
              <w:jc w:val="right"/>
              <w:ind w:right="3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183,052</w:t>
            </w:r>
          </w:p>
        </w:tc>
      </w:tr>
      <w:tr>
        <w:trPr>
          <w:trHeight w:val="228"/>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108,582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120,012</w:t>
            </w:r>
          </w:p>
        </w:tc>
      </w:tr>
      <w:tr>
        <w:trPr>
          <w:trHeight w:val="228"/>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Europe</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48,334</w:t>
            </w:r>
          </w:p>
        </w:tc>
      </w:tr>
      <w:tr>
        <w:trPr>
          <w:trHeight w:val="246"/>
        </w:trPr>
        <w:tc>
          <w:tcPr>
            <w:tcW w:w="6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326,211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gridSpan w:val="2"/>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351,398</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w:t>
      </w:r>
      <w:r>
        <w:rPr>
          <w:rFonts w:ascii="Arial" w:cs="Arial" w:eastAsia="Arial" w:hAnsi="Arial"/>
          <w:sz w:val="18"/>
          <w:szCs w:val="18"/>
          <w:i w:val="1"/>
          <w:iCs w:val="1"/>
          <w:color w:val="auto"/>
        </w:rPr>
        <w:t>2-Revenue</w:t>
      </w:r>
      <w:r>
        <w:rPr>
          <w:rFonts w:ascii="Arial" w:cs="Arial" w:eastAsia="Arial" w:hAnsi="Arial"/>
          <w:sz w:val="18"/>
          <w:szCs w:val="18"/>
          <w:color w:val="auto"/>
        </w:rPr>
        <w:t>, for revenues by segment and by geographic area for the years ended December 31, 2022, 2021, and 2020.</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Selected Quarterly Financial Information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quarterly results of operations for calendar years 2022, 2021, and 2020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Quarter ended</w:t>
            </w:r>
          </w:p>
        </w:tc>
        <w:tc>
          <w:tcPr>
            <w:tcW w:w="840" w:type="dxa"/>
            <w:vAlign w:val="bottom"/>
          </w:tcPr>
          <w:p>
            <w:pPr>
              <w:spacing w:after="0"/>
              <w:rPr>
                <w:sz w:val="16"/>
                <w:szCs w:val="16"/>
                <w:color w:val="auto"/>
              </w:rPr>
            </w:pPr>
          </w:p>
        </w:tc>
        <w:tc>
          <w:tcPr>
            <w:tcW w:w="1320" w:type="dxa"/>
            <w:vAlign w:val="bottom"/>
          </w:tcPr>
          <w:p>
            <w:pPr>
              <w:jc w:val="right"/>
              <w:ind w:right="73"/>
              <w:spacing w:after="0"/>
              <w:rPr>
                <w:sz w:val="20"/>
                <w:szCs w:val="20"/>
                <w:color w:val="auto"/>
              </w:rPr>
            </w:pPr>
            <w:r>
              <w:rPr>
                <w:rFonts w:ascii="Arial" w:cs="Arial" w:eastAsia="Arial" w:hAnsi="Arial"/>
                <w:sz w:val="14"/>
                <w:szCs w:val="14"/>
                <w:b w:val="1"/>
                <w:bCs w:val="1"/>
                <w:color w:val="auto"/>
                <w:w w:val="90"/>
              </w:rPr>
              <w:t>December 31, 2022</w:t>
            </w:r>
          </w:p>
        </w:tc>
        <w:tc>
          <w:tcPr>
            <w:tcW w:w="148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6"/>
                <w:szCs w:val="16"/>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b w:val="1"/>
                <w:bCs w:val="1"/>
                <w:color w:val="auto"/>
                <w:w w:val="98"/>
              </w:rPr>
              <w:t>June 30, 2022</w:t>
            </w:r>
          </w:p>
        </w:tc>
        <w:tc>
          <w:tcPr>
            <w:tcW w:w="220" w:type="dxa"/>
            <w:vAlign w:val="bottom"/>
          </w:tcPr>
          <w:p>
            <w:pPr>
              <w:spacing w:after="0"/>
              <w:rPr>
                <w:sz w:val="16"/>
                <w:szCs w:val="16"/>
                <w:color w:val="auto"/>
              </w:rPr>
            </w:pPr>
          </w:p>
        </w:tc>
        <w:tc>
          <w:tcPr>
            <w:tcW w:w="122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March 31, 2022</w:t>
            </w:r>
          </w:p>
        </w:tc>
      </w:tr>
      <w:tr>
        <w:trPr>
          <w:trHeight w:val="25"/>
        </w:trPr>
        <w:tc>
          <w:tcPr>
            <w:tcW w:w="4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168,218</w:t>
            </w: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178,462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179,031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161,662</w:t>
            </w:r>
          </w:p>
        </w:tc>
      </w:tr>
      <w:tr>
        <w:trPr>
          <w:trHeight w:val="228"/>
        </w:trPr>
        <w:tc>
          <w:tcPr>
            <w:tcW w:w="466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84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50,939</w:t>
            </w:r>
          </w:p>
        </w:tc>
        <w:tc>
          <w:tcPr>
            <w:tcW w:w="48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53,784</w:t>
            </w:r>
          </w:p>
        </w:tc>
        <w:tc>
          <w:tcPr>
            <w:tcW w:w="26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53,558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39,892</w:t>
            </w:r>
          </w:p>
        </w:tc>
      </w:tr>
      <w:tr>
        <w:trPr>
          <w:trHeight w:val="228"/>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5,802</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9,114</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9,576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r>
      <w:tr>
        <w:trPr>
          <w:trHeight w:val="228"/>
        </w:trPr>
        <w:tc>
          <w:tcPr>
            <w:tcW w:w="4660" w:type="dxa"/>
            <w:vAlign w:val="bottom"/>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2,842</w:t>
            </w:r>
          </w:p>
        </w:tc>
        <w:tc>
          <w:tcPr>
            <w:tcW w:w="4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4,643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(5,363)</w:t>
            </w:r>
          </w:p>
        </w:tc>
      </w:tr>
      <w:tr>
        <w:trPr>
          <w:trHeight w:val="228"/>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8"/>
        </w:trPr>
        <w:tc>
          <w:tcPr>
            <w:tcW w:w="4660" w:type="dxa"/>
            <w:vAlign w:val="bottom"/>
          </w:tcPr>
          <w:p>
            <w:pPr>
              <w:ind w:left="140"/>
              <w:spacing w:after="0"/>
              <w:rPr>
                <w:sz w:val="20"/>
                <w:szCs w:val="20"/>
                <w:color w:val="auto"/>
              </w:rPr>
            </w:pPr>
            <w:r>
              <w:rPr>
                <w:rFonts w:ascii="Arial" w:cs="Arial" w:eastAsia="Arial" w:hAnsi="Arial"/>
                <w:sz w:val="18"/>
                <w:szCs w:val="18"/>
                <w:color w:val="auto"/>
              </w:rPr>
              <w:t>Basic</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0.09</w:t>
            </w:r>
          </w:p>
        </w:tc>
        <w:tc>
          <w:tcPr>
            <w:tcW w:w="4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0.15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28"/>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0.09</w:t>
            </w: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538"/>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Quarter ended</w:t>
            </w:r>
          </w:p>
        </w:tc>
        <w:tc>
          <w:tcPr>
            <w:tcW w:w="840" w:type="dxa"/>
            <w:vAlign w:val="bottom"/>
          </w:tcPr>
          <w:p>
            <w:pPr>
              <w:spacing w:after="0"/>
              <w:rPr>
                <w:sz w:val="24"/>
                <w:szCs w:val="24"/>
                <w:color w:val="auto"/>
              </w:rPr>
            </w:pPr>
          </w:p>
        </w:tc>
        <w:tc>
          <w:tcPr>
            <w:tcW w:w="1320" w:type="dxa"/>
            <w:vAlign w:val="bottom"/>
          </w:tcPr>
          <w:p>
            <w:pPr>
              <w:jc w:val="right"/>
              <w:ind w:right="73"/>
              <w:spacing w:after="0"/>
              <w:rPr>
                <w:sz w:val="20"/>
                <w:szCs w:val="20"/>
                <w:color w:val="auto"/>
              </w:rPr>
            </w:pPr>
            <w:r>
              <w:rPr>
                <w:rFonts w:ascii="Arial" w:cs="Arial" w:eastAsia="Arial" w:hAnsi="Arial"/>
                <w:sz w:val="14"/>
                <w:szCs w:val="14"/>
                <w:b w:val="1"/>
                <w:bCs w:val="1"/>
                <w:color w:val="auto"/>
                <w:w w:val="90"/>
              </w:rPr>
              <w:t>December 31, 2021</w:t>
            </w:r>
          </w:p>
        </w:tc>
        <w:tc>
          <w:tcPr>
            <w:tcW w:w="148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Pr>
          <w:p>
            <w:pPr>
              <w:spacing w:after="0"/>
              <w:rPr>
                <w:sz w:val="24"/>
                <w:szCs w:val="24"/>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b w:val="1"/>
                <w:bCs w:val="1"/>
                <w:color w:val="auto"/>
                <w:w w:val="98"/>
              </w:rPr>
              <w:t>June 30, 2021</w:t>
            </w:r>
          </w:p>
        </w:tc>
        <w:tc>
          <w:tcPr>
            <w:tcW w:w="220" w:type="dxa"/>
            <w:vAlign w:val="bottom"/>
          </w:tcPr>
          <w:p>
            <w:pPr>
              <w:spacing w:after="0"/>
              <w:rPr>
                <w:sz w:val="24"/>
                <w:szCs w:val="24"/>
                <w:color w:val="auto"/>
              </w:rPr>
            </w:pPr>
          </w:p>
        </w:tc>
        <w:tc>
          <w:tcPr>
            <w:tcW w:w="122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March 31, 2021</w:t>
            </w:r>
          </w:p>
        </w:tc>
      </w:tr>
      <w:tr>
        <w:trPr>
          <w:trHeight w:val="25"/>
        </w:trPr>
        <w:tc>
          <w:tcPr>
            <w:tcW w:w="4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171,163</w:t>
            </w: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174,556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177,677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153,735</w:t>
            </w:r>
          </w:p>
        </w:tc>
      </w:tr>
      <w:tr>
        <w:trPr>
          <w:trHeight w:val="228"/>
        </w:trPr>
        <w:tc>
          <w:tcPr>
            <w:tcW w:w="466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84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49,594</w:t>
            </w:r>
          </w:p>
        </w:tc>
        <w:tc>
          <w:tcPr>
            <w:tcW w:w="48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52,216</w:t>
            </w:r>
          </w:p>
        </w:tc>
        <w:tc>
          <w:tcPr>
            <w:tcW w:w="26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55,336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40,001</w:t>
            </w:r>
          </w:p>
        </w:tc>
      </w:tr>
      <w:tr>
        <w:trPr>
          <w:trHeight w:val="228"/>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2,306</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9,236</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11,374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r>
      <w:tr>
        <w:trPr>
          <w:trHeight w:val="228"/>
        </w:trPr>
        <w:tc>
          <w:tcPr>
            <w:tcW w:w="4660" w:type="dxa"/>
            <w:vAlign w:val="bottom"/>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w:t>
            </w:r>
          </w:p>
        </w:tc>
        <w:tc>
          <w:tcPr>
            <w:tcW w:w="4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5,937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(5,362)</w:t>
            </w:r>
          </w:p>
        </w:tc>
      </w:tr>
      <w:tr>
        <w:trPr>
          <w:trHeight w:val="228"/>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8"/>
        </w:trPr>
        <w:tc>
          <w:tcPr>
            <w:tcW w:w="4660" w:type="dxa"/>
            <w:vAlign w:val="bottom"/>
          </w:tcPr>
          <w:p>
            <w:pPr>
              <w:ind w:left="140"/>
              <w:spacing w:after="0"/>
              <w:rPr>
                <w:sz w:val="20"/>
                <w:szCs w:val="20"/>
                <w:color w:val="auto"/>
              </w:rPr>
            </w:pPr>
            <w:r>
              <w:rPr>
                <w:rFonts w:ascii="Arial" w:cs="Arial" w:eastAsia="Arial" w:hAnsi="Arial"/>
                <w:sz w:val="18"/>
                <w:szCs w:val="18"/>
                <w:color w:val="auto"/>
              </w:rPr>
              <w:t>Basic</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0.00</w:t>
            </w:r>
          </w:p>
        </w:tc>
        <w:tc>
          <w:tcPr>
            <w:tcW w:w="4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0.20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28"/>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0.00</w:t>
            </w: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525"/>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Quarter ended</w:t>
            </w:r>
          </w:p>
        </w:tc>
        <w:tc>
          <w:tcPr>
            <w:tcW w:w="840" w:type="dxa"/>
            <w:vAlign w:val="bottom"/>
          </w:tcPr>
          <w:p>
            <w:pPr>
              <w:spacing w:after="0"/>
              <w:rPr>
                <w:sz w:val="24"/>
                <w:szCs w:val="24"/>
                <w:color w:val="auto"/>
              </w:rPr>
            </w:pPr>
          </w:p>
        </w:tc>
        <w:tc>
          <w:tcPr>
            <w:tcW w:w="1320" w:type="dxa"/>
            <w:vAlign w:val="bottom"/>
          </w:tcPr>
          <w:p>
            <w:pPr>
              <w:jc w:val="right"/>
              <w:ind w:right="73"/>
              <w:spacing w:after="0"/>
              <w:rPr>
                <w:sz w:val="20"/>
                <w:szCs w:val="20"/>
                <w:color w:val="auto"/>
              </w:rPr>
            </w:pPr>
            <w:r>
              <w:rPr>
                <w:rFonts w:ascii="Arial" w:cs="Arial" w:eastAsia="Arial" w:hAnsi="Arial"/>
                <w:sz w:val="14"/>
                <w:szCs w:val="14"/>
                <w:b w:val="1"/>
                <w:bCs w:val="1"/>
                <w:color w:val="auto"/>
                <w:w w:val="90"/>
              </w:rPr>
              <w:t>December 31, 2020</w:t>
            </w:r>
          </w:p>
        </w:tc>
        <w:tc>
          <w:tcPr>
            <w:tcW w:w="148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Pr>
          <w:p>
            <w:pPr>
              <w:spacing w:after="0"/>
              <w:rPr>
                <w:sz w:val="24"/>
                <w:szCs w:val="24"/>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b w:val="1"/>
                <w:bCs w:val="1"/>
                <w:color w:val="auto"/>
                <w:w w:val="98"/>
              </w:rPr>
              <w:t>June 30, 2020</w:t>
            </w:r>
          </w:p>
        </w:tc>
        <w:tc>
          <w:tcPr>
            <w:tcW w:w="220" w:type="dxa"/>
            <w:vAlign w:val="bottom"/>
          </w:tcPr>
          <w:p>
            <w:pPr>
              <w:spacing w:after="0"/>
              <w:rPr>
                <w:sz w:val="24"/>
                <w:szCs w:val="24"/>
                <w:color w:val="auto"/>
              </w:rPr>
            </w:pPr>
          </w:p>
        </w:tc>
        <w:tc>
          <w:tcPr>
            <w:tcW w:w="122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March 31, 2020</w:t>
            </w:r>
          </w:p>
        </w:tc>
      </w:tr>
      <w:tr>
        <w:trPr>
          <w:trHeight w:val="25"/>
        </w:trPr>
        <w:tc>
          <w:tcPr>
            <w:tcW w:w="4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160,777</w:t>
            </w: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147,894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124,435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159,465</w:t>
            </w:r>
          </w:p>
        </w:tc>
      </w:tr>
      <w:tr>
        <w:trPr>
          <w:trHeight w:val="228"/>
        </w:trPr>
        <w:tc>
          <w:tcPr>
            <w:tcW w:w="466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84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49,345</w:t>
            </w:r>
          </w:p>
        </w:tc>
        <w:tc>
          <w:tcPr>
            <w:tcW w:w="48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47,384</w:t>
            </w:r>
          </w:p>
        </w:tc>
        <w:tc>
          <w:tcPr>
            <w:tcW w:w="26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41,158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40,644</w:t>
            </w:r>
          </w:p>
        </w:tc>
      </w:tr>
      <w:tr>
        <w:trPr>
          <w:trHeight w:val="228"/>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4,652</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5,742</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(111,228)</w:t>
            </w:r>
          </w:p>
        </w:tc>
      </w:tr>
      <w:tr>
        <w:trPr>
          <w:trHeight w:val="228"/>
        </w:trPr>
        <w:tc>
          <w:tcPr>
            <w:tcW w:w="4660" w:type="dxa"/>
            <w:vAlign w:val="bottom"/>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181</w:t>
            </w:r>
          </w:p>
        </w:tc>
        <w:tc>
          <w:tcPr>
            <w:tcW w:w="4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(98,509)</w:t>
            </w:r>
          </w:p>
        </w:tc>
      </w:tr>
      <w:tr>
        <w:trPr>
          <w:trHeight w:val="228"/>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8"/>
        </w:trPr>
        <w:tc>
          <w:tcPr>
            <w:tcW w:w="4660" w:type="dxa"/>
            <w:vAlign w:val="bottom"/>
          </w:tcPr>
          <w:p>
            <w:pPr>
              <w:ind w:left="140"/>
              <w:spacing w:after="0"/>
              <w:rPr>
                <w:sz w:val="20"/>
                <w:szCs w:val="20"/>
                <w:color w:val="auto"/>
              </w:rPr>
            </w:pPr>
            <w:r>
              <w:rPr>
                <w:rFonts w:ascii="Arial" w:cs="Arial" w:eastAsia="Arial" w:hAnsi="Arial"/>
                <w:sz w:val="18"/>
                <w:szCs w:val="18"/>
                <w:color w:val="auto"/>
              </w:rPr>
              <w:t>Basic</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4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28"/>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and procedures (as defined in Rule 13a-15(e) under the Exchange Act). Based upon that evaluation, our President and Chief Executive Officer and our Executive Vice President, Chief Financial Officer and Treasurer concluded that, as of December 31, 2022, our disclosure controls and procedures were effective.</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Our internal control over financial reporting is a process designed by, or under the supervision of, our President and Chief Executive Officer and our Executive Vice President, Chief Financial Officer and Treasurer, and effected by our board of directors, management and other personnel to provide reasonable assurance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580"/>
        <w:spacing w:after="0" w:line="272" w:lineRule="auto"/>
        <w:rPr>
          <w:sz w:val="20"/>
          <w:szCs w:val="20"/>
          <w:color w:val="auto"/>
        </w:rPr>
      </w:pPr>
      <w:r>
        <w:rPr>
          <w:rFonts w:ascii="Arial" w:cs="Arial" w:eastAsia="Arial" w:hAnsi="Arial"/>
          <w:sz w:val="18"/>
          <w:szCs w:val="18"/>
          <w:color w:val="auto"/>
        </w:rPr>
        <w:t>regarding the reliability of financial reporting and the preparation of financial statements for external purposes in accordance with generally accepted accounting principles.</w:t>
      </w:r>
    </w:p>
    <w:p>
      <w:pPr>
        <w:spacing w:after="0" w:line="17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12" w:lineRule="exact"/>
        <w:rPr>
          <w:sz w:val="20"/>
          <w:szCs w:val="20"/>
          <w:color w:val="auto"/>
        </w:rPr>
      </w:pPr>
    </w:p>
    <w:p>
      <w:pPr>
        <w:ind w:right="180"/>
        <w:spacing w:after="0" w:line="302"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5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2022. In making this assessment, management used the criteria set forth by the Committee of Sponsoring Organizations of the Treadway Commission (COSO) in the updated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in 2013</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that assessment, our management concluded that, as of December 31, 2022,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was effective.</w:t>
      </w:r>
    </w:p>
    <w:p>
      <w:pPr>
        <w:spacing w:after="0" w:line="1"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KPMG LLP, an independent registered public accounting firm, as stated in their report which appears herein.</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09"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2022, that has materially affected, or is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 THAT PREVENT INSPECTIONS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6"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Certain of the information concerning our executive officers required by this Item 10 is provided under the caption “Executive Officers” in Part I of this Annual Report. The remaining information required by Item 10 is incorporated herein by reference to the relevant information to be included in our definitive proxy statement related to our 2023 annual meeting of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6"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color w:val="auto"/>
        </w:rPr>
        <w:t>The information required by Item 11 is incorporated by reference to the relevant information to be included in our definitive proxy statement related to the 2023 annual meeting of stockholders.</w:t>
      </w:r>
    </w:p>
    <w:p>
      <w:pPr>
        <w:spacing w:after="0" w:line="170"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1"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The information required by Item 12 is incorporated by reference to the relevant information to be included in our definitive proxy statement related to the 2023 annual meeting of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6"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The information required by Item 13 is incorporated by reference to the relevant information to be included in our definitive proxy statement related to the 2023 annual meeting of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83820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color w:val="auto"/>
        </w:rPr>
        <w:t>The information required by Item 14 is incorporated by reference to the information to be included in our definitive proxy statement related to the 2023 annual meeting of stockholders.</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(1) The following financial statements are filed herewith in Item 8 of Part II above:</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80" w:type="dxa"/>
            <w:vAlign w:val="bottom"/>
            <w:gridSpan w:val="3"/>
          </w:tcPr>
          <w:p>
            <w:pPr>
              <w:ind w:lef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
        </w:trPr>
        <w:tc>
          <w:tcPr>
            <w:tcW w:w="5640" w:type="dxa"/>
            <w:vAlign w:val="bottom"/>
            <w:gridSpan w:val="3"/>
            <w:vMerge w:val="restart"/>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4580" w:type="dxa"/>
            <w:vAlign w:val="bottom"/>
            <w:gridSpan w:val="5"/>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640" w:type="dxa"/>
            <w:vAlign w:val="bottom"/>
            <w:gridSpan w:val="3"/>
            <w:vMerge w:val="continue"/>
          </w:tcPr>
          <w:p>
            <w:pPr>
              <w:spacing w:after="0"/>
              <w:rPr>
                <w:sz w:val="14"/>
                <w:szCs w:val="14"/>
                <w:color w:val="auto"/>
              </w:rPr>
            </w:pPr>
          </w:p>
        </w:tc>
        <w:tc>
          <w:tcPr>
            <w:tcW w:w="4580" w:type="dxa"/>
            <w:vAlign w:val="bottom"/>
            <w:gridSpan w:val="5"/>
            <w:vMerge w:val="continue"/>
          </w:tcPr>
          <w:p>
            <w:pPr>
              <w:spacing w:after="0"/>
              <w:rPr>
                <w:sz w:val="14"/>
                <w:szCs w:val="14"/>
                <w:color w:val="auto"/>
              </w:rPr>
            </w:pPr>
          </w:p>
        </w:tc>
        <w:tc>
          <w:tcPr>
            <w:tcW w:w="980" w:type="dxa"/>
            <w:vAlign w:val="bottom"/>
            <w:gridSpan w:val="3"/>
          </w:tcPr>
          <w:p>
            <w:pPr>
              <w:jc w:val="right"/>
              <w:ind w:right="20"/>
              <w:spacing w:after="0" w:line="168" w:lineRule="exact"/>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7"/>
        </w:trPr>
        <w:tc>
          <w:tcPr>
            <w:tcW w:w="3020" w:type="dxa"/>
            <w:vAlign w:val="bottom"/>
            <w:shd w:val="clear" w:color="auto" w:fill="0000FF"/>
          </w:tcPr>
          <w:p>
            <w:pPr>
              <w:spacing w:after="0"/>
              <w:rPr>
                <w:sz w:val="2"/>
                <w:szCs w:val="2"/>
                <w:color w:val="auto"/>
              </w:rPr>
            </w:pPr>
          </w:p>
        </w:tc>
        <w:tc>
          <w:tcPr>
            <w:tcW w:w="2620" w:type="dxa"/>
            <w:vAlign w:val="bottom"/>
            <w:gridSpan w:val="2"/>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640" w:type="dxa"/>
            <w:vAlign w:val="bottom"/>
            <w:gridSpan w:val="3"/>
          </w:tcPr>
          <w:p>
            <w:pPr>
              <w:spacing w:after="0"/>
              <w:rPr>
                <w:sz w:val="20"/>
                <w:szCs w:val="20"/>
                <w:color w:val="auto"/>
              </w:rPr>
            </w:pPr>
            <w:r>
              <w:rPr>
                <w:rFonts w:ascii="Arial" w:cs="Arial" w:eastAsia="Arial" w:hAnsi="Arial"/>
                <w:sz w:val="18"/>
                <w:szCs w:val="18"/>
                <w:color w:val="0000FF"/>
                <w:w w:val="88"/>
              </w:rPr>
              <w:t>Consolidated Balance sheets as of December 31, 2022 and December 31, 2021</w:t>
            </w:r>
          </w:p>
        </w:tc>
        <w:tc>
          <w:tcPr>
            <w:tcW w:w="820" w:type="dxa"/>
            <w:vAlign w:val="bottom"/>
          </w:tcPr>
          <w:p>
            <w:pPr>
              <w:spacing w:after="0"/>
              <w:rPr>
                <w:sz w:val="18"/>
                <w:szCs w:val="18"/>
                <w:color w:val="auto"/>
              </w:rPr>
            </w:pPr>
          </w:p>
        </w:tc>
        <w:tc>
          <w:tcPr>
            <w:tcW w:w="3760" w:type="dxa"/>
            <w:vAlign w:val="bottom"/>
            <w:gridSpan w:val="4"/>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0000FF"/>
              </w:rPr>
              <w:t>47</w:t>
            </w: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00" w:type="dxa"/>
            <w:vAlign w:val="bottom"/>
            <w:gridSpan w:val="6"/>
          </w:tcPr>
          <w:p>
            <w:pPr>
              <w:spacing w:after="0"/>
              <w:rPr>
                <w:sz w:val="20"/>
                <w:szCs w:val="20"/>
                <w:color w:val="auto"/>
              </w:rPr>
            </w:pPr>
            <w:r>
              <w:rPr>
                <w:rFonts w:ascii="Arial" w:cs="Arial" w:eastAsia="Arial" w:hAnsi="Arial"/>
                <w:sz w:val="18"/>
                <w:szCs w:val="18"/>
                <w:color w:val="0000FF"/>
                <w:w w:val="88"/>
              </w:rPr>
              <w:t>Consolidated Statements of income (loss) for the years ended December 31, 2022, 2021 and 2020</w:t>
            </w:r>
          </w:p>
        </w:tc>
        <w:tc>
          <w:tcPr>
            <w:tcW w:w="3220" w:type="dxa"/>
            <w:vAlign w:val="bottom"/>
            <w:gridSpan w:val="2"/>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20" w:type="dxa"/>
            <w:vAlign w:val="bottom"/>
            <w:gridSpan w:val="7"/>
          </w:tcPr>
          <w:p>
            <w:pPr>
              <w:spacing w:after="0"/>
              <w:rPr>
                <w:sz w:val="20"/>
                <w:szCs w:val="20"/>
                <w:color w:val="auto"/>
              </w:rPr>
            </w:pPr>
            <w:r>
              <w:rPr>
                <w:rFonts w:ascii="Arial" w:cs="Arial" w:eastAsia="Arial" w:hAnsi="Arial"/>
                <w:sz w:val="18"/>
                <w:szCs w:val="18"/>
                <w:color w:val="0000FF"/>
                <w:w w:val="88"/>
              </w:rPr>
              <w:t>Consolidated Statements of comprehensive income (loss) for the years ended December 31, 2022, 2021 and 2020</w:t>
            </w:r>
          </w:p>
        </w:tc>
        <w:tc>
          <w:tcPr>
            <w:tcW w:w="21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20" w:type="dxa"/>
            <w:vAlign w:val="bottom"/>
            <w:gridSpan w:val="7"/>
          </w:tcPr>
          <w:p>
            <w:pPr>
              <w:spacing w:after="0"/>
              <w:rPr>
                <w:sz w:val="20"/>
                <w:szCs w:val="20"/>
                <w:color w:val="auto"/>
              </w:rPr>
            </w:pPr>
            <w:r>
              <w:rPr>
                <w:rFonts w:ascii="Arial" w:cs="Arial" w:eastAsia="Arial" w:hAnsi="Arial"/>
                <w:sz w:val="18"/>
                <w:szCs w:val="18"/>
                <w:color w:val="0000FF"/>
              </w:rPr>
              <w:t>Consolidated Statements of equity for the years ended December 31, 2022, 2021 and 2020</w:t>
            </w:r>
          </w:p>
        </w:tc>
        <w:tc>
          <w:tcPr>
            <w:tcW w:w="21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220" w:type="dxa"/>
            <w:vAlign w:val="bottom"/>
            <w:gridSpan w:val="8"/>
          </w:tcPr>
          <w:p>
            <w:pPr>
              <w:spacing w:after="0"/>
              <w:rPr>
                <w:sz w:val="20"/>
                <w:szCs w:val="20"/>
                <w:color w:val="auto"/>
              </w:rPr>
            </w:pPr>
            <w:r>
              <w:rPr>
                <w:rFonts w:ascii="Arial" w:cs="Arial" w:eastAsia="Arial" w:hAnsi="Arial"/>
                <w:sz w:val="18"/>
                <w:szCs w:val="18"/>
                <w:color w:val="0000FF"/>
              </w:rPr>
              <w:t>Consolidated Statements of cash flows for the years ended December 31, 2022, 2021 and 2020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0000FF"/>
              </w:rPr>
              <w:t>51</w:t>
            </w: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7200" w:type="dxa"/>
            <w:vAlign w:val="bottom"/>
            <w:gridSpan w:val="7"/>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22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0000FF"/>
              </w:rPr>
              <w:t>52</w:t>
            </w: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Financial Statement Schedules</w:t>
      </w:r>
    </w:p>
    <w:p>
      <w:pPr>
        <w:spacing w:after="0" w:line="222" w:lineRule="exact"/>
        <w:rPr>
          <w:sz w:val="20"/>
          <w:szCs w:val="20"/>
          <w:color w:val="auto"/>
        </w:rPr>
      </w:pPr>
    </w:p>
    <w:p>
      <w:pPr>
        <w:ind w:right="500"/>
        <w:spacing w:after="0" w:line="272" w:lineRule="auto"/>
        <w:rPr>
          <w:sz w:val="20"/>
          <w:szCs w:val="20"/>
          <w:color w:val="auto"/>
        </w:rPr>
      </w:pPr>
      <w:r>
        <w:rPr>
          <w:rFonts w:ascii="Arial" w:cs="Arial" w:eastAsia="Arial" w:hAnsi="Arial"/>
          <w:sz w:val="18"/>
          <w:szCs w:val="18"/>
          <w:color w:val="auto"/>
        </w:rPr>
        <w:t>All other schedules are omitted because of the absence of conditions under which they are required or because the required information is given in the financial statements or notes thereto.</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00" w:type="dxa"/>
            <w:vAlign w:val="bottom"/>
          </w:tcPr>
          <w:p>
            <w:pPr>
              <w:spacing w:after="0"/>
              <w:rPr>
                <w:sz w:val="20"/>
                <w:szCs w:val="20"/>
                <w:color w:val="auto"/>
              </w:rPr>
            </w:pPr>
            <w:r>
              <w:rPr>
                <w:rFonts w:ascii="Arial" w:cs="Arial" w:eastAsia="Arial" w:hAnsi="Arial"/>
                <w:sz w:val="18"/>
                <w:szCs w:val="18"/>
                <w:color w:val="auto"/>
              </w:rPr>
              <w:t>(3) Exhibits</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8"/>
        </w:trPr>
        <w:tc>
          <w:tcPr>
            <w:tcW w:w="160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560" w:type="dxa"/>
            <w:vAlign w:val="bottom"/>
            <w:gridSpan w:val="17"/>
          </w:tcPr>
          <w:p>
            <w:pPr>
              <w:ind w:left="1280"/>
              <w:spacing w:after="0"/>
              <w:rPr>
                <w:sz w:val="20"/>
                <w:szCs w:val="20"/>
                <w:color w:val="auto"/>
              </w:rPr>
            </w:pPr>
            <w:r>
              <w:rPr>
                <w:rFonts w:ascii="Arial" w:cs="Arial" w:eastAsia="Arial" w:hAnsi="Arial"/>
                <w:sz w:val="18"/>
                <w:szCs w:val="18"/>
                <w:b w:val="1"/>
                <w:bCs w:val="1"/>
                <w:color w:val="auto"/>
              </w:rPr>
              <w:t>Description</w:t>
            </w:r>
          </w:p>
        </w:tc>
      </w:tr>
      <w:tr>
        <w:trPr>
          <w:trHeight w:val="699"/>
        </w:trPr>
        <w:tc>
          <w:tcPr>
            <w:tcW w:w="1600" w:type="dxa"/>
            <w:vAlign w:val="bottom"/>
          </w:tcPr>
          <w:p>
            <w:pPr>
              <w:ind w:left="20"/>
              <w:spacing w:after="0"/>
              <w:rPr>
                <w:sz w:val="20"/>
                <w:szCs w:val="20"/>
                <w:color w:val="auto"/>
              </w:rPr>
            </w:pPr>
            <w:r>
              <w:rPr>
                <w:rFonts w:ascii="Arial" w:cs="Arial" w:eastAsia="Arial" w:hAnsi="Arial"/>
                <w:sz w:val="18"/>
                <w:szCs w:val="18"/>
                <w:color w:val="auto"/>
              </w:rPr>
              <w:t>3.1</w:t>
            </w:r>
          </w:p>
        </w:tc>
        <w:tc>
          <w:tcPr>
            <w:tcW w:w="9640" w:type="dxa"/>
            <w:vAlign w:val="bottom"/>
            <w:gridSpan w:val="21"/>
          </w:tcPr>
          <w:p>
            <w:pPr>
              <w:spacing w:after="0"/>
              <w:rPr>
                <w:rFonts w:ascii="Arial" w:cs="Arial" w:eastAsia="Arial" w:hAnsi="Arial"/>
                <w:sz w:val="18"/>
                <w:szCs w:val="18"/>
                <w:color w:val="0000FF"/>
                <w:w w:val="91"/>
              </w:rPr>
            </w:pPr>
            <w:hyperlink r:id="rId106">
              <w:r>
                <w:rPr>
                  <w:rFonts w:ascii="Arial" w:cs="Arial" w:eastAsia="Arial" w:hAnsi="Arial"/>
                  <w:sz w:val="18"/>
                  <w:szCs w:val="18"/>
                  <w:color w:val="0000FF"/>
                  <w:w w:val="91"/>
                </w:rPr>
                <w:t>Second Amended and Restated Certificate of Incorporation (filed as exhibit 3.1 to Registration Statement on Form S-1 (Amendment</w:t>
              </w:r>
            </w:hyperlink>
          </w:p>
        </w:tc>
      </w:tr>
      <w:tr>
        <w:trPr>
          <w:trHeight w:val="181"/>
        </w:trPr>
        <w:tc>
          <w:tcPr>
            <w:tcW w:w="1600" w:type="dxa"/>
            <w:vAlign w:val="bottom"/>
          </w:tcPr>
          <w:p>
            <w:pPr>
              <w:spacing w:after="0"/>
              <w:rPr>
                <w:sz w:val="15"/>
                <w:szCs w:val="15"/>
                <w:color w:val="auto"/>
              </w:rPr>
            </w:pPr>
          </w:p>
        </w:tc>
        <w:tc>
          <w:tcPr>
            <w:tcW w:w="7520" w:type="dxa"/>
            <w:vAlign w:val="bottom"/>
            <w:tcBorders>
              <w:top w:val="single" w:sz="8" w:color="0000FF"/>
              <w:bottom w:val="single" w:sz="8" w:color="0000FF"/>
            </w:tcBorders>
            <w:gridSpan w:val="9"/>
          </w:tcPr>
          <w:p>
            <w:pPr>
              <w:spacing w:after="0" w:line="181" w:lineRule="exact"/>
              <w:rPr>
                <w:rFonts w:ascii="Arial" w:cs="Arial" w:eastAsia="Arial" w:hAnsi="Arial"/>
                <w:sz w:val="18"/>
                <w:szCs w:val="18"/>
                <w:color w:val="0000FF"/>
                <w:w w:val="89"/>
              </w:rPr>
            </w:pPr>
            <w:hyperlink r:id="rId106">
              <w:r>
                <w:rPr>
                  <w:rFonts w:ascii="Arial" w:cs="Arial" w:eastAsia="Arial" w:hAnsi="Arial"/>
                  <w:sz w:val="18"/>
                  <w:szCs w:val="18"/>
                  <w:color w:val="0000FF"/>
                  <w:w w:val="89"/>
                </w:rPr>
                <w:t>No. 4) filed on September 21, 2009 (Registration No. 333-151559) and incorporated herein by reference)</w:t>
              </w:r>
            </w:hyperlink>
          </w:p>
        </w:tc>
        <w:tc>
          <w:tcPr>
            <w:tcW w:w="1960" w:type="dxa"/>
            <w:vAlign w:val="bottom"/>
            <w:tcBorders>
              <w:top w:val="single" w:sz="8" w:color="0000FF"/>
            </w:tcBorders>
            <w:gridSpan w:val="8"/>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8"/>
                <w:szCs w:val="18"/>
                <w:color w:val="auto"/>
              </w:rPr>
              <w:t>3.2</w:t>
            </w:r>
          </w:p>
        </w:tc>
        <w:tc>
          <w:tcPr>
            <w:tcW w:w="9640" w:type="dxa"/>
            <w:vAlign w:val="bottom"/>
            <w:gridSpan w:val="21"/>
          </w:tcPr>
          <w:p>
            <w:pPr>
              <w:spacing w:after="0"/>
              <w:rPr>
                <w:rFonts w:ascii="Arial" w:cs="Arial" w:eastAsia="Arial" w:hAnsi="Arial"/>
                <w:sz w:val="18"/>
                <w:szCs w:val="18"/>
                <w:color w:val="0000FF"/>
                <w:w w:val="94"/>
              </w:rPr>
            </w:pPr>
            <w:hyperlink r:id="rId107">
              <w:r>
                <w:rPr>
                  <w:rFonts w:ascii="Arial" w:cs="Arial" w:eastAsia="Arial" w:hAnsi="Arial"/>
                  <w:sz w:val="18"/>
                  <w:szCs w:val="18"/>
                  <w:color w:val="0000FF"/>
                  <w:w w:val="94"/>
                </w:rPr>
                <w:t>Certificate of Amendment to the Second Amended and Restated Certificate of Incorporation (filed as exhibit 3.1 to the Quarterly</w:t>
              </w:r>
            </w:hyperlink>
          </w:p>
        </w:tc>
      </w:tr>
      <w:tr>
        <w:trPr>
          <w:trHeight w:val="181"/>
        </w:trPr>
        <w:tc>
          <w:tcPr>
            <w:tcW w:w="1600" w:type="dxa"/>
            <w:vAlign w:val="bottom"/>
          </w:tcPr>
          <w:p>
            <w:pPr>
              <w:spacing w:after="0"/>
              <w:rPr>
                <w:sz w:val="15"/>
                <w:szCs w:val="15"/>
                <w:color w:val="auto"/>
              </w:rPr>
            </w:pPr>
          </w:p>
        </w:tc>
        <w:tc>
          <w:tcPr>
            <w:tcW w:w="6140" w:type="dxa"/>
            <w:vAlign w:val="bottom"/>
            <w:tcBorders>
              <w:top w:val="single" w:sz="8" w:color="0000FF"/>
              <w:bottom w:val="single" w:sz="8" w:color="0000FF"/>
            </w:tcBorders>
            <w:gridSpan w:val="7"/>
          </w:tcPr>
          <w:p>
            <w:pPr>
              <w:spacing w:after="0" w:line="181" w:lineRule="exact"/>
              <w:rPr>
                <w:rFonts w:ascii="Arial" w:cs="Arial" w:eastAsia="Arial" w:hAnsi="Arial"/>
                <w:sz w:val="18"/>
                <w:szCs w:val="18"/>
                <w:color w:val="0000FF"/>
                <w:w w:val="89"/>
              </w:rPr>
            </w:pPr>
            <w:hyperlink r:id="rId107">
              <w:r>
                <w:rPr>
                  <w:rFonts w:ascii="Arial" w:cs="Arial" w:eastAsia="Arial" w:hAnsi="Arial"/>
                  <w:sz w:val="18"/>
                  <w:szCs w:val="18"/>
                  <w:color w:val="0000FF"/>
                  <w:w w:val="89"/>
                </w:rPr>
                <w:t>Report on Form 10-Q filed on January 11, 2017 and incorporated herein by reference)</w:t>
              </w:r>
            </w:hyperlink>
          </w:p>
        </w:tc>
        <w:tc>
          <w:tcPr>
            <w:tcW w:w="306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8"/>
                <w:szCs w:val="18"/>
                <w:color w:val="auto"/>
              </w:rPr>
              <w:t>3.3</w:t>
            </w:r>
          </w:p>
        </w:tc>
        <w:tc>
          <w:tcPr>
            <w:tcW w:w="9640" w:type="dxa"/>
            <w:vAlign w:val="bottom"/>
            <w:gridSpan w:val="21"/>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Amended and Restated Bylaws, effective July 20, 2016 (filed as exhibit 3.1 to the Quarterly Report on Form 10-Q filed on October 7,</w:t>
              </w:r>
            </w:hyperlink>
          </w:p>
        </w:tc>
      </w:tr>
      <w:tr>
        <w:trPr>
          <w:trHeight w:val="181"/>
        </w:trPr>
        <w:tc>
          <w:tcPr>
            <w:tcW w:w="1600" w:type="dxa"/>
            <w:vAlign w:val="bottom"/>
          </w:tcPr>
          <w:p>
            <w:pPr>
              <w:spacing w:after="0"/>
              <w:rPr>
                <w:sz w:val="15"/>
                <w:szCs w:val="15"/>
                <w:color w:val="auto"/>
              </w:rPr>
            </w:pPr>
          </w:p>
        </w:tc>
        <w:tc>
          <w:tcPr>
            <w:tcW w:w="9560" w:type="dxa"/>
            <w:vAlign w:val="bottom"/>
            <w:tcBorders>
              <w:top w:val="single" w:sz="8" w:color="0000FF"/>
            </w:tcBorders>
            <w:gridSpan w:val="18"/>
          </w:tcPr>
          <w:p>
            <w:pPr>
              <w:spacing w:after="0" w:line="181" w:lineRule="exact"/>
              <w:rPr>
                <w:rFonts w:ascii="Arial" w:cs="Arial" w:eastAsia="Arial" w:hAnsi="Arial"/>
                <w:sz w:val="18"/>
                <w:szCs w:val="18"/>
                <w:color w:val="0000FF"/>
              </w:rPr>
            </w:pPr>
            <w:hyperlink r:id="rId108">
              <w:r>
                <w:rPr>
                  <w:rFonts w:ascii="Arial" w:cs="Arial" w:eastAsia="Arial" w:hAnsi="Arial"/>
                  <w:sz w:val="18"/>
                  <w:szCs w:val="18"/>
                  <w:color w:val="0000FF"/>
                </w:rPr>
                <w:t>2016 and incorporated herein by reference)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60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8"/>
                <w:szCs w:val="18"/>
                <w:color w:val="auto"/>
              </w:rPr>
              <w:t>4.1</w:t>
            </w:r>
          </w:p>
        </w:tc>
        <w:tc>
          <w:tcPr>
            <w:tcW w:w="9640" w:type="dxa"/>
            <w:vAlign w:val="bottom"/>
            <w:gridSpan w:val="21"/>
          </w:tcPr>
          <w:p>
            <w:pPr>
              <w:spacing w:after="0"/>
              <w:rPr>
                <w:rFonts w:ascii="Arial" w:cs="Arial" w:eastAsia="Arial" w:hAnsi="Arial"/>
                <w:sz w:val="18"/>
                <w:szCs w:val="18"/>
                <w:color w:val="0000FF"/>
                <w:w w:val="94"/>
              </w:rPr>
            </w:pPr>
            <w:hyperlink r:id="rId109">
              <w:r>
                <w:rPr>
                  <w:rFonts w:ascii="Arial" w:cs="Arial" w:eastAsia="Arial" w:hAnsi="Arial"/>
                  <w:sz w:val="18"/>
                  <w:szCs w:val="18"/>
                  <w:color w:val="0000FF"/>
                  <w:w w:val="94"/>
                </w:rPr>
                <w:t>Description of Securities Registered Under Section 12 of the Securities Exchange Act of 1934 (filed as Exhibit 4.2 to the Annual</w:t>
              </w:r>
            </w:hyperlink>
          </w:p>
        </w:tc>
      </w:tr>
      <w:tr>
        <w:trPr>
          <w:trHeight w:val="181"/>
        </w:trPr>
        <w:tc>
          <w:tcPr>
            <w:tcW w:w="1600" w:type="dxa"/>
            <w:vAlign w:val="bottom"/>
          </w:tcPr>
          <w:p>
            <w:pPr>
              <w:spacing w:after="0"/>
              <w:rPr>
                <w:sz w:val="15"/>
                <w:szCs w:val="15"/>
                <w:color w:val="auto"/>
              </w:rPr>
            </w:pPr>
          </w:p>
        </w:tc>
        <w:tc>
          <w:tcPr>
            <w:tcW w:w="5840" w:type="dxa"/>
            <w:vAlign w:val="bottom"/>
            <w:tcBorders>
              <w:top w:val="single" w:sz="8" w:color="0000FF"/>
              <w:bottom w:val="single" w:sz="8" w:color="0000FF"/>
            </w:tcBorders>
            <w:gridSpan w:val="6"/>
          </w:tcPr>
          <w:p>
            <w:pPr>
              <w:spacing w:after="0" w:line="181"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Report on Form 10-K filed March 27, 2020 and incorporated herein by reference)</w:t>
              </w:r>
            </w:hyperlink>
          </w:p>
        </w:tc>
        <w:tc>
          <w:tcPr>
            <w:tcW w:w="3380" w:type="dxa"/>
            <w:vAlign w:val="bottom"/>
            <w:tcBorders>
              <w:top w:val="single" w:sz="8" w:color="0000FF"/>
            </w:tcBorders>
            <w:gridSpan w:val="8"/>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8"/>
                <w:szCs w:val="18"/>
                <w:color w:val="auto"/>
              </w:rPr>
              <w:t>10.1*</w:t>
            </w:r>
          </w:p>
        </w:tc>
        <w:tc>
          <w:tcPr>
            <w:tcW w:w="9640" w:type="dxa"/>
            <w:vAlign w:val="bottom"/>
            <w:gridSpan w:val="21"/>
          </w:tcPr>
          <w:p>
            <w:pPr>
              <w:spacing w:after="0"/>
              <w:rPr>
                <w:sz w:val="20"/>
                <w:szCs w:val="20"/>
                <w:color w:val="auto"/>
              </w:rPr>
            </w:pPr>
            <w:r>
              <w:rPr>
                <w:rFonts w:ascii="Arial" w:cs="Arial" w:eastAsia="Arial" w:hAnsi="Arial"/>
                <w:sz w:val="18"/>
                <w:szCs w:val="18"/>
                <w:color w:val="0000FF"/>
              </w:rPr>
              <w:t>Credit Agreement, dated August 1, 2022.</w:t>
            </w:r>
          </w:p>
        </w:tc>
      </w:tr>
      <w:tr>
        <w:trPr>
          <w:trHeight w:val="20"/>
        </w:trPr>
        <w:tc>
          <w:tcPr>
            <w:tcW w:w="160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600" w:type="dxa"/>
            <w:vAlign w:val="bottom"/>
          </w:tcPr>
          <w:p>
            <w:pPr>
              <w:ind w:left="20"/>
              <w:spacing w:after="0"/>
              <w:rPr>
                <w:sz w:val="20"/>
                <w:szCs w:val="20"/>
                <w:color w:val="auto"/>
              </w:rPr>
            </w:pPr>
            <w:r>
              <w:rPr>
                <w:rFonts w:ascii="Arial" w:cs="Arial" w:eastAsia="Arial" w:hAnsi="Arial"/>
                <w:sz w:val="18"/>
                <w:szCs w:val="18"/>
                <w:color w:val="auto"/>
              </w:rPr>
              <w:t>10.2</w:t>
            </w:r>
          </w:p>
        </w:tc>
        <w:tc>
          <w:tcPr>
            <w:tcW w:w="9640" w:type="dxa"/>
            <w:vAlign w:val="bottom"/>
            <w:gridSpan w:val="21"/>
          </w:tcPr>
          <w:p>
            <w:pPr>
              <w:spacing w:after="0"/>
              <w:rPr>
                <w:rFonts w:ascii="Arial" w:cs="Arial" w:eastAsia="Arial" w:hAnsi="Arial"/>
                <w:sz w:val="18"/>
                <w:szCs w:val="18"/>
                <w:color w:val="0000FF"/>
                <w:w w:val="97"/>
              </w:rPr>
            </w:pPr>
            <w:hyperlink r:id="rId110">
              <w:r>
                <w:rPr>
                  <w:rFonts w:ascii="Arial" w:cs="Arial" w:eastAsia="Arial" w:hAnsi="Arial"/>
                  <w:sz w:val="18"/>
                  <w:szCs w:val="18"/>
                  <w:color w:val="0000FF"/>
                  <w:w w:val="97"/>
                </w:rPr>
                <w:t>Form of Indemnification Agreement for directors and officers (filed as exhibit 10.1 to the Registration Statement on Form S-1</w:t>
              </w:r>
            </w:hyperlink>
          </w:p>
        </w:tc>
      </w:tr>
      <w:tr>
        <w:trPr>
          <w:trHeight w:val="181"/>
        </w:trPr>
        <w:tc>
          <w:tcPr>
            <w:tcW w:w="1600" w:type="dxa"/>
            <w:vAlign w:val="bottom"/>
          </w:tcPr>
          <w:p>
            <w:pPr>
              <w:spacing w:after="0"/>
              <w:rPr>
                <w:sz w:val="15"/>
                <w:szCs w:val="15"/>
                <w:color w:val="auto"/>
              </w:rPr>
            </w:pPr>
          </w:p>
        </w:tc>
        <w:tc>
          <w:tcPr>
            <w:tcW w:w="8500" w:type="dxa"/>
            <w:vAlign w:val="bottom"/>
            <w:tcBorders>
              <w:top w:val="single" w:sz="8" w:color="0000FF"/>
              <w:bottom w:val="single" w:sz="8" w:color="0000FF"/>
            </w:tcBorders>
            <w:gridSpan w:val="10"/>
          </w:tcPr>
          <w:p>
            <w:pPr>
              <w:spacing w:after="0" w:line="181"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(Amendment No. 4) filed on September 21, 2009 (Registration No. 333-151559) and incorporated herein by reference)</w:t>
              </w:r>
            </w:hyperlink>
          </w:p>
        </w:tc>
        <w:tc>
          <w:tcPr>
            <w:tcW w:w="500" w:type="dxa"/>
            <w:vAlign w:val="bottom"/>
            <w:tcBorders>
              <w:top w:val="single" w:sz="8" w:color="0000FF"/>
            </w:tcBorders>
            <w:gridSpan w:val="2"/>
          </w:tcPr>
          <w:p>
            <w:pPr>
              <w:spacing w:after="0"/>
              <w:rPr>
                <w:sz w:val="15"/>
                <w:szCs w:val="15"/>
                <w:color w:val="auto"/>
              </w:rPr>
            </w:pPr>
          </w:p>
        </w:tc>
        <w:tc>
          <w:tcPr>
            <w:tcW w:w="36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8"/>
                <w:szCs w:val="18"/>
                <w:color w:val="auto"/>
              </w:rPr>
              <w:t>10.3</w:t>
            </w:r>
          </w:p>
        </w:tc>
        <w:tc>
          <w:tcPr>
            <w:tcW w:w="9640" w:type="dxa"/>
            <w:vAlign w:val="bottom"/>
            <w:gridSpan w:val="21"/>
          </w:tcPr>
          <w:p>
            <w:pPr>
              <w:spacing w:after="0"/>
              <w:rPr>
                <w:rFonts w:ascii="Arial" w:cs="Arial" w:eastAsia="Arial" w:hAnsi="Arial"/>
                <w:sz w:val="18"/>
                <w:szCs w:val="18"/>
                <w:color w:val="0000FF"/>
                <w:w w:val="90"/>
              </w:rPr>
            </w:pPr>
            <w:hyperlink r:id="rId111">
              <w:r>
                <w:rPr>
                  <w:rFonts w:ascii="Arial" w:cs="Arial" w:eastAsia="Arial" w:hAnsi="Arial"/>
                  <w:sz w:val="18"/>
                  <w:szCs w:val="18"/>
                  <w:color w:val="0000FF"/>
                  <w:w w:val="90"/>
                </w:rPr>
                <w:t>Mistras Group, Inc. 2016 Long-Term Incentive Plan (filed as exhibit B to the Definitive Proxy Statement dated September 7, 2016 and</w:t>
              </w:r>
            </w:hyperlink>
          </w:p>
        </w:tc>
      </w:tr>
      <w:tr>
        <w:trPr>
          <w:trHeight w:val="181"/>
        </w:trPr>
        <w:tc>
          <w:tcPr>
            <w:tcW w:w="1600" w:type="dxa"/>
            <w:vAlign w:val="bottom"/>
          </w:tcPr>
          <w:p>
            <w:pPr>
              <w:spacing w:after="0"/>
              <w:rPr>
                <w:sz w:val="15"/>
                <w:szCs w:val="15"/>
                <w:color w:val="auto"/>
              </w:rPr>
            </w:pPr>
          </w:p>
        </w:tc>
        <w:tc>
          <w:tcPr>
            <w:tcW w:w="2380" w:type="dxa"/>
            <w:vAlign w:val="bottom"/>
            <w:tcBorders>
              <w:top w:val="single" w:sz="8" w:color="0000FF"/>
              <w:bottom w:val="single" w:sz="8" w:color="0000FF"/>
            </w:tcBorders>
            <w:gridSpan w:val="2"/>
          </w:tcPr>
          <w:p>
            <w:pPr>
              <w:spacing w:after="0" w:line="181" w:lineRule="exact"/>
              <w:rPr>
                <w:rFonts w:ascii="Arial" w:cs="Arial" w:eastAsia="Arial" w:hAnsi="Arial"/>
                <w:sz w:val="18"/>
                <w:szCs w:val="18"/>
                <w:color w:val="0000FF"/>
                <w:w w:val="88"/>
              </w:rPr>
            </w:pPr>
            <w:hyperlink r:id="rId111">
              <w:r>
                <w:rPr>
                  <w:rFonts w:ascii="Arial" w:cs="Arial" w:eastAsia="Arial" w:hAnsi="Arial"/>
                  <w:sz w:val="18"/>
                  <w:szCs w:val="18"/>
                  <w:color w:val="0000FF"/>
                  <w:w w:val="88"/>
                </w:rPr>
                <w:t>incorporated herein by reference)</w:t>
              </w:r>
            </w:hyperlink>
          </w:p>
        </w:tc>
        <w:tc>
          <w:tcPr>
            <w:tcW w:w="724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8"/>
                <w:szCs w:val="18"/>
                <w:color w:val="auto"/>
              </w:rPr>
              <w:t>10.4</w:t>
            </w:r>
          </w:p>
        </w:tc>
        <w:tc>
          <w:tcPr>
            <w:tcW w:w="9640" w:type="dxa"/>
            <w:vAlign w:val="bottom"/>
            <w:gridSpan w:val="21"/>
          </w:tcPr>
          <w:p>
            <w:pPr>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Amendment No. 1, dated May 19, 2020, to the 2016 Long-Term Incentive Plan (filed as exhibit 10.2 to the Quarterly Report Form 10-</w:t>
              </w:r>
            </w:hyperlink>
          </w:p>
        </w:tc>
      </w:tr>
      <w:tr>
        <w:trPr>
          <w:trHeight w:val="181"/>
        </w:trPr>
        <w:tc>
          <w:tcPr>
            <w:tcW w:w="1600" w:type="dxa"/>
            <w:vAlign w:val="bottom"/>
          </w:tcPr>
          <w:p>
            <w:pPr>
              <w:spacing w:after="0"/>
              <w:rPr>
                <w:sz w:val="15"/>
                <w:szCs w:val="15"/>
                <w:color w:val="auto"/>
              </w:rPr>
            </w:pPr>
          </w:p>
        </w:tc>
        <w:tc>
          <w:tcPr>
            <w:tcW w:w="4600" w:type="dxa"/>
            <w:vAlign w:val="bottom"/>
            <w:tcBorders>
              <w:top w:val="single" w:sz="8" w:color="0000FF"/>
              <w:bottom w:val="single" w:sz="8" w:color="0000FF"/>
            </w:tcBorders>
            <w:gridSpan w:val="5"/>
          </w:tcPr>
          <w:p>
            <w:pPr>
              <w:spacing w:after="0" w:line="181" w:lineRule="exact"/>
              <w:rPr>
                <w:rFonts w:ascii="Arial" w:cs="Arial" w:eastAsia="Arial" w:hAnsi="Arial"/>
                <w:sz w:val="18"/>
                <w:szCs w:val="18"/>
                <w:color w:val="0000FF"/>
                <w:w w:val="89"/>
              </w:rPr>
            </w:pPr>
            <w:hyperlink r:id="rId112">
              <w:r>
                <w:rPr>
                  <w:rFonts w:ascii="Arial" w:cs="Arial" w:eastAsia="Arial" w:hAnsi="Arial"/>
                  <w:sz w:val="18"/>
                  <w:szCs w:val="18"/>
                  <w:color w:val="0000FF"/>
                  <w:w w:val="89"/>
                </w:rPr>
                <w:t>Q filed on August 7, 2020 and incorporated herein by reference)</w:t>
              </w:r>
            </w:hyperlink>
          </w:p>
        </w:tc>
        <w:tc>
          <w:tcPr>
            <w:tcW w:w="5000" w:type="dxa"/>
            <w:vAlign w:val="bottom"/>
            <w:tcBorders>
              <w:top w:val="single" w:sz="8" w:color="0000FF"/>
            </w:tcBorders>
            <w:gridSpan w:val="1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8"/>
                <w:szCs w:val="18"/>
                <w:color w:val="auto"/>
              </w:rPr>
              <w:t>10.5</w:t>
            </w:r>
          </w:p>
        </w:tc>
        <w:tc>
          <w:tcPr>
            <w:tcW w:w="9640" w:type="dxa"/>
            <w:vAlign w:val="bottom"/>
            <w:gridSpan w:val="21"/>
          </w:tcPr>
          <w:p>
            <w:pPr>
              <w:spacing w:after="0"/>
              <w:rPr>
                <w:rFonts w:ascii="Arial" w:cs="Arial" w:eastAsia="Arial" w:hAnsi="Arial"/>
                <w:sz w:val="18"/>
                <w:szCs w:val="18"/>
                <w:color w:val="0000FF"/>
                <w:w w:val="92"/>
              </w:rPr>
            </w:pPr>
            <w:hyperlink r:id="rId113">
              <w:r>
                <w:rPr>
                  <w:rFonts w:ascii="Arial" w:cs="Arial" w:eastAsia="Arial" w:hAnsi="Arial"/>
                  <w:sz w:val="18"/>
                  <w:szCs w:val="18"/>
                  <w:color w:val="0000FF"/>
                  <w:w w:val="92"/>
                </w:rPr>
                <w:t>Amendment No. 2, dated December 1, 2020, to the 2016 Long-Term Incentive Plan (filed as exhibit 10.10 to the Annual Report on</w:t>
              </w:r>
            </w:hyperlink>
          </w:p>
        </w:tc>
      </w:tr>
      <w:tr>
        <w:trPr>
          <w:trHeight w:val="181"/>
        </w:trPr>
        <w:tc>
          <w:tcPr>
            <w:tcW w:w="1600" w:type="dxa"/>
            <w:vAlign w:val="bottom"/>
          </w:tcPr>
          <w:p>
            <w:pPr>
              <w:spacing w:after="0"/>
              <w:rPr>
                <w:sz w:val="15"/>
                <w:szCs w:val="15"/>
                <w:color w:val="auto"/>
              </w:rPr>
            </w:pPr>
          </w:p>
        </w:tc>
        <w:tc>
          <w:tcPr>
            <w:tcW w:w="9360" w:type="dxa"/>
            <w:vAlign w:val="bottom"/>
            <w:tcBorders>
              <w:top w:val="single" w:sz="8" w:color="0000FF"/>
            </w:tcBorders>
            <w:gridSpan w:val="15"/>
          </w:tcPr>
          <w:p>
            <w:pPr>
              <w:spacing w:after="0" w:line="181" w:lineRule="exact"/>
              <w:rPr>
                <w:rFonts w:ascii="Arial" w:cs="Arial" w:eastAsia="Arial" w:hAnsi="Arial"/>
                <w:sz w:val="18"/>
                <w:szCs w:val="18"/>
                <w:color w:val="0000FF"/>
              </w:rPr>
            </w:pPr>
            <w:hyperlink r:id="rId113">
              <w:r>
                <w:rPr>
                  <w:rFonts w:ascii="Arial" w:cs="Arial" w:eastAsia="Arial" w:hAnsi="Arial"/>
                  <w:sz w:val="18"/>
                  <w:szCs w:val="18"/>
                  <w:color w:val="0000FF"/>
                </w:rPr>
                <w:t>Form 10-K filed March 16, 2021.</w:t>
              </w:r>
            </w:hyperlink>
          </w:p>
        </w:tc>
        <w:tc>
          <w:tcPr>
            <w:tcW w:w="100" w:type="dxa"/>
            <w:vAlign w:val="bottom"/>
          </w:tcPr>
          <w:p>
            <w:pPr>
              <w:spacing w:after="0"/>
              <w:rPr>
                <w:sz w:val="15"/>
                <w:szCs w:val="15"/>
                <w:color w:val="auto"/>
              </w:rPr>
            </w:pPr>
          </w:p>
        </w:tc>
        <w:tc>
          <w:tcPr>
            <w:tcW w:w="180" w:type="dxa"/>
            <w:vAlign w:val="bottom"/>
            <w:gridSpan w:val="5"/>
          </w:tcPr>
          <w:p>
            <w:pPr>
              <w:spacing w:after="0"/>
              <w:rPr>
                <w:sz w:val="15"/>
                <w:szCs w:val="15"/>
                <w:color w:val="auto"/>
              </w:rPr>
            </w:pPr>
          </w:p>
        </w:tc>
      </w:tr>
      <w:tr>
        <w:trPr>
          <w:trHeight w:val="20"/>
        </w:trPr>
        <w:tc>
          <w:tcPr>
            <w:tcW w:w="160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8"/>
                <w:szCs w:val="18"/>
                <w:color w:val="auto"/>
              </w:rPr>
              <w:t>10.6</w:t>
            </w:r>
          </w:p>
        </w:tc>
        <w:tc>
          <w:tcPr>
            <w:tcW w:w="9640" w:type="dxa"/>
            <w:vAlign w:val="bottom"/>
            <w:gridSpan w:val="21"/>
          </w:tcPr>
          <w:p>
            <w:pPr>
              <w:spacing w:after="0"/>
              <w:rPr>
                <w:rFonts w:ascii="Arial" w:cs="Arial" w:eastAsia="Arial" w:hAnsi="Arial"/>
                <w:sz w:val="18"/>
                <w:szCs w:val="18"/>
                <w:color w:val="0000FF"/>
                <w:w w:val="92"/>
              </w:rPr>
            </w:pPr>
            <w:hyperlink r:id="rId114">
              <w:r>
                <w:rPr>
                  <w:rFonts w:ascii="Arial" w:cs="Arial" w:eastAsia="Arial" w:hAnsi="Arial"/>
                  <w:sz w:val="18"/>
                  <w:szCs w:val="18"/>
                  <w:color w:val="0000FF"/>
                  <w:w w:val="92"/>
                </w:rPr>
                <w:t>Amendment No. 3 dated May 23, 2022 to the 2016 Long-Term Incentive Plan (filed as exhibit 10.2 to the Quarterly Report on Form</w:t>
              </w:r>
            </w:hyperlink>
          </w:p>
        </w:tc>
      </w:tr>
      <w:tr>
        <w:trPr>
          <w:trHeight w:val="181"/>
        </w:trPr>
        <w:tc>
          <w:tcPr>
            <w:tcW w:w="1600" w:type="dxa"/>
            <w:vAlign w:val="bottom"/>
          </w:tcPr>
          <w:p>
            <w:pPr>
              <w:spacing w:after="0"/>
              <w:rPr>
                <w:sz w:val="15"/>
                <w:szCs w:val="15"/>
                <w:color w:val="auto"/>
              </w:rPr>
            </w:pPr>
          </w:p>
        </w:tc>
        <w:tc>
          <w:tcPr>
            <w:tcW w:w="2160" w:type="dxa"/>
            <w:vAlign w:val="bottom"/>
            <w:tcBorders>
              <w:top w:val="single" w:sz="8" w:color="0000FF"/>
              <w:bottom w:val="single" w:sz="8" w:color="0000FF"/>
            </w:tcBorders>
          </w:tcPr>
          <w:p>
            <w:pPr>
              <w:spacing w:after="0" w:line="181"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10-Q filed on August 5, 2022)</w:t>
              </w:r>
            </w:hyperlink>
          </w:p>
        </w:tc>
        <w:tc>
          <w:tcPr>
            <w:tcW w:w="7300" w:type="dxa"/>
            <w:vAlign w:val="bottom"/>
            <w:tcBorders>
              <w:top w:val="single" w:sz="8" w:color="0000FF"/>
            </w:tcBorders>
            <w:gridSpan w:val="15"/>
          </w:tcPr>
          <w:p>
            <w:pPr>
              <w:spacing w:after="0"/>
              <w:rPr>
                <w:sz w:val="15"/>
                <w:szCs w:val="15"/>
                <w:color w:val="auto"/>
              </w:rPr>
            </w:pPr>
          </w:p>
        </w:tc>
        <w:tc>
          <w:tcPr>
            <w:tcW w:w="180" w:type="dxa"/>
            <w:vAlign w:val="bottom"/>
            <w:gridSpan w:val="5"/>
          </w:tcPr>
          <w:p>
            <w:pPr>
              <w:spacing w:after="0"/>
              <w:rPr>
                <w:sz w:val="15"/>
                <w:szCs w:val="15"/>
                <w:color w:val="auto"/>
              </w:rPr>
            </w:pPr>
          </w:p>
        </w:tc>
      </w:tr>
      <w:tr>
        <w:trPr>
          <w:trHeight w:val="248"/>
        </w:trPr>
        <w:tc>
          <w:tcPr>
            <w:tcW w:w="1600" w:type="dxa"/>
            <w:vAlign w:val="bottom"/>
          </w:tcPr>
          <w:p>
            <w:pPr>
              <w:ind w:left="20"/>
              <w:spacing w:after="0"/>
              <w:rPr>
                <w:sz w:val="20"/>
                <w:szCs w:val="20"/>
                <w:color w:val="auto"/>
              </w:rPr>
            </w:pPr>
            <w:r>
              <w:rPr>
                <w:rFonts w:ascii="Arial" w:cs="Arial" w:eastAsia="Arial" w:hAnsi="Arial"/>
                <w:sz w:val="18"/>
                <w:szCs w:val="18"/>
                <w:color w:val="auto"/>
              </w:rPr>
              <w:t>10.7</w:t>
            </w:r>
          </w:p>
        </w:tc>
        <w:tc>
          <w:tcPr>
            <w:tcW w:w="9640" w:type="dxa"/>
            <w:vAlign w:val="bottom"/>
            <w:gridSpan w:val="21"/>
          </w:tcPr>
          <w:p>
            <w:pPr>
              <w:spacing w:after="0"/>
              <w:rPr>
                <w:rFonts w:ascii="Arial" w:cs="Arial" w:eastAsia="Arial" w:hAnsi="Arial"/>
                <w:sz w:val="18"/>
                <w:szCs w:val="18"/>
                <w:color w:val="3051F2"/>
                <w:w w:val="98"/>
              </w:rPr>
            </w:pPr>
            <w:hyperlink r:id="rId115">
              <w:r>
                <w:rPr>
                  <w:rFonts w:ascii="Arial" w:cs="Arial" w:eastAsia="Arial" w:hAnsi="Arial"/>
                  <w:sz w:val="18"/>
                  <w:szCs w:val="18"/>
                  <w:color w:val="3051F2"/>
                  <w:w w:val="98"/>
                </w:rPr>
                <w:t>Form of Restricted Stock Unit Certificate for awards under the 2016 Long-Term Incentive Plan (filed as exhibit 10.16 to the</w:t>
              </w:r>
            </w:hyperlink>
          </w:p>
        </w:tc>
      </w:tr>
      <w:tr>
        <w:trPr>
          <w:trHeight w:val="181"/>
        </w:trPr>
        <w:tc>
          <w:tcPr>
            <w:tcW w:w="1600" w:type="dxa"/>
            <w:vAlign w:val="bottom"/>
          </w:tcPr>
          <w:p>
            <w:pPr>
              <w:spacing w:after="0"/>
              <w:rPr>
                <w:sz w:val="15"/>
                <w:szCs w:val="15"/>
                <w:color w:val="auto"/>
              </w:rPr>
            </w:pPr>
          </w:p>
        </w:tc>
        <w:tc>
          <w:tcPr>
            <w:tcW w:w="8860" w:type="dxa"/>
            <w:vAlign w:val="bottom"/>
            <w:tcBorders>
              <w:top w:val="single" w:sz="8" w:color="3051F2"/>
            </w:tcBorders>
            <w:gridSpan w:val="11"/>
          </w:tcPr>
          <w:p>
            <w:pPr>
              <w:spacing w:after="0" w:line="181" w:lineRule="exact"/>
              <w:rPr>
                <w:rFonts w:ascii="Arial" w:cs="Arial" w:eastAsia="Arial" w:hAnsi="Arial"/>
                <w:sz w:val="18"/>
                <w:szCs w:val="18"/>
                <w:color w:val="3051F2"/>
              </w:rPr>
            </w:pPr>
            <w:hyperlink r:id="rId115">
              <w:r>
                <w:rPr>
                  <w:rFonts w:ascii="Arial" w:cs="Arial" w:eastAsia="Arial" w:hAnsi="Arial"/>
                  <w:sz w:val="18"/>
                  <w:szCs w:val="18"/>
                  <w:color w:val="3051F2"/>
                </w:rPr>
                <w:t>Transition Report on Form 10-K filed on March 20, 2017 and incorporated herein by reference)</w:t>
              </w:r>
            </w:hyperlink>
          </w:p>
        </w:tc>
        <w:tc>
          <w:tcPr>
            <w:tcW w:w="780" w:type="dxa"/>
            <w:vAlign w:val="bottom"/>
            <w:gridSpan w:val="10"/>
          </w:tcPr>
          <w:p>
            <w:pPr>
              <w:spacing w:after="0"/>
              <w:rPr>
                <w:sz w:val="15"/>
                <w:szCs w:val="15"/>
                <w:color w:val="auto"/>
              </w:rPr>
            </w:pPr>
          </w:p>
        </w:tc>
      </w:tr>
      <w:tr>
        <w:trPr>
          <w:trHeight w:val="890"/>
        </w:trPr>
        <w:tc>
          <w:tcPr>
            <w:tcW w:w="1600" w:type="dxa"/>
            <w:vAlign w:val="bottom"/>
          </w:tcPr>
          <w:p>
            <w:pPr>
              <w:spacing w:after="0"/>
              <w:rPr>
                <w:sz w:val="24"/>
                <w:szCs w:val="24"/>
                <w:color w:val="auto"/>
              </w:rPr>
            </w:pPr>
          </w:p>
        </w:tc>
        <w:tc>
          <w:tcPr>
            <w:tcW w:w="4600" w:type="dxa"/>
            <w:vAlign w:val="bottom"/>
            <w:tcBorders>
              <w:top w:val="single" w:sz="8" w:color="3051F2"/>
            </w:tcBorders>
            <w:gridSpan w:val="5"/>
          </w:tcPr>
          <w:p>
            <w:pPr>
              <w:ind w:left="3940"/>
              <w:spacing w:after="0"/>
              <w:rPr>
                <w:sz w:val="20"/>
                <w:szCs w:val="20"/>
                <w:color w:val="auto"/>
              </w:rPr>
            </w:pPr>
            <w:r>
              <w:rPr>
                <w:rFonts w:ascii="Arial" w:cs="Arial" w:eastAsia="Arial" w:hAnsi="Arial"/>
                <w:sz w:val="18"/>
                <w:szCs w:val="18"/>
                <w:color w:val="auto"/>
              </w:rPr>
              <w:t>80</w:t>
            </w:r>
          </w:p>
        </w:tc>
        <w:tc>
          <w:tcPr>
            <w:tcW w:w="1240" w:type="dxa"/>
            <w:vAlign w:val="bottom"/>
            <w:tcBorders>
              <w:top w:val="single" w:sz="8" w:color="3051F2"/>
            </w:tcBorders>
          </w:tcPr>
          <w:p>
            <w:pPr>
              <w:spacing w:after="0"/>
              <w:rPr>
                <w:sz w:val="24"/>
                <w:szCs w:val="24"/>
                <w:color w:val="auto"/>
              </w:rPr>
            </w:pPr>
          </w:p>
        </w:tc>
        <w:tc>
          <w:tcPr>
            <w:tcW w:w="300" w:type="dxa"/>
            <w:vAlign w:val="bottom"/>
            <w:tcBorders>
              <w:top w:val="single" w:sz="8" w:color="3051F2"/>
            </w:tcBorders>
          </w:tcPr>
          <w:p>
            <w:pPr>
              <w:spacing w:after="0"/>
              <w:rPr>
                <w:sz w:val="24"/>
                <w:szCs w:val="24"/>
                <w:color w:val="auto"/>
              </w:rPr>
            </w:pPr>
          </w:p>
        </w:tc>
        <w:tc>
          <w:tcPr>
            <w:tcW w:w="680" w:type="dxa"/>
            <w:vAlign w:val="bottom"/>
            <w:tcBorders>
              <w:top w:val="single" w:sz="8" w:color="3051F2"/>
            </w:tcBorders>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6"/>
        </w:trPr>
        <w:tc>
          <w:tcPr>
            <w:tcW w:w="16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8"/>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9600" w:type="dxa"/>
            <w:vAlign w:val="bottom"/>
            <w:gridSpan w:val="16"/>
          </w:tcPr>
          <w:p>
            <w:pPr>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Form of Restricted Stock Unit Certificate for awards to senior officers under the 2016 Long-Term Incentive Plan (filed as exhibit 10.2</w:t>
              </w:r>
            </w:hyperlink>
          </w:p>
        </w:tc>
      </w:tr>
      <w:tr>
        <w:trPr>
          <w:trHeight w:val="181"/>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580" w:type="dxa"/>
            <w:vAlign w:val="bottom"/>
            <w:tcBorders>
              <w:top w:val="single" w:sz="8" w:color="0000FF"/>
            </w:tcBorders>
            <w:gridSpan w:val="15"/>
          </w:tcPr>
          <w:p>
            <w:pPr>
              <w:spacing w:after="0" w:line="181" w:lineRule="exact"/>
              <w:rPr>
                <w:rFonts w:ascii="Arial" w:cs="Arial" w:eastAsia="Arial" w:hAnsi="Arial"/>
                <w:sz w:val="18"/>
                <w:szCs w:val="18"/>
                <w:color w:val="0000FF"/>
              </w:rPr>
            </w:pPr>
            <w:hyperlink r:id="rId118">
              <w:r>
                <w:rPr>
                  <w:rFonts w:ascii="Arial" w:cs="Arial" w:eastAsia="Arial" w:hAnsi="Arial"/>
                  <w:sz w:val="18"/>
                  <w:szCs w:val="18"/>
                  <w:color w:val="0000FF"/>
                </w:rPr>
                <w:t>to the Quarterly Report Form 10-Q filed on May 19, 2020 and incorporated herein by reference)</w:t>
              </w:r>
            </w:hyperlink>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48"/>
        </w:trPr>
        <w:tc>
          <w:tcPr>
            <w:tcW w:w="1280" w:type="dxa"/>
            <w:vAlign w:val="bottom"/>
          </w:tcPr>
          <w:p>
            <w:pPr>
              <w:ind w:left="2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1"/>
                <w:szCs w:val="21"/>
                <w:color w:val="auto"/>
              </w:rPr>
            </w:pPr>
          </w:p>
        </w:tc>
        <w:tc>
          <w:tcPr>
            <w:tcW w:w="9600" w:type="dxa"/>
            <w:vAlign w:val="bottom"/>
            <w:gridSpan w:val="16"/>
          </w:tcPr>
          <w:p>
            <w:pPr>
              <w:spacing w:after="0"/>
              <w:rPr>
                <w:rFonts w:ascii="Arial" w:cs="Arial" w:eastAsia="Arial" w:hAnsi="Arial"/>
                <w:sz w:val="18"/>
                <w:szCs w:val="18"/>
                <w:color w:val="0000FF"/>
                <w:w w:val="92"/>
              </w:rPr>
            </w:pPr>
            <w:hyperlink r:id="rId119">
              <w:r>
                <w:rPr>
                  <w:rFonts w:ascii="Arial" w:cs="Arial" w:eastAsia="Arial" w:hAnsi="Arial"/>
                  <w:sz w:val="18"/>
                  <w:szCs w:val="18"/>
                  <w:color w:val="0000FF"/>
                  <w:w w:val="92"/>
                </w:rPr>
                <w:t>Mistras Group Severance Plan (filed as exhibit 10.11 to the Annual Report on Form 10-K filed on March 18, 2019 and incorporated</w:t>
              </w:r>
            </w:hyperlink>
          </w:p>
        </w:tc>
      </w:tr>
      <w:tr>
        <w:trPr>
          <w:trHeight w:val="181"/>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Borders>
              <w:top w:val="single" w:sz="8" w:color="0000FF"/>
              <w:bottom w:val="single" w:sz="8" w:color="0000FF"/>
            </w:tcBorders>
          </w:tcPr>
          <w:p>
            <w:pPr>
              <w:spacing w:after="0" w:line="181" w:lineRule="exact"/>
              <w:rPr>
                <w:rFonts w:ascii="Arial" w:cs="Arial" w:eastAsia="Arial" w:hAnsi="Arial"/>
                <w:sz w:val="18"/>
                <w:szCs w:val="18"/>
                <w:color w:val="0000FF"/>
                <w:w w:val="88"/>
              </w:rPr>
            </w:pPr>
            <w:hyperlink r:id="rId119">
              <w:r>
                <w:rPr>
                  <w:rFonts w:ascii="Arial" w:cs="Arial" w:eastAsia="Arial" w:hAnsi="Arial"/>
                  <w:sz w:val="18"/>
                  <w:szCs w:val="18"/>
                  <w:color w:val="0000FF"/>
                  <w:w w:val="88"/>
                </w:rPr>
                <w:t>herein by reference)</w:t>
              </w:r>
            </w:hyperlink>
          </w:p>
        </w:tc>
        <w:tc>
          <w:tcPr>
            <w:tcW w:w="7980" w:type="dxa"/>
            <w:vAlign w:val="bottom"/>
            <w:tcBorders>
              <w:top w:val="single" w:sz="8" w:color="0000FF"/>
            </w:tcBorders>
            <w:gridSpan w:val="13"/>
          </w:tcPr>
          <w:p>
            <w:pPr>
              <w:spacing w:after="0"/>
              <w:rPr>
                <w:sz w:val="15"/>
                <w:szCs w:val="15"/>
                <w:color w:val="auto"/>
              </w:rPr>
            </w:pPr>
          </w:p>
        </w:tc>
        <w:tc>
          <w:tcPr>
            <w:tcW w:w="180" w:type="dxa"/>
            <w:vAlign w:val="bottom"/>
            <w:gridSpan w:val="2"/>
          </w:tcPr>
          <w:p>
            <w:pPr>
              <w:spacing w:after="0"/>
              <w:rPr>
                <w:sz w:val="15"/>
                <w:szCs w:val="15"/>
                <w:color w:val="auto"/>
              </w:rPr>
            </w:pPr>
          </w:p>
        </w:tc>
      </w:tr>
      <w:tr>
        <w:trPr>
          <w:trHeight w:val="248"/>
        </w:trPr>
        <w:tc>
          <w:tcPr>
            <w:tcW w:w="1280" w:type="dxa"/>
            <w:vAlign w:val="bottom"/>
          </w:tcPr>
          <w:p>
            <w:pPr>
              <w:ind w:left="2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1"/>
                <w:szCs w:val="21"/>
                <w:color w:val="auto"/>
              </w:rPr>
            </w:pPr>
          </w:p>
        </w:tc>
        <w:tc>
          <w:tcPr>
            <w:tcW w:w="9600" w:type="dxa"/>
            <w:vAlign w:val="bottom"/>
            <w:gridSpan w:val="16"/>
          </w:tcPr>
          <w:p>
            <w:pPr>
              <w:spacing w:after="0"/>
              <w:rPr>
                <w:rFonts w:ascii="Arial" w:cs="Arial" w:eastAsia="Arial" w:hAnsi="Arial"/>
                <w:sz w:val="18"/>
                <w:szCs w:val="18"/>
                <w:color w:val="0000FF"/>
                <w:w w:val="94"/>
              </w:rPr>
            </w:pPr>
            <w:hyperlink r:id="rId120">
              <w:r>
                <w:rPr>
                  <w:rFonts w:ascii="Arial" w:cs="Arial" w:eastAsia="Arial" w:hAnsi="Arial"/>
                  <w:sz w:val="18"/>
                  <w:szCs w:val="18"/>
                  <w:color w:val="0000FF"/>
                  <w:w w:val="94"/>
                </w:rPr>
                <w:t>Employment Agreement between the Company and Sotirios J. Vahaviolos, dated February 28, 2018 (filed as exhibit 10.1 to the</w:t>
              </w:r>
            </w:hyperlink>
          </w:p>
        </w:tc>
      </w:tr>
      <w:tr>
        <w:trPr>
          <w:trHeight w:val="181"/>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340" w:type="dxa"/>
            <w:vAlign w:val="bottom"/>
            <w:tcBorders>
              <w:top w:val="single" w:sz="8" w:color="0000FF"/>
              <w:bottom w:val="single" w:sz="8" w:color="0000FF"/>
            </w:tcBorders>
            <w:gridSpan w:val="8"/>
          </w:tcPr>
          <w:p>
            <w:pPr>
              <w:spacing w:after="0" w:line="181"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Quarterly Report on Form 10-Q filed May 8, 2018 and incorporated by reference herein)</w:t>
              </w:r>
            </w:hyperlink>
          </w:p>
        </w:tc>
        <w:tc>
          <w:tcPr>
            <w:tcW w:w="2760" w:type="dxa"/>
            <w:vAlign w:val="bottom"/>
            <w:tcBorders>
              <w:top w:val="single" w:sz="8" w:color="0000FF"/>
            </w:tcBorders>
            <w:gridSpan w:val="4"/>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r>
      <w:tr>
        <w:trPr>
          <w:trHeight w:val="248"/>
        </w:trPr>
        <w:tc>
          <w:tcPr>
            <w:tcW w:w="1280" w:type="dxa"/>
            <w:vAlign w:val="bottom"/>
          </w:tcPr>
          <w:p>
            <w:pPr>
              <w:ind w:left="20"/>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1"/>
                <w:szCs w:val="21"/>
                <w:color w:val="auto"/>
              </w:rPr>
            </w:pPr>
          </w:p>
        </w:tc>
        <w:tc>
          <w:tcPr>
            <w:tcW w:w="9600" w:type="dxa"/>
            <w:vAlign w:val="bottom"/>
            <w:gridSpan w:val="16"/>
          </w:tcPr>
          <w:p>
            <w:pPr>
              <w:spacing w:after="0"/>
              <w:rPr>
                <w:rFonts w:ascii="Arial" w:cs="Arial" w:eastAsia="Arial" w:hAnsi="Arial"/>
                <w:sz w:val="18"/>
                <w:szCs w:val="18"/>
                <w:color w:val="0000FF"/>
                <w:w w:val="93"/>
              </w:rPr>
            </w:pPr>
            <w:hyperlink r:id="rId121">
              <w:r>
                <w:rPr>
                  <w:rFonts w:ascii="Arial" w:cs="Arial" w:eastAsia="Arial" w:hAnsi="Arial"/>
                  <w:sz w:val="18"/>
                  <w:szCs w:val="18"/>
                  <w:color w:val="0000FF"/>
                  <w:w w:val="93"/>
                </w:rPr>
                <w:t>Employment Agreement between the Company and Dennis Bertolotti, dated March 13, 2018 (filed as exhibit 10.2 to the Quarterly</w:t>
              </w:r>
            </w:hyperlink>
          </w:p>
        </w:tc>
      </w:tr>
      <w:tr>
        <w:trPr>
          <w:trHeight w:val="181"/>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340" w:type="dxa"/>
            <w:vAlign w:val="bottom"/>
            <w:tcBorders>
              <w:top w:val="single" w:sz="8" w:color="0000FF"/>
            </w:tcBorders>
            <w:gridSpan w:val="13"/>
          </w:tcPr>
          <w:p>
            <w:pPr>
              <w:spacing w:after="0" w:line="181" w:lineRule="exact"/>
              <w:rPr>
                <w:rFonts w:ascii="Arial" w:cs="Arial" w:eastAsia="Arial" w:hAnsi="Arial"/>
                <w:sz w:val="18"/>
                <w:szCs w:val="18"/>
                <w:color w:val="0000FF"/>
              </w:rPr>
            </w:pPr>
            <w:hyperlink r:id="rId121">
              <w:r>
                <w:rPr>
                  <w:rFonts w:ascii="Arial" w:cs="Arial" w:eastAsia="Arial" w:hAnsi="Arial"/>
                  <w:sz w:val="18"/>
                  <w:szCs w:val="18"/>
                  <w:color w:val="0000FF"/>
                </w:rPr>
                <w:t>Report on Form 10-Q filed May 8, 2018 and incorporated by reference herein)</w:t>
              </w:r>
            </w:hyperlink>
          </w:p>
        </w:tc>
        <w:tc>
          <w:tcPr>
            <w:tcW w:w="260" w:type="dxa"/>
            <w:vAlign w:val="bottom"/>
            <w:gridSpan w:val="3"/>
          </w:tcPr>
          <w:p>
            <w:pPr>
              <w:spacing w:after="0"/>
              <w:rPr>
                <w:sz w:val="15"/>
                <w:szCs w:val="15"/>
                <w:color w:val="auto"/>
              </w:rPr>
            </w:pPr>
          </w:p>
        </w:tc>
      </w:tr>
      <w:tr>
        <w:trPr>
          <w:trHeight w:val="248"/>
        </w:trPr>
        <w:tc>
          <w:tcPr>
            <w:tcW w:w="1280" w:type="dxa"/>
            <w:vAlign w:val="bottom"/>
          </w:tcPr>
          <w:p>
            <w:pPr>
              <w:ind w:left="2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1"/>
                <w:szCs w:val="21"/>
                <w:color w:val="auto"/>
              </w:rPr>
            </w:pPr>
          </w:p>
        </w:tc>
        <w:tc>
          <w:tcPr>
            <w:tcW w:w="56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Subsidiaries of the Registrant</w:t>
            </w:r>
          </w:p>
        </w:tc>
        <w:tc>
          <w:tcPr>
            <w:tcW w:w="4000" w:type="dxa"/>
            <w:vAlign w:val="bottom"/>
            <w:gridSpan w:val="9"/>
          </w:tcPr>
          <w:p>
            <w:pPr>
              <w:spacing w:after="0"/>
              <w:rPr>
                <w:sz w:val="21"/>
                <w:szCs w:val="21"/>
                <w:color w:val="auto"/>
              </w:rPr>
            </w:pPr>
          </w:p>
        </w:tc>
      </w:tr>
      <w:tr>
        <w:trPr>
          <w:trHeight w:val="235"/>
        </w:trPr>
        <w:tc>
          <w:tcPr>
            <w:tcW w:w="1280" w:type="dxa"/>
            <w:vAlign w:val="bottom"/>
          </w:tcPr>
          <w:p>
            <w:pPr>
              <w:ind w:left="2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0"/>
                <w:szCs w:val="20"/>
                <w:color w:val="auto"/>
              </w:rPr>
            </w:pPr>
          </w:p>
        </w:tc>
        <w:tc>
          <w:tcPr>
            <w:tcW w:w="17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2"/>
              </w:rPr>
              <w:t>Consent of KPMG LLP</w:t>
            </w:r>
          </w:p>
        </w:tc>
        <w:tc>
          <w:tcPr>
            <w:tcW w:w="400" w:type="dxa"/>
            <w:vAlign w:val="bottom"/>
            <w:tcBorders>
              <w:top w:val="single" w:sz="8" w:color="0000FF"/>
            </w:tcBorders>
          </w:tcPr>
          <w:p>
            <w:pPr>
              <w:spacing w:after="0"/>
              <w:rPr>
                <w:sz w:val="20"/>
                <w:szCs w:val="20"/>
                <w:color w:val="auto"/>
              </w:rPr>
            </w:pPr>
          </w:p>
        </w:tc>
        <w:tc>
          <w:tcPr>
            <w:tcW w:w="7500" w:type="dxa"/>
            <w:vAlign w:val="bottom"/>
            <w:gridSpan w:val="13"/>
          </w:tcPr>
          <w:p>
            <w:pPr>
              <w:spacing w:after="0"/>
              <w:rPr>
                <w:sz w:val="20"/>
                <w:szCs w:val="20"/>
                <w:color w:val="auto"/>
              </w:rPr>
            </w:pPr>
          </w:p>
        </w:tc>
      </w:tr>
      <w:tr>
        <w:trPr>
          <w:trHeight w:val="235"/>
        </w:trPr>
        <w:tc>
          <w:tcPr>
            <w:tcW w:w="1280" w:type="dxa"/>
            <w:vAlign w:val="bottom"/>
          </w:tcPr>
          <w:p>
            <w:pPr>
              <w:ind w:left="20"/>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0"/>
                <w:szCs w:val="20"/>
                <w:color w:val="auto"/>
              </w:rPr>
            </w:pPr>
          </w:p>
        </w:tc>
        <w:tc>
          <w:tcPr>
            <w:tcW w:w="51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Power of Attorney (included as part of the signature page to this report)</w:t>
            </w:r>
          </w:p>
        </w:tc>
        <w:tc>
          <w:tcPr>
            <w:tcW w:w="4480" w:type="dxa"/>
            <w:vAlign w:val="bottom"/>
            <w:gridSpan w:val="12"/>
          </w:tcPr>
          <w:p>
            <w:pPr>
              <w:spacing w:after="0"/>
              <w:rPr>
                <w:sz w:val="20"/>
                <w:szCs w:val="20"/>
                <w:color w:val="auto"/>
              </w:rPr>
            </w:pPr>
          </w:p>
        </w:tc>
      </w:tr>
      <w:tr>
        <w:trPr>
          <w:trHeight w:val="235"/>
        </w:trPr>
        <w:tc>
          <w:tcPr>
            <w:tcW w:w="1280" w:type="dxa"/>
            <w:vAlign w:val="bottom"/>
          </w:tcPr>
          <w:p>
            <w:pPr>
              <w:ind w:left="2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0"/>
                <w:szCs w:val="20"/>
                <w:color w:val="auto"/>
              </w:rPr>
            </w:pPr>
          </w:p>
        </w:tc>
        <w:tc>
          <w:tcPr>
            <w:tcW w:w="9600" w:type="dxa"/>
            <w:vAlign w:val="bottom"/>
            <w:gridSpan w:val="16"/>
          </w:tcPr>
          <w:p>
            <w:pPr>
              <w:spacing w:after="0"/>
              <w:rPr>
                <w:sz w:val="20"/>
                <w:szCs w:val="20"/>
                <w:color w:val="auto"/>
              </w:rPr>
            </w:pPr>
            <w:r>
              <w:rPr>
                <w:rFonts w:ascii="Arial" w:cs="Arial" w:eastAsia="Arial" w:hAnsi="Arial"/>
                <w:sz w:val="18"/>
                <w:szCs w:val="18"/>
                <w:color w:val="0000FF"/>
              </w:rPr>
              <w:t>Certification of Chief Executive Officer pursuant to Rule 13a-14(a) under the Securities Exchange Act of 1934</w:t>
            </w:r>
          </w:p>
        </w:tc>
      </w:tr>
      <w:tr>
        <w:trPr>
          <w:trHeight w:val="235"/>
        </w:trPr>
        <w:tc>
          <w:tcPr>
            <w:tcW w:w="1280" w:type="dxa"/>
            <w:vAlign w:val="bottom"/>
          </w:tcPr>
          <w:p>
            <w:pPr>
              <w:ind w:left="2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0"/>
                <w:szCs w:val="20"/>
                <w:color w:val="auto"/>
              </w:rPr>
            </w:pPr>
          </w:p>
        </w:tc>
        <w:tc>
          <w:tcPr>
            <w:tcW w:w="78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1"/>
              </w:rPr>
              <w:t>Certification of Chief Financial Officer pursuant to Rule 13a-14(a) under the Securities Exchange Act of 1934</w:t>
            </w:r>
          </w:p>
        </w:tc>
        <w:tc>
          <w:tcPr>
            <w:tcW w:w="40" w:type="dxa"/>
            <w:vAlign w:val="bottom"/>
            <w:tcBorders>
              <w:top w:val="single" w:sz="8" w:color="0000FF"/>
            </w:tcBorders>
          </w:tcPr>
          <w:p>
            <w:pPr>
              <w:spacing w:after="0"/>
              <w:rPr>
                <w:sz w:val="20"/>
                <w:szCs w:val="20"/>
                <w:color w:val="auto"/>
              </w:rPr>
            </w:pPr>
          </w:p>
        </w:tc>
        <w:tc>
          <w:tcPr>
            <w:tcW w:w="1680" w:type="dxa"/>
            <w:vAlign w:val="bottom"/>
            <w:gridSpan w:val="5"/>
          </w:tcPr>
          <w:p>
            <w:pPr>
              <w:spacing w:after="0"/>
              <w:rPr>
                <w:sz w:val="20"/>
                <w:szCs w:val="20"/>
                <w:color w:val="auto"/>
              </w:rPr>
            </w:pPr>
          </w:p>
        </w:tc>
      </w:tr>
      <w:tr>
        <w:trPr>
          <w:trHeight w:val="235"/>
        </w:trPr>
        <w:tc>
          <w:tcPr>
            <w:tcW w:w="1280" w:type="dxa"/>
            <w:vAlign w:val="bottom"/>
          </w:tcPr>
          <w:p>
            <w:pPr>
              <w:ind w:left="2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0"/>
                <w:szCs w:val="20"/>
                <w:color w:val="auto"/>
              </w:rPr>
            </w:pPr>
          </w:p>
        </w:tc>
        <w:tc>
          <w:tcPr>
            <w:tcW w:w="52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Certification pursuant to Section 906 of the Sarbanes-Oxley Act of 2002</w:t>
            </w:r>
          </w:p>
        </w:tc>
        <w:tc>
          <w:tcPr>
            <w:tcW w:w="4400" w:type="dxa"/>
            <w:vAlign w:val="bottom"/>
            <w:gridSpan w:val="10"/>
          </w:tcPr>
          <w:p>
            <w:pPr>
              <w:spacing w:after="0"/>
              <w:rPr>
                <w:sz w:val="20"/>
                <w:szCs w:val="20"/>
                <w:color w:val="auto"/>
              </w:rPr>
            </w:pPr>
          </w:p>
        </w:tc>
      </w:tr>
      <w:tr>
        <w:trPr>
          <w:trHeight w:val="235"/>
        </w:trPr>
        <w:tc>
          <w:tcPr>
            <w:tcW w:w="1280" w:type="dxa"/>
            <w:vAlign w:val="bottom"/>
          </w:tcPr>
          <w:p>
            <w:pPr>
              <w:ind w:left="2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0"/>
                <w:szCs w:val="20"/>
                <w:color w:val="auto"/>
              </w:rPr>
            </w:pPr>
          </w:p>
        </w:tc>
        <w:tc>
          <w:tcPr>
            <w:tcW w:w="51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Certification pursuant to Section 906 of the Sarbanes-Oxley Act of 2002</w:t>
            </w:r>
          </w:p>
        </w:tc>
        <w:tc>
          <w:tcPr>
            <w:tcW w:w="4420" w:type="dxa"/>
            <w:vAlign w:val="bottom"/>
            <w:gridSpan w:val="11"/>
          </w:tcPr>
          <w:p>
            <w:pPr>
              <w:spacing w:after="0"/>
              <w:rPr>
                <w:sz w:val="20"/>
                <w:szCs w:val="20"/>
                <w:color w:val="auto"/>
              </w:rPr>
            </w:pPr>
          </w:p>
        </w:tc>
      </w:tr>
      <w:tr>
        <w:trPr>
          <w:trHeight w:val="273"/>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960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r>
      <w:tr>
        <w:trPr>
          <w:trHeight w:val="255"/>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9600" w:type="dxa"/>
            <w:vAlign w:val="bottom"/>
            <w:gridSpan w:val="16"/>
          </w:tcPr>
          <w:p>
            <w:pPr>
              <w:spacing w:after="0"/>
              <w:rPr>
                <w:sz w:val="20"/>
                <w:szCs w:val="20"/>
                <w:color w:val="auto"/>
              </w:rPr>
            </w:pPr>
            <w:r>
              <w:rPr>
                <w:rFonts w:ascii="Arial" w:cs="Arial" w:eastAsia="Arial" w:hAnsi="Arial"/>
                <w:sz w:val="18"/>
                <w:szCs w:val="18"/>
                <w:color w:val="auto"/>
              </w:rPr>
              <w:t>XBRL Schema Document</w:t>
            </w:r>
          </w:p>
        </w:tc>
      </w:tr>
      <w:tr>
        <w:trPr>
          <w:trHeight w:val="255"/>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9600" w:type="dxa"/>
            <w:vAlign w:val="bottom"/>
            <w:gridSpan w:val="16"/>
          </w:tcPr>
          <w:p>
            <w:pPr>
              <w:spacing w:after="0"/>
              <w:rPr>
                <w:sz w:val="20"/>
                <w:szCs w:val="20"/>
                <w:color w:val="auto"/>
              </w:rPr>
            </w:pPr>
            <w:r>
              <w:rPr>
                <w:rFonts w:ascii="Arial" w:cs="Arial" w:eastAsia="Arial" w:hAnsi="Arial"/>
                <w:sz w:val="18"/>
                <w:szCs w:val="18"/>
                <w:color w:val="auto"/>
              </w:rPr>
              <w:t>XBRL Calculation Linkbase Document</w:t>
            </w:r>
          </w:p>
        </w:tc>
      </w:tr>
      <w:tr>
        <w:trPr>
          <w:trHeight w:val="255"/>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9600" w:type="dxa"/>
            <w:vAlign w:val="bottom"/>
            <w:gridSpan w:val="16"/>
          </w:tcPr>
          <w:p>
            <w:pPr>
              <w:spacing w:after="0"/>
              <w:rPr>
                <w:sz w:val="20"/>
                <w:szCs w:val="20"/>
                <w:color w:val="auto"/>
              </w:rPr>
            </w:pPr>
            <w:r>
              <w:rPr>
                <w:rFonts w:ascii="Arial" w:cs="Arial" w:eastAsia="Arial" w:hAnsi="Arial"/>
                <w:sz w:val="18"/>
                <w:szCs w:val="18"/>
                <w:color w:val="auto"/>
              </w:rPr>
              <w:t>XBRL Labels Linkbase Document</w:t>
            </w:r>
          </w:p>
        </w:tc>
      </w:tr>
      <w:tr>
        <w:trPr>
          <w:trHeight w:val="255"/>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9600" w:type="dxa"/>
            <w:vAlign w:val="bottom"/>
            <w:gridSpan w:val="16"/>
          </w:tcPr>
          <w:p>
            <w:pPr>
              <w:spacing w:after="0"/>
              <w:rPr>
                <w:sz w:val="20"/>
                <w:szCs w:val="20"/>
                <w:color w:val="auto"/>
              </w:rPr>
            </w:pPr>
            <w:r>
              <w:rPr>
                <w:rFonts w:ascii="Arial" w:cs="Arial" w:eastAsia="Arial" w:hAnsi="Arial"/>
                <w:sz w:val="18"/>
                <w:szCs w:val="18"/>
                <w:color w:val="auto"/>
              </w:rPr>
              <w:t>XBRL Presentation Linkbase Document</w:t>
            </w:r>
          </w:p>
        </w:tc>
      </w:tr>
      <w:tr>
        <w:trPr>
          <w:trHeight w:val="255"/>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9600" w:type="dxa"/>
            <w:vAlign w:val="bottom"/>
            <w:gridSpan w:val="16"/>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Exhibits 10.2 to 10.11 are management contracts or compensatory plans, contracts, or arrangements.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exhibit was originally filed as Exhibit 10.1 to the Current Report on Form 8-K, filed August 1, 2022. The original filing had errors in the</w:t>
      </w:r>
    </w:p>
    <w:p>
      <w:pPr>
        <w:spacing w:after="0" w:line="61"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autonumbering of sections. The version filed herewith is identical to the version filed on August 1, 2022 other than to correct the numbering of the sections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7" w:right="39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MISTRAS GROUP, INC.</w:t>
      </w:r>
    </w:p>
    <w:p>
      <w:pPr>
        <w:spacing w:after="0" w:line="21" w:lineRule="exact"/>
        <w:rPr>
          <w:sz w:val="20"/>
          <w:szCs w:val="20"/>
          <w:color w:val="auto"/>
        </w:rPr>
      </w:pPr>
    </w:p>
    <w:p>
      <w:pPr>
        <w:ind w:left="5660"/>
        <w:spacing w:after="0"/>
        <w:tabs>
          <w:tab w:leader="none" w:pos="6120" w:val="left"/>
        </w:tabs>
        <w:rPr>
          <w:sz w:val="20"/>
          <w:szCs w:val="20"/>
          <w:color w:val="auto"/>
        </w:rPr>
      </w:pPr>
      <w:r>
        <w:rPr>
          <w:rFonts w:ascii="Arial" w:cs="Arial" w:eastAsia="Arial" w:hAnsi="Arial"/>
          <w:sz w:val="18"/>
          <w:szCs w:val="18"/>
          <w:color w:val="auto"/>
        </w:rPr>
        <w:t>By:</w:t>
        <w:tab/>
        <w:t>/s/ Dennis Bertolotti</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-130175</wp:posOffset>
            </wp:positionV>
            <wp:extent cx="3226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3226435" cy="8255"/>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2023</w:t>
      </w:r>
    </w:p>
    <w:p>
      <w:pPr>
        <w:spacing w:after="0" w:line="222" w:lineRule="exact"/>
        <w:rPr>
          <w:sz w:val="20"/>
          <w:szCs w:val="20"/>
          <w:color w:val="auto"/>
        </w:rPr>
      </w:pPr>
    </w:p>
    <w:p>
      <w:pPr>
        <w:jc w:val="both"/>
        <w:ind w:right="40"/>
        <w:spacing w:after="0" w:line="282" w:lineRule="auto"/>
        <w:rPr>
          <w:sz w:val="20"/>
          <w:szCs w:val="20"/>
          <w:color w:val="auto"/>
        </w:rPr>
      </w:pPr>
      <w:r>
        <w:rPr>
          <w:rFonts w:ascii="Arial" w:cs="Arial" w:eastAsia="Arial" w:hAnsi="Arial"/>
          <w:sz w:val="17"/>
          <w:szCs w:val="17"/>
          <w:color w:val="auto"/>
        </w:rPr>
        <w:t>We, the undersigned directors and officers of Mistras Group, Inc., hereby severally constitute Dennis Bertolotti, Edward J. Prajzner and Michael C. Keefe, and each of them singly, as our true and lawful attorneys with full power to each of them to sign for us, in our names in the capacities indicated below, any and all amendments to this Annual Report on Form 10-K filed with the Securities and Exchange Commission.</w:t>
      </w:r>
    </w:p>
    <w:p>
      <w:pPr>
        <w:spacing w:after="0" w:line="169"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This power of attorney may only be revoked by a written document executed by the undersigned that expressly revokes this power by referring to the date and subject hereof.</w:t>
      </w:r>
    </w:p>
    <w:p>
      <w:pPr>
        <w:spacing w:after="0" w:line="174"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5"/>
        </w:trPr>
        <w:tc>
          <w:tcPr>
            <w:tcW w:w="4420" w:type="dxa"/>
            <w:vAlign w:val="bottom"/>
          </w:tcPr>
          <w:p>
            <w:pPr>
              <w:ind w:left="19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560" w:type="dxa"/>
            <w:vAlign w:val="bottom"/>
            <w:gridSpan w:val="2"/>
          </w:tcPr>
          <w:p>
            <w:pPr>
              <w:ind w:left="2080"/>
              <w:spacing w:after="0"/>
              <w:rPr>
                <w:sz w:val="20"/>
                <w:szCs w:val="20"/>
                <w:color w:val="auto"/>
              </w:rPr>
            </w:pPr>
            <w:r>
              <w:rPr>
                <w:rFonts w:ascii="Arial" w:cs="Arial" w:eastAsia="Arial" w:hAnsi="Arial"/>
                <w:sz w:val="14"/>
                <w:szCs w:val="14"/>
                <w:b w:val="1"/>
                <w:bCs w:val="1"/>
                <w:color w:val="auto"/>
              </w:rPr>
              <w:t>Title</w:t>
            </w:r>
          </w:p>
        </w:tc>
        <w:tc>
          <w:tcPr>
            <w:tcW w:w="2100" w:type="dxa"/>
            <w:vAlign w:val="bottom"/>
          </w:tcPr>
          <w:p>
            <w:pPr>
              <w:ind w:left="9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
        </w:trPr>
        <w:tc>
          <w:tcPr>
            <w:tcW w:w="4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6"/>
        </w:trPr>
        <w:tc>
          <w:tcPr>
            <w:tcW w:w="4420" w:type="dxa"/>
            <w:vAlign w:val="bottom"/>
          </w:tcPr>
          <w:p>
            <w:pPr>
              <w:spacing w:after="0"/>
              <w:rPr>
                <w:sz w:val="20"/>
                <w:szCs w:val="20"/>
                <w:color w:val="auto"/>
              </w:rPr>
            </w:pPr>
            <w:r>
              <w:rPr>
                <w:rFonts w:ascii="Arial" w:cs="Arial" w:eastAsia="Arial" w:hAnsi="Arial"/>
                <w:sz w:val="18"/>
                <w:szCs w:val="18"/>
                <w:color w:val="auto"/>
              </w:rPr>
              <w:t>/s/ Dennis Bertolotti</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w w:val="99"/>
              </w:rPr>
              <w:t xml:space="preserve">President, Chief Executive Officer and Director </w:t>
            </w:r>
            <w:r>
              <w:rPr>
                <w:rFonts w:ascii="Arial" w:cs="Arial" w:eastAsia="Arial" w:hAnsi="Arial"/>
                <w:sz w:val="18"/>
                <w:szCs w:val="18"/>
                <w:i w:val="1"/>
                <w:iCs w:val="1"/>
                <w:color w:val="auto"/>
                <w:w w:val="99"/>
              </w:rPr>
              <w:t>(Principal</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80"/>
        </w:trPr>
        <w:tc>
          <w:tcPr>
            <w:tcW w:w="442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45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Executive Officer)</w:t>
            </w: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4420" w:type="dxa"/>
            <w:vAlign w:val="bottom"/>
            <w:vMerge w:val="restart"/>
          </w:tcPr>
          <w:p>
            <w:pPr>
              <w:spacing w:after="0"/>
              <w:rPr>
                <w:sz w:val="20"/>
                <w:szCs w:val="20"/>
                <w:color w:val="auto"/>
              </w:rPr>
            </w:pPr>
            <w:r>
              <w:rPr>
                <w:rFonts w:ascii="Arial" w:cs="Arial" w:eastAsia="Arial" w:hAnsi="Arial"/>
                <w:sz w:val="18"/>
                <w:szCs w:val="18"/>
                <w:color w:val="auto"/>
              </w:rPr>
              <w:t>Dennis Bertolotti</w:t>
            </w:r>
          </w:p>
        </w:tc>
        <w:tc>
          <w:tcPr>
            <w:tcW w:w="100" w:type="dxa"/>
            <w:vAlign w:val="bottom"/>
            <w:vMerge w:val="continue"/>
          </w:tcPr>
          <w:p>
            <w:pPr>
              <w:spacing w:after="0"/>
              <w:rPr>
                <w:sz w:val="11"/>
                <w:szCs w:val="11"/>
                <w:color w:val="auto"/>
              </w:rPr>
            </w:pPr>
          </w:p>
        </w:tc>
        <w:tc>
          <w:tcPr>
            <w:tcW w:w="4560" w:type="dxa"/>
            <w:vAlign w:val="bottom"/>
            <w:gridSpan w:val="2"/>
            <w:vMerge w:val="continue"/>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6"/>
        </w:trPr>
        <w:tc>
          <w:tcPr>
            <w:tcW w:w="4420" w:type="dxa"/>
            <w:vAlign w:val="bottom"/>
          </w:tcPr>
          <w:p>
            <w:pPr>
              <w:spacing w:after="0"/>
              <w:rPr>
                <w:sz w:val="20"/>
                <w:szCs w:val="20"/>
                <w:color w:val="auto"/>
              </w:rPr>
            </w:pPr>
            <w:r>
              <w:rPr>
                <w:rFonts w:ascii="Arial" w:cs="Arial" w:eastAsia="Arial" w:hAnsi="Arial"/>
                <w:sz w:val="18"/>
                <w:szCs w:val="18"/>
                <w:color w:val="auto"/>
              </w:rPr>
              <w:t>/s/ Edward J. Prajzner</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Financial Officer and</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80"/>
        </w:trPr>
        <w:tc>
          <w:tcPr>
            <w:tcW w:w="442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4560" w:type="dxa"/>
            <w:vAlign w:val="bottom"/>
            <w:gridSpan w:val="2"/>
            <w:vMerge w:val="restart"/>
          </w:tcPr>
          <w:p>
            <w:pPr>
              <w:ind w:left="20"/>
              <w:spacing w:after="0" w:line="187" w:lineRule="exact"/>
              <w:rPr>
                <w:sz w:val="20"/>
                <w:szCs w:val="20"/>
                <w:color w:val="auto"/>
              </w:rPr>
            </w:pPr>
            <w:r>
              <w:rPr>
                <w:rFonts w:ascii="Arial" w:cs="Arial" w:eastAsia="Arial" w:hAnsi="Arial"/>
                <w:sz w:val="18"/>
                <w:szCs w:val="18"/>
                <w:color w:val="auto"/>
              </w:rPr>
              <w:t xml:space="preserve">Treasurer </w:t>
            </w:r>
            <w:r>
              <w:rPr>
                <w:rFonts w:ascii="Arial" w:cs="Arial" w:eastAsia="Arial" w:hAnsi="Arial"/>
                <w:sz w:val="18"/>
                <w:szCs w:val="18"/>
                <w:i w:val="1"/>
                <w:iCs w:val="1"/>
                <w:color w:val="auto"/>
              </w:rPr>
              <w:t>(Principal Financial Officer and Principal</w:t>
            </w: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4420" w:type="dxa"/>
            <w:vAlign w:val="bottom"/>
            <w:vMerge w:val="restart"/>
          </w:tcPr>
          <w:p>
            <w:pPr>
              <w:spacing w:after="0"/>
              <w:rPr>
                <w:sz w:val="20"/>
                <w:szCs w:val="20"/>
                <w:color w:val="auto"/>
              </w:rPr>
            </w:pPr>
            <w:r>
              <w:rPr>
                <w:rFonts w:ascii="Arial" w:cs="Arial" w:eastAsia="Arial" w:hAnsi="Arial"/>
                <w:sz w:val="18"/>
                <w:szCs w:val="18"/>
                <w:color w:val="auto"/>
              </w:rPr>
              <w:t>Edward J. Prajzner</w:t>
            </w:r>
          </w:p>
        </w:tc>
        <w:tc>
          <w:tcPr>
            <w:tcW w:w="100" w:type="dxa"/>
            <w:vAlign w:val="bottom"/>
            <w:vMerge w:val="continue"/>
          </w:tcPr>
          <w:p>
            <w:pPr>
              <w:spacing w:after="0"/>
              <w:rPr>
                <w:sz w:val="7"/>
                <w:szCs w:val="7"/>
                <w:color w:val="auto"/>
              </w:rPr>
            </w:pPr>
          </w:p>
        </w:tc>
        <w:tc>
          <w:tcPr>
            <w:tcW w:w="4560" w:type="dxa"/>
            <w:vAlign w:val="bottom"/>
            <w:gridSpan w:val="2"/>
            <w:vMerge w:val="continue"/>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5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Accounting Officer)</w:t>
            </w: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3"/>
        </w:trPr>
        <w:tc>
          <w:tcPr>
            <w:tcW w:w="4420" w:type="dxa"/>
            <w:vAlign w:val="bottom"/>
          </w:tcPr>
          <w:p>
            <w:pPr>
              <w:spacing w:after="0"/>
              <w:rPr>
                <w:sz w:val="20"/>
                <w:szCs w:val="20"/>
                <w:color w:val="auto"/>
              </w:rPr>
            </w:pPr>
            <w:r>
              <w:rPr>
                <w:rFonts w:ascii="Arial" w:cs="Arial" w:eastAsia="Arial" w:hAnsi="Arial"/>
                <w:sz w:val="18"/>
                <w:szCs w:val="18"/>
                <w:color w:val="auto"/>
              </w:rPr>
              <w:t>/s/ Dr. Sotirios J. Vahaviolos</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Executive Chairman and 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28"/>
        </w:trPr>
        <w:tc>
          <w:tcPr>
            <w:tcW w:w="4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8"/>
                <w:szCs w:val="18"/>
                <w:color w:val="auto"/>
              </w:rPr>
              <w:t>Dr. Sotirios J. Vahaviolos</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6"/>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DeBenedictis</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8"/>
                <w:szCs w:val="18"/>
                <w:color w:val="auto"/>
              </w:rPr>
              <w:t>Nicholas DeBenedictis</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Forese</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8"/>
                <w:szCs w:val="18"/>
                <w:color w:val="auto"/>
              </w:rPr>
              <w:t>James J. Forese</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H. Glanton</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8"/>
                <w:szCs w:val="18"/>
                <w:color w:val="auto"/>
              </w:rPr>
              <w:t>Richard H. Glanton</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Michelle J. Lohmeier</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8"/>
                <w:szCs w:val="18"/>
                <w:color w:val="auto"/>
              </w:rPr>
              <w:t>Michelle J. Lohmeier</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P. Pizzi</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8"/>
                <w:szCs w:val="18"/>
                <w:color w:val="auto"/>
              </w:rPr>
              <w:t>Charles P. Pizzi</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Manuel N. Stamatakis</w:t>
            </w:r>
          </w:p>
        </w:tc>
        <w:tc>
          <w:tcPr>
            <w:tcW w:w="100" w:type="dxa"/>
            <w:vAlign w:val="bottom"/>
          </w:tcPr>
          <w:p>
            <w:pPr>
              <w:spacing w:after="0"/>
              <w:rPr>
                <w:sz w:val="24"/>
                <w:szCs w:val="24"/>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940"/>
              <w:spacing w:after="0"/>
              <w:rPr>
                <w:sz w:val="20"/>
                <w:szCs w:val="20"/>
                <w:color w:val="auto"/>
              </w:rPr>
            </w:pPr>
            <w:r>
              <w:rPr>
                <w:rFonts w:ascii="Arial" w:cs="Arial" w:eastAsia="Arial" w:hAnsi="Arial"/>
                <w:sz w:val="18"/>
                <w:szCs w:val="18"/>
                <w:color w:val="auto"/>
                <w:w w:val="91"/>
              </w:rPr>
              <w:t>March 15, 2023</w:t>
            </w:r>
          </w:p>
        </w:tc>
        <w:tc>
          <w:tcPr>
            <w:tcW w:w="0" w:type="dxa"/>
            <w:vAlign w:val="bottom"/>
          </w:tcPr>
          <w:p>
            <w:pPr>
              <w:spacing w:after="0"/>
              <w:rPr>
                <w:sz w:val="1"/>
                <w:szCs w:val="1"/>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8"/>
                <w:szCs w:val="18"/>
                <w:color w:val="auto"/>
              </w:rPr>
              <w:t>Manuel N. Stamatakis</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371" w:right="359" w:bottom="1440" w:gutter="0" w:footer="0" w:header="0"/>
        </w:sectPr>
      </w:pPr>
    </w:p>
    <w:bookmarkStart w:id="84" w:name="page85"/>
    <w:bookmarkEnd w:id="84"/>
    <w:p>
      <w:pPr>
        <w:jc w:val="right"/>
        <w:spacing w:after="0"/>
        <w:rPr>
          <w:sz w:val="20"/>
          <w:szCs w:val="20"/>
          <w:color w:val="auto"/>
        </w:rPr>
      </w:pPr>
      <w:r>
        <w:rPr>
          <w:rFonts w:ascii="Arial" w:cs="Arial" w:eastAsia="Arial" w:hAnsi="Arial"/>
          <w:sz w:val="21"/>
          <w:szCs w:val="21"/>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323850</wp:posOffset>
            </wp:positionV>
            <wp:extent cx="53371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5337175" cy="825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706755</wp:posOffset>
            </wp:positionV>
            <wp:extent cx="995680" cy="247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995680" cy="24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CREDIT AGREEMENT</w:t>
      </w:r>
    </w:p>
    <w:p>
      <w:pPr>
        <w:spacing w:after="0" w:line="348" w:lineRule="exact"/>
        <w:rPr>
          <w:sz w:val="20"/>
          <w:szCs w:val="20"/>
          <w:color w:val="auto"/>
        </w:rPr>
      </w:pPr>
    </w:p>
    <w:p>
      <w:pPr>
        <w:ind w:left="4020"/>
        <w:spacing w:after="0"/>
        <w:rPr>
          <w:sz w:val="20"/>
          <w:szCs w:val="20"/>
          <w:color w:val="auto"/>
        </w:rPr>
      </w:pPr>
      <w:r>
        <w:rPr>
          <w:rFonts w:ascii="Arial" w:cs="Arial" w:eastAsia="Arial" w:hAnsi="Arial"/>
          <w:sz w:val="21"/>
          <w:szCs w:val="21"/>
          <w:color w:val="auto"/>
        </w:rPr>
        <w:t>dated as of August 1, 2022 among</w:t>
      </w:r>
    </w:p>
    <w:p>
      <w:pPr>
        <w:spacing w:after="0" w:line="98"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MISTRAS GROUP, INC.,</w:t>
      </w:r>
    </w:p>
    <w:p>
      <w:pPr>
        <w:jc w:val="center"/>
        <w:spacing w:after="0"/>
        <w:rPr>
          <w:sz w:val="20"/>
          <w:szCs w:val="20"/>
          <w:color w:val="auto"/>
        </w:rPr>
      </w:pPr>
      <w:r>
        <w:rPr>
          <w:rFonts w:ascii="Arial" w:cs="Arial" w:eastAsia="Arial" w:hAnsi="Arial"/>
          <w:sz w:val="21"/>
          <w:szCs w:val="21"/>
          <w:color w:val="auto"/>
        </w:rPr>
        <w:t>as Borrower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Lenders Party Hereto JPMORGAN CHASE BANK, N.A.,</w:t>
      </w:r>
    </w:p>
    <w:p>
      <w:pPr>
        <w:spacing w:after="0" w:line="255" w:lineRule="exact"/>
        <w:rPr>
          <w:sz w:val="20"/>
          <w:szCs w:val="20"/>
          <w:color w:val="auto"/>
        </w:rPr>
      </w:pPr>
    </w:p>
    <w:p>
      <w:pPr>
        <w:ind w:left="4260"/>
        <w:spacing w:after="0"/>
        <w:rPr>
          <w:sz w:val="20"/>
          <w:szCs w:val="20"/>
          <w:color w:val="auto"/>
        </w:rPr>
      </w:pPr>
      <w:r>
        <w:rPr>
          <w:rFonts w:ascii="Arial" w:cs="Arial" w:eastAsia="Arial" w:hAnsi="Arial"/>
          <w:sz w:val="21"/>
          <w:szCs w:val="21"/>
          <w:color w:val="auto"/>
        </w:rPr>
        <w:t>as Administrative Agent and</w:t>
      </w:r>
    </w:p>
    <w:p>
      <w:pPr>
        <w:spacing w:after="0" w:line="107" w:lineRule="exact"/>
        <w:rPr>
          <w:sz w:val="20"/>
          <w:szCs w:val="20"/>
          <w:color w:val="auto"/>
        </w:rPr>
      </w:pPr>
    </w:p>
    <w:p>
      <w:pPr>
        <w:ind w:left="4200"/>
        <w:spacing w:after="0"/>
        <w:rPr>
          <w:sz w:val="20"/>
          <w:szCs w:val="20"/>
          <w:color w:val="auto"/>
        </w:rPr>
      </w:pPr>
      <w:r>
        <w:rPr>
          <w:rFonts w:ascii="Arial" w:cs="Arial" w:eastAsia="Arial" w:hAnsi="Arial"/>
          <w:sz w:val="21"/>
          <w:szCs w:val="21"/>
          <w:color w:val="auto"/>
        </w:rPr>
        <w:t>BANK OF AMERICA, N.A.,</w:t>
      </w:r>
    </w:p>
    <w:p>
      <w:pPr>
        <w:spacing w:after="0" w:line="120" w:lineRule="exact"/>
        <w:rPr>
          <w:sz w:val="20"/>
          <w:szCs w:val="20"/>
          <w:color w:val="auto"/>
        </w:rPr>
      </w:pPr>
    </w:p>
    <w:p>
      <w:pPr>
        <w:ind w:left="4380"/>
        <w:spacing w:after="0"/>
        <w:rPr>
          <w:sz w:val="20"/>
          <w:szCs w:val="20"/>
          <w:color w:val="auto"/>
        </w:rPr>
      </w:pPr>
      <w:r>
        <w:rPr>
          <w:rFonts w:ascii="Arial" w:cs="Arial" w:eastAsia="Arial" w:hAnsi="Arial"/>
          <w:sz w:val="21"/>
          <w:szCs w:val="21"/>
          <w:color w:val="auto"/>
        </w:rPr>
        <w:t>as Syndication Agent and</w:t>
      </w:r>
    </w:p>
    <w:p>
      <w:pPr>
        <w:spacing w:after="0" w:line="98"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KEYBANK NATIONAL ASSOCIATION, TD BANK, N.A.</w:t>
      </w:r>
    </w:p>
    <w:p>
      <w:pPr>
        <w:jc w:val="center"/>
        <w:spacing w:after="0" w:line="213" w:lineRule="auto"/>
        <w:rPr>
          <w:sz w:val="20"/>
          <w:szCs w:val="20"/>
          <w:color w:val="auto"/>
        </w:rPr>
      </w:pPr>
      <w:r>
        <w:rPr>
          <w:rFonts w:ascii="Arial" w:cs="Arial" w:eastAsia="Arial" w:hAnsi="Arial"/>
          <w:sz w:val="21"/>
          <w:szCs w:val="21"/>
          <w:color w:val="auto"/>
        </w:rPr>
        <w:t>and</w:t>
      </w:r>
    </w:p>
    <w:p>
      <w:pPr>
        <w:jc w:val="center"/>
        <w:spacing w:after="0" w:line="213" w:lineRule="auto"/>
        <w:rPr>
          <w:sz w:val="20"/>
          <w:szCs w:val="20"/>
          <w:color w:val="auto"/>
        </w:rPr>
      </w:pPr>
      <w:r>
        <w:rPr>
          <w:rFonts w:ascii="Arial" w:cs="Arial" w:eastAsia="Arial" w:hAnsi="Arial"/>
          <w:sz w:val="21"/>
          <w:szCs w:val="21"/>
          <w:color w:val="auto"/>
        </w:rPr>
        <w:t>PNC BANK, NATIONAL ASSOCIATION,</w:t>
      </w:r>
    </w:p>
    <w:p>
      <w:pPr>
        <w:jc w:val="center"/>
        <w:spacing w:after="0"/>
        <w:rPr>
          <w:sz w:val="20"/>
          <w:szCs w:val="20"/>
          <w:color w:val="auto"/>
        </w:rPr>
      </w:pPr>
      <w:r>
        <w:rPr>
          <w:rFonts w:ascii="Arial" w:cs="Arial" w:eastAsia="Arial" w:hAnsi="Arial"/>
          <w:sz w:val="21"/>
          <w:szCs w:val="21"/>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180975</wp:posOffset>
            </wp:positionV>
            <wp:extent cx="24428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JPMORGAN CHASE BANK, N.A.,</w:t>
      </w:r>
    </w:p>
    <w:p>
      <w:pPr>
        <w:jc w:val="center"/>
        <w:spacing w:after="0" w:line="213" w:lineRule="auto"/>
        <w:rPr>
          <w:sz w:val="20"/>
          <w:szCs w:val="20"/>
          <w:color w:val="auto"/>
        </w:rPr>
      </w:pPr>
      <w:r>
        <w:rPr>
          <w:rFonts w:ascii="Arial" w:cs="Arial" w:eastAsia="Arial" w:hAnsi="Arial"/>
          <w:sz w:val="21"/>
          <w:szCs w:val="21"/>
          <w:color w:val="auto"/>
        </w:rPr>
        <w:t>and</w:t>
      </w:r>
    </w:p>
    <w:p>
      <w:pPr>
        <w:jc w:val="center"/>
        <w:spacing w:after="0" w:line="213" w:lineRule="auto"/>
        <w:rPr>
          <w:sz w:val="20"/>
          <w:szCs w:val="20"/>
          <w:color w:val="auto"/>
        </w:rPr>
      </w:pPr>
      <w:r>
        <w:rPr>
          <w:rFonts w:ascii="Arial" w:cs="Arial" w:eastAsia="Arial" w:hAnsi="Arial"/>
          <w:sz w:val="21"/>
          <w:szCs w:val="21"/>
          <w:color w:val="auto"/>
        </w:rPr>
        <w:t>BofA SECURITIES, INC.,</w:t>
      </w:r>
    </w:p>
    <w:p>
      <w:pPr>
        <w:jc w:val="center"/>
        <w:spacing w:after="0"/>
        <w:rPr>
          <w:sz w:val="20"/>
          <w:szCs w:val="20"/>
          <w:color w:val="auto"/>
        </w:rPr>
      </w:pPr>
      <w:r>
        <w:rPr>
          <w:rFonts w:ascii="Arial" w:cs="Arial" w:eastAsia="Arial" w:hAnsi="Arial"/>
          <w:sz w:val="21"/>
          <w:szCs w:val="21"/>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299720</wp:posOffset>
            </wp:positionV>
            <wp:extent cx="53371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5337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LEGAL 4856-0290-8459v.15</w:t>
      </w:r>
    </w:p>
    <w:p>
      <w:pPr>
        <w:sectPr>
          <w:pgSz w:w="11900" w:h="16838" w:orient="portrait"/>
          <w:cols w:equalWidth="0" w:num="1">
            <w:col w:w="10980"/>
          </w:cols>
          <w:pgMar w:left="460" w:top="809" w:right="459" w:bottom="1440" w:gutter="0" w:footer="0" w:header="0"/>
        </w:sectPr>
      </w:pPr>
    </w:p>
    <w:bookmarkStart w:id="85" w:name="page86"/>
    <w:bookmarkEnd w:id="85"/>
    <w:p>
      <w:pPr>
        <w:jc w:val="center"/>
        <w:ind w:right="2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auto"/>
        </w:rPr>
        <w:t>Page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180" w:type="dxa"/>
            <w:vAlign w:val="bottom"/>
          </w:tcPr>
          <w:p>
            <w:pPr>
              <w:jc w:val="right"/>
              <w:ind w:right="53"/>
              <w:spacing w:after="0"/>
              <w:rPr>
                <w:sz w:val="20"/>
                <w:szCs w:val="20"/>
                <w:color w:val="auto"/>
              </w:rPr>
            </w:pPr>
            <w:r>
              <w:rPr>
                <w:rFonts w:ascii="Arial" w:cs="Arial" w:eastAsia="Arial" w:hAnsi="Arial"/>
                <w:sz w:val="21"/>
                <w:szCs w:val="21"/>
                <w:color w:val="auto"/>
                <w:w w:val="97"/>
              </w:rPr>
              <w:t>ARTICLE I Definitions</w:t>
            </w:r>
          </w:p>
        </w:tc>
        <w:tc>
          <w:tcPr>
            <w:tcW w:w="1080" w:type="dxa"/>
            <w:vAlign w:val="bottom"/>
          </w:tcPr>
          <w:p>
            <w:pPr>
              <w:ind w:left="60"/>
              <w:spacing w:after="0"/>
              <w:rPr>
                <w:sz w:val="20"/>
                <w:szCs w:val="20"/>
                <w:color w:val="auto"/>
              </w:rPr>
            </w:pPr>
            <w:r>
              <w:rPr>
                <w:rFonts w:ascii="Arial" w:cs="Arial" w:eastAsia="Arial" w:hAnsi="Arial"/>
                <w:sz w:val="21"/>
                <w:szCs w:val="21"/>
                <w:color w:val="auto"/>
              </w:rPr>
              <w:t>1</w:t>
            </w: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0"/>
        </w:trPr>
        <w:tc>
          <w:tcPr>
            <w:tcW w:w="2180" w:type="dxa"/>
            <w:vAlign w:val="bottom"/>
          </w:tcPr>
          <w:p>
            <w:pPr>
              <w:jc w:val="right"/>
              <w:ind w:right="53"/>
              <w:spacing w:after="0"/>
              <w:rPr>
                <w:sz w:val="20"/>
                <w:szCs w:val="20"/>
                <w:color w:val="auto"/>
              </w:rPr>
            </w:pPr>
            <w:r>
              <w:rPr>
                <w:rFonts w:ascii="Arial" w:cs="Arial" w:eastAsia="Arial" w:hAnsi="Arial"/>
                <w:sz w:val="21"/>
                <w:szCs w:val="21"/>
                <w:color w:val="auto"/>
              </w:rPr>
              <w:t>SECTION 1.01.</w:t>
            </w:r>
          </w:p>
        </w:tc>
        <w:tc>
          <w:tcPr>
            <w:tcW w:w="1480" w:type="dxa"/>
            <w:vAlign w:val="bottom"/>
            <w:gridSpan w:val="2"/>
          </w:tcPr>
          <w:p>
            <w:pPr>
              <w:ind w:left="60"/>
              <w:spacing w:after="0"/>
              <w:rPr>
                <w:sz w:val="20"/>
                <w:szCs w:val="20"/>
                <w:color w:val="auto"/>
              </w:rPr>
            </w:pPr>
            <w:r>
              <w:rPr>
                <w:rFonts w:ascii="Arial" w:cs="Arial" w:eastAsia="Arial" w:hAnsi="Arial"/>
                <w:sz w:val="21"/>
                <w:szCs w:val="21"/>
                <w:color w:val="auto"/>
              </w:rPr>
              <w:t>Defined Terms</w:t>
            </w:r>
          </w:p>
        </w:tc>
        <w:tc>
          <w:tcPr>
            <w:tcW w:w="460" w:type="dxa"/>
            <w:vAlign w:val="bottom"/>
            <w:gridSpan w:val="2"/>
          </w:tcPr>
          <w:p>
            <w:pPr>
              <w:jc w:val="right"/>
              <w:ind w:right="173"/>
              <w:spacing w:after="0"/>
              <w:rPr>
                <w:sz w:val="20"/>
                <w:szCs w:val="20"/>
                <w:color w:val="auto"/>
              </w:rPr>
            </w:pPr>
            <w:r>
              <w:rPr>
                <w:rFonts w:ascii="Arial" w:cs="Arial" w:eastAsia="Arial" w:hAnsi="Arial"/>
                <w:sz w:val="21"/>
                <w:szCs w:val="21"/>
                <w:color w:val="auto"/>
              </w:rPr>
              <w:t>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vMerge w:val="restart"/>
          </w:tcPr>
          <w:p>
            <w:pPr>
              <w:jc w:val="right"/>
              <w:ind w:right="1433"/>
              <w:spacing w:after="0"/>
              <w:rPr>
                <w:sz w:val="20"/>
                <w:szCs w:val="20"/>
                <w:color w:val="auto"/>
              </w:rPr>
            </w:pPr>
            <w:r>
              <w:rPr>
                <w:rFonts w:ascii="Arial" w:cs="Arial" w:eastAsia="Arial" w:hAnsi="Arial"/>
                <w:sz w:val="21"/>
                <w:szCs w:val="21"/>
                <w:color w:val="auto"/>
              </w:rPr>
              <w:t>47</w:t>
            </w: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1.02.</w:t>
            </w:r>
          </w:p>
        </w:tc>
        <w:tc>
          <w:tcPr>
            <w:tcW w:w="3580" w:type="dxa"/>
            <w:vAlign w:val="bottom"/>
            <w:gridSpan w:val="8"/>
          </w:tcPr>
          <w:p>
            <w:pPr>
              <w:ind w:left="60"/>
              <w:spacing w:after="0" w:line="215" w:lineRule="exact"/>
              <w:rPr>
                <w:sz w:val="20"/>
                <w:szCs w:val="20"/>
                <w:color w:val="auto"/>
              </w:rPr>
            </w:pPr>
            <w:r>
              <w:rPr>
                <w:rFonts w:ascii="Arial" w:cs="Arial" w:eastAsia="Arial" w:hAnsi="Arial"/>
                <w:sz w:val="21"/>
                <w:szCs w:val="21"/>
                <w:color w:val="auto"/>
                <w:w w:val="96"/>
              </w:rPr>
              <w:t>Classification of Loans and Borrowings</w:t>
            </w: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1.03.</w:t>
            </w:r>
          </w:p>
        </w:tc>
        <w:tc>
          <w:tcPr>
            <w:tcW w:w="1620" w:type="dxa"/>
            <w:vAlign w:val="bottom"/>
            <w:gridSpan w:val="3"/>
          </w:tcPr>
          <w:p>
            <w:pPr>
              <w:ind w:left="60"/>
              <w:spacing w:after="0" w:line="215" w:lineRule="exact"/>
              <w:rPr>
                <w:sz w:val="20"/>
                <w:szCs w:val="20"/>
                <w:color w:val="auto"/>
              </w:rPr>
            </w:pPr>
            <w:r>
              <w:rPr>
                <w:rFonts w:ascii="Arial" w:cs="Arial" w:eastAsia="Arial" w:hAnsi="Arial"/>
                <w:sz w:val="21"/>
                <w:szCs w:val="21"/>
                <w:color w:val="auto"/>
                <w:w w:val="99"/>
              </w:rPr>
              <w:t>Terms Generally</w:t>
            </w:r>
          </w:p>
        </w:tc>
        <w:tc>
          <w:tcPr>
            <w:tcW w:w="320" w:type="dxa"/>
            <w:vAlign w:val="bottom"/>
          </w:tcPr>
          <w:p>
            <w:pPr>
              <w:jc w:val="right"/>
              <w:spacing w:after="0" w:line="215" w:lineRule="exact"/>
              <w:rPr>
                <w:sz w:val="20"/>
                <w:szCs w:val="20"/>
                <w:color w:val="auto"/>
              </w:rPr>
            </w:pPr>
            <w:r>
              <w:rPr>
                <w:rFonts w:ascii="Arial" w:cs="Arial" w:eastAsia="Arial" w:hAnsi="Arial"/>
                <w:sz w:val="21"/>
                <w:szCs w:val="21"/>
                <w:color w:val="auto"/>
              </w:rPr>
              <w:t>47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1.04.</w:t>
            </w:r>
          </w:p>
        </w:tc>
        <w:tc>
          <w:tcPr>
            <w:tcW w:w="5440" w:type="dxa"/>
            <w:vAlign w:val="bottom"/>
            <w:gridSpan w:val="9"/>
          </w:tcPr>
          <w:p>
            <w:pPr>
              <w:ind w:left="60"/>
              <w:spacing w:after="0" w:line="215" w:lineRule="exact"/>
              <w:rPr>
                <w:sz w:val="20"/>
                <w:szCs w:val="20"/>
                <w:color w:val="auto"/>
              </w:rPr>
            </w:pPr>
            <w:r>
              <w:rPr>
                <w:rFonts w:ascii="Arial" w:cs="Arial" w:eastAsia="Arial" w:hAnsi="Arial"/>
                <w:sz w:val="21"/>
                <w:szCs w:val="21"/>
                <w:color w:val="auto"/>
                <w:w w:val="97"/>
              </w:rPr>
              <w:t>Accounting Terms; GAAP; Pro Forma Calculations; Limited</w:t>
            </w:r>
          </w:p>
        </w:tc>
        <w:tc>
          <w:tcPr>
            <w:tcW w:w="0" w:type="dxa"/>
            <w:vAlign w:val="bottom"/>
          </w:tcPr>
          <w:p>
            <w:pPr>
              <w:spacing w:after="0"/>
              <w:rPr>
                <w:sz w:val="1"/>
                <w:szCs w:val="1"/>
                <w:color w:val="auto"/>
              </w:rPr>
            </w:pPr>
          </w:p>
        </w:tc>
      </w:tr>
      <w:tr>
        <w:trPr>
          <w:trHeight w:val="214"/>
        </w:trPr>
        <w:tc>
          <w:tcPr>
            <w:tcW w:w="2180" w:type="dxa"/>
            <w:vAlign w:val="bottom"/>
            <w:vMerge w:val="restart"/>
          </w:tcPr>
          <w:p>
            <w:pPr>
              <w:jc w:val="right"/>
              <w:ind w:right="53"/>
              <w:spacing w:after="0"/>
              <w:rPr>
                <w:sz w:val="20"/>
                <w:szCs w:val="20"/>
                <w:color w:val="auto"/>
              </w:rPr>
            </w:pPr>
            <w:r>
              <w:rPr>
                <w:rFonts w:ascii="Arial" w:cs="Arial" w:eastAsia="Arial" w:hAnsi="Arial"/>
                <w:sz w:val="21"/>
                <w:szCs w:val="21"/>
                <w:color w:val="auto"/>
              </w:rPr>
              <w:t>SECTION 1.05.</w:t>
            </w:r>
          </w:p>
        </w:tc>
        <w:tc>
          <w:tcPr>
            <w:tcW w:w="2180" w:type="dxa"/>
            <w:vAlign w:val="bottom"/>
            <w:gridSpan w:val="5"/>
          </w:tcPr>
          <w:p>
            <w:pPr>
              <w:ind w:left="260"/>
              <w:spacing w:after="0" w:line="215" w:lineRule="exact"/>
              <w:rPr>
                <w:sz w:val="20"/>
                <w:szCs w:val="20"/>
                <w:color w:val="auto"/>
              </w:rPr>
            </w:pPr>
            <w:r>
              <w:rPr>
                <w:rFonts w:ascii="Arial" w:cs="Arial" w:eastAsia="Arial" w:hAnsi="Arial"/>
                <w:sz w:val="21"/>
                <w:szCs w:val="21"/>
                <w:color w:val="auto"/>
              </w:rPr>
              <w:t>Review Transaction</w:t>
            </w:r>
          </w:p>
        </w:tc>
        <w:tc>
          <w:tcPr>
            <w:tcW w:w="820" w:type="dxa"/>
            <w:vAlign w:val="bottom"/>
            <w:gridSpan w:val="2"/>
          </w:tcPr>
          <w:p>
            <w:pPr>
              <w:jc w:val="right"/>
              <w:ind w:right="493"/>
              <w:spacing w:after="0" w:line="215" w:lineRule="exact"/>
              <w:rPr>
                <w:sz w:val="20"/>
                <w:szCs w:val="20"/>
                <w:color w:val="auto"/>
              </w:rPr>
            </w:pPr>
            <w:r>
              <w:rPr>
                <w:rFonts w:ascii="Arial" w:cs="Arial" w:eastAsia="Arial" w:hAnsi="Arial"/>
                <w:sz w:val="21"/>
                <w:szCs w:val="21"/>
                <w:color w:val="auto"/>
                <w:w w:val="85"/>
              </w:rPr>
              <w:t>48</w:t>
            </w:r>
          </w:p>
        </w:tc>
        <w:tc>
          <w:tcPr>
            <w:tcW w:w="580" w:type="dxa"/>
            <w:vAlign w:val="bottom"/>
          </w:tcPr>
          <w:p>
            <w:pPr>
              <w:spacing w:after="0"/>
              <w:rPr>
                <w:sz w:val="18"/>
                <w:szCs w:val="18"/>
                <w:color w:val="auto"/>
              </w:rPr>
            </w:pPr>
          </w:p>
        </w:tc>
        <w:tc>
          <w:tcPr>
            <w:tcW w:w="1860" w:type="dxa"/>
            <w:vAlign w:val="bottom"/>
            <w:vMerge w:val="restart"/>
          </w:tcPr>
          <w:p>
            <w:pPr>
              <w:jc w:val="right"/>
              <w:ind w:right="1473"/>
              <w:spacing w:after="0"/>
              <w:rPr>
                <w:sz w:val="20"/>
                <w:szCs w:val="20"/>
                <w:color w:val="auto"/>
              </w:rPr>
            </w:pPr>
            <w:r>
              <w:rPr>
                <w:rFonts w:ascii="Arial" w:cs="Arial" w:eastAsia="Arial" w:hAnsi="Arial"/>
                <w:sz w:val="21"/>
                <w:szCs w:val="21"/>
                <w:color w:val="auto"/>
              </w:rPr>
              <w:t>49</w:t>
            </w:r>
          </w:p>
        </w:tc>
        <w:tc>
          <w:tcPr>
            <w:tcW w:w="0" w:type="dxa"/>
            <w:vAlign w:val="bottom"/>
          </w:tcPr>
          <w:p>
            <w:pPr>
              <w:spacing w:after="0"/>
              <w:rPr>
                <w:sz w:val="1"/>
                <w:szCs w:val="1"/>
                <w:color w:val="auto"/>
              </w:rPr>
            </w:pPr>
          </w:p>
        </w:tc>
      </w:tr>
      <w:tr>
        <w:trPr>
          <w:trHeight w:val="214"/>
        </w:trPr>
        <w:tc>
          <w:tcPr>
            <w:tcW w:w="2180" w:type="dxa"/>
            <w:vAlign w:val="bottom"/>
            <w:vMerge w:val="continue"/>
          </w:tcPr>
          <w:p>
            <w:pPr>
              <w:spacing w:after="0"/>
              <w:rPr>
                <w:sz w:val="18"/>
                <w:szCs w:val="18"/>
                <w:color w:val="auto"/>
              </w:rPr>
            </w:pPr>
          </w:p>
        </w:tc>
        <w:tc>
          <w:tcPr>
            <w:tcW w:w="3580" w:type="dxa"/>
            <w:vAlign w:val="bottom"/>
            <w:gridSpan w:val="8"/>
          </w:tcPr>
          <w:p>
            <w:pPr>
              <w:ind w:left="60"/>
              <w:spacing w:after="0" w:line="215" w:lineRule="exact"/>
              <w:rPr>
                <w:sz w:val="20"/>
                <w:szCs w:val="20"/>
                <w:color w:val="auto"/>
              </w:rPr>
            </w:pPr>
            <w:r>
              <w:rPr>
                <w:rFonts w:ascii="Arial" w:cs="Arial" w:eastAsia="Arial" w:hAnsi="Arial"/>
                <w:sz w:val="21"/>
                <w:szCs w:val="21"/>
                <w:color w:val="auto"/>
                <w:w w:val="97"/>
              </w:rPr>
              <w:t>Interest Rates; Benchmark Notification</w:t>
            </w: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1.06.</w:t>
            </w:r>
          </w:p>
        </w:tc>
        <w:tc>
          <w:tcPr>
            <w:tcW w:w="2260" w:type="dxa"/>
            <w:vAlign w:val="bottom"/>
            <w:gridSpan w:val="6"/>
          </w:tcPr>
          <w:p>
            <w:pPr>
              <w:ind w:left="60"/>
              <w:spacing w:after="0" w:line="215" w:lineRule="exact"/>
              <w:rPr>
                <w:sz w:val="20"/>
                <w:szCs w:val="20"/>
                <w:color w:val="auto"/>
              </w:rPr>
            </w:pPr>
            <w:r>
              <w:rPr>
                <w:rFonts w:ascii="Arial" w:cs="Arial" w:eastAsia="Arial" w:hAnsi="Arial"/>
                <w:sz w:val="21"/>
                <w:szCs w:val="21"/>
                <w:color w:val="auto"/>
                <w:w w:val="95"/>
              </w:rPr>
              <w:t>Letter of Credit Amounts</w:t>
            </w:r>
          </w:p>
        </w:tc>
        <w:tc>
          <w:tcPr>
            <w:tcW w:w="740" w:type="dxa"/>
            <w:vAlign w:val="bottom"/>
          </w:tcPr>
          <w:p>
            <w:pPr>
              <w:jc w:val="right"/>
              <w:ind w:right="233"/>
              <w:spacing w:after="0" w:line="215" w:lineRule="exact"/>
              <w:rPr>
                <w:sz w:val="20"/>
                <w:szCs w:val="20"/>
                <w:color w:val="auto"/>
              </w:rPr>
            </w:pPr>
            <w:r>
              <w:rPr>
                <w:rFonts w:ascii="Arial" w:cs="Arial" w:eastAsia="Arial" w:hAnsi="Arial"/>
                <w:sz w:val="21"/>
                <w:szCs w:val="21"/>
                <w:color w:val="auto"/>
              </w:rPr>
              <w:t>50</w:t>
            </w: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1.07.</w:t>
            </w:r>
          </w:p>
        </w:tc>
        <w:tc>
          <w:tcPr>
            <w:tcW w:w="1080" w:type="dxa"/>
            <w:vAlign w:val="bottom"/>
          </w:tcPr>
          <w:p>
            <w:pPr>
              <w:ind w:left="60"/>
              <w:spacing w:after="0" w:line="215" w:lineRule="exact"/>
              <w:rPr>
                <w:sz w:val="20"/>
                <w:szCs w:val="20"/>
                <w:color w:val="auto"/>
              </w:rPr>
            </w:pPr>
            <w:r>
              <w:rPr>
                <w:rFonts w:ascii="Arial" w:cs="Arial" w:eastAsia="Arial" w:hAnsi="Arial"/>
                <w:sz w:val="21"/>
                <w:szCs w:val="21"/>
                <w:color w:val="auto"/>
              </w:rPr>
              <w:t>Divisions</w:t>
            </w:r>
          </w:p>
        </w:tc>
        <w:tc>
          <w:tcPr>
            <w:tcW w:w="400" w:type="dxa"/>
            <w:vAlign w:val="bottom"/>
          </w:tcPr>
          <w:p>
            <w:pPr>
              <w:jc w:val="right"/>
              <w:ind w:right="73"/>
              <w:spacing w:after="0" w:line="215" w:lineRule="exact"/>
              <w:rPr>
                <w:sz w:val="20"/>
                <w:szCs w:val="20"/>
                <w:color w:val="auto"/>
              </w:rPr>
            </w:pPr>
            <w:r>
              <w:rPr>
                <w:rFonts w:ascii="Arial" w:cs="Arial" w:eastAsia="Arial" w:hAnsi="Arial"/>
                <w:sz w:val="21"/>
                <w:szCs w:val="21"/>
                <w:color w:val="auto"/>
                <w:w w:val="85"/>
              </w:rPr>
              <w:t>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vMerge w:val="restart"/>
          </w:tcPr>
          <w:p>
            <w:pPr>
              <w:jc w:val="right"/>
              <w:ind w:right="593"/>
              <w:spacing w:after="0"/>
              <w:rPr>
                <w:sz w:val="20"/>
                <w:szCs w:val="20"/>
                <w:color w:val="auto"/>
              </w:rPr>
            </w:pPr>
            <w:r>
              <w:rPr>
                <w:rFonts w:ascii="Arial" w:cs="Arial" w:eastAsia="Arial" w:hAnsi="Arial"/>
                <w:sz w:val="21"/>
                <w:szCs w:val="21"/>
                <w:color w:val="auto"/>
              </w:rPr>
              <w:t>50</w:t>
            </w: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1.08.</w:t>
            </w:r>
          </w:p>
        </w:tc>
        <w:tc>
          <w:tcPr>
            <w:tcW w:w="1940" w:type="dxa"/>
            <w:vAlign w:val="bottom"/>
            <w:gridSpan w:val="4"/>
          </w:tcPr>
          <w:p>
            <w:pPr>
              <w:ind w:left="60"/>
              <w:spacing w:after="0" w:line="215" w:lineRule="exact"/>
              <w:rPr>
                <w:sz w:val="20"/>
                <w:szCs w:val="20"/>
                <w:color w:val="auto"/>
              </w:rPr>
            </w:pPr>
            <w:r>
              <w:rPr>
                <w:rFonts w:ascii="Arial" w:cs="Arial" w:eastAsia="Arial" w:hAnsi="Arial"/>
                <w:sz w:val="21"/>
                <w:szCs w:val="21"/>
                <w:color w:val="auto"/>
                <w:w w:val="95"/>
              </w:rPr>
              <w:t>Status of Obligations</w:t>
            </w:r>
          </w:p>
        </w:tc>
        <w:tc>
          <w:tcPr>
            <w:tcW w:w="106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vMerge w:val="restart"/>
          </w:tcPr>
          <w:p>
            <w:pPr>
              <w:jc w:val="right"/>
              <w:ind w:right="1493"/>
              <w:spacing w:after="0"/>
              <w:rPr>
                <w:sz w:val="20"/>
                <w:szCs w:val="20"/>
                <w:color w:val="auto"/>
              </w:rPr>
            </w:pPr>
            <w:r>
              <w:rPr>
                <w:rFonts w:ascii="Arial" w:cs="Arial" w:eastAsia="Arial" w:hAnsi="Arial"/>
                <w:sz w:val="21"/>
                <w:szCs w:val="21"/>
                <w:color w:val="auto"/>
              </w:rPr>
              <w:t>51</w:t>
            </w:r>
          </w:p>
        </w:tc>
        <w:tc>
          <w:tcPr>
            <w:tcW w:w="0" w:type="dxa"/>
            <w:vAlign w:val="bottom"/>
          </w:tcPr>
          <w:p>
            <w:pPr>
              <w:spacing w:after="0"/>
              <w:rPr>
                <w:sz w:val="1"/>
                <w:szCs w:val="1"/>
                <w:color w:val="auto"/>
              </w:rPr>
            </w:pPr>
          </w:p>
        </w:tc>
      </w:tr>
      <w:tr>
        <w:trPr>
          <w:trHeight w:val="273"/>
        </w:trPr>
        <w:tc>
          <w:tcPr>
            <w:tcW w:w="2180" w:type="dxa"/>
            <w:vAlign w:val="bottom"/>
          </w:tcPr>
          <w:p>
            <w:pPr>
              <w:jc w:val="right"/>
              <w:ind w:right="53"/>
              <w:spacing w:after="0"/>
              <w:rPr>
                <w:sz w:val="20"/>
                <w:szCs w:val="20"/>
                <w:color w:val="auto"/>
              </w:rPr>
            </w:pPr>
            <w:r>
              <w:rPr>
                <w:rFonts w:ascii="Arial" w:cs="Arial" w:eastAsia="Arial" w:hAnsi="Arial"/>
                <w:sz w:val="21"/>
                <w:szCs w:val="21"/>
                <w:color w:val="auto"/>
              </w:rPr>
              <w:t>SECTION 1.09.</w:t>
            </w:r>
          </w:p>
        </w:tc>
        <w:tc>
          <w:tcPr>
            <w:tcW w:w="3580" w:type="dxa"/>
            <w:vAlign w:val="bottom"/>
            <w:gridSpan w:val="8"/>
          </w:tcPr>
          <w:p>
            <w:pPr>
              <w:ind w:left="60"/>
              <w:spacing w:after="0"/>
              <w:rPr>
                <w:sz w:val="20"/>
                <w:szCs w:val="20"/>
                <w:color w:val="auto"/>
              </w:rPr>
            </w:pPr>
            <w:r>
              <w:rPr>
                <w:rFonts w:ascii="Arial" w:cs="Arial" w:eastAsia="Arial" w:hAnsi="Arial"/>
                <w:sz w:val="21"/>
                <w:szCs w:val="21"/>
                <w:color w:val="auto"/>
                <w:w w:val="95"/>
              </w:rPr>
              <w:t>Exchange Rates; Currency Equivalents</w:t>
            </w:r>
          </w:p>
        </w:tc>
        <w:tc>
          <w:tcPr>
            <w:tcW w:w="1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2180" w:type="dxa"/>
            <w:vAlign w:val="bottom"/>
          </w:tcPr>
          <w:p>
            <w:pPr>
              <w:spacing w:after="0"/>
              <w:rPr>
                <w:sz w:val="20"/>
                <w:szCs w:val="20"/>
                <w:color w:val="auto"/>
              </w:rPr>
            </w:pPr>
            <w:r>
              <w:rPr>
                <w:rFonts w:ascii="Arial" w:cs="Arial" w:eastAsia="Arial" w:hAnsi="Arial"/>
                <w:sz w:val="21"/>
                <w:szCs w:val="21"/>
                <w:color w:val="auto"/>
                <w:w w:val="97"/>
              </w:rPr>
              <w:t>ARTICLE II The Credits</w:t>
            </w:r>
          </w:p>
        </w:tc>
        <w:tc>
          <w:tcPr>
            <w:tcW w:w="1080" w:type="dxa"/>
            <w:vAlign w:val="bottom"/>
          </w:tcPr>
          <w:p>
            <w:pPr>
              <w:ind w:left="180"/>
              <w:spacing w:after="0"/>
              <w:rPr>
                <w:sz w:val="20"/>
                <w:szCs w:val="20"/>
                <w:color w:val="auto"/>
              </w:rPr>
            </w:pPr>
            <w:r>
              <w:rPr>
                <w:rFonts w:ascii="Arial" w:cs="Arial" w:eastAsia="Arial" w:hAnsi="Arial"/>
                <w:sz w:val="21"/>
                <w:szCs w:val="21"/>
                <w:color w:val="auto"/>
              </w:rPr>
              <w:t>51</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180" w:type="dxa"/>
            <w:vAlign w:val="bottom"/>
          </w:tcPr>
          <w:p>
            <w:pPr>
              <w:jc w:val="right"/>
              <w:ind w:right="53"/>
              <w:spacing w:after="0"/>
              <w:rPr>
                <w:sz w:val="20"/>
                <w:szCs w:val="20"/>
                <w:color w:val="auto"/>
              </w:rPr>
            </w:pPr>
            <w:r>
              <w:rPr>
                <w:rFonts w:ascii="Arial" w:cs="Arial" w:eastAsia="Arial" w:hAnsi="Arial"/>
                <w:sz w:val="21"/>
                <w:szCs w:val="21"/>
                <w:color w:val="auto"/>
              </w:rPr>
              <w:t>SECTION 2.01.</w:t>
            </w:r>
          </w:p>
        </w:tc>
        <w:tc>
          <w:tcPr>
            <w:tcW w:w="1480" w:type="dxa"/>
            <w:vAlign w:val="bottom"/>
            <w:gridSpan w:val="2"/>
          </w:tcPr>
          <w:p>
            <w:pPr>
              <w:ind w:left="60"/>
              <w:spacing w:after="0"/>
              <w:rPr>
                <w:sz w:val="20"/>
                <w:szCs w:val="20"/>
                <w:color w:val="auto"/>
              </w:rPr>
            </w:pPr>
            <w:r>
              <w:rPr>
                <w:rFonts w:ascii="Arial" w:cs="Arial" w:eastAsia="Arial" w:hAnsi="Arial"/>
                <w:sz w:val="21"/>
                <w:szCs w:val="21"/>
                <w:color w:val="auto"/>
              </w:rPr>
              <w:t>Commitments</w:t>
            </w:r>
          </w:p>
        </w:tc>
        <w:tc>
          <w:tcPr>
            <w:tcW w:w="460" w:type="dxa"/>
            <w:vAlign w:val="bottom"/>
            <w:gridSpan w:val="2"/>
          </w:tcPr>
          <w:p>
            <w:pPr>
              <w:jc w:val="right"/>
              <w:ind w:right="133"/>
              <w:spacing w:after="0"/>
              <w:rPr>
                <w:sz w:val="20"/>
                <w:szCs w:val="20"/>
                <w:color w:val="auto"/>
              </w:rPr>
            </w:pPr>
            <w:r>
              <w:rPr>
                <w:rFonts w:ascii="Arial" w:cs="Arial" w:eastAsia="Arial" w:hAnsi="Arial"/>
                <w:sz w:val="21"/>
                <w:szCs w:val="21"/>
                <w:color w:val="auto"/>
                <w:w w:val="85"/>
              </w:rPr>
              <w:t>51</w:t>
            </w:r>
          </w:p>
        </w:tc>
        <w:tc>
          <w:tcPr>
            <w:tcW w:w="240" w:type="dxa"/>
            <w:vAlign w:val="bottom"/>
          </w:tcPr>
          <w:p>
            <w:pPr>
              <w:spacing w:after="0"/>
              <w:rPr>
                <w:sz w:val="24"/>
                <w:szCs w:val="24"/>
                <w:color w:val="auto"/>
              </w:rPr>
            </w:pPr>
          </w:p>
        </w:tc>
        <w:tc>
          <w:tcPr>
            <w:tcW w:w="820" w:type="dxa"/>
            <w:vAlign w:val="bottom"/>
            <w:gridSpan w:val="2"/>
            <w:vMerge w:val="restart"/>
          </w:tcPr>
          <w:p>
            <w:pPr>
              <w:jc w:val="right"/>
              <w:ind w:right="453"/>
              <w:spacing w:after="0"/>
              <w:rPr>
                <w:sz w:val="20"/>
                <w:szCs w:val="20"/>
                <w:color w:val="auto"/>
              </w:rPr>
            </w:pPr>
            <w:r>
              <w:rPr>
                <w:rFonts w:ascii="Arial" w:cs="Arial" w:eastAsia="Arial" w:hAnsi="Arial"/>
                <w:sz w:val="21"/>
                <w:szCs w:val="21"/>
                <w:color w:val="auto"/>
              </w:rPr>
              <w:t>51</w:t>
            </w: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2.02.</w:t>
            </w:r>
          </w:p>
        </w:tc>
        <w:tc>
          <w:tcPr>
            <w:tcW w:w="2180" w:type="dxa"/>
            <w:vAlign w:val="bottom"/>
            <w:gridSpan w:val="5"/>
          </w:tcPr>
          <w:p>
            <w:pPr>
              <w:ind w:left="60"/>
              <w:spacing w:after="0" w:line="215" w:lineRule="exact"/>
              <w:rPr>
                <w:sz w:val="20"/>
                <w:szCs w:val="20"/>
                <w:color w:val="auto"/>
              </w:rPr>
            </w:pPr>
            <w:r>
              <w:rPr>
                <w:rFonts w:ascii="Arial" w:cs="Arial" w:eastAsia="Arial" w:hAnsi="Arial"/>
                <w:sz w:val="21"/>
                <w:szCs w:val="21"/>
                <w:color w:val="auto"/>
              </w:rPr>
              <w:t>Loans and Borrowings</w:t>
            </w:r>
          </w:p>
        </w:tc>
        <w:tc>
          <w:tcPr>
            <w:tcW w:w="8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80" w:type="dxa"/>
            <w:vAlign w:val="bottom"/>
          </w:tcPr>
          <w:p>
            <w:pPr>
              <w:jc w:val="right"/>
              <w:ind w:right="53"/>
              <w:spacing w:after="0" w:line="209" w:lineRule="exact"/>
              <w:rPr>
                <w:sz w:val="20"/>
                <w:szCs w:val="20"/>
                <w:color w:val="auto"/>
              </w:rPr>
            </w:pPr>
            <w:r>
              <w:rPr>
                <w:rFonts w:ascii="Arial" w:cs="Arial" w:eastAsia="Arial" w:hAnsi="Arial"/>
                <w:sz w:val="21"/>
                <w:szCs w:val="21"/>
                <w:color w:val="auto"/>
              </w:rPr>
              <w:t>SECTION 2.03.</w:t>
            </w:r>
          </w:p>
        </w:tc>
        <w:tc>
          <w:tcPr>
            <w:tcW w:w="2260" w:type="dxa"/>
            <w:vAlign w:val="bottom"/>
            <w:gridSpan w:val="6"/>
          </w:tcPr>
          <w:p>
            <w:pPr>
              <w:ind w:left="60"/>
              <w:spacing w:after="0" w:line="209" w:lineRule="exact"/>
              <w:rPr>
                <w:sz w:val="20"/>
                <w:szCs w:val="20"/>
                <w:color w:val="auto"/>
              </w:rPr>
            </w:pPr>
            <w:r>
              <w:rPr>
                <w:rFonts w:ascii="Arial" w:cs="Arial" w:eastAsia="Arial" w:hAnsi="Arial"/>
                <w:sz w:val="21"/>
                <w:szCs w:val="21"/>
                <w:color w:val="auto"/>
                <w:w w:val="94"/>
              </w:rPr>
              <w:t>Requests for Borrowings</w:t>
            </w:r>
          </w:p>
        </w:tc>
        <w:tc>
          <w:tcPr>
            <w:tcW w:w="740" w:type="dxa"/>
            <w:vAlign w:val="bottom"/>
          </w:tcPr>
          <w:p>
            <w:pPr>
              <w:jc w:val="right"/>
              <w:ind w:right="253"/>
              <w:spacing w:after="0" w:line="209" w:lineRule="exact"/>
              <w:rPr>
                <w:sz w:val="20"/>
                <w:szCs w:val="20"/>
                <w:color w:val="auto"/>
              </w:rPr>
            </w:pPr>
            <w:r>
              <w:rPr>
                <w:rFonts w:ascii="Arial" w:cs="Arial" w:eastAsia="Arial" w:hAnsi="Arial"/>
                <w:sz w:val="21"/>
                <w:szCs w:val="21"/>
                <w:color w:val="auto"/>
              </w:rPr>
              <w:t>52</w:t>
            </w: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180" w:type="dxa"/>
            <w:vAlign w:val="bottom"/>
          </w:tcPr>
          <w:p>
            <w:pPr>
              <w:jc w:val="right"/>
              <w:ind w:right="53"/>
              <w:spacing w:after="0" w:line="220" w:lineRule="exact"/>
              <w:rPr>
                <w:sz w:val="20"/>
                <w:szCs w:val="20"/>
                <w:color w:val="auto"/>
              </w:rPr>
            </w:pPr>
            <w:r>
              <w:rPr>
                <w:rFonts w:ascii="Arial" w:cs="Arial" w:eastAsia="Arial" w:hAnsi="Arial"/>
                <w:sz w:val="21"/>
                <w:szCs w:val="21"/>
                <w:color w:val="auto"/>
              </w:rPr>
              <w:t>SECTION 2.04.</w:t>
            </w:r>
          </w:p>
        </w:tc>
        <w:tc>
          <w:tcPr>
            <w:tcW w:w="1080" w:type="dxa"/>
            <w:vAlign w:val="bottom"/>
          </w:tcPr>
          <w:p>
            <w:pPr>
              <w:ind w:left="60"/>
              <w:spacing w:after="0" w:line="220" w:lineRule="exact"/>
              <w:rPr>
                <w:sz w:val="20"/>
                <w:szCs w:val="20"/>
                <w:color w:val="auto"/>
              </w:rPr>
            </w:pPr>
            <w:r>
              <w:rPr>
                <w:rFonts w:ascii="Arial" w:cs="Arial" w:eastAsia="Arial" w:hAnsi="Arial"/>
                <w:sz w:val="21"/>
                <w:szCs w:val="21"/>
                <w:b w:val="1"/>
                <w:bCs w:val="1"/>
                <w:color w:val="auto"/>
                <w:w w:val="91"/>
              </w:rPr>
              <w:t>[</w:t>
            </w:r>
            <w:r>
              <w:rPr>
                <w:rFonts w:ascii="Arial" w:cs="Arial" w:eastAsia="Arial" w:hAnsi="Arial"/>
                <w:sz w:val="21"/>
                <w:szCs w:val="21"/>
                <w:color w:val="auto"/>
                <w:w w:val="91"/>
              </w:rPr>
              <w:t>Reserved.</w:t>
            </w:r>
            <w:r>
              <w:rPr>
                <w:rFonts w:ascii="Arial" w:cs="Arial" w:eastAsia="Arial" w:hAnsi="Arial"/>
                <w:sz w:val="21"/>
                <w:szCs w:val="21"/>
                <w:b w:val="1"/>
                <w:bCs w:val="1"/>
                <w:color w:val="auto"/>
                <w:w w:val="91"/>
              </w:rPr>
              <w:t>]</w:t>
            </w:r>
          </w:p>
        </w:tc>
        <w:tc>
          <w:tcPr>
            <w:tcW w:w="400" w:type="dxa"/>
            <w:vAlign w:val="bottom"/>
          </w:tcPr>
          <w:p>
            <w:pPr>
              <w:jc w:val="right"/>
              <w:spacing w:after="0" w:line="220" w:lineRule="exact"/>
              <w:rPr>
                <w:sz w:val="20"/>
                <w:szCs w:val="20"/>
                <w:color w:val="auto"/>
              </w:rPr>
            </w:pPr>
            <w:r>
              <w:rPr>
                <w:rFonts w:ascii="Arial" w:cs="Arial" w:eastAsia="Arial" w:hAnsi="Arial"/>
                <w:sz w:val="21"/>
                <w:szCs w:val="21"/>
                <w:color w:val="auto"/>
              </w:rPr>
              <w:t>53</w:t>
            </w:r>
          </w:p>
        </w:tc>
        <w:tc>
          <w:tcPr>
            <w:tcW w:w="140" w:type="dxa"/>
            <w:vAlign w:val="bottom"/>
          </w:tcPr>
          <w:p>
            <w:pPr>
              <w:spacing w:after="0"/>
              <w:rPr>
                <w:sz w:val="19"/>
                <w:szCs w:val="19"/>
                <w:color w:val="auto"/>
              </w:rPr>
            </w:pPr>
          </w:p>
        </w:tc>
        <w:tc>
          <w:tcPr>
            <w:tcW w:w="320" w:type="dxa"/>
            <w:vAlign w:val="bottom"/>
            <w:vMerge w:val="restart"/>
          </w:tcPr>
          <w:p>
            <w:pPr>
              <w:jc w:val="right"/>
              <w:spacing w:after="0"/>
              <w:rPr>
                <w:sz w:val="20"/>
                <w:szCs w:val="20"/>
                <w:color w:val="auto"/>
              </w:rPr>
            </w:pPr>
            <w:r>
              <w:rPr>
                <w:rFonts w:ascii="Arial" w:cs="Arial" w:eastAsia="Arial" w:hAnsi="Arial"/>
                <w:sz w:val="21"/>
                <w:szCs w:val="21"/>
                <w:color w:val="auto"/>
              </w:rPr>
              <w:t>53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2.05.</w:t>
            </w:r>
          </w:p>
        </w:tc>
        <w:tc>
          <w:tcPr>
            <w:tcW w:w="1620" w:type="dxa"/>
            <w:vAlign w:val="bottom"/>
            <w:gridSpan w:val="3"/>
          </w:tcPr>
          <w:p>
            <w:pPr>
              <w:ind w:left="60"/>
              <w:spacing w:after="0" w:line="215" w:lineRule="exact"/>
              <w:rPr>
                <w:sz w:val="20"/>
                <w:szCs w:val="20"/>
                <w:color w:val="auto"/>
              </w:rPr>
            </w:pPr>
            <w:r>
              <w:rPr>
                <w:rFonts w:ascii="Arial" w:cs="Arial" w:eastAsia="Arial" w:hAnsi="Arial"/>
                <w:sz w:val="21"/>
                <w:szCs w:val="21"/>
                <w:color w:val="auto"/>
              </w:rPr>
              <w:t>Swingline Loans</w:t>
            </w:r>
          </w:p>
        </w:tc>
        <w:tc>
          <w:tcPr>
            <w:tcW w:w="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2.06.</w:t>
            </w:r>
          </w:p>
        </w:tc>
        <w:tc>
          <w:tcPr>
            <w:tcW w:w="1480" w:type="dxa"/>
            <w:vAlign w:val="bottom"/>
            <w:gridSpan w:val="2"/>
          </w:tcPr>
          <w:p>
            <w:pPr>
              <w:ind w:left="60"/>
              <w:spacing w:after="0" w:line="215" w:lineRule="exact"/>
              <w:rPr>
                <w:sz w:val="20"/>
                <w:szCs w:val="20"/>
                <w:color w:val="auto"/>
              </w:rPr>
            </w:pPr>
            <w:r>
              <w:rPr>
                <w:rFonts w:ascii="Arial" w:cs="Arial" w:eastAsia="Arial" w:hAnsi="Arial"/>
                <w:sz w:val="21"/>
                <w:szCs w:val="21"/>
                <w:color w:val="auto"/>
                <w:w w:val="93"/>
              </w:rPr>
              <w:t>Letters of Credit</w:t>
            </w:r>
          </w:p>
        </w:tc>
        <w:tc>
          <w:tcPr>
            <w:tcW w:w="14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Arial" w:cs="Arial" w:eastAsia="Arial" w:hAnsi="Arial"/>
                <w:sz w:val="21"/>
                <w:szCs w:val="21"/>
                <w:color w:val="auto"/>
              </w:rPr>
              <w:t>55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restart"/>
          </w:tcPr>
          <w:p>
            <w:pPr>
              <w:jc w:val="right"/>
              <w:ind w:right="393"/>
              <w:spacing w:after="0"/>
              <w:rPr>
                <w:sz w:val="20"/>
                <w:szCs w:val="20"/>
                <w:color w:val="auto"/>
              </w:rPr>
            </w:pPr>
            <w:r>
              <w:rPr>
                <w:rFonts w:ascii="Arial" w:cs="Arial" w:eastAsia="Arial" w:hAnsi="Arial"/>
                <w:sz w:val="21"/>
                <w:szCs w:val="21"/>
                <w:color w:val="auto"/>
                <w:w w:val="93"/>
              </w:rPr>
              <w:t>61</w:t>
            </w: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2.07.</w:t>
            </w:r>
          </w:p>
        </w:tc>
        <w:tc>
          <w:tcPr>
            <w:tcW w:w="2180" w:type="dxa"/>
            <w:vAlign w:val="bottom"/>
            <w:gridSpan w:val="5"/>
          </w:tcPr>
          <w:p>
            <w:pPr>
              <w:ind w:left="60"/>
              <w:spacing w:after="0" w:line="215" w:lineRule="exact"/>
              <w:rPr>
                <w:sz w:val="20"/>
                <w:szCs w:val="20"/>
                <w:color w:val="auto"/>
              </w:rPr>
            </w:pPr>
            <w:r>
              <w:rPr>
                <w:rFonts w:ascii="Arial" w:cs="Arial" w:eastAsia="Arial" w:hAnsi="Arial"/>
                <w:sz w:val="21"/>
                <w:szCs w:val="21"/>
                <w:color w:val="auto"/>
                <w:w w:val="99"/>
              </w:rPr>
              <w:t>Funding of Borrowings</w:t>
            </w: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2.08.</w:t>
            </w:r>
          </w:p>
        </w:tc>
        <w:tc>
          <w:tcPr>
            <w:tcW w:w="1620" w:type="dxa"/>
            <w:vAlign w:val="bottom"/>
            <w:gridSpan w:val="3"/>
          </w:tcPr>
          <w:p>
            <w:pPr>
              <w:ind w:left="60"/>
              <w:spacing w:after="0" w:line="215" w:lineRule="exact"/>
              <w:rPr>
                <w:sz w:val="20"/>
                <w:szCs w:val="20"/>
                <w:color w:val="auto"/>
              </w:rPr>
            </w:pPr>
            <w:r>
              <w:rPr>
                <w:rFonts w:ascii="Arial" w:cs="Arial" w:eastAsia="Arial" w:hAnsi="Arial"/>
                <w:sz w:val="21"/>
                <w:szCs w:val="21"/>
                <w:color w:val="auto"/>
                <w:w w:val="95"/>
              </w:rPr>
              <w:t>Interest Elections</w:t>
            </w:r>
          </w:p>
        </w:tc>
        <w:tc>
          <w:tcPr>
            <w:tcW w:w="560" w:type="dxa"/>
            <w:vAlign w:val="bottom"/>
            <w:gridSpan w:val="2"/>
          </w:tcPr>
          <w:p>
            <w:pPr>
              <w:jc w:val="right"/>
              <w:ind w:right="93"/>
              <w:spacing w:after="0" w:line="215" w:lineRule="exact"/>
              <w:rPr>
                <w:sz w:val="20"/>
                <w:szCs w:val="20"/>
                <w:color w:val="auto"/>
              </w:rPr>
            </w:pPr>
            <w:r>
              <w:rPr>
                <w:rFonts w:ascii="Arial" w:cs="Arial" w:eastAsia="Arial" w:hAnsi="Arial"/>
                <w:sz w:val="21"/>
                <w:szCs w:val="21"/>
                <w:color w:val="auto"/>
              </w:rPr>
              <w:t>62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2.09.</w:t>
            </w:r>
          </w:p>
        </w:tc>
        <w:tc>
          <w:tcPr>
            <w:tcW w:w="5440" w:type="dxa"/>
            <w:vAlign w:val="bottom"/>
            <w:gridSpan w:val="9"/>
          </w:tcPr>
          <w:p>
            <w:pPr>
              <w:ind w:left="60"/>
              <w:spacing w:after="0" w:line="215" w:lineRule="exact"/>
              <w:rPr>
                <w:sz w:val="20"/>
                <w:szCs w:val="20"/>
                <w:color w:val="auto"/>
              </w:rPr>
            </w:pPr>
            <w:r>
              <w:rPr>
                <w:rFonts w:ascii="Arial" w:cs="Arial" w:eastAsia="Arial" w:hAnsi="Arial"/>
                <w:sz w:val="21"/>
                <w:szCs w:val="21"/>
                <w:color w:val="auto"/>
              </w:rPr>
              <w:t>Termination and Reduction of Commitments  64</w:t>
            </w: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2.10.</w:t>
            </w:r>
          </w:p>
        </w:tc>
        <w:tc>
          <w:tcPr>
            <w:tcW w:w="5440" w:type="dxa"/>
            <w:vAlign w:val="bottom"/>
            <w:gridSpan w:val="9"/>
          </w:tcPr>
          <w:p>
            <w:pPr>
              <w:ind w:left="60"/>
              <w:spacing w:after="0" w:line="215" w:lineRule="exact"/>
              <w:rPr>
                <w:sz w:val="20"/>
                <w:szCs w:val="20"/>
                <w:color w:val="auto"/>
              </w:rPr>
            </w:pPr>
            <w:r>
              <w:rPr>
                <w:rFonts w:ascii="Arial" w:cs="Arial" w:eastAsia="Arial" w:hAnsi="Arial"/>
                <w:sz w:val="21"/>
                <w:szCs w:val="21"/>
                <w:color w:val="auto"/>
                <w:w w:val="95"/>
              </w:rPr>
              <w:t>Repayment and Amortization of Loans; Evidence of Debt  64</w:t>
            </w: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2.11.</w:t>
            </w:r>
          </w:p>
        </w:tc>
        <w:tc>
          <w:tcPr>
            <w:tcW w:w="1940" w:type="dxa"/>
            <w:vAlign w:val="bottom"/>
            <w:gridSpan w:val="4"/>
          </w:tcPr>
          <w:p>
            <w:pPr>
              <w:ind w:left="60"/>
              <w:spacing w:after="0" w:line="215" w:lineRule="exact"/>
              <w:rPr>
                <w:sz w:val="20"/>
                <w:szCs w:val="20"/>
                <w:color w:val="auto"/>
              </w:rPr>
            </w:pPr>
            <w:r>
              <w:rPr>
                <w:rFonts w:ascii="Arial" w:cs="Arial" w:eastAsia="Arial" w:hAnsi="Arial"/>
                <w:sz w:val="21"/>
                <w:szCs w:val="21"/>
                <w:color w:val="auto"/>
                <w:w w:val="93"/>
              </w:rPr>
              <w:t>Prepayment of Loans</w:t>
            </w:r>
          </w:p>
        </w:tc>
        <w:tc>
          <w:tcPr>
            <w:tcW w:w="1060" w:type="dxa"/>
            <w:vAlign w:val="bottom"/>
            <w:gridSpan w:val="3"/>
          </w:tcPr>
          <w:p>
            <w:pPr>
              <w:jc w:val="right"/>
              <w:ind w:right="573"/>
              <w:spacing w:after="0" w:line="215" w:lineRule="exact"/>
              <w:rPr>
                <w:sz w:val="20"/>
                <w:szCs w:val="20"/>
                <w:color w:val="auto"/>
              </w:rPr>
            </w:pPr>
            <w:r>
              <w:rPr>
                <w:rFonts w:ascii="Arial" w:cs="Arial" w:eastAsia="Arial" w:hAnsi="Arial"/>
                <w:sz w:val="21"/>
                <w:szCs w:val="21"/>
                <w:color w:val="auto"/>
              </w:rPr>
              <w:t>66</w:t>
            </w: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2.12.</w:t>
            </w:r>
          </w:p>
        </w:tc>
        <w:tc>
          <w:tcPr>
            <w:tcW w:w="1080" w:type="dxa"/>
            <w:vAlign w:val="bottom"/>
          </w:tcPr>
          <w:p>
            <w:pPr>
              <w:ind w:left="60"/>
              <w:spacing w:after="0" w:line="215" w:lineRule="exact"/>
              <w:rPr>
                <w:sz w:val="20"/>
                <w:szCs w:val="20"/>
                <w:color w:val="auto"/>
              </w:rPr>
            </w:pPr>
            <w:r>
              <w:rPr>
                <w:rFonts w:ascii="Arial" w:cs="Arial" w:eastAsia="Arial" w:hAnsi="Arial"/>
                <w:sz w:val="21"/>
                <w:szCs w:val="21"/>
                <w:color w:val="auto"/>
              </w:rPr>
              <w:t>Fees  67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2.13.</w:t>
            </w:r>
          </w:p>
        </w:tc>
        <w:tc>
          <w:tcPr>
            <w:tcW w:w="1480" w:type="dxa"/>
            <w:vAlign w:val="bottom"/>
            <w:gridSpan w:val="2"/>
          </w:tcPr>
          <w:p>
            <w:pPr>
              <w:ind w:left="60"/>
              <w:spacing w:after="0" w:line="215" w:lineRule="exact"/>
              <w:rPr>
                <w:sz w:val="20"/>
                <w:szCs w:val="20"/>
                <w:color w:val="auto"/>
              </w:rPr>
            </w:pPr>
            <w:r>
              <w:rPr>
                <w:rFonts w:ascii="Arial" w:cs="Arial" w:eastAsia="Arial" w:hAnsi="Arial"/>
                <w:sz w:val="21"/>
                <w:szCs w:val="21"/>
                <w:color w:val="auto"/>
              </w:rPr>
              <w:t>Interest  68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21"/>
                <w:szCs w:val="21"/>
                <w:color w:val="auto"/>
              </w:rPr>
              <w:t>69</w:t>
            </w: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2.14.</w:t>
            </w:r>
          </w:p>
        </w:tc>
        <w:tc>
          <w:tcPr>
            <w:tcW w:w="2260" w:type="dxa"/>
            <w:vAlign w:val="bottom"/>
            <w:gridSpan w:val="6"/>
          </w:tcPr>
          <w:p>
            <w:pPr>
              <w:ind w:left="60"/>
              <w:spacing w:after="0" w:line="215" w:lineRule="exact"/>
              <w:rPr>
                <w:sz w:val="20"/>
                <w:szCs w:val="20"/>
                <w:color w:val="auto"/>
              </w:rPr>
            </w:pPr>
            <w:r>
              <w:rPr>
                <w:rFonts w:ascii="Arial" w:cs="Arial" w:eastAsia="Arial" w:hAnsi="Arial"/>
                <w:sz w:val="21"/>
                <w:szCs w:val="21"/>
                <w:color w:val="auto"/>
                <w:w w:val="93"/>
              </w:rPr>
              <w:t>Alternate Rate of Interest</w:t>
            </w:r>
          </w:p>
        </w:tc>
        <w:tc>
          <w:tcPr>
            <w:tcW w:w="7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2.15.</w:t>
            </w:r>
          </w:p>
        </w:tc>
        <w:tc>
          <w:tcPr>
            <w:tcW w:w="1480" w:type="dxa"/>
            <w:vAlign w:val="bottom"/>
            <w:gridSpan w:val="2"/>
          </w:tcPr>
          <w:p>
            <w:pPr>
              <w:ind w:left="60"/>
              <w:spacing w:after="0" w:line="215" w:lineRule="exact"/>
              <w:rPr>
                <w:sz w:val="20"/>
                <w:szCs w:val="20"/>
                <w:color w:val="auto"/>
              </w:rPr>
            </w:pPr>
            <w:r>
              <w:rPr>
                <w:rFonts w:ascii="Arial" w:cs="Arial" w:eastAsia="Arial" w:hAnsi="Arial"/>
                <w:sz w:val="21"/>
                <w:szCs w:val="21"/>
                <w:color w:val="auto"/>
                <w:w w:val="92"/>
              </w:rPr>
              <w:t>Increased Costs</w:t>
            </w:r>
          </w:p>
        </w:tc>
        <w:tc>
          <w:tcPr>
            <w:tcW w:w="140" w:type="dxa"/>
            <w:vAlign w:val="bottom"/>
          </w:tcPr>
          <w:p>
            <w:pPr>
              <w:spacing w:after="0"/>
              <w:rPr>
                <w:sz w:val="18"/>
                <w:szCs w:val="18"/>
                <w:color w:val="auto"/>
              </w:rPr>
            </w:pPr>
          </w:p>
        </w:tc>
        <w:tc>
          <w:tcPr>
            <w:tcW w:w="320" w:type="dxa"/>
            <w:vAlign w:val="bottom"/>
          </w:tcPr>
          <w:p>
            <w:pPr>
              <w:jc w:val="right"/>
              <w:spacing w:after="0" w:line="215" w:lineRule="exact"/>
              <w:rPr>
                <w:sz w:val="20"/>
                <w:szCs w:val="20"/>
                <w:color w:val="auto"/>
              </w:rPr>
            </w:pPr>
            <w:r>
              <w:rPr>
                <w:rFonts w:ascii="Arial" w:cs="Arial" w:eastAsia="Arial" w:hAnsi="Arial"/>
                <w:sz w:val="21"/>
                <w:szCs w:val="21"/>
                <w:color w:val="auto"/>
                <w:w w:val="85"/>
              </w:rPr>
              <w:t>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21"/>
                <w:szCs w:val="21"/>
                <w:color w:val="auto"/>
              </w:rPr>
              <w:t>74</w:t>
            </w: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2.16.</w:t>
            </w:r>
          </w:p>
        </w:tc>
        <w:tc>
          <w:tcPr>
            <w:tcW w:w="2260" w:type="dxa"/>
            <w:vAlign w:val="bottom"/>
            <w:gridSpan w:val="6"/>
          </w:tcPr>
          <w:p>
            <w:pPr>
              <w:ind w:left="60"/>
              <w:spacing w:after="0" w:line="215" w:lineRule="exact"/>
              <w:rPr>
                <w:sz w:val="20"/>
                <w:szCs w:val="20"/>
                <w:color w:val="auto"/>
              </w:rPr>
            </w:pPr>
            <w:r>
              <w:rPr>
                <w:rFonts w:ascii="Arial" w:cs="Arial" w:eastAsia="Arial" w:hAnsi="Arial"/>
                <w:sz w:val="21"/>
                <w:szCs w:val="21"/>
                <w:color w:val="auto"/>
                <w:w w:val="92"/>
              </w:rPr>
              <w:t>Break Funding Payments</w:t>
            </w:r>
          </w:p>
        </w:tc>
        <w:tc>
          <w:tcPr>
            <w:tcW w:w="740" w:type="dxa"/>
            <w:vAlign w:val="bottom"/>
            <w:vMerge w:val="continue"/>
          </w:tcPr>
          <w:p>
            <w:pPr>
              <w:spacing w:after="0"/>
              <w:rPr>
                <w:sz w:val="18"/>
                <w:szCs w:val="18"/>
                <w:color w:val="auto"/>
              </w:rPr>
            </w:pPr>
          </w:p>
        </w:tc>
        <w:tc>
          <w:tcPr>
            <w:tcW w:w="580" w:type="dxa"/>
            <w:vAlign w:val="bottom"/>
            <w:vMerge w:val="restart"/>
          </w:tcPr>
          <w:p>
            <w:pPr>
              <w:jc w:val="right"/>
              <w:ind w:right="173"/>
              <w:spacing w:after="0"/>
              <w:rPr>
                <w:sz w:val="20"/>
                <w:szCs w:val="20"/>
                <w:color w:val="auto"/>
              </w:rPr>
            </w:pPr>
            <w:r>
              <w:rPr>
                <w:rFonts w:ascii="Arial" w:cs="Arial" w:eastAsia="Arial" w:hAnsi="Arial"/>
                <w:sz w:val="21"/>
                <w:szCs w:val="21"/>
                <w:color w:val="auto"/>
              </w:rPr>
              <w:t>75</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2.17.</w:t>
            </w:r>
          </w:p>
        </w:tc>
        <w:tc>
          <w:tcPr>
            <w:tcW w:w="3000" w:type="dxa"/>
            <w:vAlign w:val="bottom"/>
            <w:gridSpan w:val="7"/>
          </w:tcPr>
          <w:p>
            <w:pPr>
              <w:ind w:left="60"/>
              <w:spacing w:after="0" w:line="215" w:lineRule="exact"/>
              <w:rPr>
                <w:sz w:val="20"/>
                <w:szCs w:val="20"/>
                <w:color w:val="auto"/>
              </w:rPr>
            </w:pPr>
            <w:r>
              <w:rPr>
                <w:rFonts w:ascii="Arial" w:cs="Arial" w:eastAsia="Arial" w:hAnsi="Arial"/>
                <w:sz w:val="21"/>
                <w:szCs w:val="21"/>
                <w:color w:val="auto"/>
                <w:w w:val="98"/>
              </w:rPr>
              <w:t>Withholding of Taxes; Gross-Up</w:t>
            </w:r>
          </w:p>
        </w:tc>
        <w:tc>
          <w:tcPr>
            <w:tcW w:w="58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2.18.</w:t>
            </w:r>
          </w:p>
        </w:tc>
        <w:tc>
          <w:tcPr>
            <w:tcW w:w="5440" w:type="dxa"/>
            <w:vAlign w:val="bottom"/>
            <w:gridSpan w:val="9"/>
          </w:tcPr>
          <w:p>
            <w:pPr>
              <w:ind w:left="60"/>
              <w:spacing w:after="0" w:line="215" w:lineRule="exact"/>
              <w:rPr>
                <w:sz w:val="20"/>
                <w:szCs w:val="20"/>
                <w:color w:val="auto"/>
              </w:rPr>
            </w:pPr>
            <w:r>
              <w:rPr>
                <w:rFonts w:ascii="Arial" w:cs="Arial" w:eastAsia="Arial" w:hAnsi="Arial"/>
                <w:sz w:val="21"/>
                <w:szCs w:val="21"/>
                <w:color w:val="auto"/>
              </w:rPr>
              <w:t>Payments Generally; Pro Rata Treatment; Sharing of</w:t>
            </w:r>
          </w:p>
        </w:tc>
        <w:tc>
          <w:tcPr>
            <w:tcW w:w="0" w:type="dxa"/>
            <w:vAlign w:val="bottom"/>
          </w:tcPr>
          <w:p>
            <w:pPr>
              <w:spacing w:after="0"/>
              <w:rPr>
                <w:sz w:val="1"/>
                <w:szCs w:val="1"/>
                <w:color w:val="auto"/>
              </w:rPr>
            </w:pPr>
          </w:p>
        </w:tc>
      </w:tr>
      <w:tr>
        <w:trPr>
          <w:trHeight w:val="214"/>
        </w:trPr>
        <w:tc>
          <w:tcPr>
            <w:tcW w:w="2180" w:type="dxa"/>
            <w:vAlign w:val="bottom"/>
            <w:vMerge w:val="restart"/>
          </w:tcPr>
          <w:p>
            <w:pPr>
              <w:jc w:val="right"/>
              <w:ind w:right="53"/>
              <w:spacing w:after="0"/>
              <w:rPr>
                <w:sz w:val="20"/>
                <w:szCs w:val="20"/>
                <w:color w:val="auto"/>
              </w:rPr>
            </w:pPr>
            <w:r>
              <w:rPr>
                <w:rFonts w:ascii="Arial" w:cs="Arial" w:eastAsia="Arial" w:hAnsi="Arial"/>
                <w:sz w:val="21"/>
                <w:szCs w:val="21"/>
                <w:color w:val="auto"/>
              </w:rPr>
              <w:t>SECTION 2.19.</w:t>
            </w:r>
          </w:p>
        </w:tc>
        <w:tc>
          <w:tcPr>
            <w:tcW w:w="1080" w:type="dxa"/>
            <w:vAlign w:val="bottom"/>
          </w:tcPr>
          <w:p>
            <w:pPr>
              <w:ind w:left="380"/>
              <w:spacing w:after="0" w:line="215" w:lineRule="exact"/>
              <w:rPr>
                <w:sz w:val="20"/>
                <w:szCs w:val="20"/>
                <w:color w:val="auto"/>
              </w:rPr>
            </w:pPr>
            <w:r>
              <w:rPr>
                <w:rFonts w:ascii="Arial" w:cs="Arial" w:eastAsia="Arial" w:hAnsi="Arial"/>
                <w:sz w:val="21"/>
                <w:szCs w:val="21"/>
                <w:color w:val="auto"/>
              </w:rPr>
              <w:t>Setoffs</w:t>
            </w:r>
          </w:p>
        </w:tc>
        <w:tc>
          <w:tcPr>
            <w:tcW w:w="400" w:type="dxa"/>
            <w:vAlign w:val="bottom"/>
          </w:tcPr>
          <w:p>
            <w:pPr>
              <w:jc w:val="right"/>
              <w:spacing w:after="0" w:line="215" w:lineRule="exact"/>
              <w:rPr>
                <w:sz w:val="20"/>
                <w:szCs w:val="20"/>
                <w:color w:val="auto"/>
              </w:rPr>
            </w:pPr>
            <w:r>
              <w:rPr>
                <w:rFonts w:ascii="Arial" w:cs="Arial" w:eastAsia="Arial" w:hAnsi="Arial"/>
                <w:sz w:val="21"/>
                <w:szCs w:val="21"/>
                <w:color w:val="auto"/>
              </w:rPr>
              <w:t>79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80" w:type="dxa"/>
            <w:vAlign w:val="bottom"/>
            <w:vMerge w:val="continue"/>
          </w:tcPr>
          <w:p>
            <w:pPr>
              <w:spacing w:after="0"/>
              <w:rPr>
                <w:sz w:val="18"/>
                <w:szCs w:val="18"/>
                <w:color w:val="auto"/>
              </w:rPr>
            </w:pPr>
          </w:p>
        </w:tc>
        <w:tc>
          <w:tcPr>
            <w:tcW w:w="5440" w:type="dxa"/>
            <w:vAlign w:val="bottom"/>
            <w:gridSpan w:val="9"/>
          </w:tcPr>
          <w:p>
            <w:pPr>
              <w:ind w:left="60"/>
              <w:spacing w:after="0" w:line="215" w:lineRule="exact"/>
              <w:rPr>
                <w:sz w:val="20"/>
                <w:szCs w:val="20"/>
                <w:color w:val="auto"/>
              </w:rPr>
            </w:pPr>
            <w:r>
              <w:rPr>
                <w:rFonts w:ascii="Arial" w:cs="Arial" w:eastAsia="Arial" w:hAnsi="Arial"/>
                <w:sz w:val="21"/>
                <w:szCs w:val="21"/>
                <w:color w:val="auto"/>
              </w:rPr>
              <w:t>Mitigation Obligations; Replacement of Lenders  81</w:t>
            </w:r>
          </w:p>
        </w:tc>
        <w:tc>
          <w:tcPr>
            <w:tcW w:w="0" w:type="dxa"/>
            <w:vAlign w:val="bottom"/>
          </w:tcPr>
          <w:p>
            <w:pPr>
              <w:spacing w:after="0"/>
              <w:rPr>
                <w:sz w:val="1"/>
                <w:szCs w:val="1"/>
                <w:color w:val="auto"/>
              </w:rPr>
            </w:pPr>
          </w:p>
        </w:tc>
      </w:tr>
      <w:tr>
        <w:trPr>
          <w:trHeight w:val="209"/>
        </w:trPr>
        <w:tc>
          <w:tcPr>
            <w:tcW w:w="2180" w:type="dxa"/>
            <w:vAlign w:val="bottom"/>
          </w:tcPr>
          <w:p>
            <w:pPr>
              <w:jc w:val="right"/>
              <w:ind w:right="53"/>
              <w:spacing w:after="0" w:line="209" w:lineRule="exact"/>
              <w:rPr>
                <w:sz w:val="20"/>
                <w:szCs w:val="20"/>
                <w:color w:val="auto"/>
              </w:rPr>
            </w:pPr>
            <w:r>
              <w:rPr>
                <w:rFonts w:ascii="Arial" w:cs="Arial" w:eastAsia="Arial" w:hAnsi="Arial"/>
                <w:sz w:val="21"/>
                <w:szCs w:val="21"/>
                <w:color w:val="auto"/>
              </w:rPr>
              <w:t>SECTION 2.20.</w:t>
            </w:r>
          </w:p>
        </w:tc>
        <w:tc>
          <w:tcPr>
            <w:tcW w:w="1940" w:type="dxa"/>
            <w:vAlign w:val="bottom"/>
            <w:gridSpan w:val="4"/>
          </w:tcPr>
          <w:p>
            <w:pPr>
              <w:ind w:left="60"/>
              <w:spacing w:after="0" w:line="209" w:lineRule="exact"/>
              <w:rPr>
                <w:sz w:val="20"/>
                <w:szCs w:val="20"/>
                <w:color w:val="auto"/>
              </w:rPr>
            </w:pPr>
            <w:r>
              <w:rPr>
                <w:rFonts w:ascii="Arial" w:cs="Arial" w:eastAsia="Arial" w:hAnsi="Arial"/>
                <w:sz w:val="21"/>
                <w:szCs w:val="21"/>
                <w:color w:val="auto"/>
              </w:rPr>
              <w:t>Defaulting Lenders</w:t>
            </w:r>
          </w:p>
        </w:tc>
        <w:tc>
          <w:tcPr>
            <w:tcW w:w="240" w:type="dxa"/>
            <w:vAlign w:val="bottom"/>
          </w:tcPr>
          <w:p>
            <w:pPr>
              <w:jc w:val="right"/>
              <w:spacing w:after="0" w:line="209" w:lineRule="exact"/>
              <w:rPr>
                <w:sz w:val="20"/>
                <w:szCs w:val="20"/>
                <w:color w:val="auto"/>
              </w:rPr>
            </w:pPr>
            <w:r>
              <w:rPr>
                <w:rFonts w:ascii="Arial" w:cs="Arial" w:eastAsia="Arial" w:hAnsi="Arial"/>
                <w:sz w:val="21"/>
                <w:szCs w:val="21"/>
                <w:color w:val="auto"/>
                <w:w w:val="76"/>
              </w:rPr>
              <w:t>82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180" w:type="dxa"/>
            <w:vAlign w:val="bottom"/>
          </w:tcPr>
          <w:p>
            <w:pPr>
              <w:jc w:val="right"/>
              <w:ind w:right="53"/>
              <w:spacing w:after="0" w:line="220" w:lineRule="exact"/>
              <w:rPr>
                <w:sz w:val="20"/>
                <w:szCs w:val="20"/>
                <w:color w:val="auto"/>
              </w:rPr>
            </w:pPr>
            <w:r>
              <w:rPr>
                <w:rFonts w:ascii="Arial" w:cs="Arial" w:eastAsia="Arial" w:hAnsi="Arial"/>
                <w:sz w:val="21"/>
                <w:szCs w:val="21"/>
                <w:color w:val="auto"/>
              </w:rPr>
              <w:t>SECTION 2.21.</w:t>
            </w:r>
          </w:p>
        </w:tc>
        <w:tc>
          <w:tcPr>
            <w:tcW w:w="1080" w:type="dxa"/>
            <w:vAlign w:val="bottom"/>
          </w:tcPr>
          <w:p>
            <w:pPr>
              <w:ind w:left="60"/>
              <w:spacing w:after="0" w:line="220" w:lineRule="exact"/>
              <w:rPr>
                <w:sz w:val="20"/>
                <w:szCs w:val="20"/>
                <w:color w:val="auto"/>
              </w:rPr>
            </w:pPr>
            <w:r>
              <w:rPr>
                <w:rFonts w:ascii="Arial" w:cs="Arial" w:eastAsia="Arial" w:hAnsi="Arial"/>
                <w:sz w:val="21"/>
                <w:szCs w:val="21"/>
                <w:b w:val="1"/>
                <w:bCs w:val="1"/>
                <w:color w:val="auto"/>
                <w:w w:val="96"/>
              </w:rPr>
              <w:t>[</w:t>
            </w:r>
            <w:r>
              <w:rPr>
                <w:rFonts w:ascii="Arial" w:cs="Arial" w:eastAsia="Arial" w:hAnsi="Arial"/>
                <w:sz w:val="21"/>
                <w:szCs w:val="21"/>
                <w:color w:val="auto"/>
                <w:w w:val="96"/>
              </w:rPr>
              <w:t>Reserved</w:t>
            </w:r>
            <w:r>
              <w:rPr>
                <w:rFonts w:ascii="Arial" w:cs="Arial" w:eastAsia="Arial" w:hAnsi="Arial"/>
                <w:sz w:val="21"/>
                <w:szCs w:val="21"/>
                <w:b w:val="1"/>
                <w:bCs w:val="1"/>
                <w:color w:val="auto"/>
                <w:w w:val="96"/>
              </w:rPr>
              <w:t>]</w:t>
            </w:r>
          </w:p>
        </w:tc>
        <w:tc>
          <w:tcPr>
            <w:tcW w:w="400" w:type="dxa"/>
            <w:vAlign w:val="bottom"/>
          </w:tcPr>
          <w:p>
            <w:pPr>
              <w:jc w:val="right"/>
              <w:spacing w:after="0" w:line="220" w:lineRule="exact"/>
              <w:rPr>
                <w:sz w:val="20"/>
                <w:szCs w:val="20"/>
                <w:color w:val="auto"/>
              </w:rPr>
            </w:pPr>
            <w:r>
              <w:rPr>
                <w:rFonts w:ascii="Arial" w:cs="Arial" w:eastAsia="Arial" w:hAnsi="Arial"/>
                <w:sz w:val="21"/>
                <w:szCs w:val="21"/>
                <w:color w:val="auto"/>
              </w:rPr>
              <w:t>85</w:t>
            </w:r>
          </w:p>
        </w:tc>
        <w:tc>
          <w:tcPr>
            <w:tcW w:w="140" w:type="dxa"/>
            <w:vAlign w:val="bottom"/>
          </w:tcPr>
          <w:p>
            <w:pPr>
              <w:spacing w:after="0"/>
              <w:rPr>
                <w:sz w:val="19"/>
                <w:szCs w:val="19"/>
                <w:color w:val="auto"/>
              </w:rPr>
            </w:pPr>
          </w:p>
        </w:tc>
        <w:tc>
          <w:tcPr>
            <w:tcW w:w="560" w:type="dxa"/>
            <w:vAlign w:val="bottom"/>
            <w:gridSpan w:val="2"/>
            <w:vMerge w:val="restart"/>
          </w:tcPr>
          <w:p>
            <w:pPr>
              <w:jc w:val="right"/>
              <w:ind w:right="33"/>
              <w:spacing w:after="0"/>
              <w:rPr>
                <w:sz w:val="20"/>
                <w:szCs w:val="20"/>
                <w:color w:val="auto"/>
              </w:rPr>
            </w:pPr>
            <w:r>
              <w:rPr>
                <w:rFonts w:ascii="Arial" w:cs="Arial" w:eastAsia="Arial" w:hAnsi="Arial"/>
                <w:sz w:val="21"/>
                <w:szCs w:val="21"/>
                <w:color w:val="auto"/>
              </w:rPr>
              <w:t>85</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80" w:type="dxa"/>
            <w:vAlign w:val="bottom"/>
          </w:tcPr>
          <w:p>
            <w:pPr>
              <w:jc w:val="right"/>
              <w:ind w:right="53"/>
              <w:spacing w:after="0" w:line="215" w:lineRule="exact"/>
              <w:rPr>
                <w:sz w:val="20"/>
                <w:szCs w:val="20"/>
                <w:color w:val="auto"/>
              </w:rPr>
            </w:pPr>
            <w:r>
              <w:rPr>
                <w:rFonts w:ascii="Arial" w:cs="Arial" w:eastAsia="Arial" w:hAnsi="Arial"/>
                <w:sz w:val="21"/>
                <w:szCs w:val="21"/>
                <w:color w:val="auto"/>
              </w:rPr>
              <w:t>SECTION 2.22.</w:t>
            </w:r>
          </w:p>
        </w:tc>
        <w:tc>
          <w:tcPr>
            <w:tcW w:w="1620" w:type="dxa"/>
            <w:vAlign w:val="bottom"/>
            <w:gridSpan w:val="3"/>
          </w:tcPr>
          <w:p>
            <w:pPr>
              <w:ind w:left="60"/>
              <w:spacing w:after="0" w:line="215" w:lineRule="exact"/>
              <w:rPr>
                <w:sz w:val="20"/>
                <w:szCs w:val="20"/>
                <w:color w:val="auto"/>
              </w:rPr>
            </w:pPr>
            <w:r>
              <w:rPr>
                <w:rFonts w:ascii="Arial" w:cs="Arial" w:eastAsia="Arial" w:hAnsi="Arial"/>
                <w:sz w:val="21"/>
                <w:szCs w:val="21"/>
                <w:color w:val="auto"/>
                <w:w w:val="92"/>
              </w:rPr>
              <w:t>Expansion Option</w:t>
            </w:r>
          </w:p>
        </w:tc>
        <w:tc>
          <w:tcPr>
            <w:tcW w:w="5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180" w:type="dxa"/>
            <w:vAlign w:val="bottom"/>
          </w:tcPr>
          <w:p>
            <w:pPr>
              <w:jc w:val="right"/>
              <w:ind w:right="53"/>
              <w:spacing w:after="0"/>
              <w:rPr>
                <w:sz w:val="20"/>
                <w:szCs w:val="20"/>
                <w:color w:val="auto"/>
              </w:rPr>
            </w:pPr>
            <w:r>
              <w:rPr>
                <w:rFonts w:ascii="Arial" w:cs="Arial" w:eastAsia="Arial" w:hAnsi="Arial"/>
                <w:sz w:val="21"/>
                <w:szCs w:val="21"/>
                <w:color w:val="auto"/>
              </w:rPr>
              <w:t>SECTION 2.23.</w:t>
            </w:r>
          </w:p>
        </w:tc>
        <w:tc>
          <w:tcPr>
            <w:tcW w:w="1940" w:type="dxa"/>
            <w:vAlign w:val="bottom"/>
            <w:gridSpan w:val="4"/>
          </w:tcPr>
          <w:p>
            <w:pPr>
              <w:ind w:left="60"/>
              <w:spacing w:after="0"/>
              <w:rPr>
                <w:sz w:val="20"/>
                <w:szCs w:val="20"/>
                <w:color w:val="auto"/>
              </w:rPr>
            </w:pPr>
            <w:r>
              <w:rPr>
                <w:rFonts w:ascii="Arial" w:cs="Arial" w:eastAsia="Arial" w:hAnsi="Arial"/>
                <w:sz w:val="21"/>
                <w:szCs w:val="21"/>
                <w:color w:val="auto"/>
              </w:rPr>
              <w:t>Judgment Currency</w:t>
            </w:r>
          </w:p>
        </w:tc>
        <w:tc>
          <w:tcPr>
            <w:tcW w:w="240" w:type="dxa"/>
            <w:vAlign w:val="bottom"/>
          </w:tcPr>
          <w:p>
            <w:pPr>
              <w:ind w:left="20"/>
              <w:spacing w:after="0"/>
              <w:rPr>
                <w:sz w:val="20"/>
                <w:szCs w:val="20"/>
                <w:color w:val="auto"/>
              </w:rPr>
            </w:pPr>
            <w:r>
              <w:rPr>
                <w:rFonts w:ascii="Arial" w:cs="Arial" w:eastAsia="Arial" w:hAnsi="Arial"/>
                <w:sz w:val="21"/>
                <w:szCs w:val="21"/>
                <w:color w:val="auto"/>
                <w:w w:val="85"/>
              </w:rPr>
              <w:t>87</w:t>
            </w: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4120" w:type="dxa"/>
            <w:vAlign w:val="bottom"/>
            <w:gridSpan w:val="5"/>
          </w:tcPr>
          <w:p>
            <w:pPr>
              <w:spacing w:after="0"/>
              <w:rPr>
                <w:sz w:val="20"/>
                <w:szCs w:val="20"/>
                <w:color w:val="auto"/>
              </w:rPr>
            </w:pPr>
            <w:r>
              <w:rPr>
                <w:rFonts w:ascii="Arial" w:cs="Arial" w:eastAsia="Arial" w:hAnsi="Arial"/>
                <w:sz w:val="21"/>
                <w:szCs w:val="21"/>
                <w:color w:val="auto"/>
                <w:w w:val="97"/>
              </w:rPr>
              <w:t>ARTICLE III Representations and Warranties</w:t>
            </w:r>
          </w:p>
        </w:tc>
        <w:tc>
          <w:tcPr>
            <w:tcW w:w="240" w:type="dxa"/>
            <w:vAlign w:val="bottom"/>
          </w:tcPr>
          <w:p>
            <w:pPr>
              <w:ind w:left="20"/>
              <w:spacing w:after="0"/>
              <w:rPr>
                <w:sz w:val="20"/>
                <w:szCs w:val="20"/>
                <w:color w:val="auto"/>
              </w:rPr>
            </w:pPr>
            <w:r>
              <w:rPr>
                <w:rFonts w:ascii="Arial" w:cs="Arial" w:eastAsia="Arial" w:hAnsi="Arial"/>
                <w:sz w:val="21"/>
                <w:szCs w:val="21"/>
                <w:color w:val="auto"/>
                <w:w w:val="85"/>
              </w:rPr>
              <w:t>87</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180" w:type="dxa"/>
            <w:vAlign w:val="bottom"/>
          </w:tcPr>
          <w:p>
            <w:pPr>
              <w:jc w:val="right"/>
              <w:ind w:right="53"/>
              <w:spacing w:after="0"/>
              <w:rPr>
                <w:sz w:val="20"/>
                <w:szCs w:val="20"/>
                <w:color w:val="auto"/>
              </w:rPr>
            </w:pPr>
            <w:r>
              <w:rPr>
                <w:rFonts w:ascii="Arial" w:cs="Arial" w:eastAsia="Arial" w:hAnsi="Arial"/>
                <w:sz w:val="21"/>
                <w:szCs w:val="21"/>
                <w:color w:val="auto"/>
              </w:rPr>
              <w:t>SECTION 3.01.</w:t>
            </w:r>
          </w:p>
        </w:tc>
        <w:tc>
          <w:tcPr>
            <w:tcW w:w="3580" w:type="dxa"/>
            <w:vAlign w:val="bottom"/>
            <w:gridSpan w:val="8"/>
          </w:tcPr>
          <w:p>
            <w:pPr>
              <w:ind w:left="60"/>
              <w:spacing w:after="0"/>
              <w:rPr>
                <w:sz w:val="20"/>
                <w:szCs w:val="20"/>
                <w:color w:val="auto"/>
              </w:rPr>
            </w:pPr>
            <w:r>
              <w:rPr>
                <w:rFonts w:ascii="Arial" w:cs="Arial" w:eastAsia="Arial" w:hAnsi="Arial"/>
                <w:sz w:val="21"/>
                <w:szCs w:val="21"/>
                <w:color w:val="auto"/>
                <w:w w:val="97"/>
              </w:rPr>
              <w:t>Existence, Qualification and Power  88</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180" w:type="dxa"/>
            <w:vAlign w:val="bottom"/>
          </w:tcPr>
          <w:p>
            <w:pPr>
              <w:jc w:val="right"/>
              <w:ind w:right="53"/>
              <w:spacing w:after="0"/>
              <w:rPr>
                <w:sz w:val="20"/>
                <w:szCs w:val="20"/>
                <w:color w:val="auto"/>
              </w:rPr>
            </w:pPr>
            <w:r>
              <w:rPr>
                <w:rFonts w:ascii="Arial" w:cs="Arial" w:eastAsia="Arial" w:hAnsi="Arial"/>
                <w:sz w:val="21"/>
                <w:szCs w:val="21"/>
                <w:color w:val="auto"/>
              </w:rPr>
              <w:t>SECTION 3.02.</w:t>
            </w:r>
          </w:p>
        </w:tc>
        <w:tc>
          <w:tcPr>
            <w:tcW w:w="3000" w:type="dxa"/>
            <w:vAlign w:val="bottom"/>
            <w:gridSpan w:val="7"/>
          </w:tcPr>
          <w:p>
            <w:pPr>
              <w:ind w:left="60"/>
              <w:spacing w:after="0"/>
              <w:rPr>
                <w:sz w:val="20"/>
                <w:szCs w:val="20"/>
                <w:color w:val="auto"/>
              </w:rPr>
            </w:pPr>
            <w:r>
              <w:rPr>
                <w:rFonts w:ascii="Arial" w:cs="Arial" w:eastAsia="Arial" w:hAnsi="Arial"/>
                <w:sz w:val="21"/>
                <w:szCs w:val="21"/>
                <w:color w:val="auto"/>
                <w:w w:val="98"/>
              </w:rPr>
              <w:t>Authorization; No Contravention</w:t>
            </w:r>
          </w:p>
        </w:tc>
        <w:tc>
          <w:tcPr>
            <w:tcW w:w="580" w:type="dxa"/>
            <w:vAlign w:val="bottom"/>
          </w:tcPr>
          <w:p>
            <w:pPr>
              <w:jc w:val="right"/>
              <w:ind w:right="133"/>
              <w:spacing w:after="0"/>
              <w:rPr>
                <w:sz w:val="20"/>
                <w:szCs w:val="20"/>
                <w:color w:val="auto"/>
              </w:rPr>
            </w:pPr>
            <w:r>
              <w:rPr>
                <w:rFonts w:ascii="Arial" w:cs="Arial" w:eastAsia="Arial" w:hAnsi="Arial"/>
                <w:sz w:val="21"/>
                <w:szCs w:val="21"/>
                <w:color w:val="auto"/>
              </w:rPr>
              <w:t>88</w:t>
            </w: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386" w:right="459" w:bottom="1440" w:gutter="0" w:footer="0" w:header="0"/>
        </w:sectPr>
      </w:pPr>
    </w:p>
    <w:bookmarkStart w:id="86" w:name="page87"/>
    <w:bookmarkEnd w:id="86"/>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0" w:type="dxa"/>
            <w:vAlign w:val="bottom"/>
          </w:tcPr>
          <w:p>
            <w:pPr>
              <w:ind w:left="640"/>
              <w:spacing w:after="0"/>
              <w:rPr>
                <w:sz w:val="20"/>
                <w:szCs w:val="20"/>
                <w:color w:val="auto"/>
              </w:rPr>
            </w:pPr>
            <w:r>
              <w:rPr>
                <w:rFonts w:ascii="Arial" w:cs="Arial" w:eastAsia="Arial" w:hAnsi="Arial"/>
                <w:sz w:val="21"/>
                <w:szCs w:val="21"/>
                <w:color w:val="auto"/>
              </w:rPr>
              <w:t>SECTION 3.03.</w:t>
            </w:r>
          </w:p>
        </w:tc>
        <w:tc>
          <w:tcPr>
            <w:tcW w:w="4120" w:type="dxa"/>
            <w:vAlign w:val="bottom"/>
            <w:gridSpan w:val="8"/>
          </w:tcPr>
          <w:p>
            <w:pPr>
              <w:ind w:left="40"/>
              <w:spacing w:after="0"/>
              <w:rPr>
                <w:sz w:val="20"/>
                <w:szCs w:val="20"/>
                <w:color w:val="auto"/>
              </w:rPr>
            </w:pPr>
            <w:r>
              <w:rPr>
                <w:rFonts w:ascii="Arial" w:cs="Arial" w:eastAsia="Arial" w:hAnsi="Arial"/>
                <w:sz w:val="21"/>
                <w:szCs w:val="21"/>
                <w:color w:val="auto"/>
                <w:w w:val="96"/>
              </w:rPr>
              <w:t>Governmental Authorization; Other Consents</w:t>
            </w:r>
          </w:p>
        </w:tc>
        <w:tc>
          <w:tcPr>
            <w:tcW w:w="1540" w:type="dxa"/>
            <w:vAlign w:val="bottom"/>
          </w:tcPr>
          <w:p>
            <w:pPr>
              <w:jc w:val="right"/>
              <w:ind w:right="1173"/>
              <w:spacing w:after="0"/>
              <w:rPr>
                <w:sz w:val="20"/>
                <w:szCs w:val="20"/>
                <w:color w:val="auto"/>
              </w:rPr>
            </w:pPr>
            <w:r>
              <w:rPr>
                <w:rFonts w:ascii="Arial" w:cs="Arial" w:eastAsia="Arial" w:hAnsi="Arial"/>
                <w:sz w:val="21"/>
                <w:szCs w:val="21"/>
                <w:color w:val="auto"/>
              </w:rPr>
              <w:t>88</w:t>
            </w: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3.04.</w:t>
            </w:r>
          </w:p>
        </w:tc>
        <w:tc>
          <w:tcPr>
            <w:tcW w:w="1460" w:type="dxa"/>
            <w:vAlign w:val="bottom"/>
            <w:gridSpan w:val="2"/>
          </w:tcPr>
          <w:p>
            <w:pPr>
              <w:ind w:left="40"/>
              <w:spacing w:after="0" w:line="215" w:lineRule="exact"/>
              <w:rPr>
                <w:sz w:val="20"/>
                <w:szCs w:val="20"/>
                <w:color w:val="auto"/>
              </w:rPr>
            </w:pPr>
            <w:r>
              <w:rPr>
                <w:rFonts w:ascii="Arial" w:cs="Arial" w:eastAsia="Arial" w:hAnsi="Arial"/>
                <w:sz w:val="21"/>
                <w:szCs w:val="21"/>
                <w:color w:val="auto"/>
              </w:rPr>
              <w:t>Binding Effect</w:t>
            </w:r>
          </w:p>
        </w:tc>
        <w:tc>
          <w:tcPr>
            <w:tcW w:w="360" w:type="dxa"/>
            <w:vAlign w:val="bottom"/>
          </w:tcPr>
          <w:p>
            <w:pPr>
              <w:jc w:val="right"/>
              <w:spacing w:after="0" w:line="215" w:lineRule="exact"/>
              <w:rPr>
                <w:sz w:val="20"/>
                <w:szCs w:val="20"/>
                <w:color w:val="auto"/>
              </w:rPr>
            </w:pPr>
            <w:r>
              <w:rPr>
                <w:rFonts w:ascii="Arial" w:cs="Arial" w:eastAsia="Arial" w:hAnsi="Arial"/>
                <w:sz w:val="21"/>
                <w:szCs w:val="21"/>
                <w:color w:val="auto"/>
              </w:rPr>
              <w:t>88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60" w:type="dxa"/>
            <w:vAlign w:val="bottom"/>
            <w:gridSpan w:val="10"/>
          </w:tcPr>
          <w:p>
            <w:pPr>
              <w:ind w:left="640"/>
              <w:spacing w:after="0" w:line="215" w:lineRule="exact"/>
              <w:rPr>
                <w:sz w:val="20"/>
                <w:szCs w:val="20"/>
                <w:color w:val="auto"/>
              </w:rPr>
            </w:pPr>
            <w:r>
              <w:rPr>
                <w:rFonts w:ascii="Arial" w:cs="Arial" w:eastAsia="Arial" w:hAnsi="Arial"/>
                <w:sz w:val="21"/>
                <w:szCs w:val="21"/>
                <w:color w:val="auto"/>
              </w:rPr>
              <w:t>SECTION 3.05.  Financial Statements; No Material Adverse Effect; No</w:t>
            </w:r>
          </w:p>
        </w:tc>
        <w:tc>
          <w:tcPr>
            <w:tcW w:w="0" w:type="dxa"/>
            <w:vAlign w:val="bottom"/>
          </w:tcPr>
          <w:p>
            <w:pPr>
              <w:spacing w:after="0"/>
              <w:rPr>
                <w:sz w:val="1"/>
                <w:szCs w:val="1"/>
                <w:color w:val="auto"/>
              </w:rPr>
            </w:pPr>
          </w:p>
        </w:tc>
      </w:tr>
      <w:tr>
        <w:trPr>
          <w:trHeight w:val="214"/>
        </w:trPr>
        <w:tc>
          <w:tcPr>
            <w:tcW w:w="2200" w:type="dxa"/>
            <w:vAlign w:val="bottom"/>
            <w:vMerge w:val="restart"/>
          </w:tcPr>
          <w:p>
            <w:pPr>
              <w:ind w:left="640"/>
              <w:spacing w:after="0"/>
              <w:rPr>
                <w:sz w:val="20"/>
                <w:szCs w:val="20"/>
                <w:color w:val="auto"/>
              </w:rPr>
            </w:pPr>
            <w:r>
              <w:rPr>
                <w:rFonts w:ascii="Arial" w:cs="Arial" w:eastAsia="Arial" w:hAnsi="Arial"/>
                <w:sz w:val="21"/>
                <w:szCs w:val="21"/>
                <w:color w:val="auto"/>
              </w:rPr>
              <w:t>SECTION 3.06.</w:t>
            </w:r>
          </w:p>
        </w:tc>
        <w:tc>
          <w:tcPr>
            <w:tcW w:w="2440" w:type="dxa"/>
            <w:vAlign w:val="bottom"/>
            <w:gridSpan w:val="5"/>
          </w:tcPr>
          <w:p>
            <w:pPr>
              <w:ind w:left="360"/>
              <w:spacing w:after="0" w:line="215" w:lineRule="exact"/>
              <w:rPr>
                <w:sz w:val="20"/>
                <w:szCs w:val="20"/>
                <w:color w:val="auto"/>
              </w:rPr>
            </w:pPr>
            <w:r>
              <w:rPr>
                <w:rFonts w:ascii="Arial" w:cs="Arial" w:eastAsia="Arial" w:hAnsi="Arial"/>
                <w:sz w:val="21"/>
                <w:szCs w:val="21"/>
                <w:color w:val="auto"/>
              </w:rPr>
              <w:t>Internal Control Event</w:t>
            </w:r>
          </w:p>
        </w:tc>
        <w:tc>
          <w:tcPr>
            <w:tcW w:w="360" w:type="dxa"/>
            <w:vAlign w:val="bottom"/>
          </w:tcPr>
          <w:p>
            <w:pPr>
              <w:ind w:left="80"/>
              <w:spacing w:after="0" w:line="215" w:lineRule="exact"/>
              <w:rPr>
                <w:sz w:val="20"/>
                <w:szCs w:val="20"/>
                <w:color w:val="auto"/>
              </w:rPr>
            </w:pPr>
            <w:r>
              <w:rPr>
                <w:rFonts w:ascii="Arial" w:cs="Arial" w:eastAsia="Arial" w:hAnsi="Arial"/>
                <w:sz w:val="21"/>
                <w:szCs w:val="21"/>
                <w:color w:val="auto"/>
              </w:rPr>
              <w:t>89</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vMerge w:val="continue"/>
          </w:tcPr>
          <w:p>
            <w:pPr>
              <w:spacing w:after="0"/>
              <w:rPr>
                <w:sz w:val="18"/>
                <w:szCs w:val="18"/>
                <w:color w:val="auto"/>
              </w:rPr>
            </w:pPr>
          </w:p>
        </w:tc>
        <w:tc>
          <w:tcPr>
            <w:tcW w:w="1020" w:type="dxa"/>
            <w:vAlign w:val="bottom"/>
          </w:tcPr>
          <w:p>
            <w:pPr>
              <w:ind w:left="40"/>
              <w:spacing w:after="0" w:line="215" w:lineRule="exact"/>
              <w:rPr>
                <w:sz w:val="20"/>
                <w:szCs w:val="20"/>
                <w:color w:val="auto"/>
              </w:rPr>
            </w:pPr>
            <w:r>
              <w:rPr>
                <w:rFonts w:ascii="Arial" w:cs="Arial" w:eastAsia="Arial" w:hAnsi="Arial"/>
                <w:sz w:val="21"/>
                <w:szCs w:val="21"/>
                <w:color w:val="auto"/>
              </w:rPr>
              <w:t>Litigation</w:t>
            </w:r>
          </w:p>
        </w:tc>
        <w:tc>
          <w:tcPr>
            <w:tcW w:w="440" w:type="dxa"/>
            <w:vAlign w:val="bottom"/>
          </w:tcPr>
          <w:p>
            <w:pPr>
              <w:jc w:val="right"/>
              <w:ind w:right="33"/>
              <w:spacing w:after="0" w:line="215" w:lineRule="exact"/>
              <w:rPr>
                <w:sz w:val="20"/>
                <w:szCs w:val="20"/>
                <w:color w:val="auto"/>
              </w:rPr>
            </w:pPr>
            <w:r>
              <w:rPr>
                <w:rFonts w:ascii="Arial" w:cs="Arial" w:eastAsia="Arial" w:hAnsi="Arial"/>
                <w:sz w:val="21"/>
                <w:szCs w:val="21"/>
                <w:color w:val="auto"/>
              </w:rPr>
              <w:t>89</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3.07.</w:t>
            </w:r>
          </w:p>
        </w:tc>
        <w:tc>
          <w:tcPr>
            <w:tcW w:w="1020" w:type="dxa"/>
            <w:vAlign w:val="bottom"/>
          </w:tcPr>
          <w:p>
            <w:pPr>
              <w:ind w:left="40"/>
              <w:spacing w:after="0" w:line="215" w:lineRule="exact"/>
              <w:rPr>
                <w:sz w:val="20"/>
                <w:szCs w:val="20"/>
                <w:color w:val="auto"/>
              </w:rPr>
            </w:pPr>
            <w:r>
              <w:rPr>
                <w:rFonts w:ascii="Arial" w:cs="Arial" w:eastAsia="Arial" w:hAnsi="Arial"/>
                <w:sz w:val="21"/>
                <w:szCs w:val="21"/>
                <w:color w:val="auto"/>
                <w:w w:val="96"/>
              </w:rPr>
              <w:t>No Default</w:t>
            </w:r>
          </w:p>
        </w:tc>
        <w:tc>
          <w:tcPr>
            <w:tcW w:w="440" w:type="dxa"/>
            <w:vAlign w:val="bottom"/>
          </w:tcPr>
          <w:p>
            <w:pPr>
              <w:jc w:val="right"/>
              <w:spacing w:after="0" w:line="215" w:lineRule="exact"/>
              <w:rPr>
                <w:sz w:val="20"/>
                <w:szCs w:val="20"/>
                <w:color w:val="auto"/>
              </w:rPr>
            </w:pPr>
            <w:r>
              <w:rPr>
                <w:rFonts w:ascii="Arial" w:cs="Arial" w:eastAsia="Arial" w:hAnsi="Arial"/>
                <w:sz w:val="21"/>
                <w:szCs w:val="21"/>
                <w:color w:val="auto"/>
              </w:rPr>
              <w:t>90</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vMerge w:val="restart"/>
          </w:tcPr>
          <w:p>
            <w:pPr>
              <w:jc w:val="right"/>
              <w:ind w:right="133"/>
              <w:spacing w:after="0"/>
              <w:rPr>
                <w:sz w:val="20"/>
                <w:szCs w:val="20"/>
                <w:color w:val="auto"/>
              </w:rPr>
            </w:pPr>
            <w:r>
              <w:rPr>
                <w:rFonts w:ascii="Arial" w:cs="Arial" w:eastAsia="Arial" w:hAnsi="Arial"/>
                <w:sz w:val="21"/>
                <w:szCs w:val="21"/>
                <w:color w:val="auto"/>
                <w:w w:val="85"/>
              </w:rPr>
              <w:t>90</w:t>
            </w: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3.08.</w:t>
            </w:r>
          </w:p>
        </w:tc>
        <w:tc>
          <w:tcPr>
            <w:tcW w:w="2800" w:type="dxa"/>
            <w:vAlign w:val="bottom"/>
            <w:gridSpan w:val="6"/>
          </w:tcPr>
          <w:p>
            <w:pPr>
              <w:ind w:left="40"/>
              <w:spacing w:after="0" w:line="215" w:lineRule="exact"/>
              <w:rPr>
                <w:sz w:val="20"/>
                <w:szCs w:val="20"/>
                <w:color w:val="auto"/>
              </w:rPr>
            </w:pPr>
            <w:r>
              <w:rPr>
                <w:rFonts w:ascii="Arial" w:cs="Arial" w:eastAsia="Arial" w:hAnsi="Arial"/>
                <w:sz w:val="21"/>
                <w:szCs w:val="21"/>
                <w:color w:val="auto"/>
              </w:rPr>
              <w:t>Ownership of Property; Liens</w:t>
            </w:r>
          </w:p>
        </w:tc>
        <w:tc>
          <w:tcPr>
            <w:tcW w:w="4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3.09.</w:t>
            </w:r>
          </w:p>
        </w:tc>
        <w:tc>
          <w:tcPr>
            <w:tcW w:w="2440" w:type="dxa"/>
            <w:vAlign w:val="bottom"/>
            <w:gridSpan w:val="5"/>
          </w:tcPr>
          <w:p>
            <w:pPr>
              <w:ind w:left="40"/>
              <w:spacing w:after="0" w:line="215" w:lineRule="exact"/>
              <w:rPr>
                <w:sz w:val="20"/>
                <w:szCs w:val="20"/>
                <w:color w:val="auto"/>
              </w:rPr>
            </w:pPr>
            <w:r>
              <w:rPr>
                <w:rFonts w:ascii="Arial" w:cs="Arial" w:eastAsia="Arial" w:hAnsi="Arial"/>
                <w:sz w:val="21"/>
                <w:szCs w:val="21"/>
                <w:color w:val="auto"/>
                <w:w w:val="94"/>
              </w:rPr>
              <w:t>Environmental Compliance</w:t>
            </w:r>
          </w:p>
        </w:tc>
        <w:tc>
          <w:tcPr>
            <w:tcW w:w="820" w:type="dxa"/>
            <w:vAlign w:val="bottom"/>
            <w:gridSpan w:val="2"/>
          </w:tcPr>
          <w:p>
            <w:pPr>
              <w:jc w:val="right"/>
              <w:ind w:right="313"/>
              <w:spacing w:after="0" w:line="215" w:lineRule="exact"/>
              <w:rPr>
                <w:sz w:val="20"/>
                <w:szCs w:val="20"/>
                <w:color w:val="auto"/>
              </w:rPr>
            </w:pPr>
            <w:r>
              <w:rPr>
                <w:rFonts w:ascii="Arial" w:cs="Arial" w:eastAsia="Arial" w:hAnsi="Arial"/>
                <w:sz w:val="21"/>
                <w:szCs w:val="21"/>
                <w:color w:val="auto"/>
              </w:rPr>
              <w:t>90</w:t>
            </w: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3.10.</w:t>
            </w:r>
          </w:p>
        </w:tc>
        <w:tc>
          <w:tcPr>
            <w:tcW w:w="1020" w:type="dxa"/>
            <w:vAlign w:val="bottom"/>
          </w:tcPr>
          <w:p>
            <w:pPr>
              <w:ind w:left="40"/>
              <w:spacing w:after="0" w:line="215" w:lineRule="exact"/>
              <w:rPr>
                <w:sz w:val="20"/>
                <w:szCs w:val="20"/>
                <w:color w:val="auto"/>
              </w:rPr>
            </w:pPr>
            <w:r>
              <w:rPr>
                <w:rFonts w:ascii="Arial" w:cs="Arial" w:eastAsia="Arial" w:hAnsi="Arial"/>
                <w:sz w:val="21"/>
                <w:szCs w:val="21"/>
                <w:color w:val="auto"/>
              </w:rPr>
              <w:t>Insurance</w:t>
            </w:r>
          </w:p>
        </w:tc>
        <w:tc>
          <w:tcPr>
            <w:tcW w:w="440" w:type="dxa"/>
            <w:vAlign w:val="bottom"/>
          </w:tcPr>
          <w:p>
            <w:pPr>
              <w:jc w:val="right"/>
              <w:ind w:right="53"/>
              <w:spacing w:after="0" w:line="215" w:lineRule="exact"/>
              <w:rPr>
                <w:sz w:val="20"/>
                <w:szCs w:val="20"/>
                <w:color w:val="auto"/>
              </w:rPr>
            </w:pPr>
            <w:r>
              <w:rPr>
                <w:rFonts w:ascii="Arial" w:cs="Arial" w:eastAsia="Arial" w:hAnsi="Arial"/>
                <w:sz w:val="21"/>
                <w:szCs w:val="21"/>
                <w:color w:val="auto"/>
              </w:rPr>
              <w:t>90</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3.11.</w:t>
            </w:r>
          </w:p>
        </w:tc>
        <w:tc>
          <w:tcPr>
            <w:tcW w:w="1020" w:type="dxa"/>
            <w:vAlign w:val="bottom"/>
          </w:tcPr>
          <w:p>
            <w:pPr>
              <w:ind w:left="40"/>
              <w:spacing w:after="0" w:line="215" w:lineRule="exact"/>
              <w:rPr>
                <w:sz w:val="20"/>
                <w:szCs w:val="20"/>
                <w:color w:val="auto"/>
              </w:rPr>
            </w:pPr>
            <w:r>
              <w:rPr>
                <w:rFonts w:ascii="Arial" w:cs="Arial" w:eastAsia="Arial" w:hAnsi="Arial"/>
                <w:sz w:val="21"/>
                <w:szCs w:val="21"/>
                <w:color w:val="auto"/>
              </w:rPr>
              <w:t>Taxes  90</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Arial" w:cs="Arial" w:eastAsia="Arial" w:hAnsi="Arial"/>
                <w:sz w:val="21"/>
                <w:szCs w:val="21"/>
                <w:color w:val="auto"/>
              </w:rPr>
              <w:t>90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3.12.</w:t>
            </w:r>
          </w:p>
        </w:tc>
        <w:tc>
          <w:tcPr>
            <w:tcW w:w="1820" w:type="dxa"/>
            <w:vAlign w:val="bottom"/>
            <w:gridSpan w:val="3"/>
          </w:tcPr>
          <w:p>
            <w:pPr>
              <w:ind w:left="40"/>
              <w:spacing w:after="0" w:line="215" w:lineRule="exact"/>
              <w:rPr>
                <w:sz w:val="20"/>
                <w:szCs w:val="20"/>
                <w:color w:val="auto"/>
              </w:rPr>
            </w:pPr>
            <w:r>
              <w:rPr>
                <w:rFonts w:ascii="Arial" w:cs="Arial" w:eastAsia="Arial" w:hAnsi="Arial"/>
                <w:sz w:val="21"/>
                <w:szCs w:val="21"/>
                <w:color w:val="auto"/>
                <w:w w:val="97"/>
              </w:rPr>
              <w:t>ERISA Compliance</w:t>
            </w:r>
          </w:p>
        </w:tc>
        <w:tc>
          <w:tcPr>
            <w:tcW w:w="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3.13.</w:t>
            </w:r>
          </w:p>
        </w:tc>
        <w:tc>
          <w:tcPr>
            <w:tcW w:w="3260" w:type="dxa"/>
            <w:vAlign w:val="bottom"/>
            <w:gridSpan w:val="7"/>
          </w:tcPr>
          <w:p>
            <w:pPr>
              <w:ind w:left="40"/>
              <w:spacing w:after="0" w:line="215" w:lineRule="exact"/>
              <w:rPr>
                <w:sz w:val="20"/>
                <w:szCs w:val="20"/>
                <w:color w:val="auto"/>
              </w:rPr>
            </w:pPr>
            <w:r>
              <w:rPr>
                <w:rFonts w:ascii="Arial" w:cs="Arial" w:eastAsia="Arial" w:hAnsi="Arial"/>
                <w:sz w:val="21"/>
                <w:szCs w:val="21"/>
                <w:color w:val="auto"/>
              </w:rPr>
              <w:t>Subsidiaries; Equity Interests  92</w:t>
            </w:r>
          </w:p>
        </w:tc>
        <w:tc>
          <w:tcPr>
            <w:tcW w:w="860" w:type="dxa"/>
            <w:vAlign w:val="bottom"/>
          </w:tcPr>
          <w:p>
            <w:pPr>
              <w:spacing w:after="0"/>
              <w:rPr>
                <w:sz w:val="18"/>
                <w:szCs w:val="18"/>
                <w:color w:val="auto"/>
              </w:rPr>
            </w:pPr>
          </w:p>
        </w:tc>
        <w:tc>
          <w:tcPr>
            <w:tcW w:w="1540" w:type="dxa"/>
            <w:vAlign w:val="bottom"/>
            <w:vMerge w:val="restart"/>
          </w:tcPr>
          <w:p>
            <w:pPr>
              <w:jc w:val="right"/>
              <w:ind w:right="1053"/>
              <w:spacing w:after="0"/>
              <w:rPr>
                <w:sz w:val="20"/>
                <w:szCs w:val="20"/>
                <w:color w:val="auto"/>
              </w:rPr>
            </w:pPr>
            <w:r>
              <w:rPr>
                <w:rFonts w:ascii="Arial" w:cs="Arial" w:eastAsia="Arial" w:hAnsi="Arial"/>
                <w:sz w:val="21"/>
                <w:szCs w:val="21"/>
                <w:color w:val="auto"/>
              </w:rPr>
              <w:t>92</w:t>
            </w: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3.14.</w:t>
            </w:r>
          </w:p>
        </w:tc>
        <w:tc>
          <w:tcPr>
            <w:tcW w:w="4120" w:type="dxa"/>
            <w:vAlign w:val="bottom"/>
            <w:gridSpan w:val="8"/>
          </w:tcPr>
          <w:p>
            <w:pPr>
              <w:ind w:left="40"/>
              <w:spacing w:after="0" w:line="215" w:lineRule="exact"/>
              <w:rPr>
                <w:sz w:val="20"/>
                <w:szCs w:val="20"/>
                <w:color w:val="auto"/>
              </w:rPr>
            </w:pPr>
            <w:r>
              <w:rPr>
                <w:rFonts w:ascii="Arial" w:cs="Arial" w:eastAsia="Arial" w:hAnsi="Arial"/>
                <w:sz w:val="21"/>
                <w:szCs w:val="21"/>
                <w:color w:val="auto"/>
                <w:w w:val="95"/>
              </w:rPr>
              <w:t>Margin Regulations; Investment Company Act</w:t>
            </w: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3.15.</w:t>
            </w:r>
          </w:p>
        </w:tc>
        <w:tc>
          <w:tcPr>
            <w:tcW w:w="1020" w:type="dxa"/>
            <w:vAlign w:val="bottom"/>
          </w:tcPr>
          <w:p>
            <w:pPr>
              <w:ind w:left="40"/>
              <w:spacing w:after="0" w:line="215" w:lineRule="exact"/>
              <w:rPr>
                <w:sz w:val="20"/>
                <w:szCs w:val="20"/>
                <w:color w:val="auto"/>
              </w:rPr>
            </w:pPr>
            <w:r>
              <w:rPr>
                <w:rFonts w:ascii="Arial" w:cs="Arial" w:eastAsia="Arial" w:hAnsi="Arial"/>
                <w:sz w:val="21"/>
                <w:szCs w:val="21"/>
                <w:color w:val="auto"/>
                <w:w w:val="97"/>
              </w:rPr>
              <w:t>Disclosure</w:t>
            </w:r>
          </w:p>
        </w:tc>
        <w:tc>
          <w:tcPr>
            <w:tcW w:w="440" w:type="dxa"/>
            <w:vAlign w:val="bottom"/>
          </w:tcPr>
          <w:p>
            <w:pPr>
              <w:jc w:val="right"/>
              <w:spacing w:after="0" w:line="215" w:lineRule="exact"/>
              <w:rPr>
                <w:sz w:val="20"/>
                <w:szCs w:val="20"/>
                <w:color w:val="auto"/>
              </w:rPr>
            </w:pPr>
            <w:r>
              <w:rPr>
                <w:rFonts w:ascii="Arial" w:cs="Arial" w:eastAsia="Arial" w:hAnsi="Arial"/>
                <w:sz w:val="21"/>
                <w:szCs w:val="21"/>
                <w:color w:val="auto"/>
              </w:rPr>
              <w:t>92</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vMerge w:val="restart"/>
          </w:tcPr>
          <w:p>
            <w:pPr>
              <w:jc w:val="right"/>
              <w:ind w:right="193"/>
              <w:spacing w:after="0"/>
              <w:rPr>
                <w:sz w:val="20"/>
                <w:szCs w:val="20"/>
                <w:color w:val="auto"/>
              </w:rPr>
            </w:pPr>
            <w:r>
              <w:rPr>
                <w:rFonts w:ascii="Arial" w:cs="Arial" w:eastAsia="Arial" w:hAnsi="Arial"/>
                <w:sz w:val="21"/>
                <w:szCs w:val="21"/>
                <w:color w:val="auto"/>
              </w:rPr>
              <w:t>92</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3.16.</w:t>
            </w:r>
          </w:p>
        </w:tc>
        <w:tc>
          <w:tcPr>
            <w:tcW w:w="2240" w:type="dxa"/>
            <w:vAlign w:val="bottom"/>
            <w:gridSpan w:val="4"/>
          </w:tcPr>
          <w:p>
            <w:pPr>
              <w:ind w:left="40"/>
              <w:spacing w:after="0" w:line="215" w:lineRule="exact"/>
              <w:rPr>
                <w:sz w:val="20"/>
                <w:szCs w:val="20"/>
                <w:color w:val="auto"/>
              </w:rPr>
            </w:pPr>
            <w:r>
              <w:rPr>
                <w:rFonts w:ascii="Arial" w:cs="Arial" w:eastAsia="Arial" w:hAnsi="Arial"/>
                <w:sz w:val="21"/>
                <w:szCs w:val="21"/>
                <w:color w:val="auto"/>
              </w:rPr>
              <w:t>Compliance With Laws</w:t>
            </w:r>
          </w:p>
        </w:tc>
        <w:tc>
          <w:tcPr>
            <w:tcW w:w="560" w:type="dxa"/>
            <w:vAlign w:val="bottom"/>
            <w:gridSpan w:val="2"/>
            <w:vMerge w:val="continue"/>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Arial" w:cs="Arial" w:eastAsia="Arial" w:hAnsi="Arial"/>
                <w:sz w:val="21"/>
                <w:szCs w:val="21"/>
                <w:color w:val="auto"/>
              </w:rPr>
              <w:t>92</w:t>
            </w: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3.17.</w:t>
            </w:r>
          </w:p>
        </w:tc>
        <w:tc>
          <w:tcPr>
            <w:tcW w:w="2800" w:type="dxa"/>
            <w:vAlign w:val="bottom"/>
            <w:gridSpan w:val="6"/>
          </w:tcPr>
          <w:p>
            <w:pPr>
              <w:ind w:left="40"/>
              <w:spacing w:after="0" w:line="215" w:lineRule="exact"/>
              <w:rPr>
                <w:sz w:val="20"/>
                <w:szCs w:val="20"/>
                <w:color w:val="auto"/>
              </w:rPr>
            </w:pPr>
            <w:r>
              <w:rPr>
                <w:rFonts w:ascii="Arial" w:cs="Arial" w:eastAsia="Arial" w:hAnsi="Arial"/>
                <w:sz w:val="21"/>
                <w:szCs w:val="21"/>
                <w:color w:val="auto"/>
                <w:w w:val="93"/>
              </w:rPr>
              <w:t>Taxpayer Identification Number</w:t>
            </w:r>
          </w:p>
        </w:tc>
        <w:tc>
          <w:tcPr>
            <w:tcW w:w="460" w:type="dxa"/>
            <w:vAlign w:val="bottom"/>
            <w:vMerge w:val="continue"/>
          </w:tcPr>
          <w:p>
            <w:pPr>
              <w:spacing w:after="0"/>
              <w:rPr>
                <w:sz w:val="18"/>
                <w:szCs w:val="18"/>
                <w:color w:val="auto"/>
              </w:rPr>
            </w:pPr>
          </w:p>
        </w:tc>
        <w:tc>
          <w:tcPr>
            <w:tcW w:w="860" w:type="dxa"/>
            <w:vAlign w:val="bottom"/>
            <w:vMerge w:val="restart"/>
          </w:tcPr>
          <w:p>
            <w:pPr>
              <w:jc w:val="right"/>
              <w:ind w:right="533"/>
              <w:spacing w:after="0"/>
              <w:rPr>
                <w:sz w:val="20"/>
                <w:szCs w:val="20"/>
                <w:color w:val="auto"/>
              </w:rPr>
            </w:pPr>
            <w:r>
              <w:rPr>
                <w:rFonts w:ascii="Arial" w:cs="Arial" w:eastAsia="Arial" w:hAnsi="Arial"/>
                <w:sz w:val="21"/>
                <w:szCs w:val="21"/>
                <w:color w:val="auto"/>
                <w:w w:val="85"/>
              </w:rPr>
              <w:t>93</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3.18.</w:t>
            </w:r>
          </w:p>
        </w:tc>
        <w:tc>
          <w:tcPr>
            <w:tcW w:w="3260" w:type="dxa"/>
            <w:vAlign w:val="bottom"/>
            <w:gridSpan w:val="7"/>
          </w:tcPr>
          <w:p>
            <w:pPr>
              <w:ind w:left="40"/>
              <w:spacing w:after="0" w:line="215" w:lineRule="exact"/>
              <w:rPr>
                <w:sz w:val="20"/>
                <w:szCs w:val="20"/>
                <w:color w:val="auto"/>
              </w:rPr>
            </w:pPr>
            <w:r>
              <w:rPr>
                <w:rFonts w:ascii="Arial" w:cs="Arial" w:eastAsia="Arial" w:hAnsi="Arial"/>
                <w:sz w:val="21"/>
                <w:szCs w:val="21"/>
                <w:color w:val="auto"/>
                <w:w w:val="99"/>
              </w:rPr>
              <w:t>Intellectual Property; Licenses, Etc</w:t>
            </w:r>
          </w:p>
        </w:tc>
        <w:tc>
          <w:tcPr>
            <w:tcW w:w="86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3.19.</w:t>
            </w:r>
          </w:p>
        </w:tc>
        <w:tc>
          <w:tcPr>
            <w:tcW w:w="3260" w:type="dxa"/>
            <w:vAlign w:val="bottom"/>
            <w:gridSpan w:val="7"/>
          </w:tcPr>
          <w:p>
            <w:pPr>
              <w:ind w:left="40"/>
              <w:spacing w:after="0" w:line="215" w:lineRule="exact"/>
              <w:rPr>
                <w:sz w:val="20"/>
                <w:szCs w:val="20"/>
                <w:color w:val="auto"/>
              </w:rPr>
            </w:pPr>
            <w:r>
              <w:rPr>
                <w:rFonts w:ascii="Arial" w:cs="Arial" w:eastAsia="Arial" w:hAnsi="Arial"/>
                <w:sz w:val="21"/>
                <w:szCs w:val="21"/>
                <w:color w:val="auto"/>
                <w:w w:val="96"/>
              </w:rPr>
              <w:t>Rights in Collateral; Priority of Liens</w:t>
            </w:r>
          </w:p>
        </w:tc>
        <w:tc>
          <w:tcPr>
            <w:tcW w:w="860" w:type="dxa"/>
            <w:vAlign w:val="bottom"/>
          </w:tcPr>
          <w:p>
            <w:pPr>
              <w:jc w:val="right"/>
              <w:ind w:right="333"/>
              <w:spacing w:after="0" w:line="215" w:lineRule="exact"/>
              <w:rPr>
                <w:sz w:val="20"/>
                <w:szCs w:val="20"/>
                <w:color w:val="auto"/>
              </w:rPr>
            </w:pPr>
            <w:r>
              <w:rPr>
                <w:rFonts w:ascii="Arial" w:cs="Arial" w:eastAsia="Arial" w:hAnsi="Arial"/>
                <w:sz w:val="21"/>
                <w:szCs w:val="21"/>
                <w:color w:val="auto"/>
              </w:rPr>
              <w:t>93</w:t>
            </w:r>
          </w:p>
        </w:tc>
        <w:tc>
          <w:tcPr>
            <w:tcW w:w="1540" w:type="dxa"/>
            <w:vAlign w:val="bottom"/>
            <w:vMerge w:val="restart"/>
          </w:tcPr>
          <w:p>
            <w:pPr>
              <w:jc w:val="right"/>
              <w:ind w:right="1053"/>
              <w:spacing w:after="0"/>
              <w:rPr>
                <w:sz w:val="20"/>
                <w:szCs w:val="20"/>
                <w:color w:val="auto"/>
              </w:rPr>
            </w:pPr>
            <w:r>
              <w:rPr>
                <w:rFonts w:ascii="Arial" w:cs="Arial" w:eastAsia="Arial" w:hAnsi="Arial"/>
                <w:sz w:val="21"/>
                <w:szCs w:val="21"/>
                <w:color w:val="auto"/>
              </w:rPr>
              <w:t>93</w:t>
            </w: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3.20.</w:t>
            </w:r>
          </w:p>
        </w:tc>
        <w:tc>
          <w:tcPr>
            <w:tcW w:w="4120" w:type="dxa"/>
            <w:vAlign w:val="bottom"/>
            <w:gridSpan w:val="8"/>
          </w:tcPr>
          <w:p>
            <w:pPr>
              <w:ind w:left="40"/>
              <w:spacing w:after="0" w:line="215" w:lineRule="exact"/>
              <w:rPr>
                <w:sz w:val="20"/>
                <w:szCs w:val="20"/>
                <w:color w:val="auto"/>
              </w:rPr>
            </w:pPr>
            <w:r>
              <w:rPr>
                <w:rFonts w:ascii="Arial" w:cs="Arial" w:eastAsia="Arial" w:hAnsi="Arial"/>
                <w:sz w:val="21"/>
                <w:szCs w:val="21"/>
                <w:color w:val="auto"/>
                <w:w w:val="94"/>
              </w:rPr>
              <w:t>Sanctions Concerns and Anti-Corruption Laws</w:t>
            </w: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3.21.</w:t>
            </w:r>
          </w:p>
        </w:tc>
        <w:tc>
          <w:tcPr>
            <w:tcW w:w="1020" w:type="dxa"/>
            <w:vAlign w:val="bottom"/>
          </w:tcPr>
          <w:p>
            <w:pPr>
              <w:ind w:left="40"/>
              <w:spacing w:after="0" w:line="215" w:lineRule="exact"/>
              <w:rPr>
                <w:sz w:val="20"/>
                <w:szCs w:val="20"/>
                <w:color w:val="auto"/>
              </w:rPr>
            </w:pPr>
            <w:r>
              <w:rPr>
                <w:rFonts w:ascii="Arial" w:cs="Arial" w:eastAsia="Arial" w:hAnsi="Arial"/>
                <w:sz w:val="21"/>
                <w:szCs w:val="21"/>
                <w:color w:val="auto"/>
              </w:rPr>
              <w:t>Solvency</w:t>
            </w:r>
          </w:p>
        </w:tc>
        <w:tc>
          <w:tcPr>
            <w:tcW w:w="440" w:type="dxa"/>
            <w:vAlign w:val="bottom"/>
          </w:tcPr>
          <w:p>
            <w:pPr>
              <w:jc w:val="right"/>
              <w:ind w:right="93"/>
              <w:spacing w:after="0" w:line="215" w:lineRule="exact"/>
              <w:rPr>
                <w:sz w:val="20"/>
                <w:szCs w:val="20"/>
                <w:color w:val="auto"/>
              </w:rPr>
            </w:pPr>
            <w:r>
              <w:rPr>
                <w:rFonts w:ascii="Arial" w:cs="Arial" w:eastAsia="Arial" w:hAnsi="Arial"/>
                <w:sz w:val="21"/>
                <w:szCs w:val="21"/>
                <w:color w:val="auto"/>
                <w:w w:val="93"/>
              </w:rPr>
              <w:t>93</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3.22.</w:t>
            </w:r>
          </w:p>
        </w:tc>
        <w:tc>
          <w:tcPr>
            <w:tcW w:w="1820" w:type="dxa"/>
            <w:vAlign w:val="bottom"/>
            <w:gridSpan w:val="3"/>
          </w:tcPr>
          <w:p>
            <w:pPr>
              <w:ind w:left="40"/>
              <w:spacing w:after="0" w:line="215" w:lineRule="exact"/>
              <w:rPr>
                <w:sz w:val="20"/>
                <w:szCs w:val="20"/>
                <w:color w:val="auto"/>
              </w:rPr>
            </w:pPr>
            <w:r>
              <w:rPr>
                <w:rFonts w:ascii="Arial" w:cs="Arial" w:eastAsia="Arial" w:hAnsi="Arial"/>
                <w:sz w:val="21"/>
                <w:szCs w:val="21"/>
                <w:color w:val="auto"/>
              </w:rPr>
              <w:t>Casualty, Etc  93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3.23.</w:t>
            </w:r>
          </w:p>
        </w:tc>
        <w:tc>
          <w:tcPr>
            <w:tcW w:w="2440" w:type="dxa"/>
            <w:vAlign w:val="bottom"/>
            <w:gridSpan w:val="5"/>
          </w:tcPr>
          <w:p>
            <w:pPr>
              <w:ind w:left="40"/>
              <w:spacing w:after="0" w:line="215" w:lineRule="exact"/>
              <w:rPr>
                <w:sz w:val="20"/>
                <w:szCs w:val="20"/>
                <w:color w:val="auto"/>
              </w:rPr>
            </w:pPr>
            <w:r>
              <w:rPr>
                <w:rFonts w:ascii="Arial" w:cs="Arial" w:eastAsia="Arial" w:hAnsi="Arial"/>
                <w:sz w:val="21"/>
                <w:szCs w:val="21"/>
                <w:color w:val="auto"/>
              </w:rPr>
              <w:t>Responsible Officers  93</w:t>
            </w:r>
          </w:p>
        </w:tc>
        <w:tc>
          <w:tcPr>
            <w:tcW w:w="360" w:type="dxa"/>
            <w:vAlign w:val="bottom"/>
            <w:vMerge w:val="restart"/>
          </w:tcPr>
          <w:p>
            <w:pPr>
              <w:ind w:left="80"/>
              <w:spacing w:after="0"/>
              <w:rPr>
                <w:sz w:val="20"/>
                <w:szCs w:val="20"/>
                <w:color w:val="auto"/>
              </w:rPr>
            </w:pPr>
            <w:r>
              <w:rPr>
                <w:rFonts w:ascii="Arial" w:cs="Arial" w:eastAsia="Arial" w:hAnsi="Arial"/>
                <w:sz w:val="21"/>
                <w:szCs w:val="21"/>
                <w:color w:val="auto"/>
              </w:rPr>
              <w:t>94</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3.24.</w:t>
            </w:r>
          </w:p>
        </w:tc>
        <w:tc>
          <w:tcPr>
            <w:tcW w:w="2440" w:type="dxa"/>
            <w:vAlign w:val="bottom"/>
            <w:gridSpan w:val="5"/>
          </w:tcPr>
          <w:p>
            <w:pPr>
              <w:ind w:left="40"/>
              <w:spacing w:after="0" w:line="215" w:lineRule="exact"/>
              <w:rPr>
                <w:sz w:val="20"/>
                <w:szCs w:val="20"/>
                <w:color w:val="auto"/>
              </w:rPr>
            </w:pPr>
            <w:r>
              <w:rPr>
                <w:rFonts w:ascii="Arial" w:cs="Arial" w:eastAsia="Arial" w:hAnsi="Arial"/>
                <w:sz w:val="21"/>
                <w:szCs w:val="21"/>
                <w:color w:val="auto"/>
                <w:w w:val="96"/>
              </w:rPr>
              <w:t>Collateral Representations</w:t>
            </w:r>
          </w:p>
        </w:tc>
        <w:tc>
          <w:tcPr>
            <w:tcW w:w="3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restart"/>
          </w:tcPr>
          <w:p>
            <w:pPr>
              <w:jc w:val="right"/>
              <w:ind w:right="213"/>
              <w:spacing w:after="0"/>
              <w:rPr>
                <w:sz w:val="20"/>
                <w:szCs w:val="20"/>
                <w:color w:val="auto"/>
              </w:rPr>
            </w:pPr>
            <w:r>
              <w:rPr>
                <w:rFonts w:ascii="Arial" w:cs="Arial" w:eastAsia="Arial" w:hAnsi="Arial"/>
                <w:sz w:val="21"/>
                <w:szCs w:val="21"/>
                <w:color w:val="auto"/>
              </w:rPr>
              <w:t>95</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200" w:type="dxa"/>
            <w:vAlign w:val="bottom"/>
          </w:tcPr>
          <w:p>
            <w:pPr>
              <w:ind w:left="640"/>
              <w:spacing w:after="0"/>
              <w:rPr>
                <w:sz w:val="20"/>
                <w:szCs w:val="20"/>
                <w:color w:val="auto"/>
              </w:rPr>
            </w:pPr>
            <w:r>
              <w:rPr>
                <w:rFonts w:ascii="Arial" w:cs="Arial" w:eastAsia="Arial" w:hAnsi="Arial"/>
                <w:sz w:val="21"/>
                <w:szCs w:val="21"/>
                <w:color w:val="auto"/>
              </w:rPr>
              <w:t>SECTION 3.25.</w:t>
            </w:r>
          </w:p>
        </w:tc>
        <w:tc>
          <w:tcPr>
            <w:tcW w:w="2800" w:type="dxa"/>
            <w:vAlign w:val="bottom"/>
            <w:gridSpan w:val="6"/>
          </w:tcPr>
          <w:p>
            <w:pPr>
              <w:ind w:left="40"/>
              <w:spacing w:after="0"/>
              <w:rPr>
                <w:sz w:val="20"/>
                <w:szCs w:val="20"/>
                <w:color w:val="auto"/>
              </w:rPr>
            </w:pPr>
            <w:r>
              <w:rPr>
                <w:rFonts w:ascii="Arial" w:cs="Arial" w:eastAsia="Arial" w:hAnsi="Arial"/>
                <w:sz w:val="21"/>
                <w:szCs w:val="21"/>
                <w:color w:val="auto"/>
              </w:rPr>
              <w:t>Affected Financial Institution.</w:t>
            </w:r>
          </w:p>
        </w:tc>
        <w:tc>
          <w:tcPr>
            <w:tcW w:w="46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2200" w:type="dxa"/>
            <w:vAlign w:val="bottom"/>
          </w:tcPr>
          <w:p>
            <w:pPr>
              <w:spacing w:after="0"/>
              <w:rPr>
                <w:sz w:val="20"/>
                <w:szCs w:val="20"/>
                <w:color w:val="auto"/>
              </w:rPr>
            </w:pPr>
            <w:r>
              <w:rPr>
                <w:rFonts w:ascii="Arial" w:cs="Arial" w:eastAsia="Arial" w:hAnsi="Arial"/>
                <w:sz w:val="21"/>
                <w:szCs w:val="21"/>
                <w:color w:val="auto"/>
                <w:w w:val="99"/>
              </w:rPr>
              <w:t>ARTICLE IV Conditions</w:t>
            </w:r>
          </w:p>
        </w:tc>
        <w:tc>
          <w:tcPr>
            <w:tcW w:w="1020" w:type="dxa"/>
            <w:vAlign w:val="bottom"/>
          </w:tcPr>
          <w:p>
            <w:pPr>
              <w:ind w:left="180"/>
              <w:spacing w:after="0"/>
              <w:rPr>
                <w:sz w:val="20"/>
                <w:szCs w:val="20"/>
                <w:color w:val="auto"/>
              </w:rPr>
            </w:pPr>
            <w:r>
              <w:rPr>
                <w:rFonts w:ascii="Arial" w:cs="Arial" w:eastAsia="Arial" w:hAnsi="Arial"/>
                <w:sz w:val="21"/>
                <w:szCs w:val="21"/>
                <w:color w:val="auto"/>
              </w:rPr>
              <w:t>95</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200" w:type="dxa"/>
            <w:vAlign w:val="bottom"/>
          </w:tcPr>
          <w:p>
            <w:pPr>
              <w:ind w:left="640"/>
              <w:spacing w:after="0"/>
              <w:rPr>
                <w:sz w:val="20"/>
                <w:szCs w:val="20"/>
                <w:color w:val="auto"/>
              </w:rPr>
            </w:pPr>
            <w:r>
              <w:rPr>
                <w:rFonts w:ascii="Arial" w:cs="Arial" w:eastAsia="Arial" w:hAnsi="Arial"/>
                <w:sz w:val="21"/>
                <w:szCs w:val="21"/>
                <w:color w:val="auto"/>
              </w:rPr>
              <w:t>SECTION 4.01.</w:t>
            </w:r>
          </w:p>
        </w:tc>
        <w:tc>
          <w:tcPr>
            <w:tcW w:w="1460" w:type="dxa"/>
            <w:vAlign w:val="bottom"/>
            <w:gridSpan w:val="2"/>
          </w:tcPr>
          <w:p>
            <w:pPr>
              <w:ind w:left="40"/>
              <w:spacing w:after="0"/>
              <w:rPr>
                <w:sz w:val="20"/>
                <w:szCs w:val="20"/>
                <w:color w:val="auto"/>
              </w:rPr>
            </w:pPr>
            <w:r>
              <w:rPr>
                <w:rFonts w:ascii="Arial" w:cs="Arial" w:eastAsia="Arial" w:hAnsi="Arial"/>
                <w:sz w:val="21"/>
                <w:szCs w:val="21"/>
                <w:color w:val="auto"/>
              </w:rPr>
              <w:t>Effective Date</w:t>
            </w:r>
          </w:p>
        </w:tc>
        <w:tc>
          <w:tcPr>
            <w:tcW w:w="360" w:type="dxa"/>
            <w:vAlign w:val="bottom"/>
          </w:tcPr>
          <w:p>
            <w:pPr>
              <w:jc w:val="right"/>
              <w:ind w:right="13"/>
              <w:spacing w:after="0"/>
              <w:rPr>
                <w:sz w:val="20"/>
                <w:szCs w:val="20"/>
                <w:color w:val="auto"/>
              </w:rPr>
            </w:pPr>
            <w:r>
              <w:rPr>
                <w:rFonts w:ascii="Arial" w:cs="Arial" w:eastAsia="Arial" w:hAnsi="Arial"/>
                <w:sz w:val="21"/>
                <w:szCs w:val="21"/>
                <w:color w:val="auto"/>
                <w:w w:val="93"/>
              </w:rPr>
              <w:t>95</w:t>
            </w:r>
          </w:p>
        </w:tc>
        <w:tc>
          <w:tcPr>
            <w:tcW w:w="420" w:type="dxa"/>
            <w:vAlign w:val="bottom"/>
            <w:vMerge w:val="restart"/>
          </w:tcPr>
          <w:p>
            <w:pPr>
              <w:jc w:val="right"/>
              <w:ind w:right="93"/>
              <w:spacing w:after="0"/>
              <w:rPr>
                <w:sz w:val="20"/>
                <w:szCs w:val="20"/>
                <w:color w:val="auto"/>
              </w:rPr>
            </w:pPr>
            <w:r>
              <w:rPr>
                <w:rFonts w:ascii="Arial" w:cs="Arial" w:eastAsia="Arial" w:hAnsi="Arial"/>
                <w:sz w:val="21"/>
                <w:szCs w:val="21"/>
                <w:color w:val="auto"/>
                <w:w w:val="85"/>
              </w:rPr>
              <w:t>97</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200" w:type="dxa"/>
            <w:vAlign w:val="bottom"/>
          </w:tcPr>
          <w:p>
            <w:pPr>
              <w:ind w:left="640"/>
              <w:spacing w:after="0"/>
              <w:rPr>
                <w:sz w:val="20"/>
                <w:szCs w:val="20"/>
                <w:color w:val="auto"/>
              </w:rPr>
            </w:pPr>
            <w:r>
              <w:rPr>
                <w:rFonts w:ascii="Arial" w:cs="Arial" w:eastAsia="Arial" w:hAnsi="Arial"/>
                <w:sz w:val="21"/>
                <w:szCs w:val="21"/>
                <w:color w:val="auto"/>
              </w:rPr>
              <w:t>SECTION 4.02.</w:t>
            </w:r>
          </w:p>
        </w:tc>
        <w:tc>
          <w:tcPr>
            <w:tcW w:w="1820" w:type="dxa"/>
            <w:vAlign w:val="bottom"/>
            <w:gridSpan w:val="3"/>
          </w:tcPr>
          <w:p>
            <w:pPr>
              <w:ind w:left="40"/>
              <w:spacing w:after="0"/>
              <w:rPr>
                <w:sz w:val="20"/>
                <w:szCs w:val="20"/>
                <w:color w:val="auto"/>
              </w:rPr>
            </w:pPr>
            <w:r>
              <w:rPr>
                <w:rFonts w:ascii="Arial" w:cs="Arial" w:eastAsia="Arial" w:hAnsi="Arial"/>
                <w:sz w:val="21"/>
                <w:szCs w:val="21"/>
                <w:color w:val="auto"/>
              </w:rPr>
              <w:t>Each Credit Event</w:t>
            </w:r>
          </w:p>
        </w:tc>
        <w:tc>
          <w:tcPr>
            <w:tcW w:w="42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3220" w:type="dxa"/>
            <w:vAlign w:val="bottom"/>
            <w:gridSpan w:val="2"/>
          </w:tcPr>
          <w:p>
            <w:pPr>
              <w:spacing w:after="0"/>
              <w:rPr>
                <w:sz w:val="20"/>
                <w:szCs w:val="20"/>
                <w:color w:val="auto"/>
              </w:rPr>
            </w:pPr>
            <w:r>
              <w:rPr>
                <w:rFonts w:ascii="Arial" w:cs="Arial" w:eastAsia="Arial" w:hAnsi="Arial"/>
                <w:sz w:val="21"/>
                <w:szCs w:val="21"/>
                <w:color w:val="auto"/>
              </w:rPr>
              <w:t>ARTICLE V Affirmative Covenants</w:t>
            </w:r>
          </w:p>
        </w:tc>
        <w:tc>
          <w:tcPr>
            <w:tcW w:w="440" w:type="dxa"/>
            <w:vAlign w:val="bottom"/>
          </w:tcPr>
          <w:p>
            <w:pPr>
              <w:jc w:val="right"/>
              <w:ind w:right="13"/>
              <w:spacing w:after="0"/>
              <w:rPr>
                <w:sz w:val="20"/>
                <w:szCs w:val="20"/>
                <w:color w:val="auto"/>
              </w:rPr>
            </w:pPr>
            <w:r>
              <w:rPr>
                <w:rFonts w:ascii="Arial" w:cs="Arial" w:eastAsia="Arial" w:hAnsi="Arial"/>
                <w:sz w:val="21"/>
                <w:szCs w:val="21"/>
                <w:color w:val="auto"/>
              </w:rPr>
              <w:t>97</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200" w:type="dxa"/>
            <w:vAlign w:val="bottom"/>
          </w:tcPr>
          <w:p>
            <w:pPr>
              <w:ind w:left="640"/>
              <w:spacing w:after="0"/>
              <w:rPr>
                <w:sz w:val="20"/>
                <w:szCs w:val="20"/>
                <w:color w:val="auto"/>
              </w:rPr>
            </w:pPr>
            <w:r>
              <w:rPr>
                <w:rFonts w:ascii="Arial" w:cs="Arial" w:eastAsia="Arial" w:hAnsi="Arial"/>
                <w:sz w:val="21"/>
                <w:szCs w:val="21"/>
                <w:color w:val="auto"/>
              </w:rPr>
              <w:t>SECTION 5.01.</w:t>
            </w:r>
          </w:p>
        </w:tc>
        <w:tc>
          <w:tcPr>
            <w:tcW w:w="5660" w:type="dxa"/>
            <w:vAlign w:val="bottom"/>
            <w:gridSpan w:val="9"/>
          </w:tcPr>
          <w:p>
            <w:pPr>
              <w:ind w:left="40"/>
              <w:spacing w:after="0"/>
              <w:rPr>
                <w:sz w:val="20"/>
                <w:szCs w:val="20"/>
                <w:color w:val="auto"/>
              </w:rPr>
            </w:pPr>
            <w:r>
              <w:rPr>
                <w:rFonts w:ascii="Arial" w:cs="Arial" w:eastAsia="Arial" w:hAnsi="Arial"/>
                <w:sz w:val="21"/>
                <w:szCs w:val="21"/>
                <w:color w:val="auto"/>
              </w:rPr>
              <w:t>Financial Statements and Other Information  98</w:t>
            </w: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5.02.</w:t>
            </w:r>
          </w:p>
        </w:tc>
        <w:tc>
          <w:tcPr>
            <w:tcW w:w="2800" w:type="dxa"/>
            <w:vAlign w:val="bottom"/>
            <w:gridSpan w:val="6"/>
          </w:tcPr>
          <w:p>
            <w:pPr>
              <w:ind w:left="40"/>
              <w:spacing w:after="0" w:line="215" w:lineRule="exact"/>
              <w:rPr>
                <w:sz w:val="20"/>
                <w:szCs w:val="20"/>
                <w:color w:val="auto"/>
              </w:rPr>
            </w:pPr>
            <w:r>
              <w:rPr>
                <w:rFonts w:ascii="Arial" w:cs="Arial" w:eastAsia="Arial" w:hAnsi="Arial"/>
                <w:sz w:val="21"/>
                <w:szCs w:val="21"/>
                <w:color w:val="auto"/>
                <w:w w:val="97"/>
              </w:rPr>
              <w:t>Certificates; Other Information</w:t>
            </w:r>
          </w:p>
        </w:tc>
        <w:tc>
          <w:tcPr>
            <w:tcW w:w="460" w:type="dxa"/>
            <w:vAlign w:val="bottom"/>
          </w:tcPr>
          <w:p>
            <w:pPr>
              <w:jc w:val="right"/>
              <w:ind w:right="13"/>
              <w:spacing w:after="0" w:line="215" w:lineRule="exact"/>
              <w:rPr>
                <w:sz w:val="20"/>
                <w:szCs w:val="20"/>
                <w:color w:val="auto"/>
              </w:rPr>
            </w:pPr>
            <w:r>
              <w:rPr>
                <w:rFonts w:ascii="Arial" w:cs="Arial" w:eastAsia="Arial" w:hAnsi="Arial"/>
                <w:sz w:val="21"/>
                <w:szCs w:val="21"/>
                <w:color w:val="auto"/>
              </w:rPr>
              <w:t>98</w:t>
            </w: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5.03.</w:t>
            </w:r>
          </w:p>
        </w:tc>
        <w:tc>
          <w:tcPr>
            <w:tcW w:w="2440" w:type="dxa"/>
            <w:vAlign w:val="bottom"/>
            <w:gridSpan w:val="5"/>
          </w:tcPr>
          <w:p>
            <w:pPr>
              <w:ind w:left="40"/>
              <w:spacing w:after="0" w:line="215" w:lineRule="exact"/>
              <w:rPr>
                <w:sz w:val="20"/>
                <w:szCs w:val="20"/>
                <w:color w:val="auto"/>
              </w:rPr>
            </w:pPr>
            <w:r>
              <w:rPr>
                <w:rFonts w:ascii="Arial" w:cs="Arial" w:eastAsia="Arial" w:hAnsi="Arial"/>
                <w:sz w:val="21"/>
                <w:szCs w:val="21"/>
                <w:color w:val="auto"/>
                <w:w w:val="97"/>
              </w:rPr>
              <w:t>Notices of Material Events</w:t>
            </w:r>
          </w:p>
        </w:tc>
        <w:tc>
          <w:tcPr>
            <w:tcW w:w="360" w:type="dxa"/>
            <w:vAlign w:val="bottom"/>
          </w:tcPr>
          <w:p>
            <w:pPr>
              <w:jc w:val="right"/>
              <w:spacing w:after="0" w:line="215" w:lineRule="exact"/>
              <w:rPr>
                <w:sz w:val="20"/>
                <w:szCs w:val="20"/>
                <w:color w:val="auto"/>
              </w:rPr>
            </w:pPr>
            <w:r>
              <w:rPr>
                <w:rFonts w:ascii="Arial" w:cs="Arial" w:eastAsia="Arial" w:hAnsi="Arial"/>
                <w:sz w:val="21"/>
                <w:szCs w:val="21"/>
                <w:color w:val="auto"/>
              </w:rPr>
              <w:t>99</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5.04.</w:t>
            </w:r>
          </w:p>
        </w:tc>
        <w:tc>
          <w:tcPr>
            <w:tcW w:w="2240" w:type="dxa"/>
            <w:vAlign w:val="bottom"/>
            <w:gridSpan w:val="4"/>
          </w:tcPr>
          <w:p>
            <w:pPr>
              <w:ind w:left="40"/>
              <w:spacing w:after="0" w:line="215" w:lineRule="exact"/>
              <w:rPr>
                <w:sz w:val="20"/>
                <w:szCs w:val="20"/>
                <w:color w:val="auto"/>
              </w:rPr>
            </w:pPr>
            <w:r>
              <w:rPr>
                <w:rFonts w:ascii="Arial" w:cs="Arial" w:eastAsia="Arial" w:hAnsi="Arial"/>
                <w:sz w:val="21"/>
                <w:szCs w:val="21"/>
                <w:color w:val="auto"/>
              </w:rPr>
              <w:t>Payment of Obligations</w:t>
            </w:r>
          </w:p>
        </w:tc>
        <w:tc>
          <w:tcPr>
            <w:tcW w:w="560" w:type="dxa"/>
            <w:vAlign w:val="bottom"/>
            <w:gridSpan w:val="2"/>
          </w:tcPr>
          <w:p>
            <w:pPr>
              <w:jc w:val="right"/>
              <w:ind w:right="73"/>
              <w:spacing w:after="0" w:line="215" w:lineRule="exact"/>
              <w:rPr>
                <w:sz w:val="20"/>
                <w:szCs w:val="20"/>
                <w:color w:val="auto"/>
              </w:rPr>
            </w:pPr>
            <w:r>
              <w:rPr>
                <w:rFonts w:ascii="Arial" w:cs="Arial" w:eastAsia="Arial" w:hAnsi="Arial"/>
                <w:sz w:val="21"/>
                <w:szCs w:val="21"/>
                <w:color w:val="auto"/>
              </w:rPr>
              <w:t>100</w:t>
            </w:r>
          </w:p>
        </w:tc>
        <w:tc>
          <w:tcPr>
            <w:tcW w:w="460" w:type="dxa"/>
            <w:vAlign w:val="bottom"/>
            <w:vMerge w:val="restart"/>
          </w:tcPr>
          <w:p>
            <w:pPr>
              <w:jc w:val="right"/>
              <w:spacing w:after="0"/>
              <w:rPr>
                <w:sz w:val="20"/>
                <w:szCs w:val="20"/>
                <w:color w:val="auto"/>
              </w:rPr>
            </w:pPr>
            <w:r>
              <w:rPr>
                <w:rFonts w:ascii="Arial" w:cs="Arial" w:eastAsia="Arial" w:hAnsi="Arial"/>
                <w:sz w:val="21"/>
                <w:szCs w:val="21"/>
                <w:color w:val="auto"/>
                <w:w w:val="96"/>
              </w:rPr>
              <w:t>100</w:t>
            </w: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5.05.</w:t>
            </w:r>
          </w:p>
        </w:tc>
        <w:tc>
          <w:tcPr>
            <w:tcW w:w="2800" w:type="dxa"/>
            <w:vAlign w:val="bottom"/>
            <w:gridSpan w:val="6"/>
          </w:tcPr>
          <w:p>
            <w:pPr>
              <w:ind w:left="40"/>
              <w:spacing w:after="0" w:line="215" w:lineRule="exact"/>
              <w:rPr>
                <w:sz w:val="20"/>
                <w:szCs w:val="20"/>
                <w:color w:val="auto"/>
              </w:rPr>
            </w:pPr>
            <w:r>
              <w:rPr>
                <w:rFonts w:ascii="Arial" w:cs="Arial" w:eastAsia="Arial" w:hAnsi="Arial"/>
                <w:sz w:val="21"/>
                <w:szCs w:val="21"/>
                <w:color w:val="auto"/>
                <w:w w:val="97"/>
              </w:rPr>
              <w:t>Preservation of Existence, Etc</w:t>
            </w:r>
          </w:p>
        </w:tc>
        <w:tc>
          <w:tcPr>
            <w:tcW w:w="4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5.06.</w:t>
            </w:r>
          </w:p>
        </w:tc>
        <w:tc>
          <w:tcPr>
            <w:tcW w:w="2440" w:type="dxa"/>
            <w:vAlign w:val="bottom"/>
            <w:gridSpan w:val="5"/>
          </w:tcPr>
          <w:p>
            <w:pPr>
              <w:ind w:left="40"/>
              <w:spacing w:after="0" w:line="215" w:lineRule="exact"/>
              <w:rPr>
                <w:sz w:val="20"/>
                <w:szCs w:val="20"/>
                <w:color w:val="auto"/>
              </w:rPr>
            </w:pPr>
            <w:r>
              <w:rPr>
                <w:rFonts w:ascii="Arial" w:cs="Arial" w:eastAsia="Arial" w:hAnsi="Arial"/>
                <w:sz w:val="21"/>
                <w:szCs w:val="21"/>
                <w:color w:val="auto"/>
                <w:w w:val="97"/>
              </w:rPr>
              <w:t>Maintenance of Properties</w:t>
            </w:r>
          </w:p>
        </w:tc>
        <w:tc>
          <w:tcPr>
            <w:tcW w:w="820" w:type="dxa"/>
            <w:vAlign w:val="bottom"/>
            <w:gridSpan w:val="2"/>
          </w:tcPr>
          <w:p>
            <w:pPr>
              <w:ind w:left="80"/>
              <w:spacing w:after="0" w:line="215" w:lineRule="exact"/>
              <w:rPr>
                <w:sz w:val="20"/>
                <w:szCs w:val="20"/>
                <w:color w:val="auto"/>
              </w:rPr>
            </w:pPr>
            <w:r>
              <w:rPr>
                <w:rFonts w:ascii="Arial" w:cs="Arial" w:eastAsia="Arial" w:hAnsi="Arial"/>
                <w:sz w:val="21"/>
                <w:szCs w:val="21"/>
                <w:color w:val="auto"/>
              </w:rPr>
              <w:t>100</w:t>
            </w: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5.07.</w:t>
            </w:r>
          </w:p>
        </w:tc>
        <w:tc>
          <w:tcPr>
            <w:tcW w:w="2440" w:type="dxa"/>
            <w:vAlign w:val="bottom"/>
            <w:gridSpan w:val="5"/>
          </w:tcPr>
          <w:p>
            <w:pPr>
              <w:ind w:left="40"/>
              <w:spacing w:after="0" w:line="215" w:lineRule="exact"/>
              <w:rPr>
                <w:sz w:val="20"/>
                <w:szCs w:val="20"/>
                <w:color w:val="auto"/>
              </w:rPr>
            </w:pPr>
            <w:r>
              <w:rPr>
                <w:rFonts w:ascii="Arial" w:cs="Arial" w:eastAsia="Arial" w:hAnsi="Arial"/>
                <w:sz w:val="21"/>
                <w:szCs w:val="21"/>
                <w:color w:val="auto"/>
                <w:w w:val="98"/>
              </w:rPr>
              <w:t>Maintenance of Insurance</w:t>
            </w:r>
          </w:p>
        </w:tc>
        <w:tc>
          <w:tcPr>
            <w:tcW w:w="360" w:type="dxa"/>
            <w:vAlign w:val="bottom"/>
          </w:tcPr>
          <w:p>
            <w:pPr>
              <w:jc w:val="right"/>
              <w:spacing w:after="0" w:line="215" w:lineRule="exact"/>
              <w:rPr>
                <w:sz w:val="20"/>
                <w:szCs w:val="20"/>
                <w:color w:val="auto"/>
              </w:rPr>
            </w:pPr>
            <w:r>
              <w:rPr>
                <w:rFonts w:ascii="Arial" w:cs="Arial" w:eastAsia="Arial" w:hAnsi="Arial"/>
                <w:sz w:val="21"/>
                <w:szCs w:val="21"/>
                <w:color w:val="auto"/>
                <w:w w:val="96"/>
              </w:rPr>
              <w:t>100</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5.08.</w:t>
            </w:r>
          </w:p>
        </w:tc>
        <w:tc>
          <w:tcPr>
            <w:tcW w:w="2240" w:type="dxa"/>
            <w:vAlign w:val="bottom"/>
            <w:gridSpan w:val="4"/>
          </w:tcPr>
          <w:p>
            <w:pPr>
              <w:ind w:left="40"/>
              <w:spacing w:after="0" w:line="215" w:lineRule="exact"/>
              <w:rPr>
                <w:sz w:val="20"/>
                <w:szCs w:val="20"/>
                <w:color w:val="auto"/>
              </w:rPr>
            </w:pPr>
            <w:r>
              <w:rPr>
                <w:rFonts w:ascii="Arial" w:cs="Arial" w:eastAsia="Arial" w:hAnsi="Arial"/>
                <w:sz w:val="21"/>
                <w:szCs w:val="21"/>
                <w:color w:val="auto"/>
              </w:rPr>
              <w:t>Compliance with Laws</w:t>
            </w:r>
          </w:p>
        </w:tc>
        <w:tc>
          <w:tcPr>
            <w:tcW w:w="560" w:type="dxa"/>
            <w:vAlign w:val="bottom"/>
            <w:gridSpan w:val="2"/>
          </w:tcPr>
          <w:p>
            <w:pPr>
              <w:jc w:val="right"/>
              <w:ind w:right="133"/>
              <w:spacing w:after="0" w:line="215" w:lineRule="exact"/>
              <w:rPr>
                <w:sz w:val="20"/>
                <w:szCs w:val="20"/>
                <w:color w:val="auto"/>
              </w:rPr>
            </w:pPr>
            <w:r>
              <w:rPr>
                <w:rFonts w:ascii="Arial" w:cs="Arial" w:eastAsia="Arial" w:hAnsi="Arial"/>
                <w:sz w:val="21"/>
                <w:szCs w:val="21"/>
                <w:color w:val="auto"/>
                <w:w w:val="85"/>
              </w:rPr>
              <w:t>101</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5.09.</w:t>
            </w:r>
          </w:p>
        </w:tc>
        <w:tc>
          <w:tcPr>
            <w:tcW w:w="1820" w:type="dxa"/>
            <w:vAlign w:val="bottom"/>
            <w:gridSpan w:val="3"/>
          </w:tcPr>
          <w:p>
            <w:pPr>
              <w:ind w:left="40"/>
              <w:spacing w:after="0" w:line="215" w:lineRule="exact"/>
              <w:rPr>
                <w:sz w:val="20"/>
                <w:szCs w:val="20"/>
                <w:color w:val="auto"/>
              </w:rPr>
            </w:pPr>
            <w:r>
              <w:rPr>
                <w:rFonts w:ascii="Arial" w:cs="Arial" w:eastAsia="Arial" w:hAnsi="Arial"/>
                <w:sz w:val="21"/>
                <w:szCs w:val="21"/>
                <w:color w:val="auto"/>
                <w:w w:val="96"/>
              </w:rPr>
              <w:t>Books and Records</w:t>
            </w:r>
          </w:p>
        </w:tc>
        <w:tc>
          <w:tcPr>
            <w:tcW w:w="420" w:type="dxa"/>
            <w:vAlign w:val="bottom"/>
          </w:tcPr>
          <w:p>
            <w:pPr>
              <w:jc w:val="right"/>
              <w:spacing w:after="0" w:line="215" w:lineRule="exact"/>
              <w:rPr>
                <w:sz w:val="20"/>
                <w:szCs w:val="20"/>
                <w:color w:val="auto"/>
              </w:rPr>
            </w:pPr>
            <w:r>
              <w:rPr>
                <w:rFonts w:ascii="Arial" w:cs="Arial" w:eastAsia="Arial" w:hAnsi="Arial"/>
                <w:sz w:val="21"/>
                <w:szCs w:val="21"/>
                <w:color w:val="auto"/>
              </w:rPr>
              <w:t>101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5.10.</w:t>
            </w:r>
          </w:p>
        </w:tc>
        <w:tc>
          <w:tcPr>
            <w:tcW w:w="2240" w:type="dxa"/>
            <w:vAlign w:val="bottom"/>
            <w:gridSpan w:val="4"/>
          </w:tcPr>
          <w:p>
            <w:pPr>
              <w:ind w:left="40"/>
              <w:spacing w:after="0" w:line="215" w:lineRule="exact"/>
              <w:rPr>
                <w:sz w:val="20"/>
                <w:szCs w:val="20"/>
                <w:color w:val="auto"/>
              </w:rPr>
            </w:pPr>
            <w:r>
              <w:rPr>
                <w:rFonts w:ascii="Arial" w:cs="Arial" w:eastAsia="Arial" w:hAnsi="Arial"/>
                <w:sz w:val="21"/>
                <w:szCs w:val="21"/>
                <w:color w:val="auto"/>
              </w:rPr>
              <w:t>Inspection Rights  101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5.11.</w:t>
            </w:r>
          </w:p>
        </w:tc>
        <w:tc>
          <w:tcPr>
            <w:tcW w:w="1460" w:type="dxa"/>
            <w:vAlign w:val="bottom"/>
            <w:gridSpan w:val="2"/>
          </w:tcPr>
          <w:p>
            <w:pPr>
              <w:ind w:left="40"/>
              <w:spacing w:after="0" w:line="215" w:lineRule="exact"/>
              <w:rPr>
                <w:sz w:val="20"/>
                <w:szCs w:val="20"/>
                <w:color w:val="auto"/>
              </w:rPr>
            </w:pPr>
            <w:r>
              <w:rPr>
                <w:rFonts w:ascii="Arial" w:cs="Arial" w:eastAsia="Arial" w:hAnsi="Arial"/>
                <w:sz w:val="21"/>
                <w:szCs w:val="21"/>
                <w:color w:val="auto"/>
                <w:w w:val="90"/>
              </w:rPr>
              <w:t>Use of Proceeds</w:t>
            </w:r>
          </w:p>
        </w:tc>
        <w:tc>
          <w:tcPr>
            <w:tcW w:w="780" w:type="dxa"/>
            <w:vAlign w:val="bottom"/>
            <w:gridSpan w:val="2"/>
          </w:tcPr>
          <w:p>
            <w:pPr>
              <w:jc w:val="right"/>
              <w:ind w:right="173"/>
              <w:spacing w:after="0" w:line="215" w:lineRule="exact"/>
              <w:rPr>
                <w:sz w:val="20"/>
                <w:szCs w:val="20"/>
                <w:color w:val="auto"/>
              </w:rPr>
            </w:pPr>
            <w:r>
              <w:rPr>
                <w:rFonts w:ascii="Arial" w:cs="Arial" w:eastAsia="Arial" w:hAnsi="Arial"/>
                <w:sz w:val="21"/>
                <w:szCs w:val="21"/>
                <w:color w:val="auto"/>
              </w:rPr>
              <w:t>102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5.12.</w:t>
            </w:r>
          </w:p>
        </w:tc>
        <w:tc>
          <w:tcPr>
            <w:tcW w:w="1820" w:type="dxa"/>
            <w:vAlign w:val="bottom"/>
            <w:gridSpan w:val="3"/>
          </w:tcPr>
          <w:p>
            <w:pPr>
              <w:ind w:left="40"/>
              <w:spacing w:after="0" w:line="215" w:lineRule="exact"/>
              <w:rPr>
                <w:sz w:val="20"/>
                <w:szCs w:val="20"/>
                <w:color w:val="auto"/>
              </w:rPr>
            </w:pPr>
            <w:r>
              <w:rPr>
                <w:rFonts w:ascii="Arial" w:cs="Arial" w:eastAsia="Arial" w:hAnsi="Arial"/>
                <w:sz w:val="21"/>
                <w:szCs w:val="21"/>
                <w:color w:val="auto"/>
                <w:w w:val="92"/>
              </w:rPr>
              <w:t>Financial Covenants</w:t>
            </w:r>
          </w:p>
        </w:tc>
        <w:tc>
          <w:tcPr>
            <w:tcW w:w="620" w:type="dxa"/>
            <w:vAlign w:val="bottom"/>
            <w:gridSpan w:val="2"/>
          </w:tcPr>
          <w:p>
            <w:pPr>
              <w:jc w:val="right"/>
              <w:spacing w:after="0" w:line="215" w:lineRule="exact"/>
              <w:rPr>
                <w:sz w:val="20"/>
                <w:szCs w:val="20"/>
                <w:color w:val="auto"/>
              </w:rPr>
            </w:pPr>
            <w:r>
              <w:rPr>
                <w:rFonts w:ascii="Arial" w:cs="Arial" w:eastAsia="Arial" w:hAnsi="Arial"/>
                <w:sz w:val="21"/>
                <w:szCs w:val="21"/>
                <w:color w:val="auto"/>
              </w:rPr>
              <w:t>102</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ind w:left="640"/>
              <w:spacing w:after="0" w:line="215" w:lineRule="exact"/>
              <w:rPr>
                <w:sz w:val="20"/>
                <w:szCs w:val="20"/>
                <w:color w:val="auto"/>
              </w:rPr>
            </w:pPr>
            <w:r>
              <w:rPr>
                <w:rFonts w:ascii="Arial" w:cs="Arial" w:eastAsia="Arial" w:hAnsi="Arial"/>
                <w:sz w:val="21"/>
                <w:szCs w:val="21"/>
                <w:color w:val="auto"/>
              </w:rPr>
              <w:t>SECTION 5.13.</w:t>
            </w:r>
          </w:p>
        </w:tc>
        <w:tc>
          <w:tcPr>
            <w:tcW w:w="5660" w:type="dxa"/>
            <w:vAlign w:val="bottom"/>
            <w:gridSpan w:val="9"/>
          </w:tcPr>
          <w:p>
            <w:pPr>
              <w:ind w:left="40"/>
              <w:spacing w:after="0" w:line="215" w:lineRule="exact"/>
              <w:rPr>
                <w:sz w:val="20"/>
                <w:szCs w:val="20"/>
                <w:color w:val="auto"/>
              </w:rPr>
            </w:pPr>
            <w:r>
              <w:rPr>
                <w:rFonts w:ascii="Arial" w:cs="Arial" w:eastAsia="Arial" w:hAnsi="Arial"/>
                <w:sz w:val="21"/>
                <w:szCs w:val="21"/>
                <w:color w:val="auto"/>
                <w:w w:val="94"/>
              </w:rPr>
              <w:t>Additional Guarantors; Pledges of Stock; Security Interests  102</w:t>
            </w:r>
          </w:p>
        </w:tc>
        <w:tc>
          <w:tcPr>
            <w:tcW w:w="0" w:type="dxa"/>
            <w:vAlign w:val="bottom"/>
          </w:tcPr>
          <w:p>
            <w:pPr>
              <w:spacing w:after="0"/>
              <w:rPr>
                <w:sz w:val="1"/>
                <w:szCs w:val="1"/>
                <w:color w:val="auto"/>
              </w:rPr>
            </w:pPr>
          </w:p>
        </w:tc>
      </w:tr>
      <w:tr>
        <w:trPr>
          <w:trHeight w:val="273"/>
        </w:trPr>
        <w:tc>
          <w:tcPr>
            <w:tcW w:w="2200" w:type="dxa"/>
            <w:vAlign w:val="bottom"/>
          </w:tcPr>
          <w:p>
            <w:pPr>
              <w:ind w:left="640"/>
              <w:spacing w:after="0"/>
              <w:rPr>
                <w:sz w:val="20"/>
                <w:szCs w:val="20"/>
                <w:color w:val="auto"/>
              </w:rPr>
            </w:pPr>
            <w:r>
              <w:rPr>
                <w:rFonts w:ascii="Arial" w:cs="Arial" w:eastAsia="Arial" w:hAnsi="Arial"/>
                <w:sz w:val="21"/>
                <w:szCs w:val="21"/>
                <w:color w:val="auto"/>
              </w:rPr>
              <w:t>SECTION 5.14.</w:t>
            </w:r>
          </w:p>
        </w:tc>
        <w:tc>
          <w:tcPr>
            <w:tcW w:w="1820" w:type="dxa"/>
            <w:vAlign w:val="bottom"/>
            <w:gridSpan w:val="3"/>
          </w:tcPr>
          <w:p>
            <w:pPr>
              <w:ind w:left="40"/>
              <w:spacing w:after="0"/>
              <w:rPr>
                <w:sz w:val="20"/>
                <w:szCs w:val="20"/>
                <w:color w:val="auto"/>
              </w:rPr>
            </w:pPr>
            <w:r>
              <w:rPr>
                <w:rFonts w:ascii="Arial" w:cs="Arial" w:eastAsia="Arial" w:hAnsi="Arial"/>
                <w:sz w:val="21"/>
                <w:szCs w:val="21"/>
                <w:color w:val="auto"/>
              </w:rPr>
              <w:t>Collateral Records</w:t>
            </w:r>
          </w:p>
        </w:tc>
        <w:tc>
          <w:tcPr>
            <w:tcW w:w="420" w:type="dxa"/>
            <w:vAlign w:val="bottom"/>
          </w:tcPr>
          <w:p>
            <w:pPr>
              <w:jc w:val="right"/>
              <w:spacing w:after="0"/>
              <w:rPr>
                <w:sz w:val="20"/>
                <w:szCs w:val="20"/>
                <w:color w:val="auto"/>
              </w:rPr>
            </w:pPr>
            <w:r>
              <w:rPr>
                <w:rFonts w:ascii="Arial" w:cs="Arial" w:eastAsia="Arial" w:hAnsi="Arial"/>
                <w:sz w:val="21"/>
                <w:szCs w:val="21"/>
                <w:color w:val="auto"/>
                <w:w w:val="96"/>
              </w:rPr>
              <w:t>103</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999"/>
          </w:cols>
          <w:pgMar w:left="460" w:top="1440" w:right="1440" w:bottom="1440" w:gutter="0" w:footer="0" w:header="0"/>
        </w:sectPr>
      </w:pPr>
    </w:p>
    <w:bookmarkStart w:id="87" w:name="page88"/>
    <w:bookmarkEnd w:id="87"/>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60" w:type="dxa"/>
            <w:vAlign w:val="bottom"/>
            <w:gridSpan w:val="10"/>
          </w:tcPr>
          <w:p>
            <w:pPr>
              <w:ind w:left="640"/>
              <w:spacing w:after="0"/>
              <w:rPr>
                <w:sz w:val="20"/>
                <w:szCs w:val="20"/>
                <w:color w:val="auto"/>
              </w:rPr>
            </w:pPr>
            <w:r>
              <w:rPr>
                <w:rFonts w:ascii="Arial" w:cs="Arial" w:eastAsia="Arial" w:hAnsi="Arial"/>
                <w:sz w:val="21"/>
                <w:szCs w:val="21"/>
                <w:color w:val="auto"/>
                <w:w w:val="99"/>
              </w:rPr>
              <w:t>SECTION 5.15.  Security Interests; Landlord Subordination.  104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5.16.</w:t>
            </w:r>
          </w:p>
        </w:tc>
        <w:tc>
          <w:tcPr>
            <w:tcW w:w="1280" w:type="dxa"/>
            <w:vAlign w:val="bottom"/>
            <w:gridSpan w:val="2"/>
          </w:tcPr>
          <w:p>
            <w:pPr>
              <w:ind w:left="120"/>
              <w:spacing w:after="0" w:line="215" w:lineRule="exact"/>
              <w:rPr>
                <w:sz w:val="20"/>
                <w:szCs w:val="20"/>
                <w:color w:val="auto"/>
              </w:rPr>
            </w:pPr>
            <w:r>
              <w:rPr>
                <w:rFonts w:ascii="Arial" w:cs="Arial" w:eastAsia="Arial" w:hAnsi="Arial"/>
                <w:sz w:val="21"/>
                <w:szCs w:val="21"/>
                <w:color w:val="auto"/>
              </w:rPr>
              <w:t>[Reserved]</w:t>
            </w:r>
          </w:p>
        </w:tc>
        <w:tc>
          <w:tcPr>
            <w:tcW w:w="540" w:type="dxa"/>
            <w:vAlign w:val="bottom"/>
            <w:gridSpan w:val="2"/>
          </w:tcPr>
          <w:p>
            <w:pPr>
              <w:spacing w:after="0" w:line="215" w:lineRule="exact"/>
              <w:rPr>
                <w:sz w:val="20"/>
                <w:szCs w:val="20"/>
                <w:color w:val="auto"/>
              </w:rPr>
            </w:pPr>
            <w:r>
              <w:rPr>
                <w:rFonts w:ascii="Arial" w:cs="Arial" w:eastAsia="Arial" w:hAnsi="Arial"/>
                <w:sz w:val="21"/>
                <w:szCs w:val="21"/>
                <w:color w:val="auto"/>
              </w:rPr>
              <w:t>104</w:t>
            </w:r>
          </w:p>
        </w:tc>
        <w:tc>
          <w:tcPr>
            <w:tcW w:w="520" w:type="dxa"/>
            <w:vAlign w:val="bottom"/>
            <w:gridSpan w:val="2"/>
            <w:vMerge w:val="restart"/>
          </w:tcPr>
          <w:p>
            <w:pPr>
              <w:jc w:val="right"/>
              <w:spacing w:after="0"/>
              <w:rPr>
                <w:sz w:val="20"/>
                <w:szCs w:val="20"/>
                <w:color w:val="auto"/>
              </w:rPr>
            </w:pPr>
            <w:r>
              <w:rPr>
                <w:rFonts w:ascii="Arial" w:cs="Arial" w:eastAsia="Arial" w:hAnsi="Arial"/>
                <w:sz w:val="21"/>
                <w:szCs w:val="21"/>
                <w:color w:val="auto"/>
              </w:rPr>
              <w:t>104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5.17.</w:t>
            </w:r>
          </w:p>
        </w:tc>
        <w:tc>
          <w:tcPr>
            <w:tcW w:w="1820" w:type="dxa"/>
            <w:vAlign w:val="bottom"/>
            <w:gridSpan w:val="4"/>
          </w:tcPr>
          <w:p>
            <w:pPr>
              <w:ind w:left="120"/>
              <w:spacing w:after="0" w:line="215" w:lineRule="exact"/>
              <w:rPr>
                <w:sz w:val="20"/>
                <w:szCs w:val="20"/>
                <w:color w:val="auto"/>
              </w:rPr>
            </w:pPr>
            <w:r>
              <w:rPr>
                <w:rFonts w:ascii="Arial" w:cs="Arial" w:eastAsia="Arial" w:hAnsi="Arial"/>
                <w:sz w:val="21"/>
                <w:szCs w:val="21"/>
                <w:color w:val="auto"/>
                <w:w w:val="91"/>
              </w:rPr>
              <w:t>Further Assurances</w:t>
            </w:r>
          </w:p>
        </w:tc>
        <w:tc>
          <w:tcPr>
            <w:tcW w:w="5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vMerge w:val="restart"/>
          </w:tcPr>
          <w:p>
            <w:pPr>
              <w:jc w:val="right"/>
              <w:ind w:right="913"/>
              <w:spacing w:after="0"/>
              <w:rPr>
                <w:sz w:val="20"/>
                <w:szCs w:val="20"/>
                <w:color w:val="auto"/>
              </w:rPr>
            </w:pPr>
            <w:r>
              <w:rPr>
                <w:rFonts w:ascii="Arial" w:cs="Arial" w:eastAsia="Arial" w:hAnsi="Arial"/>
                <w:sz w:val="21"/>
                <w:szCs w:val="21"/>
                <w:color w:val="auto"/>
              </w:rPr>
              <w:t>105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5.18.</w:t>
            </w:r>
          </w:p>
        </w:tc>
        <w:tc>
          <w:tcPr>
            <w:tcW w:w="3080" w:type="dxa"/>
            <w:vAlign w:val="bottom"/>
            <w:gridSpan w:val="8"/>
          </w:tcPr>
          <w:p>
            <w:pPr>
              <w:ind w:left="120"/>
              <w:spacing w:after="0" w:line="215" w:lineRule="exact"/>
              <w:rPr>
                <w:sz w:val="20"/>
                <w:szCs w:val="20"/>
                <w:color w:val="auto"/>
              </w:rPr>
            </w:pPr>
            <w:r>
              <w:rPr>
                <w:rFonts w:ascii="Arial" w:cs="Arial" w:eastAsia="Arial" w:hAnsi="Arial"/>
                <w:sz w:val="21"/>
                <w:szCs w:val="21"/>
                <w:color w:val="auto"/>
                <w:w w:val="98"/>
              </w:rPr>
              <w:t>Anti-Corruption Laws; Sanctions</w:t>
            </w:r>
          </w:p>
        </w:tc>
        <w:tc>
          <w:tcPr>
            <w:tcW w:w="14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5200" w:type="dxa"/>
            <w:vAlign w:val="bottom"/>
            <w:gridSpan w:val="9"/>
          </w:tcPr>
          <w:p>
            <w:pPr>
              <w:ind w:left="640"/>
              <w:spacing w:after="0"/>
              <w:rPr>
                <w:sz w:val="20"/>
                <w:szCs w:val="20"/>
                <w:color w:val="auto"/>
              </w:rPr>
            </w:pPr>
            <w:r>
              <w:rPr>
                <w:rFonts w:ascii="Arial" w:cs="Arial" w:eastAsia="Arial" w:hAnsi="Arial"/>
                <w:sz w:val="21"/>
                <w:szCs w:val="21"/>
                <w:color w:val="auto"/>
                <w:w w:val="97"/>
              </w:rPr>
              <w:t>SECTION 5.19.  Post-Closing Requirements.  105</w:t>
            </w:r>
          </w:p>
        </w:tc>
        <w:tc>
          <w:tcPr>
            <w:tcW w:w="1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3000" w:type="dxa"/>
            <w:vAlign w:val="bottom"/>
            <w:gridSpan w:val="2"/>
          </w:tcPr>
          <w:p>
            <w:pPr>
              <w:spacing w:after="0"/>
              <w:rPr>
                <w:sz w:val="20"/>
                <w:szCs w:val="20"/>
                <w:color w:val="auto"/>
              </w:rPr>
            </w:pPr>
            <w:r>
              <w:rPr>
                <w:rFonts w:ascii="Arial" w:cs="Arial" w:eastAsia="Arial" w:hAnsi="Arial"/>
                <w:sz w:val="21"/>
                <w:szCs w:val="21"/>
                <w:color w:val="auto"/>
                <w:w w:val="96"/>
              </w:rPr>
              <w:t>ARTICLE VI Negative Covenants</w:t>
            </w:r>
          </w:p>
        </w:tc>
        <w:tc>
          <w:tcPr>
            <w:tcW w:w="640" w:type="dxa"/>
            <w:vAlign w:val="bottom"/>
            <w:gridSpan w:val="2"/>
          </w:tcPr>
          <w:p>
            <w:pPr>
              <w:jc w:val="right"/>
              <w:ind w:right="53"/>
              <w:spacing w:after="0"/>
              <w:rPr>
                <w:sz w:val="20"/>
                <w:szCs w:val="20"/>
                <w:color w:val="auto"/>
              </w:rPr>
            </w:pPr>
            <w:r>
              <w:rPr>
                <w:rFonts w:ascii="Arial" w:cs="Arial" w:eastAsia="Arial" w:hAnsi="Arial"/>
                <w:sz w:val="21"/>
                <w:szCs w:val="21"/>
                <w:color w:val="auto"/>
              </w:rPr>
              <w:t>105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120" w:type="dxa"/>
            <w:vAlign w:val="bottom"/>
          </w:tcPr>
          <w:p>
            <w:pPr>
              <w:ind w:left="640"/>
              <w:spacing w:after="0"/>
              <w:rPr>
                <w:sz w:val="20"/>
                <w:szCs w:val="20"/>
                <w:color w:val="auto"/>
              </w:rPr>
            </w:pPr>
            <w:r>
              <w:rPr>
                <w:rFonts w:ascii="Arial" w:cs="Arial" w:eastAsia="Arial" w:hAnsi="Arial"/>
                <w:sz w:val="21"/>
                <w:szCs w:val="21"/>
                <w:color w:val="auto"/>
              </w:rPr>
              <w:t>SECTION 6.01.</w:t>
            </w:r>
          </w:p>
        </w:tc>
        <w:tc>
          <w:tcPr>
            <w:tcW w:w="1280" w:type="dxa"/>
            <w:vAlign w:val="bottom"/>
            <w:gridSpan w:val="2"/>
          </w:tcPr>
          <w:p>
            <w:pPr>
              <w:ind w:left="120"/>
              <w:spacing w:after="0"/>
              <w:rPr>
                <w:sz w:val="20"/>
                <w:szCs w:val="20"/>
                <w:color w:val="auto"/>
              </w:rPr>
            </w:pPr>
            <w:r>
              <w:rPr>
                <w:rFonts w:ascii="Arial" w:cs="Arial" w:eastAsia="Arial" w:hAnsi="Arial"/>
                <w:sz w:val="21"/>
                <w:szCs w:val="21"/>
                <w:color w:val="auto"/>
              </w:rPr>
              <w:t>Liens  105</w:t>
            </w:r>
          </w:p>
        </w:tc>
        <w:tc>
          <w:tcPr>
            <w:tcW w:w="540" w:type="dxa"/>
            <w:vAlign w:val="bottom"/>
            <w:gridSpan w:val="2"/>
            <w:vMerge w:val="restart"/>
          </w:tcPr>
          <w:p>
            <w:pPr>
              <w:jc w:val="right"/>
              <w:ind w:right="13"/>
              <w:spacing w:after="0"/>
              <w:rPr>
                <w:sz w:val="20"/>
                <w:szCs w:val="20"/>
                <w:color w:val="auto"/>
              </w:rPr>
            </w:pPr>
            <w:r>
              <w:rPr>
                <w:rFonts w:ascii="Arial" w:cs="Arial" w:eastAsia="Arial" w:hAnsi="Arial"/>
                <w:sz w:val="21"/>
                <w:szCs w:val="21"/>
                <w:color w:val="auto"/>
              </w:rPr>
              <w:t>106</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6.02.</w:t>
            </w:r>
          </w:p>
        </w:tc>
        <w:tc>
          <w:tcPr>
            <w:tcW w:w="1280" w:type="dxa"/>
            <w:vAlign w:val="bottom"/>
            <w:gridSpan w:val="2"/>
          </w:tcPr>
          <w:p>
            <w:pPr>
              <w:ind w:left="120"/>
              <w:spacing w:after="0" w:line="215" w:lineRule="exact"/>
              <w:rPr>
                <w:sz w:val="20"/>
                <w:szCs w:val="20"/>
                <w:color w:val="auto"/>
              </w:rPr>
            </w:pPr>
            <w:r>
              <w:rPr>
                <w:rFonts w:ascii="Arial" w:cs="Arial" w:eastAsia="Arial" w:hAnsi="Arial"/>
                <w:sz w:val="21"/>
                <w:szCs w:val="21"/>
                <w:color w:val="auto"/>
              </w:rPr>
              <w:t>Investments</w:t>
            </w:r>
          </w:p>
        </w:tc>
        <w:tc>
          <w:tcPr>
            <w:tcW w:w="5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6.03.</w:t>
            </w:r>
          </w:p>
        </w:tc>
        <w:tc>
          <w:tcPr>
            <w:tcW w:w="1280" w:type="dxa"/>
            <w:vAlign w:val="bottom"/>
            <w:gridSpan w:val="2"/>
          </w:tcPr>
          <w:p>
            <w:pPr>
              <w:ind w:left="120"/>
              <w:spacing w:after="0" w:line="215" w:lineRule="exact"/>
              <w:rPr>
                <w:sz w:val="20"/>
                <w:szCs w:val="20"/>
                <w:color w:val="auto"/>
              </w:rPr>
            </w:pPr>
            <w:r>
              <w:rPr>
                <w:rFonts w:ascii="Arial" w:cs="Arial" w:eastAsia="Arial" w:hAnsi="Arial"/>
                <w:sz w:val="21"/>
                <w:szCs w:val="21"/>
                <w:color w:val="auto"/>
                <w:w w:val="90"/>
              </w:rPr>
              <w:t>Indebtedness</w:t>
            </w:r>
          </w:p>
        </w:tc>
        <w:tc>
          <w:tcPr>
            <w:tcW w:w="540" w:type="dxa"/>
            <w:vAlign w:val="bottom"/>
            <w:gridSpan w:val="2"/>
          </w:tcPr>
          <w:p>
            <w:pPr>
              <w:jc w:val="right"/>
              <w:spacing w:after="0" w:line="215" w:lineRule="exact"/>
              <w:rPr>
                <w:sz w:val="20"/>
                <w:szCs w:val="20"/>
                <w:color w:val="auto"/>
              </w:rPr>
            </w:pPr>
            <w:r>
              <w:rPr>
                <w:rFonts w:ascii="Arial" w:cs="Arial" w:eastAsia="Arial" w:hAnsi="Arial"/>
                <w:sz w:val="21"/>
                <w:szCs w:val="21"/>
                <w:color w:val="auto"/>
              </w:rPr>
              <w:t>108</w:t>
            </w:r>
          </w:p>
        </w:tc>
        <w:tc>
          <w:tcPr>
            <w:tcW w:w="260" w:type="dxa"/>
            <w:vAlign w:val="bottom"/>
          </w:tcPr>
          <w:p>
            <w:pPr>
              <w:spacing w:after="0"/>
              <w:rPr>
                <w:sz w:val="18"/>
                <w:szCs w:val="18"/>
                <w:color w:val="auto"/>
              </w:rPr>
            </w:pPr>
          </w:p>
        </w:tc>
        <w:tc>
          <w:tcPr>
            <w:tcW w:w="620" w:type="dxa"/>
            <w:vAlign w:val="bottom"/>
            <w:gridSpan w:val="2"/>
            <w:vMerge w:val="restart"/>
          </w:tcPr>
          <w:p>
            <w:pPr>
              <w:jc w:val="right"/>
              <w:ind w:right="33"/>
              <w:spacing w:after="0"/>
              <w:rPr>
                <w:sz w:val="20"/>
                <w:szCs w:val="20"/>
                <w:color w:val="auto"/>
              </w:rPr>
            </w:pPr>
            <w:r>
              <w:rPr>
                <w:rFonts w:ascii="Arial" w:cs="Arial" w:eastAsia="Arial" w:hAnsi="Arial"/>
                <w:sz w:val="21"/>
                <w:szCs w:val="21"/>
                <w:color w:val="auto"/>
              </w:rPr>
              <w:t>110</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6.04.</w:t>
            </w:r>
          </w:p>
        </w:tc>
        <w:tc>
          <w:tcPr>
            <w:tcW w:w="2080" w:type="dxa"/>
            <w:vAlign w:val="bottom"/>
            <w:gridSpan w:val="5"/>
          </w:tcPr>
          <w:p>
            <w:pPr>
              <w:ind w:left="120"/>
              <w:spacing w:after="0" w:line="215" w:lineRule="exact"/>
              <w:rPr>
                <w:sz w:val="20"/>
                <w:szCs w:val="20"/>
                <w:color w:val="auto"/>
              </w:rPr>
            </w:pPr>
            <w:r>
              <w:rPr>
                <w:rFonts w:ascii="Arial" w:cs="Arial" w:eastAsia="Arial" w:hAnsi="Arial"/>
                <w:sz w:val="21"/>
                <w:szCs w:val="21"/>
                <w:color w:val="auto"/>
                <w:w w:val="91"/>
              </w:rPr>
              <w:t>Fundamental Changes</w:t>
            </w:r>
          </w:p>
        </w:tc>
        <w:tc>
          <w:tcPr>
            <w:tcW w:w="6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6.05.</w:t>
            </w:r>
          </w:p>
        </w:tc>
        <w:tc>
          <w:tcPr>
            <w:tcW w:w="1280" w:type="dxa"/>
            <w:vAlign w:val="bottom"/>
            <w:gridSpan w:val="2"/>
          </w:tcPr>
          <w:p>
            <w:pPr>
              <w:ind w:left="120"/>
              <w:spacing w:after="0" w:line="215" w:lineRule="exact"/>
              <w:rPr>
                <w:sz w:val="20"/>
                <w:szCs w:val="20"/>
                <w:color w:val="auto"/>
              </w:rPr>
            </w:pPr>
            <w:r>
              <w:rPr>
                <w:rFonts w:ascii="Arial" w:cs="Arial" w:eastAsia="Arial" w:hAnsi="Arial"/>
                <w:sz w:val="21"/>
                <w:szCs w:val="21"/>
                <w:color w:val="auto"/>
              </w:rPr>
              <w:t>Dispositions</w:t>
            </w:r>
          </w:p>
        </w:tc>
        <w:tc>
          <w:tcPr>
            <w:tcW w:w="540" w:type="dxa"/>
            <w:vAlign w:val="bottom"/>
            <w:gridSpan w:val="2"/>
          </w:tcPr>
          <w:p>
            <w:pPr>
              <w:jc w:val="right"/>
              <w:spacing w:after="0" w:line="215" w:lineRule="exact"/>
              <w:rPr>
                <w:sz w:val="20"/>
                <w:szCs w:val="20"/>
                <w:color w:val="auto"/>
              </w:rPr>
            </w:pPr>
            <w:r>
              <w:rPr>
                <w:rFonts w:ascii="Arial" w:cs="Arial" w:eastAsia="Arial" w:hAnsi="Arial"/>
                <w:sz w:val="21"/>
                <w:szCs w:val="21"/>
                <w:color w:val="auto"/>
              </w:rPr>
              <w:t>110</w:t>
            </w:r>
          </w:p>
        </w:tc>
        <w:tc>
          <w:tcPr>
            <w:tcW w:w="260" w:type="dxa"/>
            <w:vAlign w:val="bottom"/>
          </w:tcPr>
          <w:p>
            <w:pPr>
              <w:spacing w:after="0"/>
              <w:rPr>
                <w:sz w:val="18"/>
                <w:szCs w:val="18"/>
                <w:color w:val="auto"/>
              </w:rPr>
            </w:pPr>
          </w:p>
        </w:tc>
        <w:tc>
          <w:tcPr>
            <w:tcW w:w="620" w:type="dxa"/>
            <w:vAlign w:val="bottom"/>
            <w:gridSpan w:val="2"/>
            <w:vMerge w:val="restart"/>
          </w:tcPr>
          <w:p>
            <w:pPr>
              <w:jc w:val="right"/>
              <w:ind w:right="193"/>
              <w:spacing w:after="0"/>
              <w:rPr>
                <w:sz w:val="20"/>
                <w:szCs w:val="20"/>
                <w:color w:val="auto"/>
              </w:rPr>
            </w:pPr>
            <w:r>
              <w:rPr>
                <w:rFonts w:ascii="Arial" w:cs="Arial" w:eastAsia="Arial" w:hAnsi="Arial"/>
                <w:sz w:val="21"/>
                <w:szCs w:val="21"/>
                <w:color w:val="auto"/>
                <w:w w:val="85"/>
              </w:rPr>
              <w:t>111</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6.06.</w:t>
            </w:r>
          </w:p>
        </w:tc>
        <w:tc>
          <w:tcPr>
            <w:tcW w:w="2080" w:type="dxa"/>
            <w:vAlign w:val="bottom"/>
            <w:gridSpan w:val="5"/>
          </w:tcPr>
          <w:p>
            <w:pPr>
              <w:ind w:left="120"/>
              <w:spacing w:after="0" w:line="215" w:lineRule="exact"/>
              <w:rPr>
                <w:sz w:val="20"/>
                <w:szCs w:val="20"/>
                <w:color w:val="auto"/>
              </w:rPr>
            </w:pPr>
            <w:r>
              <w:rPr>
                <w:rFonts w:ascii="Arial" w:cs="Arial" w:eastAsia="Arial" w:hAnsi="Arial"/>
                <w:sz w:val="21"/>
                <w:szCs w:val="21"/>
                <w:color w:val="auto"/>
              </w:rPr>
              <w:t>Restricted Payments</w:t>
            </w:r>
          </w:p>
        </w:tc>
        <w:tc>
          <w:tcPr>
            <w:tcW w:w="620" w:type="dxa"/>
            <w:vAlign w:val="bottom"/>
            <w:gridSpan w:val="2"/>
            <w:vMerge w:val="continue"/>
          </w:tcPr>
          <w:p>
            <w:pPr>
              <w:spacing w:after="0"/>
              <w:rPr>
                <w:sz w:val="18"/>
                <w:szCs w:val="18"/>
                <w:color w:val="auto"/>
              </w:rPr>
            </w:pPr>
          </w:p>
        </w:tc>
        <w:tc>
          <w:tcPr>
            <w:tcW w:w="1840" w:type="dxa"/>
            <w:vAlign w:val="bottom"/>
            <w:gridSpan w:val="2"/>
            <w:vMerge w:val="restart"/>
          </w:tcPr>
          <w:p>
            <w:pPr>
              <w:jc w:val="right"/>
              <w:ind w:right="1233"/>
              <w:spacing w:after="0"/>
              <w:rPr>
                <w:sz w:val="20"/>
                <w:szCs w:val="20"/>
                <w:color w:val="auto"/>
              </w:rPr>
            </w:pPr>
            <w:r>
              <w:rPr>
                <w:rFonts w:ascii="Arial" w:cs="Arial" w:eastAsia="Arial" w:hAnsi="Arial"/>
                <w:sz w:val="21"/>
                <w:szCs w:val="21"/>
                <w:color w:val="auto"/>
              </w:rPr>
              <w:t>111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6.07.</w:t>
            </w:r>
          </w:p>
        </w:tc>
        <w:tc>
          <w:tcPr>
            <w:tcW w:w="2700" w:type="dxa"/>
            <w:vAlign w:val="bottom"/>
            <w:gridSpan w:val="7"/>
          </w:tcPr>
          <w:p>
            <w:pPr>
              <w:ind w:left="120"/>
              <w:spacing w:after="0" w:line="215" w:lineRule="exact"/>
              <w:rPr>
                <w:sz w:val="20"/>
                <w:szCs w:val="20"/>
                <w:color w:val="auto"/>
              </w:rPr>
            </w:pPr>
            <w:r>
              <w:rPr>
                <w:rFonts w:ascii="Arial" w:cs="Arial" w:eastAsia="Arial" w:hAnsi="Arial"/>
                <w:sz w:val="21"/>
                <w:szCs w:val="21"/>
                <w:color w:val="auto"/>
                <w:w w:val="91"/>
              </w:rPr>
              <w:t>Change in Nature of Business</w:t>
            </w:r>
          </w:p>
        </w:tc>
        <w:tc>
          <w:tcPr>
            <w:tcW w:w="18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6.08.</w:t>
            </w:r>
          </w:p>
        </w:tc>
        <w:tc>
          <w:tcPr>
            <w:tcW w:w="2700" w:type="dxa"/>
            <w:vAlign w:val="bottom"/>
            <w:gridSpan w:val="7"/>
          </w:tcPr>
          <w:p>
            <w:pPr>
              <w:ind w:left="120"/>
              <w:spacing w:after="0" w:line="215" w:lineRule="exact"/>
              <w:rPr>
                <w:sz w:val="20"/>
                <w:szCs w:val="20"/>
                <w:color w:val="auto"/>
              </w:rPr>
            </w:pPr>
            <w:r>
              <w:rPr>
                <w:rFonts w:ascii="Arial" w:cs="Arial" w:eastAsia="Arial" w:hAnsi="Arial"/>
                <w:sz w:val="21"/>
                <w:szCs w:val="21"/>
                <w:color w:val="auto"/>
              </w:rPr>
              <w:t>Transactions With Affiliates</w:t>
            </w:r>
          </w:p>
        </w:tc>
        <w:tc>
          <w:tcPr>
            <w:tcW w:w="380" w:type="dxa"/>
            <w:vAlign w:val="bottom"/>
          </w:tcPr>
          <w:p>
            <w:pPr>
              <w:jc w:val="right"/>
              <w:spacing w:after="0" w:line="215" w:lineRule="exact"/>
              <w:rPr>
                <w:sz w:val="20"/>
                <w:szCs w:val="20"/>
                <w:color w:val="auto"/>
              </w:rPr>
            </w:pPr>
            <w:r>
              <w:rPr>
                <w:rFonts w:ascii="Arial" w:cs="Arial" w:eastAsia="Arial" w:hAnsi="Arial"/>
                <w:sz w:val="21"/>
                <w:szCs w:val="21"/>
                <w:color w:val="auto"/>
                <w:w w:val="96"/>
              </w:rPr>
              <w:t>111</w:t>
            </w: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tcPr>
          <w:p>
            <w:pPr>
              <w:ind w:left="640"/>
              <w:spacing w:after="0" w:line="209" w:lineRule="exact"/>
              <w:rPr>
                <w:sz w:val="20"/>
                <w:szCs w:val="20"/>
                <w:color w:val="auto"/>
              </w:rPr>
            </w:pPr>
            <w:r>
              <w:rPr>
                <w:rFonts w:ascii="Arial" w:cs="Arial" w:eastAsia="Arial" w:hAnsi="Arial"/>
                <w:sz w:val="21"/>
                <w:szCs w:val="21"/>
                <w:color w:val="auto"/>
              </w:rPr>
              <w:t>SECTION 6.09.</w:t>
            </w:r>
          </w:p>
        </w:tc>
        <w:tc>
          <w:tcPr>
            <w:tcW w:w="2340" w:type="dxa"/>
            <w:vAlign w:val="bottom"/>
            <w:gridSpan w:val="6"/>
          </w:tcPr>
          <w:p>
            <w:pPr>
              <w:ind w:left="120"/>
              <w:spacing w:after="0" w:line="209" w:lineRule="exact"/>
              <w:rPr>
                <w:sz w:val="20"/>
                <w:szCs w:val="20"/>
                <w:color w:val="auto"/>
              </w:rPr>
            </w:pPr>
            <w:r>
              <w:rPr>
                <w:rFonts w:ascii="Arial" w:cs="Arial" w:eastAsia="Arial" w:hAnsi="Arial"/>
                <w:sz w:val="21"/>
                <w:szCs w:val="21"/>
                <w:color w:val="auto"/>
                <w:w w:val="92"/>
              </w:rPr>
              <w:t>Burdensome Agreements</w:t>
            </w:r>
          </w:p>
        </w:tc>
        <w:tc>
          <w:tcPr>
            <w:tcW w:w="740" w:type="dxa"/>
            <w:vAlign w:val="bottom"/>
            <w:gridSpan w:val="2"/>
          </w:tcPr>
          <w:p>
            <w:pPr>
              <w:jc w:val="right"/>
              <w:ind w:right="153"/>
              <w:spacing w:after="0" w:line="209" w:lineRule="exact"/>
              <w:rPr>
                <w:sz w:val="20"/>
                <w:szCs w:val="20"/>
                <w:color w:val="auto"/>
              </w:rPr>
            </w:pPr>
            <w:r>
              <w:rPr>
                <w:rFonts w:ascii="Arial" w:cs="Arial" w:eastAsia="Arial" w:hAnsi="Arial"/>
                <w:sz w:val="21"/>
                <w:szCs w:val="21"/>
                <w:color w:val="auto"/>
              </w:rPr>
              <w:t>111</w:t>
            </w: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120" w:type="dxa"/>
            <w:vAlign w:val="bottom"/>
          </w:tcPr>
          <w:p>
            <w:pPr>
              <w:ind w:left="640"/>
              <w:spacing w:after="0" w:line="220" w:lineRule="exact"/>
              <w:rPr>
                <w:sz w:val="20"/>
                <w:szCs w:val="20"/>
                <w:color w:val="auto"/>
              </w:rPr>
            </w:pPr>
            <w:r>
              <w:rPr>
                <w:rFonts w:ascii="Arial" w:cs="Arial" w:eastAsia="Arial" w:hAnsi="Arial"/>
                <w:sz w:val="21"/>
                <w:szCs w:val="21"/>
                <w:color w:val="auto"/>
              </w:rPr>
              <w:t>SECTION 6.10.</w:t>
            </w:r>
          </w:p>
        </w:tc>
        <w:tc>
          <w:tcPr>
            <w:tcW w:w="1280" w:type="dxa"/>
            <w:vAlign w:val="bottom"/>
            <w:gridSpan w:val="2"/>
          </w:tcPr>
          <w:p>
            <w:pPr>
              <w:ind w:left="120"/>
              <w:spacing w:after="0" w:line="220" w:lineRule="exact"/>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Reserved</w:t>
            </w:r>
            <w:r>
              <w:rPr>
                <w:rFonts w:ascii="Arial" w:cs="Arial" w:eastAsia="Arial" w:hAnsi="Arial"/>
                <w:sz w:val="21"/>
                <w:szCs w:val="21"/>
                <w:b w:val="1"/>
                <w:bCs w:val="1"/>
                <w:color w:val="auto"/>
              </w:rPr>
              <w:t>]</w:t>
            </w:r>
          </w:p>
        </w:tc>
        <w:tc>
          <w:tcPr>
            <w:tcW w:w="540" w:type="dxa"/>
            <w:vAlign w:val="bottom"/>
            <w:gridSpan w:val="2"/>
          </w:tcPr>
          <w:p>
            <w:pPr>
              <w:spacing w:after="0" w:line="220" w:lineRule="exact"/>
              <w:rPr>
                <w:sz w:val="20"/>
                <w:szCs w:val="20"/>
                <w:color w:val="auto"/>
              </w:rPr>
            </w:pPr>
            <w:r>
              <w:rPr>
                <w:rFonts w:ascii="Arial" w:cs="Arial" w:eastAsia="Arial" w:hAnsi="Arial"/>
                <w:sz w:val="21"/>
                <w:szCs w:val="21"/>
                <w:color w:val="auto"/>
              </w:rPr>
              <w:t>112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120" w:type="dxa"/>
            <w:vAlign w:val="bottom"/>
          </w:tcPr>
          <w:p>
            <w:pPr>
              <w:ind w:left="640"/>
              <w:spacing w:after="0"/>
              <w:rPr>
                <w:sz w:val="20"/>
                <w:szCs w:val="20"/>
                <w:color w:val="auto"/>
              </w:rPr>
            </w:pPr>
            <w:r>
              <w:rPr>
                <w:rFonts w:ascii="Arial" w:cs="Arial" w:eastAsia="Arial" w:hAnsi="Arial"/>
                <w:sz w:val="21"/>
                <w:szCs w:val="21"/>
                <w:color w:val="auto"/>
              </w:rPr>
              <w:t>SECTION 6.11.</w:t>
            </w:r>
          </w:p>
        </w:tc>
        <w:tc>
          <w:tcPr>
            <w:tcW w:w="4540" w:type="dxa"/>
            <w:vAlign w:val="bottom"/>
            <w:gridSpan w:val="9"/>
          </w:tcPr>
          <w:p>
            <w:pPr>
              <w:ind w:left="120"/>
              <w:spacing w:after="0"/>
              <w:rPr>
                <w:sz w:val="20"/>
                <w:szCs w:val="20"/>
                <w:color w:val="auto"/>
              </w:rPr>
            </w:pPr>
            <w:r>
              <w:rPr>
                <w:rFonts w:ascii="Arial" w:cs="Arial" w:eastAsia="Arial" w:hAnsi="Arial"/>
                <w:sz w:val="21"/>
                <w:szCs w:val="21"/>
                <w:color w:val="auto"/>
                <w:w w:val="98"/>
              </w:rPr>
              <w:t>Prepayment of Subordinated Indebtedness  112</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3000" w:type="dxa"/>
            <w:vAlign w:val="bottom"/>
            <w:gridSpan w:val="2"/>
          </w:tcPr>
          <w:p>
            <w:pPr>
              <w:spacing w:after="0"/>
              <w:rPr>
                <w:sz w:val="20"/>
                <w:szCs w:val="20"/>
                <w:color w:val="auto"/>
              </w:rPr>
            </w:pPr>
            <w:r>
              <w:rPr>
                <w:rFonts w:ascii="Arial" w:cs="Arial" w:eastAsia="Arial" w:hAnsi="Arial"/>
                <w:sz w:val="21"/>
                <w:szCs w:val="21"/>
                <w:color w:val="auto"/>
              </w:rPr>
              <w:t>ARTICLE VII Events of Default</w:t>
            </w:r>
          </w:p>
        </w:tc>
        <w:tc>
          <w:tcPr>
            <w:tcW w:w="400" w:type="dxa"/>
            <w:vAlign w:val="bottom"/>
          </w:tcPr>
          <w:p>
            <w:pPr>
              <w:jc w:val="right"/>
              <w:spacing w:after="0"/>
              <w:rPr>
                <w:sz w:val="20"/>
                <w:szCs w:val="20"/>
                <w:color w:val="auto"/>
              </w:rPr>
            </w:pPr>
            <w:r>
              <w:rPr>
                <w:rFonts w:ascii="Arial" w:cs="Arial" w:eastAsia="Arial" w:hAnsi="Arial"/>
                <w:sz w:val="21"/>
                <w:szCs w:val="21"/>
                <w:color w:val="auto"/>
                <w:w w:val="91"/>
              </w:rPr>
              <w:t>112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120" w:type="dxa"/>
            <w:vAlign w:val="bottom"/>
          </w:tcPr>
          <w:p>
            <w:pPr>
              <w:ind w:left="640"/>
              <w:spacing w:after="0"/>
              <w:rPr>
                <w:sz w:val="20"/>
                <w:szCs w:val="20"/>
                <w:color w:val="auto"/>
              </w:rPr>
            </w:pPr>
            <w:r>
              <w:rPr>
                <w:rFonts w:ascii="Arial" w:cs="Arial" w:eastAsia="Arial" w:hAnsi="Arial"/>
                <w:sz w:val="21"/>
                <w:szCs w:val="21"/>
                <w:color w:val="auto"/>
              </w:rPr>
              <w:t>SECTION 7.01.</w:t>
            </w:r>
          </w:p>
        </w:tc>
        <w:tc>
          <w:tcPr>
            <w:tcW w:w="1820" w:type="dxa"/>
            <w:vAlign w:val="bottom"/>
            <w:gridSpan w:val="4"/>
          </w:tcPr>
          <w:p>
            <w:pPr>
              <w:ind w:left="120"/>
              <w:spacing w:after="0"/>
              <w:rPr>
                <w:sz w:val="20"/>
                <w:szCs w:val="20"/>
                <w:color w:val="auto"/>
              </w:rPr>
            </w:pPr>
            <w:r>
              <w:rPr>
                <w:rFonts w:ascii="Arial" w:cs="Arial" w:eastAsia="Arial" w:hAnsi="Arial"/>
                <w:sz w:val="21"/>
                <w:szCs w:val="21"/>
                <w:color w:val="auto"/>
              </w:rPr>
              <w:t>Events of Default</w:t>
            </w:r>
          </w:p>
        </w:tc>
        <w:tc>
          <w:tcPr>
            <w:tcW w:w="520" w:type="dxa"/>
            <w:vAlign w:val="bottom"/>
            <w:gridSpan w:val="2"/>
          </w:tcPr>
          <w:p>
            <w:pPr>
              <w:jc w:val="right"/>
              <w:ind w:right="73"/>
              <w:spacing w:after="0"/>
              <w:rPr>
                <w:sz w:val="20"/>
                <w:szCs w:val="20"/>
                <w:color w:val="auto"/>
              </w:rPr>
            </w:pPr>
            <w:r>
              <w:rPr>
                <w:rFonts w:ascii="Arial" w:cs="Arial" w:eastAsia="Arial" w:hAnsi="Arial"/>
                <w:sz w:val="21"/>
                <w:szCs w:val="21"/>
                <w:color w:val="auto"/>
                <w:w w:val="91"/>
              </w:rPr>
              <w:t>112</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7.02.</w:t>
            </w:r>
          </w:p>
        </w:tc>
        <w:tc>
          <w:tcPr>
            <w:tcW w:w="4540" w:type="dxa"/>
            <w:vAlign w:val="bottom"/>
            <w:gridSpan w:val="9"/>
          </w:tcPr>
          <w:p>
            <w:pPr>
              <w:ind w:left="120"/>
              <w:spacing w:after="0" w:line="215" w:lineRule="exact"/>
              <w:rPr>
                <w:sz w:val="20"/>
                <w:szCs w:val="20"/>
                <w:color w:val="auto"/>
              </w:rPr>
            </w:pPr>
            <w:r>
              <w:rPr>
                <w:rFonts w:ascii="Arial" w:cs="Arial" w:eastAsia="Arial" w:hAnsi="Arial"/>
                <w:sz w:val="21"/>
                <w:szCs w:val="21"/>
                <w:color w:val="auto"/>
              </w:rPr>
              <w:t>Remedies Upon an Event of Default  114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120" w:type="dxa"/>
            <w:vAlign w:val="bottom"/>
          </w:tcPr>
          <w:p>
            <w:pPr>
              <w:ind w:left="640"/>
              <w:spacing w:after="0"/>
              <w:rPr>
                <w:sz w:val="20"/>
                <w:szCs w:val="20"/>
                <w:color w:val="auto"/>
              </w:rPr>
            </w:pPr>
            <w:r>
              <w:rPr>
                <w:rFonts w:ascii="Arial" w:cs="Arial" w:eastAsia="Arial" w:hAnsi="Arial"/>
                <w:sz w:val="21"/>
                <w:szCs w:val="21"/>
                <w:color w:val="auto"/>
              </w:rPr>
              <w:t>SECTION 7.03.</w:t>
            </w:r>
          </w:p>
        </w:tc>
        <w:tc>
          <w:tcPr>
            <w:tcW w:w="2340" w:type="dxa"/>
            <w:vAlign w:val="bottom"/>
            <w:gridSpan w:val="6"/>
          </w:tcPr>
          <w:p>
            <w:pPr>
              <w:ind w:left="120"/>
              <w:spacing w:after="0"/>
              <w:rPr>
                <w:sz w:val="20"/>
                <w:szCs w:val="20"/>
                <w:color w:val="auto"/>
              </w:rPr>
            </w:pPr>
            <w:r>
              <w:rPr>
                <w:rFonts w:ascii="Arial" w:cs="Arial" w:eastAsia="Arial" w:hAnsi="Arial"/>
                <w:sz w:val="21"/>
                <w:szCs w:val="21"/>
                <w:color w:val="auto"/>
                <w:w w:val="97"/>
              </w:rPr>
              <w:t>Application of Payments</w:t>
            </w:r>
          </w:p>
        </w:tc>
        <w:tc>
          <w:tcPr>
            <w:tcW w:w="740" w:type="dxa"/>
            <w:vAlign w:val="bottom"/>
            <w:gridSpan w:val="2"/>
          </w:tcPr>
          <w:p>
            <w:pPr>
              <w:jc w:val="right"/>
              <w:ind w:right="193"/>
              <w:spacing w:after="0"/>
              <w:rPr>
                <w:sz w:val="20"/>
                <w:szCs w:val="20"/>
                <w:color w:val="auto"/>
              </w:rPr>
            </w:pPr>
            <w:r>
              <w:rPr>
                <w:rFonts w:ascii="Arial" w:cs="Arial" w:eastAsia="Arial" w:hAnsi="Arial"/>
                <w:sz w:val="21"/>
                <w:szCs w:val="21"/>
                <w:color w:val="auto"/>
              </w:rPr>
              <w:t>116</w:t>
            </w:r>
          </w:p>
        </w:tc>
        <w:tc>
          <w:tcPr>
            <w:tcW w:w="1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3640" w:type="dxa"/>
            <w:vAlign w:val="bottom"/>
            <w:gridSpan w:val="4"/>
          </w:tcPr>
          <w:p>
            <w:pPr>
              <w:spacing w:after="0"/>
              <w:rPr>
                <w:sz w:val="20"/>
                <w:szCs w:val="20"/>
                <w:color w:val="auto"/>
              </w:rPr>
            </w:pPr>
            <w:r>
              <w:rPr>
                <w:rFonts w:ascii="Arial" w:cs="Arial" w:eastAsia="Arial" w:hAnsi="Arial"/>
                <w:sz w:val="21"/>
                <w:szCs w:val="21"/>
                <w:color w:val="auto"/>
                <w:w w:val="98"/>
              </w:rPr>
              <w:t>ARTICLE VIII The Administrative Agent</w:t>
            </w:r>
          </w:p>
        </w:tc>
        <w:tc>
          <w:tcPr>
            <w:tcW w:w="560" w:type="dxa"/>
            <w:vAlign w:val="bottom"/>
            <w:gridSpan w:val="2"/>
          </w:tcPr>
          <w:p>
            <w:pPr>
              <w:jc w:val="right"/>
              <w:spacing w:after="0"/>
              <w:rPr>
                <w:sz w:val="20"/>
                <w:szCs w:val="20"/>
                <w:color w:val="auto"/>
              </w:rPr>
            </w:pPr>
            <w:r>
              <w:rPr>
                <w:rFonts w:ascii="Arial" w:cs="Arial" w:eastAsia="Arial" w:hAnsi="Arial"/>
                <w:sz w:val="21"/>
                <w:szCs w:val="21"/>
                <w:color w:val="auto"/>
              </w:rPr>
              <w:t>117</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120" w:type="dxa"/>
            <w:vAlign w:val="bottom"/>
          </w:tcPr>
          <w:p>
            <w:pPr>
              <w:ind w:left="640"/>
              <w:spacing w:after="0"/>
              <w:rPr>
                <w:sz w:val="20"/>
                <w:szCs w:val="20"/>
                <w:color w:val="auto"/>
              </w:rPr>
            </w:pPr>
            <w:r>
              <w:rPr>
                <w:rFonts w:ascii="Arial" w:cs="Arial" w:eastAsia="Arial" w:hAnsi="Arial"/>
                <w:sz w:val="21"/>
                <w:szCs w:val="21"/>
                <w:color w:val="auto"/>
              </w:rPr>
              <w:t>SECTION 8.01.</w:t>
            </w:r>
          </w:p>
        </w:tc>
        <w:tc>
          <w:tcPr>
            <w:tcW w:w="2340" w:type="dxa"/>
            <w:vAlign w:val="bottom"/>
            <w:gridSpan w:val="6"/>
          </w:tcPr>
          <w:p>
            <w:pPr>
              <w:ind w:left="120"/>
              <w:spacing w:after="0"/>
              <w:rPr>
                <w:sz w:val="20"/>
                <w:szCs w:val="20"/>
                <w:color w:val="auto"/>
              </w:rPr>
            </w:pPr>
            <w:r>
              <w:rPr>
                <w:rFonts w:ascii="Arial" w:cs="Arial" w:eastAsia="Arial" w:hAnsi="Arial"/>
                <w:sz w:val="21"/>
                <w:szCs w:val="21"/>
                <w:color w:val="auto"/>
                <w:w w:val="96"/>
              </w:rPr>
              <w:t>Authorization and Action</w:t>
            </w:r>
          </w:p>
        </w:tc>
        <w:tc>
          <w:tcPr>
            <w:tcW w:w="740" w:type="dxa"/>
            <w:vAlign w:val="bottom"/>
            <w:gridSpan w:val="2"/>
          </w:tcPr>
          <w:p>
            <w:pPr>
              <w:jc w:val="right"/>
              <w:ind w:right="133"/>
              <w:spacing w:after="0"/>
              <w:rPr>
                <w:sz w:val="20"/>
                <w:szCs w:val="20"/>
                <w:color w:val="auto"/>
              </w:rPr>
            </w:pPr>
            <w:r>
              <w:rPr>
                <w:rFonts w:ascii="Arial" w:cs="Arial" w:eastAsia="Arial" w:hAnsi="Arial"/>
                <w:sz w:val="21"/>
                <w:szCs w:val="21"/>
                <w:color w:val="auto"/>
              </w:rPr>
              <w:t>117</w:t>
            </w: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120" w:type="dxa"/>
            <w:vAlign w:val="bottom"/>
            <w:gridSpan w:val="11"/>
          </w:tcPr>
          <w:p>
            <w:pPr>
              <w:ind w:left="640"/>
              <w:spacing w:after="0" w:line="215" w:lineRule="exact"/>
              <w:rPr>
                <w:sz w:val="20"/>
                <w:szCs w:val="20"/>
                <w:color w:val="auto"/>
              </w:rPr>
            </w:pPr>
            <w:r>
              <w:rPr>
                <w:rFonts w:ascii="Arial" w:cs="Arial" w:eastAsia="Arial" w:hAnsi="Arial"/>
                <w:sz w:val="21"/>
                <w:szCs w:val="21"/>
                <w:color w:val="auto"/>
                <w:w w:val="97"/>
              </w:rPr>
              <w:t>SECTION 8.02.  Administrative Agent’s Reliance, Limitation of Liability,</w:t>
            </w:r>
          </w:p>
        </w:tc>
        <w:tc>
          <w:tcPr>
            <w:tcW w:w="0" w:type="dxa"/>
            <w:vAlign w:val="bottom"/>
          </w:tcPr>
          <w:p>
            <w:pPr>
              <w:spacing w:after="0"/>
              <w:rPr>
                <w:sz w:val="1"/>
                <w:szCs w:val="1"/>
                <w:color w:val="auto"/>
              </w:rPr>
            </w:pPr>
          </w:p>
        </w:tc>
      </w:tr>
      <w:tr>
        <w:trPr>
          <w:trHeight w:val="214"/>
        </w:trPr>
        <w:tc>
          <w:tcPr>
            <w:tcW w:w="2120" w:type="dxa"/>
            <w:vAlign w:val="bottom"/>
            <w:vMerge w:val="restart"/>
          </w:tcPr>
          <w:p>
            <w:pPr>
              <w:ind w:left="640"/>
              <w:spacing w:after="0"/>
              <w:rPr>
                <w:sz w:val="20"/>
                <w:szCs w:val="20"/>
                <w:color w:val="auto"/>
              </w:rPr>
            </w:pPr>
            <w:r>
              <w:rPr>
                <w:rFonts w:ascii="Arial" w:cs="Arial" w:eastAsia="Arial" w:hAnsi="Arial"/>
                <w:sz w:val="21"/>
                <w:szCs w:val="21"/>
                <w:color w:val="auto"/>
              </w:rPr>
              <w:t>SECTION 8.03.</w:t>
            </w:r>
          </w:p>
        </w:tc>
        <w:tc>
          <w:tcPr>
            <w:tcW w:w="880" w:type="dxa"/>
            <w:vAlign w:val="bottom"/>
          </w:tcPr>
          <w:p>
            <w:pPr>
              <w:ind w:left="440"/>
              <w:spacing w:after="0" w:line="215" w:lineRule="exact"/>
              <w:rPr>
                <w:sz w:val="20"/>
                <w:szCs w:val="20"/>
                <w:color w:val="auto"/>
              </w:rPr>
            </w:pPr>
            <w:r>
              <w:rPr>
                <w:rFonts w:ascii="Arial" w:cs="Arial" w:eastAsia="Arial" w:hAnsi="Arial"/>
                <w:sz w:val="21"/>
                <w:szCs w:val="21"/>
                <w:color w:val="auto"/>
              </w:rPr>
              <w:t>Etc</w:t>
            </w:r>
          </w:p>
        </w:tc>
        <w:tc>
          <w:tcPr>
            <w:tcW w:w="400" w:type="dxa"/>
            <w:vAlign w:val="bottom"/>
          </w:tcPr>
          <w:p>
            <w:pPr>
              <w:jc w:val="right"/>
              <w:spacing w:after="0" w:line="215" w:lineRule="exact"/>
              <w:rPr>
                <w:sz w:val="20"/>
                <w:szCs w:val="20"/>
                <w:color w:val="auto"/>
              </w:rPr>
            </w:pPr>
            <w:r>
              <w:rPr>
                <w:rFonts w:ascii="Arial" w:cs="Arial" w:eastAsia="Arial" w:hAnsi="Arial"/>
                <w:sz w:val="21"/>
                <w:szCs w:val="21"/>
                <w:color w:val="auto"/>
              </w:rPr>
              <w:t>120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Arial" w:cs="Arial" w:eastAsia="Arial" w:hAnsi="Arial"/>
                <w:sz w:val="21"/>
                <w:szCs w:val="21"/>
                <w:color w:val="auto"/>
                <w:w w:val="91"/>
              </w:rPr>
              <w:t>121</w:t>
            </w: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vMerge w:val="continue"/>
          </w:tcPr>
          <w:p>
            <w:pPr>
              <w:spacing w:after="0"/>
              <w:rPr>
                <w:sz w:val="18"/>
                <w:szCs w:val="18"/>
                <w:color w:val="auto"/>
              </w:rPr>
            </w:pPr>
          </w:p>
        </w:tc>
        <w:tc>
          <w:tcPr>
            <w:tcW w:w="2700" w:type="dxa"/>
            <w:vAlign w:val="bottom"/>
            <w:gridSpan w:val="7"/>
          </w:tcPr>
          <w:p>
            <w:pPr>
              <w:ind w:left="120"/>
              <w:spacing w:after="0" w:line="215" w:lineRule="exact"/>
              <w:rPr>
                <w:sz w:val="20"/>
                <w:szCs w:val="20"/>
                <w:color w:val="auto"/>
              </w:rPr>
            </w:pPr>
            <w:r>
              <w:rPr>
                <w:rFonts w:ascii="Arial" w:cs="Arial" w:eastAsia="Arial" w:hAnsi="Arial"/>
                <w:sz w:val="21"/>
                <w:szCs w:val="21"/>
                <w:color w:val="auto"/>
              </w:rPr>
              <w:t>Posting of Communications</w:t>
            </w:r>
          </w:p>
        </w:tc>
        <w:tc>
          <w:tcPr>
            <w:tcW w:w="38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8.04.</w:t>
            </w:r>
          </w:p>
        </w:tc>
        <w:tc>
          <w:tcPr>
            <w:tcW w:w="4540" w:type="dxa"/>
            <w:vAlign w:val="bottom"/>
            <w:gridSpan w:val="9"/>
          </w:tcPr>
          <w:p>
            <w:pPr>
              <w:ind w:left="120"/>
              <w:spacing w:after="0" w:line="215" w:lineRule="exact"/>
              <w:rPr>
                <w:sz w:val="20"/>
                <w:szCs w:val="20"/>
                <w:color w:val="auto"/>
              </w:rPr>
            </w:pPr>
            <w:r>
              <w:rPr>
                <w:rFonts w:ascii="Arial" w:cs="Arial" w:eastAsia="Arial" w:hAnsi="Arial"/>
                <w:sz w:val="21"/>
                <w:szCs w:val="21"/>
                <w:color w:val="auto"/>
              </w:rPr>
              <w:t>The Administrative Agent Individually  122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8.05.</w:t>
            </w:r>
          </w:p>
        </w:tc>
        <w:tc>
          <w:tcPr>
            <w:tcW w:w="3080" w:type="dxa"/>
            <w:vAlign w:val="bottom"/>
            <w:gridSpan w:val="8"/>
          </w:tcPr>
          <w:p>
            <w:pPr>
              <w:ind w:left="120"/>
              <w:spacing w:after="0" w:line="215" w:lineRule="exact"/>
              <w:rPr>
                <w:sz w:val="20"/>
                <w:szCs w:val="20"/>
                <w:color w:val="auto"/>
              </w:rPr>
            </w:pPr>
            <w:r>
              <w:rPr>
                <w:rFonts w:ascii="Arial" w:cs="Arial" w:eastAsia="Arial" w:hAnsi="Arial"/>
                <w:sz w:val="21"/>
                <w:szCs w:val="21"/>
                <w:color w:val="auto"/>
                <w:w w:val="99"/>
              </w:rPr>
              <w:t>Successor Administrative Agent</w:t>
            </w:r>
          </w:p>
        </w:tc>
        <w:tc>
          <w:tcPr>
            <w:tcW w:w="1460" w:type="dxa"/>
            <w:vAlign w:val="bottom"/>
          </w:tcPr>
          <w:p>
            <w:pPr>
              <w:jc w:val="right"/>
              <w:ind w:right="993"/>
              <w:spacing w:after="0" w:line="215" w:lineRule="exact"/>
              <w:rPr>
                <w:sz w:val="20"/>
                <w:szCs w:val="20"/>
                <w:color w:val="auto"/>
              </w:rPr>
            </w:pPr>
            <w:r>
              <w:rPr>
                <w:rFonts w:ascii="Arial" w:cs="Arial" w:eastAsia="Arial" w:hAnsi="Arial"/>
                <w:sz w:val="21"/>
                <w:szCs w:val="21"/>
                <w:color w:val="auto"/>
                <w:w w:val="96"/>
              </w:rPr>
              <w:t>123</w:t>
            </w:r>
          </w:p>
        </w:tc>
        <w:tc>
          <w:tcPr>
            <w:tcW w:w="460" w:type="dxa"/>
            <w:vAlign w:val="bottom"/>
            <w:vMerge w:val="restart"/>
          </w:tcPr>
          <w:p>
            <w:pPr>
              <w:jc w:val="right"/>
              <w:ind w:right="33"/>
              <w:spacing w:after="0"/>
              <w:rPr>
                <w:sz w:val="20"/>
                <w:szCs w:val="20"/>
                <w:color w:val="auto"/>
              </w:rPr>
            </w:pPr>
            <w:r>
              <w:rPr>
                <w:rFonts w:ascii="Arial" w:cs="Arial" w:eastAsia="Arial" w:hAnsi="Arial"/>
                <w:sz w:val="21"/>
                <w:szCs w:val="21"/>
                <w:color w:val="auto"/>
                <w:w w:val="85"/>
              </w:rPr>
              <w:t>124</w:t>
            </w: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8.06.</w:t>
            </w:r>
          </w:p>
        </w:tc>
        <w:tc>
          <w:tcPr>
            <w:tcW w:w="4540" w:type="dxa"/>
            <w:vAlign w:val="bottom"/>
            <w:gridSpan w:val="9"/>
          </w:tcPr>
          <w:p>
            <w:pPr>
              <w:ind w:left="120"/>
              <w:spacing w:after="0" w:line="215" w:lineRule="exact"/>
              <w:rPr>
                <w:sz w:val="20"/>
                <w:szCs w:val="20"/>
                <w:color w:val="auto"/>
              </w:rPr>
            </w:pPr>
            <w:r>
              <w:rPr>
                <w:rFonts w:ascii="Arial" w:cs="Arial" w:eastAsia="Arial" w:hAnsi="Arial"/>
                <w:sz w:val="21"/>
                <w:szCs w:val="21"/>
                <w:color w:val="auto"/>
                <w:w w:val="97"/>
              </w:rPr>
              <w:t>Acknowledgments of Lenders and Issuing Banks</w:t>
            </w: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8.07.</w:t>
            </w:r>
          </w:p>
        </w:tc>
        <w:tc>
          <w:tcPr>
            <w:tcW w:w="1820" w:type="dxa"/>
            <w:vAlign w:val="bottom"/>
            <w:gridSpan w:val="4"/>
          </w:tcPr>
          <w:p>
            <w:pPr>
              <w:ind w:left="120"/>
              <w:spacing w:after="0" w:line="215" w:lineRule="exact"/>
              <w:rPr>
                <w:sz w:val="20"/>
                <w:szCs w:val="20"/>
                <w:color w:val="auto"/>
              </w:rPr>
            </w:pPr>
            <w:r>
              <w:rPr>
                <w:rFonts w:ascii="Arial" w:cs="Arial" w:eastAsia="Arial" w:hAnsi="Arial"/>
                <w:sz w:val="21"/>
                <w:szCs w:val="21"/>
                <w:color w:val="auto"/>
              </w:rPr>
              <w:t>Collateral Matters</w:t>
            </w:r>
          </w:p>
        </w:tc>
        <w:tc>
          <w:tcPr>
            <w:tcW w:w="520" w:type="dxa"/>
            <w:vAlign w:val="bottom"/>
            <w:gridSpan w:val="2"/>
          </w:tcPr>
          <w:p>
            <w:pPr>
              <w:jc w:val="right"/>
              <w:ind w:right="33"/>
              <w:spacing w:after="0" w:line="215" w:lineRule="exact"/>
              <w:rPr>
                <w:sz w:val="20"/>
                <w:szCs w:val="20"/>
                <w:color w:val="auto"/>
              </w:rPr>
            </w:pPr>
            <w:r>
              <w:rPr>
                <w:rFonts w:ascii="Arial" w:cs="Arial" w:eastAsia="Arial" w:hAnsi="Arial"/>
                <w:sz w:val="21"/>
                <w:szCs w:val="21"/>
                <w:color w:val="auto"/>
              </w:rPr>
              <w:t>125</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8.08.</w:t>
            </w:r>
          </w:p>
        </w:tc>
        <w:tc>
          <w:tcPr>
            <w:tcW w:w="1520" w:type="dxa"/>
            <w:vAlign w:val="bottom"/>
            <w:gridSpan w:val="3"/>
          </w:tcPr>
          <w:p>
            <w:pPr>
              <w:ind w:left="120"/>
              <w:spacing w:after="0" w:line="215" w:lineRule="exact"/>
              <w:rPr>
                <w:sz w:val="20"/>
                <w:szCs w:val="20"/>
                <w:color w:val="auto"/>
              </w:rPr>
            </w:pPr>
            <w:r>
              <w:rPr>
                <w:rFonts w:ascii="Arial" w:cs="Arial" w:eastAsia="Arial" w:hAnsi="Arial"/>
                <w:sz w:val="21"/>
                <w:szCs w:val="21"/>
                <w:color w:val="auto"/>
              </w:rPr>
              <w:t>Credit Bidding</w:t>
            </w:r>
          </w:p>
        </w:tc>
        <w:tc>
          <w:tcPr>
            <w:tcW w:w="560" w:type="dxa"/>
            <w:vAlign w:val="bottom"/>
            <w:gridSpan w:val="2"/>
          </w:tcPr>
          <w:p>
            <w:pPr>
              <w:jc w:val="right"/>
              <w:ind w:right="33"/>
              <w:spacing w:after="0" w:line="215" w:lineRule="exact"/>
              <w:rPr>
                <w:sz w:val="20"/>
                <w:szCs w:val="20"/>
                <w:color w:val="auto"/>
              </w:rPr>
            </w:pPr>
            <w:r>
              <w:rPr>
                <w:rFonts w:ascii="Arial" w:cs="Arial" w:eastAsia="Arial" w:hAnsi="Arial"/>
                <w:sz w:val="21"/>
                <w:szCs w:val="21"/>
                <w:color w:val="auto"/>
              </w:rPr>
              <w:t>126</w:t>
            </w:r>
          </w:p>
        </w:tc>
        <w:tc>
          <w:tcPr>
            <w:tcW w:w="260" w:type="dxa"/>
            <w:vAlign w:val="bottom"/>
          </w:tcPr>
          <w:p>
            <w:pPr>
              <w:spacing w:after="0"/>
              <w:rPr>
                <w:sz w:val="18"/>
                <w:szCs w:val="18"/>
                <w:color w:val="auto"/>
              </w:rPr>
            </w:pPr>
          </w:p>
        </w:tc>
        <w:tc>
          <w:tcPr>
            <w:tcW w:w="360" w:type="dxa"/>
            <w:vAlign w:val="bottom"/>
            <w:vMerge w:val="restart"/>
          </w:tcPr>
          <w:p>
            <w:pPr>
              <w:jc w:val="right"/>
              <w:spacing w:after="0"/>
              <w:rPr>
                <w:sz w:val="20"/>
                <w:szCs w:val="20"/>
                <w:color w:val="auto"/>
              </w:rPr>
            </w:pPr>
            <w:r>
              <w:rPr>
                <w:rFonts w:ascii="Arial" w:cs="Arial" w:eastAsia="Arial" w:hAnsi="Arial"/>
                <w:sz w:val="21"/>
                <w:szCs w:val="21"/>
                <w:color w:val="auto"/>
                <w:w w:val="85"/>
              </w:rPr>
              <w:t>127</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120" w:type="dxa"/>
            <w:vAlign w:val="bottom"/>
          </w:tcPr>
          <w:p>
            <w:pPr>
              <w:ind w:left="640"/>
              <w:spacing w:after="0"/>
              <w:rPr>
                <w:sz w:val="20"/>
                <w:szCs w:val="20"/>
                <w:color w:val="auto"/>
              </w:rPr>
            </w:pPr>
            <w:r>
              <w:rPr>
                <w:rFonts w:ascii="Arial" w:cs="Arial" w:eastAsia="Arial" w:hAnsi="Arial"/>
                <w:sz w:val="21"/>
                <w:szCs w:val="21"/>
                <w:color w:val="auto"/>
              </w:rPr>
              <w:t>SECTION 8.09.</w:t>
            </w:r>
          </w:p>
        </w:tc>
        <w:tc>
          <w:tcPr>
            <w:tcW w:w="2340" w:type="dxa"/>
            <w:vAlign w:val="bottom"/>
            <w:gridSpan w:val="6"/>
          </w:tcPr>
          <w:p>
            <w:pPr>
              <w:ind w:left="120"/>
              <w:spacing w:after="0"/>
              <w:rPr>
                <w:sz w:val="20"/>
                <w:szCs w:val="20"/>
                <w:color w:val="auto"/>
              </w:rPr>
            </w:pPr>
            <w:r>
              <w:rPr>
                <w:rFonts w:ascii="Arial" w:cs="Arial" w:eastAsia="Arial" w:hAnsi="Arial"/>
                <w:sz w:val="21"/>
                <w:szCs w:val="21"/>
                <w:color w:val="auto"/>
              </w:rPr>
              <w:t>Certain ERISA Matters</w:t>
            </w:r>
          </w:p>
        </w:tc>
        <w:tc>
          <w:tcPr>
            <w:tcW w:w="36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3000" w:type="dxa"/>
            <w:vAlign w:val="bottom"/>
            <w:gridSpan w:val="2"/>
          </w:tcPr>
          <w:p>
            <w:pPr>
              <w:spacing w:after="0"/>
              <w:rPr>
                <w:sz w:val="20"/>
                <w:szCs w:val="20"/>
                <w:color w:val="auto"/>
              </w:rPr>
            </w:pPr>
            <w:r>
              <w:rPr>
                <w:rFonts w:ascii="Arial" w:cs="Arial" w:eastAsia="Arial" w:hAnsi="Arial"/>
                <w:sz w:val="21"/>
                <w:szCs w:val="21"/>
                <w:color w:val="auto"/>
                <w:w w:val="99"/>
              </w:rPr>
              <w:t>ARTICLE IX Miscellaneous  128</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120" w:type="dxa"/>
            <w:vAlign w:val="bottom"/>
          </w:tcPr>
          <w:p>
            <w:pPr>
              <w:ind w:left="640"/>
              <w:spacing w:after="0"/>
              <w:rPr>
                <w:sz w:val="20"/>
                <w:szCs w:val="20"/>
                <w:color w:val="auto"/>
              </w:rPr>
            </w:pPr>
            <w:r>
              <w:rPr>
                <w:rFonts w:ascii="Arial" w:cs="Arial" w:eastAsia="Arial" w:hAnsi="Arial"/>
                <w:sz w:val="21"/>
                <w:szCs w:val="21"/>
                <w:color w:val="auto"/>
              </w:rPr>
              <w:t>SECTION 9.01.</w:t>
            </w:r>
          </w:p>
        </w:tc>
        <w:tc>
          <w:tcPr>
            <w:tcW w:w="880" w:type="dxa"/>
            <w:vAlign w:val="bottom"/>
          </w:tcPr>
          <w:p>
            <w:pPr>
              <w:ind w:left="120"/>
              <w:spacing w:after="0"/>
              <w:rPr>
                <w:sz w:val="20"/>
                <w:szCs w:val="20"/>
                <w:color w:val="auto"/>
              </w:rPr>
            </w:pPr>
            <w:r>
              <w:rPr>
                <w:rFonts w:ascii="Arial" w:cs="Arial" w:eastAsia="Arial" w:hAnsi="Arial"/>
                <w:sz w:val="21"/>
                <w:szCs w:val="21"/>
                <w:color w:val="auto"/>
              </w:rPr>
              <w:t>Notices</w:t>
            </w:r>
          </w:p>
        </w:tc>
        <w:tc>
          <w:tcPr>
            <w:tcW w:w="640" w:type="dxa"/>
            <w:vAlign w:val="bottom"/>
            <w:gridSpan w:val="2"/>
          </w:tcPr>
          <w:p>
            <w:pPr>
              <w:jc w:val="right"/>
              <w:ind w:right="113"/>
              <w:spacing w:after="0"/>
              <w:rPr>
                <w:sz w:val="20"/>
                <w:szCs w:val="20"/>
                <w:color w:val="auto"/>
              </w:rPr>
            </w:pPr>
            <w:r>
              <w:rPr>
                <w:rFonts w:ascii="Arial" w:cs="Arial" w:eastAsia="Arial" w:hAnsi="Arial"/>
                <w:sz w:val="21"/>
                <w:szCs w:val="21"/>
                <w:color w:val="auto"/>
              </w:rPr>
              <w:t>128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21"/>
                <w:szCs w:val="21"/>
                <w:color w:val="auto"/>
              </w:rPr>
              <w:t>130</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9.02.</w:t>
            </w:r>
          </w:p>
        </w:tc>
        <w:tc>
          <w:tcPr>
            <w:tcW w:w="2080" w:type="dxa"/>
            <w:vAlign w:val="bottom"/>
            <w:gridSpan w:val="5"/>
          </w:tcPr>
          <w:p>
            <w:pPr>
              <w:ind w:left="120"/>
              <w:spacing w:after="0" w:line="215" w:lineRule="exact"/>
              <w:rPr>
                <w:sz w:val="20"/>
                <w:szCs w:val="20"/>
                <w:color w:val="auto"/>
              </w:rPr>
            </w:pPr>
            <w:r>
              <w:rPr>
                <w:rFonts w:ascii="Arial" w:cs="Arial" w:eastAsia="Arial" w:hAnsi="Arial"/>
                <w:sz w:val="21"/>
                <w:szCs w:val="21"/>
                <w:color w:val="auto"/>
                <w:w w:val="91"/>
              </w:rPr>
              <w:t>Waivers; Amendments</w:t>
            </w:r>
          </w:p>
        </w:tc>
        <w:tc>
          <w:tcPr>
            <w:tcW w:w="6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vMerge w:val="restart"/>
          </w:tcPr>
          <w:p>
            <w:pPr>
              <w:jc w:val="right"/>
              <w:ind w:right="13"/>
              <w:spacing w:after="0"/>
              <w:rPr>
                <w:sz w:val="20"/>
                <w:szCs w:val="20"/>
                <w:color w:val="auto"/>
              </w:rPr>
            </w:pPr>
            <w:r>
              <w:rPr>
                <w:rFonts w:ascii="Arial" w:cs="Arial" w:eastAsia="Arial" w:hAnsi="Arial"/>
                <w:sz w:val="21"/>
                <w:szCs w:val="21"/>
                <w:color w:val="auto"/>
                <w:w w:val="91"/>
              </w:rPr>
              <w:t>132</w:t>
            </w: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9.03.</w:t>
            </w:r>
          </w:p>
        </w:tc>
        <w:tc>
          <w:tcPr>
            <w:tcW w:w="4540" w:type="dxa"/>
            <w:vAlign w:val="bottom"/>
            <w:gridSpan w:val="9"/>
          </w:tcPr>
          <w:p>
            <w:pPr>
              <w:ind w:left="120"/>
              <w:spacing w:after="0" w:line="215" w:lineRule="exact"/>
              <w:rPr>
                <w:sz w:val="20"/>
                <w:szCs w:val="20"/>
                <w:color w:val="auto"/>
              </w:rPr>
            </w:pPr>
            <w:r>
              <w:rPr>
                <w:rFonts w:ascii="Arial" w:cs="Arial" w:eastAsia="Arial" w:hAnsi="Arial"/>
                <w:sz w:val="21"/>
                <w:szCs w:val="21"/>
                <w:color w:val="auto"/>
              </w:rPr>
              <w:t>Expenses; Limitation of Liability; Indemnity, Etc</w:t>
            </w: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9.04.</w:t>
            </w:r>
          </w:p>
        </w:tc>
        <w:tc>
          <w:tcPr>
            <w:tcW w:w="2340" w:type="dxa"/>
            <w:vAlign w:val="bottom"/>
            <w:gridSpan w:val="6"/>
          </w:tcPr>
          <w:p>
            <w:pPr>
              <w:ind w:left="120"/>
              <w:spacing w:after="0" w:line="215" w:lineRule="exact"/>
              <w:rPr>
                <w:sz w:val="20"/>
                <w:szCs w:val="20"/>
                <w:color w:val="auto"/>
              </w:rPr>
            </w:pPr>
            <w:r>
              <w:rPr>
                <w:rFonts w:ascii="Arial" w:cs="Arial" w:eastAsia="Arial" w:hAnsi="Arial"/>
                <w:sz w:val="21"/>
                <w:szCs w:val="21"/>
                <w:color w:val="auto"/>
                <w:w w:val="96"/>
              </w:rPr>
              <w:t>Successors and Assigns</w:t>
            </w:r>
          </w:p>
        </w:tc>
        <w:tc>
          <w:tcPr>
            <w:tcW w:w="360" w:type="dxa"/>
            <w:vAlign w:val="bottom"/>
          </w:tcPr>
          <w:p>
            <w:pPr>
              <w:jc w:val="right"/>
              <w:spacing w:after="0" w:line="215" w:lineRule="exact"/>
              <w:rPr>
                <w:sz w:val="20"/>
                <w:szCs w:val="20"/>
                <w:color w:val="auto"/>
              </w:rPr>
            </w:pPr>
            <w:r>
              <w:rPr>
                <w:rFonts w:ascii="Arial" w:cs="Arial" w:eastAsia="Arial" w:hAnsi="Arial"/>
                <w:sz w:val="21"/>
                <w:szCs w:val="21"/>
                <w:color w:val="auto"/>
                <w:w w:val="96"/>
              </w:rPr>
              <w:t>134</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tcPr>
          <w:p>
            <w:pPr>
              <w:ind w:left="640"/>
              <w:spacing w:after="0" w:line="215" w:lineRule="exact"/>
              <w:rPr>
                <w:sz w:val="20"/>
                <w:szCs w:val="20"/>
                <w:color w:val="auto"/>
              </w:rPr>
            </w:pPr>
            <w:r>
              <w:rPr>
                <w:rFonts w:ascii="Arial" w:cs="Arial" w:eastAsia="Arial" w:hAnsi="Arial"/>
                <w:sz w:val="21"/>
                <w:szCs w:val="21"/>
                <w:color w:val="auto"/>
              </w:rPr>
              <w:t>SECTION 9.05.</w:t>
            </w:r>
          </w:p>
        </w:tc>
        <w:tc>
          <w:tcPr>
            <w:tcW w:w="880" w:type="dxa"/>
            <w:vAlign w:val="bottom"/>
          </w:tcPr>
          <w:p>
            <w:pPr>
              <w:ind w:left="120"/>
              <w:spacing w:after="0" w:line="215" w:lineRule="exact"/>
              <w:rPr>
                <w:sz w:val="20"/>
                <w:szCs w:val="20"/>
                <w:color w:val="auto"/>
              </w:rPr>
            </w:pPr>
            <w:r>
              <w:rPr>
                <w:rFonts w:ascii="Arial" w:cs="Arial" w:eastAsia="Arial" w:hAnsi="Arial"/>
                <w:sz w:val="21"/>
                <w:szCs w:val="21"/>
                <w:color w:val="auto"/>
                <w:w w:val="99"/>
              </w:rPr>
              <w:t>Survival</w:t>
            </w:r>
          </w:p>
        </w:tc>
        <w:tc>
          <w:tcPr>
            <w:tcW w:w="640" w:type="dxa"/>
            <w:vAlign w:val="bottom"/>
            <w:gridSpan w:val="2"/>
          </w:tcPr>
          <w:p>
            <w:pPr>
              <w:jc w:val="right"/>
              <w:ind w:right="33"/>
              <w:spacing w:after="0" w:line="215" w:lineRule="exact"/>
              <w:rPr>
                <w:sz w:val="20"/>
                <w:szCs w:val="20"/>
                <w:color w:val="auto"/>
              </w:rPr>
            </w:pPr>
            <w:r>
              <w:rPr>
                <w:rFonts w:ascii="Arial" w:cs="Arial" w:eastAsia="Arial" w:hAnsi="Arial"/>
                <w:sz w:val="21"/>
                <w:szCs w:val="21"/>
                <w:color w:val="auto"/>
              </w:rPr>
              <w:t>138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60" w:type="dxa"/>
            <w:vAlign w:val="bottom"/>
            <w:gridSpan w:val="10"/>
          </w:tcPr>
          <w:p>
            <w:pPr>
              <w:ind w:left="640"/>
              <w:spacing w:after="0" w:line="215" w:lineRule="exact"/>
              <w:rPr>
                <w:sz w:val="20"/>
                <w:szCs w:val="20"/>
                <w:color w:val="auto"/>
              </w:rPr>
            </w:pPr>
            <w:r>
              <w:rPr>
                <w:rFonts w:ascii="Arial" w:cs="Arial" w:eastAsia="Arial" w:hAnsi="Arial"/>
                <w:sz w:val="21"/>
                <w:szCs w:val="21"/>
                <w:color w:val="auto"/>
                <w:w w:val="95"/>
              </w:rPr>
              <w:t>SECTION 9.06.  Counterparts; Integration; Effectiveness; Electronic</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120" w:type="dxa"/>
            <w:vAlign w:val="bottom"/>
          </w:tcPr>
          <w:p>
            <w:pPr>
              <w:spacing w:after="0"/>
              <w:rPr>
                <w:sz w:val="23"/>
                <w:szCs w:val="23"/>
                <w:color w:val="auto"/>
              </w:rPr>
            </w:pPr>
          </w:p>
        </w:tc>
        <w:tc>
          <w:tcPr>
            <w:tcW w:w="1520" w:type="dxa"/>
            <w:vAlign w:val="bottom"/>
            <w:gridSpan w:val="3"/>
          </w:tcPr>
          <w:p>
            <w:pPr>
              <w:ind w:left="440"/>
              <w:spacing w:after="0"/>
              <w:rPr>
                <w:sz w:val="20"/>
                <w:szCs w:val="20"/>
                <w:color w:val="auto"/>
              </w:rPr>
            </w:pPr>
            <w:r>
              <w:rPr>
                <w:rFonts w:ascii="Arial" w:cs="Arial" w:eastAsia="Arial" w:hAnsi="Arial"/>
                <w:sz w:val="21"/>
                <w:szCs w:val="21"/>
                <w:color w:val="auto"/>
              </w:rPr>
              <w:t>Execution</w:t>
            </w:r>
          </w:p>
        </w:tc>
        <w:tc>
          <w:tcPr>
            <w:tcW w:w="560" w:type="dxa"/>
            <w:vAlign w:val="bottom"/>
            <w:gridSpan w:val="2"/>
          </w:tcPr>
          <w:p>
            <w:pPr>
              <w:jc w:val="right"/>
              <w:ind w:right="113"/>
              <w:spacing w:after="0"/>
              <w:rPr>
                <w:sz w:val="20"/>
                <w:szCs w:val="20"/>
                <w:color w:val="auto"/>
              </w:rPr>
            </w:pPr>
            <w:r>
              <w:rPr>
                <w:rFonts w:ascii="Arial" w:cs="Arial" w:eastAsia="Arial" w:hAnsi="Arial"/>
                <w:sz w:val="21"/>
                <w:szCs w:val="21"/>
                <w:color w:val="auto"/>
                <w:w w:val="91"/>
              </w:rPr>
              <w:t>138</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999"/>
          </w:cols>
          <w:pgMar w:left="460" w:top="1440" w:right="1440" w:bottom="1440" w:gutter="0" w:footer="0" w:header="0"/>
        </w:sectPr>
      </w:pPr>
    </w:p>
    <w:bookmarkStart w:id="88" w:name="page89"/>
    <w:bookmarkEnd w:id="88"/>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0" w:type="dxa"/>
            <w:vAlign w:val="bottom"/>
          </w:tcPr>
          <w:p>
            <w:pPr>
              <w:spacing w:after="0"/>
              <w:rPr>
                <w:sz w:val="21"/>
                <w:szCs w:val="21"/>
                <w:color w:val="auto"/>
              </w:rPr>
            </w:pPr>
          </w:p>
        </w:tc>
        <w:tc>
          <w:tcPr>
            <w:tcW w:w="1420" w:type="dxa"/>
            <w:vAlign w:val="bottom"/>
            <w:gridSpan w:val="2"/>
          </w:tcPr>
          <w:p>
            <w:pPr>
              <w:spacing w:after="0"/>
              <w:rPr>
                <w:sz w:val="20"/>
                <w:szCs w:val="20"/>
                <w:color w:val="auto"/>
              </w:rPr>
            </w:pPr>
            <w:r>
              <w:rPr>
                <w:rFonts w:ascii="Arial" w:cs="Arial" w:eastAsia="Arial" w:hAnsi="Arial"/>
                <w:sz w:val="21"/>
                <w:szCs w:val="21"/>
                <w:color w:val="auto"/>
                <w:w w:val="95"/>
              </w:rPr>
              <w:t>SECTION 9.07.</w:t>
            </w:r>
          </w:p>
        </w:tc>
        <w:tc>
          <w:tcPr>
            <w:tcW w:w="100" w:type="dxa"/>
            <w:vAlign w:val="bottom"/>
          </w:tcPr>
          <w:p>
            <w:pPr>
              <w:spacing w:after="0"/>
              <w:rPr>
                <w:sz w:val="21"/>
                <w:szCs w:val="21"/>
                <w:color w:val="auto"/>
              </w:rPr>
            </w:pPr>
          </w:p>
        </w:tc>
        <w:tc>
          <w:tcPr>
            <w:tcW w:w="2240" w:type="dxa"/>
            <w:vAlign w:val="bottom"/>
            <w:gridSpan w:val="3"/>
          </w:tcPr>
          <w:p>
            <w:pPr>
              <w:ind w:left="80"/>
              <w:spacing w:after="0"/>
              <w:rPr>
                <w:sz w:val="20"/>
                <w:szCs w:val="20"/>
                <w:color w:val="auto"/>
              </w:rPr>
            </w:pPr>
            <w:r>
              <w:rPr>
                <w:rFonts w:ascii="Arial" w:cs="Arial" w:eastAsia="Arial" w:hAnsi="Arial"/>
                <w:sz w:val="21"/>
                <w:szCs w:val="21"/>
                <w:color w:val="auto"/>
              </w:rPr>
              <w:t>Severability  139</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w w:val="95"/>
              </w:rPr>
              <w:t>SECTION 9.08.</w:t>
            </w:r>
          </w:p>
        </w:tc>
        <w:tc>
          <w:tcPr>
            <w:tcW w:w="100" w:type="dxa"/>
            <w:vAlign w:val="bottom"/>
          </w:tcPr>
          <w:p>
            <w:pPr>
              <w:spacing w:after="0"/>
              <w:rPr>
                <w:sz w:val="18"/>
                <w:szCs w:val="18"/>
                <w:color w:val="auto"/>
              </w:rPr>
            </w:pPr>
          </w:p>
        </w:tc>
        <w:tc>
          <w:tcPr>
            <w:tcW w:w="1580" w:type="dxa"/>
            <w:vAlign w:val="bottom"/>
            <w:gridSpan w:val="2"/>
          </w:tcPr>
          <w:p>
            <w:pPr>
              <w:ind w:left="80"/>
              <w:spacing w:after="0" w:line="215" w:lineRule="exact"/>
              <w:rPr>
                <w:sz w:val="20"/>
                <w:szCs w:val="20"/>
                <w:color w:val="auto"/>
              </w:rPr>
            </w:pPr>
            <w:r>
              <w:rPr>
                <w:rFonts w:ascii="Arial" w:cs="Arial" w:eastAsia="Arial" w:hAnsi="Arial"/>
                <w:sz w:val="21"/>
                <w:szCs w:val="21"/>
                <w:color w:val="auto"/>
              </w:rPr>
              <w:t>Right of Setoff</w:t>
            </w:r>
          </w:p>
        </w:tc>
        <w:tc>
          <w:tcPr>
            <w:tcW w:w="660" w:type="dxa"/>
            <w:vAlign w:val="bottom"/>
          </w:tcPr>
          <w:p>
            <w:pPr>
              <w:jc w:val="right"/>
              <w:ind w:right="233"/>
              <w:spacing w:after="0" w:line="215" w:lineRule="exact"/>
              <w:rPr>
                <w:sz w:val="20"/>
                <w:szCs w:val="20"/>
                <w:color w:val="auto"/>
              </w:rPr>
            </w:pPr>
            <w:r>
              <w:rPr>
                <w:rFonts w:ascii="Arial" w:cs="Arial" w:eastAsia="Arial" w:hAnsi="Arial"/>
                <w:sz w:val="21"/>
                <w:szCs w:val="21"/>
                <w:color w:val="auto"/>
                <w:w w:val="85"/>
              </w:rPr>
              <w:t>139</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w w:val="95"/>
              </w:rPr>
              <w:t>SECTION 9.09.</w:t>
            </w:r>
          </w:p>
        </w:tc>
        <w:tc>
          <w:tcPr>
            <w:tcW w:w="100" w:type="dxa"/>
            <w:vAlign w:val="bottom"/>
          </w:tcPr>
          <w:p>
            <w:pPr>
              <w:spacing w:after="0"/>
              <w:rPr>
                <w:sz w:val="18"/>
                <w:szCs w:val="18"/>
                <w:color w:val="auto"/>
              </w:rPr>
            </w:pPr>
          </w:p>
        </w:tc>
        <w:tc>
          <w:tcPr>
            <w:tcW w:w="7260" w:type="dxa"/>
            <w:vAlign w:val="bottom"/>
            <w:gridSpan w:val="8"/>
          </w:tcPr>
          <w:p>
            <w:pPr>
              <w:ind w:left="80"/>
              <w:spacing w:after="0" w:line="215" w:lineRule="exact"/>
              <w:rPr>
                <w:sz w:val="20"/>
                <w:szCs w:val="20"/>
                <w:color w:val="auto"/>
              </w:rPr>
            </w:pPr>
            <w:r>
              <w:rPr>
                <w:rFonts w:ascii="Arial" w:cs="Arial" w:eastAsia="Arial" w:hAnsi="Arial"/>
                <w:sz w:val="21"/>
                <w:szCs w:val="21"/>
                <w:color w:val="auto"/>
              </w:rPr>
              <w:t>Governing Law; Jurisdiction; Consent to Service of Process  140</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w w:val="95"/>
              </w:rPr>
              <w:t>SECTION 9.10.</w:t>
            </w:r>
          </w:p>
        </w:tc>
        <w:tc>
          <w:tcPr>
            <w:tcW w:w="100" w:type="dxa"/>
            <w:vAlign w:val="bottom"/>
          </w:tcPr>
          <w:p>
            <w:pPr>
              <w:spacing w:after="0"/>
              <w:rPr>
                <w:sz w:val="18"/>
                <w:szCs w:val="18"/>
                <w:color w:val="auto"/>
              </w:rPr>
            </w:pPr>
          </w:p>
        </w:tc>
        <w:tc>
          <w:tcPr>
            <w:tcW w:w="2660" w:type="dxa"/>
            <w:vAlign w:val="bottom"/>
            <w:gridSpan w:val="4"/>
          </w:tcPr>
          <w:p>
            <w:pPr>
              <w:ind w:left="80"/>
              <w:spacing w:after="0" w:line="215" w:lineRule="exact"/>
              <w:rPr>
                <w:sz w:val="20"/>
                <w:szCs w:val="20"/>
                <w:color w:val="auto"/>
              </w:rPr>
            </w:pPr>
            <w:r>
              <w:rPr>
                <w:rFonts w:ascii="Arial" w:cs="Arial" w:eastAsia="Arial" w:hAnsi="Arial"/>
                <w:sz w:val="21"/>
                <w:szCs w:val="21"/>
                <w:color w:val="auto"/>
              </w:rPr>
              <w:t>WAIVER OF JURY TRIAL</w:t>
            </w:r>
          </w:p>
        </w:tc>
        <w:tc>
          <w:tcPr>
            <w:tcW w:w="420" w:type="dxa"/>
            <w:vAlign w:val="bottom"/>
          </w:tcPr>
          <w:p>
            <w:pPr>
              <w:jc w:val="right"/>
              <w:spacing w:after="0" w:line="215" w:lineRule="exact"/>
              <w:rPr>
                <w:sz w:val="20"/>
                <w:szCs w:val="20"/>
                <w:color w:val="auto"/>
              </w:rPr>
            </w:pPr>
            <w:r>
              <w:rPr>
                <w:rFonts w:ascii="Arial" w:cs="Arial" w:eastAsia="Arial" w:hAnsi="Arial"/>
                <w:sz w:val="21"/>
                <w:szCs w:val="21"/>
                <w:color w:val="auto"/>
              </w:rPr>
              <w:t>141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w w:val="95"/>
              </w:rPr>
              <w:t>SECTION 9.11.</w:t>
            </w:r>
          </w:p>
        </w:tc>
        <w:tc>
          <w:tcPr>
            <w:tcW w:w="100" w:type="dxa"/>
            <w:vAlign w:val="bottom"/>
          </w:tcPr>
          <w:p>
            <w:pPr>
              <w:spacing w:after="0"/>
              <w:rPr>
                <w:sz w:val="18"/>
                <w:szCs w:val="18"/>
                <w:color w:val="auto"/>
              </w:rPr>
            </w:pPr>
          </w:p>
        </w:tc>
        <w:tc>
          <w:tcPr>
            <w:tcW w:w="1580" w:type="dxa"/>
            <w:vAlign w:val="bottom"/>
            <w:gridSpan w:val="2"/>
          </w:tcPr>
          <w:p>
            <w:pPr>
              <w:ind w:left="80"/>
              <w:spacing w:after="0" w:line="215" w:lineRule="exact"/>
              <w:rPr>
                <w:sz w:val="20"/>
                <w:szCs w:val="20"/>
                <w:color w:val="auto"/>
              </w:rPr>
            </w:pPr>
            <w:r>
              <w:rPr>
                <w:rFonts w:ascii="Arial" w:cs="Arial" w:eastAsia="Arial" w:hAnsi="Arial"/>
                <w:sz w:val="21"/>
                <w:szCs w:val="21"/>
                <w:color w:val="auto"/>
              </w:rPr>
              <w:t>Headings  141</w:t>
            </w:r>
          </w:p>
        </w:tc>
        <w:tc>
          <w:tcPr>
            <w:tcW w:w="660" w:type="dxa"/>
            <w:vAlign w:val="bottom"/>
            <w:vMerge w:val="restart"/>
          </w:tcPr>
          <w:p>
            <w:pPr>
              <w:jc w:val="right"/>
              <w:ind w:right="213"/>
              <w:spacing w:after="0"/>
              <w:rPr>
                <w:sz w:val="20"/>
                <w:szCs w:val="20"/>
                <w:color w:val="auto"/>
              </w:rPr>
            </w:pPr>
            <w:r>
              <w:rPr>
                <w:rFonts w:ascii="Arial" w:cs="Arial" w:eastAsia="Arial" w:hAnsi="Arial"/>
                <w:sz w:val="21"/>
                <w:szCs w:val="21"/>
                <w:color w:val="auto"/>
                <w:w w:val="91"/>
              </w:rPr>
              <w:t>141</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w w:val="95"/>
              </w:rPr>
              <w:t>SECTION 9.12.</w:t>
            </w:r>
          </w:p>
        </w:tc>
        <w:tc>
          <w:tcPr>
            <w:tcW w:w="100" w:type="dxa"/>
            <w:vAlign w:val="bottom"/>
          </w:tcPr>
          <w:p>
            <w:pPr>
              <w:spacing w:after="0"/>
              <w:rPr>
                <w:sz w:val="18"/>
                <w:szCs w:val="18"/>
                <w:color w:val="auto"/>
              </w:rPr>
            </w:pPr>
          </w:p>
        </w:tc>
        <w:tc>
          <w:tcPr>
            <w:tcW w:w="1580" w:type="dxa"/>
            <w:vAlign w:val="bottom"/>
            <w:gridSpan w:val="2"/>
          </w:tcPr>
          <w:p>
            <w:pPr>
              <w:ind w:left="80"/>
              <w:spacing w:after="0" w:line="215" w:lineRule="exact"/>
              <w:rPr>
                <w:sz w:val="20"/>
                <w:szCs w:val="20"/>
                <w:color w:val="auto"/>
              </w:rPr>
            </w:pPr>
            <w:r>
              <w:rPr>
                <w:rFonts w:ascii="Arial" w:cs="Arial" w:eastAsia="Arial" w:hAnsi="Arial"/>
                <w:sz w:val="21"/>
                <w:szCs w:val="21"/>
                <w:color w:val="auto"/>
              </w:rPr>
              <w:t>Confidentiality</w:t>
            </w:r>
          </w:p>
        </w:tc>
        <w:tc>
          <w:tcPr>
            <w:tcW w:w="6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vMerge w:val="restart"/>
          </w:tcPr>
          <w:p>
            <w:pPr>
              <w:jc w:val="right"/>
              <w:ind w:right="173"/>
              <w:spacing w:after="0"/>
              <w:rPr>
                <w:sz w:val="20"/>
                <w:szCs w:val="20"/>
                <w:color w:val="auto"/>
              </w:rPr>
            </w:pPr>
            <w:r>
              <w:rPr>
                <w:rFonts w:ascii="Arial" w:cs="Arial" w:eastAsia="Arial" w:hAnsi="Arial"/>
                <w:sz w:val="21"/>
                <w:szCs w:val="21"/>
                <w:color w:val="auto"/>
              </w:rPr>
              <w:t>142</w:t>
            </w: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w w:val="95"/>
              </w:rPr>
              <w:t>SECTION 9.13.</w:t>
            </w:r>
          </w:p>
        </w:tc>
        <w:tc>
          <w:tcPr>
            <w:tcW w:w="100" w:type="dxa"/>
            <w:vAlign w:val="bottom"/>
          </w:tcPr>
          <w:p>
            <w:pPr>
              <w:spacing w:after="0"/>
              <w:rPr>
                <w:sz w:val="18"/>
                <w:szCs w:val="18"/>
                <w:color w:val="auto"/>
              </w:rPr>
            </w:pPr>
          </w:p>
        </w:tc>
        <w:tc>
          <w:tcPr>
            <w:tcW w:w="3080" w:type="dxa"/>
            <w:vAlign w:val="bottom"/>
            <w:gridSpan w:val="5"/>
          </w:tcPr>
          <w:p>
            <w:pPr>
              <w:ind w:left="80"/>
              <w:spacing w:after="0" w:line="215" w:lineRule="exact"/>
              <w:rPr>
                <w:sz w:val="20"/>
                <w:szCs w:val="20"/>
                <w:color w:val="auto"/>
              </w:rPr>
            </w:pPr>
            <w:r>
              <w:rPr>
                <w:rFonts w:ascii="Arial" w:cs="Arial" w:eastAsia="Arial" w:hAnsi="Arial"/>
                <w:sz w:val="21"/>
                <w:szCs w:val="21"/>
                <w:color w:val="auto"/>
              </w:rPr>
              <w:t>Material Non-Public Information</w:t>
            </w:r>
          </w:p>
        </w:tc>
        <w:tc>
          <w:tcPr>
            <w:tcW w:w="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w w:val="95"/>
              </w:rPr>
              <w:t>SECTION 9.14.</w:t>
            </w:r>
          </w:p>
        </w:tc>
        <w:tc>
          <w:tcPr>
            <w:tcW w:w="100" w:type="dxa"/>
            <w:vAlign w:val="bottom"/>
          </w:tcPr>
          <w:p>
            <w:pPr>
              <w:spacing w:after="0"/>
              <w:rPr>
                <w:sz w:val="18"/>
                <w:szCs w:val="18"/>
                <w:color w:val="auto"/>
              </w:rPr>
            </w:pPr>
          </w:p>
        </w:tc>
        <w:tc>
          <w:tcPr>
            <w:tcW w:w="2240" w:type="dxa"/>
            <w:vAlign w:val="bottom"/>
            <w:gridSpan w:val="3"/>
          </w:tcPr>
          <w:p>
            <w:pPr>
              <w:ind w:left="80"/>
              <w:spacing w:after="0" w:line="215" w:lineRule="exact"/>
              <w:rPr>
                <w:sz w:val="20"/>
                <w:szCs w:val="20"/>
                <w:color w:val="auto"/>
              </w:rPr>
            </w:pPr>
            <w:r>
              <w:rPr>
                <w:rFonts w:ascii="Arial" w:cs="Arial" w:eastAsia="Arial" w:hAnsi="Arial"/>
                <w:sz w:val="21"/>
                <w:szCs w:val="21"/>
                <w:color w:val="auto"/>
                <w:w w:val="99"/>
              </w:rPr>
              <w:t>Interest Rate Limitation</w:t>
            </w:r>
          </w:p>
        </w:tc>
        <w:tc>
          <w:tcPr>
            <w:tcW w:w="420" w:type="dxa"/>
            <w:vAlign w:val="bottom"/>
          </w:tcPr>
          <w:p>
            <w:pPr>
              <w:jc w:val="right"/>
              <w:spacing w:after="0" w:line="215" w:lineRule="exact"/>
              <w:rPr>
                <w:sz w:val="20"/>
                <w:szCs w:val="20"/>
                <w:color w:val="auto"/>
              </w:rPr>
            </w:pPr>
            <w:r>
              <w:rPr>
                <w:rFonts w:ascii="Arial" w:cs="Arial" w:eastAsia="Arial" w:hAnsi="Arial"/>
                <w:sz w:val="21"/>
                <w:szCs w:val="21"/>
                <w:color w:val="auto"/>
              </w:rPr>
              <w:t>143</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w w:val="95"/>
              </w:rPr>
              <w:t>SECTION 9.15.</w:t>
            </w:r>
          </w:p>
        </w:tc>
        <w:tc>
          <w:tcPr>
            <w:tcW w:w="100" w:type="dxa"/>
            <w:vAlign w:val="bottom"/>
          </w:tcPr>
          <w:p>
            <w:pPr>
              <w:spacing w:after="0"/>
              <w:rPr>
                <w:sz w:val="18"/>
                <w:szCs w:val="18"/>
                <w:color w:val="auto"/>
              </w:rPr>
            </w:pPr>
          </w:p>
        </w:tc>
        <w:tc>
          <w:tcPr>
            <w:tcW w:w="2240" w:type="dxa"/>
            <w:vAlign w:val="bottom"/>
            <w:gridSpan w:val="3"/>
          </w:tcPr>
          <w:p>
            <w:pPr>
              <w:ind w:left="80"/>
              <w:spacing w:after="0" w:line="215" w:lineRule="exact"/>
              <w:rPr>
                <w:sz w:val="20"/>
                <w:szCs w:val="20"/>
                <w:color w:val="auto"/>
              </w:rPr>
            </w:pPr>
            <w:r>
              <w:rPr>
                <w:rFonts w:ascii="Arial" w:cs="Arial" w:eastAsia="Arial" w:hAnsi="Arial"/>
                <w:sz w:val="21"/>
                <w:szCs w:val="21"/>
                <w:color w:val="auto"/>
              </w:rPr>
              <w:t>No Fiduciary Duty, etc</w:t>
            </w:r>
          </w:p>
        </w:tc>
        <w:tc>
          <w:tcPr>
            <w:tcW w:w="420" w:type="dxa"/>
            <w:vAlign w:val="bottom"/>
          </w:tcPr>
          <w:p>
            <w:pPr>
              <w:jc w:val="right"/>
              <w:spacing w:after="0" w:line="215" w:lineRule="exact"/>
              <w:rPr>
                <w:sz w:val="20"/>
                <w:szCs w:val="20"/>
                <w:color w:val="auto"/>
              </w:rPr>
            </w:pPr>
            <w:r>
              <w:rPr>
                <w:rFonts w:ascii="Arial" w:cs="Arial" w:eastAsia="Arial" w:hAnsi="Arial"/>
                <w:sz w:val="21"/>
                <w:szCs w:val="21"/>
                <w:color w:val="auto"/>
                <w:w w:val="91"/>
              </w:rPr>
              <w:t>143</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w w:val="95"/>
              </w:rPr>
              <w:t>SECTION 9.16.</w:t>
            </w:r>
          </w:p>
        </w:tc>
        <w:tc>
          <w:tcPr>
            <w:tcW w:w="100" w:type="dxa"/>
            <w:vAlign w:val="bottom"/>
          </w:tcPr>
          <w:p>
            <w:pPr>
              <w:spacing w:after="0"/>
              <w:rPr>
                <w:sz w:val="18"/>
                <w:szCs w:val="18"/>
                <w:color w:val="auto"/>
              </w:rPr>
            </w:pPr>
          </w:p>
        </w:tc>
        <w:tc>
          <w:tcPr>
            <w:tcW w:w="2660" w:type="dxa"/>
            <w:vAlign w:val="bottom"/>
            <w:gridSpan w:val="4"/>
          </w:tcPr>
          <w:p>
            <w:pPr>
              <w:ind w:left="80"/>
              <w:spacing w:after="0" w:line="215" w:lineRule="exact"/>
              <w:rPr>
                <w:sz w:val="20"/>
                <w:szCs w:val="20"/>
                <w:color w:val="auto"/>
              </w:rPr>
            </w:pPr>
            <w:r>
              <w:rPr>
                <w:rFonts w:ascii="Arial" w:cs="Arial" w:eastAsia="Arial" w:hAnsi="Arial"/>
                <w:sz w:val="21"/>
                <w:szCs w:val="21"/>
                <w:color w:val="auto"/>
              </w:rPr>
              <w:t>USA PATRIOT Act  144</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520" w:type="dxa"/>
            <w:vAlign w:val="bottom"/>
            <w:gridSpan w:val="3"/>
          </w:tcPr>
          <w:p>
            <w:pPr>
              <w:spacing w:after="0" w:line="215" w:lineRule="exact"/>
              <w:rPr>
                <w:sz w:val="20"/>
                <w:szCs w:val="20"/>
                <w:color w:val="auto"/>
              </w:rPr>
            </w:pPr>
            <w:r>
              <w:rPr>
                <w:rFonts w:ascii="Arial" w:cs="Arial" w:eastAsia="Arial" w:hAnsi="Arial"/>
                <w:sz w:val="21"/>
                <w:szCs w:val="21"/>
                <w:color w:val="auto"/>
              </w:rPr>
              <w:t>SECTION 9.17.</w:t>
            </w:r>
          </w:p>
        </w:tc>
        <w:tc>
          <w:tcPr>
            <w:tcW w:w="7260" w:type="dxa"/>
            <w:vAlign w:val="bottom"/>
            <w:gridSpan w:val="8"/>
          </w:tcPr>
          <w:p>
            <w:pPr>
              <w:ind w:left="80"/>
              <w:spacing w:after="0" w:line="215" w:lineRule="exact"/>
              <w:rPr>
                <w:sz w:val="20"/>
                <w:szCs w:val="20"/>
                <w:color w:val="auto"/>
              </w:rPr>
            </w:pPr>
            <w:r>
              <w:rPr>
                <w:rFonts w:ascii="Arial" w:cs="Arial" w:eastAsia="Arial" w:hAnsi="Arial"/>
                <w:sz w:val="21"/>
                <w:szCs w:val="21"/>
                <w:color w:val="auto"/>
              </w:rPr>
              <w:t>Acknowledgment and Consent to Bail-In of Affected</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vMerge w:val="restart"/>
          </w:tcPr>
          <w:p>
            <w:pPr>
              <w:spacing w:after="0"/>
              <w:rPr>
                <w:sz w:val="20"/>
                <w:szCs w:val="20"/>
                <w:color w:val="auto"/>
              </w:rPr>
            </w:pPr>
            <w:r>
              <w:rPr>
                <w:rFonts w:ascii="Arial" w:cs="Arial" w:eastAsia="Arial" w:hAnsi="Arial"/>
                <w:sz w:val="21"/>
                <w:szCs w:val="21"/>
                <w:color w:val="auto"/>
                <w:w w:val="95"/>
              </w:rPr>
              <w:t>SECTION 9.18.</w:t>
            </w:r>
          </w:p>
        </w:tc>
        <w:tc>
          <w:tcPr>
            <w:tcW w:w="100" w:type="dxa"/>
            <w:vAlign w:val="bottom"/>
          </w:tcPr>
          <w:p>
            <w:pPr>
              <w:spacing w:after="0"/>
              <w:rPr>
                <w:sz w:val="18"/>
                <w:szCs w:val="18"/>
                <w:color w:val="auto"/>
              </w:rPr>
            </w:pPr>
          </w:p>
        </w:tc>
        <w:tc>
          <w:tcPr>
            <w:tcW w:w="2240" w:type="dxa"/>
            <w:vAlign w:val="bottom"/>
            <w:gridSpan w:val="3"/>
          </w:tcPr>
          <w:p>
            <w:pPr>
              <w:ind w:left="400"/>
              <w:spacing w:after="0" w:line="215" w:lineRule="exact"/>
              <w:rPr>
                <w:sz w:val="20"/>
                <w:szCs w:val="20"/>
                <w:color w:val="auto"/>
              </w:rPr>
            </w:pPr>
            <w:r>
              <w:rPr>
                <w:rFonts w:ascii="Arial" w:cs="Arial" w:eastAsia="Arial" w:hAnsi="Arial"/>
                <w:sz w:val="21"/>
                <w:szCs w:val="21"/>
                <w:color w:val="auto"/>
                <w:w w:val="95"/>
              </w:rPr>
              <w:t>Financial Institutions</w:t>
            </w:r>
          </w:p>
        </w:tc>
        <w:tc>
          <w:tcPr>
            <w:tcW w:w="840" w:type="dxa"/>
            <w:vAlign w:val="bottom"/>
            <w:gridSpan w:val="2"/>
          </w:tcPr>
          <w:p>
            <w:pPr>
              <w:jc w:val="right"/>
              <w:ind w:right="213"/>
              <w:spacing w:after="0" w:line="215" w:lineRule="exact"/>
              <w:rPr>
                <w:sz w:val="20"/>
                <w:szCs w:val="20"/>
                <w:color w:val="auto"/>
              </w:rPr>
            </w:pPr>
            <w:r>
              <w:rPr>
                <w:rFonts w:ascii="Arial" w:cs="Arial" w:eastAsia="Arial" w:hAnsi="Arial"/>
                <w:sz w:val="21"/>
                <w:szCs w:val="21"/>
                <w:color w:val="auto"/>
              </w:rPr>
              <w:t>144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60" w:type="dxa"/>
            <w:vAlign w:val="bottom"/>
            <w:gridSpan w:val="8"/>
          </w:tcPr>
          <w:p>
            <w:pPr>
              <w:ind w:left="80"/>
              <w:spacing w:after="0" w:line="215" w:lineRule="exact"/>
              <w:rPr>
                <w:sz w:val="20"/>
                <w:szCs w:val="20"/>
                <w:color w:val="auto"/>
              </w:rPr>
            </w:pPr>
            <w:r>
              <w:rPr>
                <w:rFonts w:ascii="Arial" w:cs="Arial" w:eastAsia="Arial" w:hAnsi="Arial"/>
                <w:sz w:val="21"/>
                <w:szCs w:val="21"/>
                <w:color w:val="auto"/>
              </w:rPr>
              <w:t>Acknowledgment Regarding Any Supported QFCs  144</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w w:val="95"/>
              </w:rPr>
              <w:t>SECTION 9.19.</w:t>
            </w:r>
          </w:p>
        </w:tc>
        <w:tc>
          <w:tcPr>
            <w:tcW w:w="100" w:type="dxa"/>
            <w:vAlign w:val="bottom"/>
          </w:tcPr>
          <w:p>
            <w:pPr>
              <w:spacing w:after="0"/>
              <w:rPr>
                <w:sz w:val="18"/>
                <w:szCs w:val="18"/>
                <w:color w:val="auto"/>
              </w:rPr>
            </w:pPr>
          </w:p>
        </w:tc>
        <w:tc>
          <w:tcPr>
            <w:tcW w:w="3080" w:type="dxa"/>
            <w:vAlign w:val="bottom"/>
            <w:gridSpan w:val="5"/>
          </w:tcPr>
          <w:p>
            <w:pPr>
              <w:ind w:left="80"/>
              <w:spacing w:after="0" w:line="215" w:lineRule="exact"/>
              <w:rPr>
                <w:sz w:val="20"/>
                <w:szCs w:val="20"/>
                <w:color w:val="auto"/>
              </w:rPr>
            </w:pPr>
            <w:r>
              <w:rPr>
                <w:rFonts w:ascii="Arial" w:cs="Arial" w:eastAsia="Arial" w:hAnsi="Arial"/>
                <w:sz w:val="21"/>
                <w:szCs w:val="21"/>
                <w:color w:val="auto"/>
                <w:w w:val="91"/>
              </w:rPr>
              <w:t>Releases of Subsidiary Guarantors</w:t>
            </w:r>
          </w:p>
        </w:tc>
        <w:tc>
          <w:tcPr>
            <w:tcW w:w="660" w:type="dxa"/>
            <w:vAlign w:val="bottom"/>
          </w:tcPr>
          <w:p>
            <w:pPr>
              <w:jc w:val="right"/>
              <w:ind w:right="53"/>
              <w:spacing w:after="0" w:line="215" w:lineRule="exact"/>
              <w:rPr>
                <w:sz w:val="20"/>
                <w:szCs w:val="20"/>
                <w:color w:val="auto"/>
              </w:rPr>
            </w:pPr>
            <w:r>
              <w:rPr>
                <w:rFonts w:ascii="Arial" w:cs="Arial" w:eastAsia="Arial" w:hAnsi="Arial"/>
                <w:sz w:val="21"/>
                <w:szCs w:val="21"/>
                <w:color w:val="auto"/>
              </w:rPr>
              <w:t>145</w:t>
            </w: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640" w:type="dxa"/>
            <w:vAlign w:val="bottom"/>
          </w:tcPr>
          <w:p>
            <w:pPr>
              <w:spacing w:after="0"/>
              <w:rPr>
                <w:sz w:val="23"/>
                <w:szCs w:val="23"/>
                <w:color w:val="auto"/>
              </w:rPr>
            </w:pPr>
          </w:p>
        </w:tc>
        <w:tc>
          <w:tcPr>
            <w:tcW w:w="1420" w:type="dxa"/>
            <w:vAlign w:val="bottom"/>
            <w:gridSpan w:val="2"/>
          </w:tcPr>
          <w:p>
            <w:pPr>
              <w:spacing w:after="0"/>
              <w:rPr>
                <w:sz w:val="20"/>
                <w:szCs w:val="20"/>
                <w:color w:val="auto"/>
              </w:rPr>
            </w:pPr>
            <w:r>
              <w:rPr>
                <w:rFonts w:ascii="Arial" w:cs="Arial" w:eastAsia="Arial" w:hAnsi="Arial"/>
                <w:sz w:val="21"/>
                <w:szCs w:val="21"/>
                <w:color w:val="auto"/>
                <w:w w:val="95"/>
              </w:rPr>
              <w:t>SECTION 9.20.</w:t>
            </w:r>
          </w:p>
        </w:tc>
        <w:tc>
          <w:tcPr>
            <w:tcW w:w="100" w:type="dxa"/>
            <w:vAlign w:val="bottom"/>
          </w:tcPr>
          <w:p>
            <w:pPr>
              <w:spacing w:after="0"/>
              <w:rPr>
                <w:sz w:val="23"/>
                <w:szCs w:val="23"/>
                <w:color w:val="auto"/>
              </w:rPr>
            </w:pPr>
          </w:p>
        </w:tc>
        <w:tc>
          <w:tcPr>
            <w:tcW w:w="2660" w:type="dxa"/>
            <w:vAlign w:val="bottom"/>
            <w:gridSpan w:val="4"/>
          </w:tcPr>
          <w:p>
            <w:pPr>
              <w:ind w:left="80"/>
              <w:spacing w:after="0"/>
              <w:rPr>
                <w:sz w:val="20"/>
                <w:szCs w:val="20"/>
                <w:color w:val="auto"/>
              </w:rPr>
            </w:pPr>
            <w:r>
              <w:rPr>
                <w:rFonts w:ascii="Arial" w:cs="Arial" w:eastAsia="Arial" w:hAnsi="Arial"/>
                <w:sz w:val="21"/>
                <w:szCs w:val="21"/>
                <w:color w:val="auto"/>
              </w:rPr>
              <w:t>Appointment for Perfection</w:t>
            </w:r>
          </w:p>
        </w:tc>
        <w:tc>
          <w:tcPr>
            <w:tcW w:w="420" w:type="dxa"/>
            <w:vAlign w:val="bottom"/>
          </w:tcPr>
          <w:p>
            <w:pPr>
              <w:jc w:val="right"/>
              <w:spacing w:after="0"/>
              <w:rPr>
                <w:sz w:val="20"/>
                <w:szCs w:val="20"/>
                <w:color w:val="auto"/>
              </w:rPr>
            </w:pPr>
            <w:r>
              <w:rPr>
                <w:rFonts w:ascii="Arial" w:cs="Arial" w:eastAsia="Arial" w:hAnsi="Arial"/>
                <w:sz w:val="21"/>
                <w:szCs w:val="21"/>
                <w:color w:val="auto"/>
                <w:w w:val="85"/>
              </w:rPr>
              <w:t>146</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2920" w:type="dxa"/>
            <w:vAlign w:val="bottom"/>
            <w:gridSpan w:val="5"/>
          </w:tcPr>
          <w:p>
            <w:pPr>
              <w:spacing w:after="0"/>
              <w:rPr>
                <w:sz w:val="20"/>
                <w:szCs w:val="20"/>
                <w:color w:val="auto"/>
              </w:rPr>
            </w:pPr>
            <w:r>
              <w:rPr>
                <w:rFonts w:ascii="Arial" w:cs="Arial" w:eastAsia="Arial" w:hAnsi="Arial"/>
                <w:sz w:val="21"/>
                <w:szCs w:val="21"/>
                <w:color w:val="auto"/>
                <w:w w:val="95"/>
              </w:rPr>
              <w:t>ARTICLE X Borrower Guarantee</w:t>
            </w:r>
          </w:p>
        </w:tc>
        <w:tc>
          <w:tcPr>
            <w:tcW w:w="820" w:type="dxa"/>
            <w:vAlign w:val="bottom"/>
          </w:tcPr>
          <w:p>
            <w:pPr>
              <w:jc w:val="right"/>
              <w:ind w:right="193"/>
              <w:spacing w:after="0"/>
              <w:rPr>
                <w:sz w:val="20"/>
                <w:szCs w:val="20"/>
                <w:color w:val="auto"/>
              </w:rPr>
            </w:pPr>
            <w:r>
              <w:rPr>
                <w:rFonts w:ascii="Arial" w:cs="Arial" w:eastAsia="Arial" w:hAnsi="Arial"/>
                <w:sz w:val="21"/>
                <w:szCs w:val="21"/>
                <w:color w:val="auto"/>
              </w:rPr>
              <w:t>146</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64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5"/>
              </w:rPr>
              <w:t>SCHEDULES: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4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21"/>
                <w:szCs w:val="21"/>
                <w:color w:val="auto"/>
                <w:w w:val="94"/>
              </w:rPr>
              <w:t>Schedule 2.01A</w:t>
            </w:r>
          </w:p>
        </w:tc>
        <w:tc>
          <w:tcPr>
            <w:tcW w:w="10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21"/>
                <w:szCs w:val="21"/>
                <w:color w:val="auto"/>
              </w:rPr>
              <w:t>Commitments</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vMerge w:val="restart"/>
          </w:tcPr>
          <w:p>
            <w:pPr>
              <w:ind w:left="200"/>
              <w:spacing w:after="0"/>
              <w:rPr>
                <w:sz w:val="20"/>
                <w:szCs w:val="20"/>
                <w:color w:val="auto"/>
              </w:rPr>
            </w:pPr>
            <w:r>
              <w:rPr>
                <w:rFonts w:ascii="Arial" w:cs="Arial" w:eastAsia="Arial" w:hAnsi="Arial"/>
                <w:sz w:val="21"/>
                <w:szCs w:val="21"/>
                <w:color w:val="auto"/>
              </w:rPr>
              <w:t>Existing Letters</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w w:val="94"/>
              </w:rPr>
              <w:t>Schedule 2.01B</w:t>
            </w:r>
          </w:p>
        </w:tc>
        <w:tc>
          <w:tcPr>
            <w:tcW w:w="100" w:type="dxa"/>
            <w:vAlign w:val="bottom"/>
          </w:tcPr>
          <w:p>
            <w:pPr>
              <w:spacing w:after="0"/>
              <w:rPr>
                <w:sz w:val="18"/>
                <w:szCs w:val="18"/>
                <w:color w:val="auto"/>
              </w:rPr>
            </w:pPr>
          </w:p>
        </w:tc>
        <w:tc>
          <w:tcPr>
            <w:tcW w:w="3940" w:type="dxa"/>
            <w:vAlign w:val="bottom"/>
            <w:gridSpan w:val="7"/>
          </w:tcPr>
          <w:p>
            <w:pPr>
              <w:ind w:left="40"/>
              <w:spacing w:after="0" w:line="215" w:lineRule="exact"/>
              <w:rPr>
                <w:sz w:val="20"/>
                <w:szCs w:val="20"/>
                <w:color w:val="auto"/>
              </w:rPr>
            </w:pPr>
            <w:r>
              <w:rPr>
                <w:rFonts w:ascii="Arial" w:cs="Arial" w:eastAsia="Arial" w:hAnsi="Arial"/>
                <w:sz w:val="21"/>
                <w:szCs w:val="21"/>
                <w:color w:val="auto"/>
                <w:w w:val="93"/>
              </w:rPr>
              <w:t>Letter of Credit Commitments Schedule 2.06</w:t>
            </w: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3100" w:type="dxa"/>
            <w:vAlign w:val="bottom"/>
            <w:gridSpan w:val="5"/>
          </w:tcPr>
          <w:p>
            <w:pPr>
              <w:spacing w:after="0" w:line="215" w:lineRule="exact"/>
              <w:rPr>
                <w:sz w:val="20"/>
                <w:szCs w:val="20"/>
                <w:color w:val="auto"/>
              </w:rPr>
            </w:pPr>
            <w:r>
              <w:rPr>
                <w:rFonts w:ascii="Arial" w:cs="Arial" w:eastAsia="Arial" w:hAnsi="Arial"/>
                <w:sz w:val="21"/>
                <w:szCs w:val="21"/>
                <w:color w:val="auto"/>
                <w:w w:val="97"/>
              </w:rPr>
              <w:t>of Credit Schedule 3.06  Litigation</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vMerge w:val="restart"/>
          </w:tcPr>
          <w:p>
            <w:pPr>
              <w:ind w:left="60"/>
              <w:spacing w:after="0"/>
              <w:rPr>
                <w:sz w:val="20"/>
                <w:szCs w:val="20"/>
                <w:color w:val="auto"/>
              </w:rPr>
            </w:pPr>
            <w:r>
              <w:rPr>
                <w:rFonts w:ascii="Arial" w:cs="Arial" w:eastAsia="Arial" w:hAnsi="Arial"/>
                <w:sz w:val="21"/>
                <w:szCs w:val="21"/>
                <w:color w:val="auto"/>
              </w:rPr>
              <w:t>ERISA Events</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rPr>
              <w:t>Schedule 3.09</w:t>
            </w:r>
          </w:p>
        </w:tc>
        <w:tc>
          <w:tcPr>
            <w:tcW w:w="4040" w:type="dxa"/>
            <w:vAlign w:val="bottom"/>
            <w:gridSpan w:val="8"/>
          </w:tcPr>
          <w:p>
            <w:pPr>
              <w:spacing w:after="0" w:line="215" w:lineRule="exact"/>
              <w:rPr>
                <w:sz w:val="20"/>
                <w:szCs w:val="20"/>
                <w:color w:val="auto"/>
              </w:rPr>
            </w:pPr>
            <w:r>
              <w:rPr>
                <w:rFonts w:ascii="Arial" w:cs="Arial" w:eastAsia="Arial" w:hAnsi="Arial"/>
                <w:sz w:val="21"/>
                <w:szCs w:val="21"/>
                <w:color w:val="auto"/>
                <w:w w:val="96"/>
              </w:rPr>
              <w:t>Environmental Compliance Schedule 3.12(c)</w:t>
            </w: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520" w:type="dxa"/>
            <w:vAlign w:val="bottom"/>
            <w:gridSpan w:val="3"/>
          </w:tcPr>
          <w:p>
            <w:pPr>
              <w:spacing w:after="0" w:line="215" w:lineRule="exact"/>
              <w:rPr>
                <w:sz w:val="20"/>
                <w:szCs w:val="20"/>
                <w:color w:val="auto"/>
              </w:rPr>
            </w:pPr>
            <w:r>
              <w:rPr>
                <w:rFonts w:ascii="Arial" w:cs="Arial" w:eastAsia="Arial" w:hAnsi="Arial"/>
                <w:sz w:val="21"/>
                <w:szCs w:val="21"/>
                <w:color w:val="auto"/>
                <w:w w:val="93"/>
              </w:rPr>
              <w:t>Schedule 3.12(d)</w:t>
            </w:r>
          </w:p>
        </w:tc>
        <w:tc>
          <w:tcPr>
            <w:tcW w:w="1580" w:type="dxa"/>
            <w:vAlign w:val="bottom"/>
            <w:gridSpan w:val="2"/>
          </w:tcPr>
          <w:p>
            <w:pPr>
              <w:ind w:left="160"/>
              <w:spacing w:after="0" w:line="215" w:lineRule="exact"/>
              <w:rPr>
                <w:sz w:val="20"/>
                <w:szCs w:val="20"/>
                <w:color w:val="auto"/>
              </w:rPr>
            </w:pPr>
            <w:r>
              <w:rPr>
                <w:rFonts w:ascii="Arial" w:cs="Arial" w:eastAsia="Arial" w:hAnsi="Arial"/>
                <w:sz w:val="21"/>
                <w:szCs w:val="21"/>
                <w:color w:val="auto"/>
              </w:rPr>
              <w:t>Pension Plans</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520" w:type="dxa"/>
            <w:vAlign w:val="bottom"/>
            <w:gridSpan w:val="2"/>
            <w:vMerge w:val="restart"/>
          </w:tcPr>
          <w:p>
            <w:pPr>
              <w:ind w:left="160"/>
              <w:spacing w:after="0"/>
              <w:rPr>
                <w:sz w:val="20"/>
                <w:szCs w:val="20"/>
                <w:color w:val="auto"/>
              </w:rPr>
            </w:pPr>
            <w:r>
              <w:rPr>
                <w:rFonts w:ascii="Arial" w:cs="Arial" w:eastAsia="Arial" w:hAnsi="Arial"/>
                <w:sz w:val="21"/>
                <w:szCs w:val="21"/>
                <w:color w:val="auto"/>
              </w:rPr>
              <w:t>Responsible</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rPr>
              <w:t>Schedule 3.13</w:t>
            </w:r>
          </w:p>
        </w:tc>
        <w:tc>
          <w:tcPr>
            <w:tcW w:w="3840" w:type="dxa"/>
            <w:vAlign w:val="bottom"/>
            <w:gridSpan w:val="7"/>
          </w:tcPr>
          <w:p>
            <w:pPr>
              <w:spacing w:after="0" w:line="215" w:lineRule="exact"/>
              <w:rPr>
                <w:sz w:val="20"/>
                <w:szCs w:val="20"/>
                <w:color w:val="auto"/>
              </w:rPr>
            </w:pPr>
            <w:r>
              <w:rPr>
                <w:rFonts w:ascii="Arial" w:cs="Arial" w:eastAsia="Arial" w:hAnsi="Arial"/>
                <w:sz w:val="21"/>
                <w:szCs w:val="21"/>
                <w:color w:val="auto"/>
                <w:w w:val="92"/>
              </w:rPr>
              <w:t>Subsidiaries; Equity Interests Schedule 3.23</w:t>
            </w:r>
          </w:p>
        </w:tc>
        <w:tc>
          <w:tcPr>
            <w:tcW w:w="3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2280" w:type="dxa"/>
            <w:vAlign w:val="bottom"/>
            <w:gridSpan w:val="4"/>
          </w:tcPr>
          <w:p>
            <w:pPr>
              <w:spacing w:after="0" w:line="215" w:lineRule="exact"/>
              <w:rPr>
                <w:sz w:val="20"/>
                <w:szCs w:val="20"/>
                <w:color w:val="auto"/>
              </w:rPr>
            </w:pPr>
            <w:r>
              <w:rPr>
                <w:rFonts w:ascii="Arial" w:cs="Arial" w:eastAsia="Arial" w:hAnsi="Arial"/>
                <w:sz w:val="21"/>
                <w:szCs w:val="21"/>
                <w:color w:val="auto"/>
                <w:w w:val="94"/>
              </w:rPr>
              <w:t>Officers Schedule 3.24(b)</w:t>
            </w:r>
          </w:p>
        </w:tc>
        <w:tc>
          <w:tcPr>
            <w:tcW w:w="1900" w:type="dxa"/>
            <w:vAlign w:val="bottom"/>
            <w:gridSpan w:val="3"/>
          </w:tcPr>
          <w:p>
            <w:pPr>
              <w:jc w:val="right"/>
              <w:spacing w:after="0" w:line="215" w:lineRule="exact"/>
              <w:rPr>
                <w:sz w:val="20"/>
                <w:szCs w:val="20"/>
                <w:color w:val="auto"/>
              </w:rPr>
            </w:pPr>
            <w:r>
              <w:rPr>
                <w:rFonts w:ascii="Arial" w:cs="Arial" w:eastAsia="Arial" w:hAnsi="Arial"/>
                <w:sz w:val="21"/>
                <w:szCs w:val="21"/>
                <w:color w:val="auto"/>
              </w:rPr>
              <w:t>Intellectual Property</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520" w:type="dxa"/>
            <w:vAlign w:val="bottom"/>
            <w:gridSpan w:val="3"/>
          </w:tcPr>
          <w:p>
            <w:pPr>
              <w:spacing w:after="0" w:line="215" w:lineRule="exact"/>
              <w:rPr>
                <w:sz w:val="20"/>
                <w:szCs w:val="20"/>
                <w:color w:val="auto"/>
              </w:rPr>
            </w:pPr>
            <w:r>
              <w:rPr>
                <w:rFonts w:ascii="Arial" w:cs="Arial" w:eastAsia="Arial" w:hAnsi="Arial"/>
                <w:sz w:val="21"/>
                <w:szCs w:val="21"/>
                <w:color w:val="auto"/>
                <w:w w:val="94"/>
              </w:rPr>
              <w:t>Schedule 3.24(c)</w:t>
            </w:r>
          </w:p>
        </w:tc>
        <w:tc>
          <w:tcPr>
            <w:tcW w:w="7260" w:type="dxa"/>
            <w:vAlign w:val="bottom"/>
            <w:gridSpan w:val="8"/>
          </w:tcPr>
          <w:p>
            <w:pPr>
              <w:ind w:left="140"/>
              <w:spacing w:after="0" w:line="215" w:lineRule="exact"/>
              <w:rPr>
                <w:sz w:val="20"/>
                <w:szCs w:val="20"/>
                <w:color w:val="auto"/>
              </w:rPr>
            </w:pPr>
            <w:r>
              <w:rPr>
                <w:rFonts w:ascii="Arial" w:cs="Arial" w:eastAsia="Arial" w:hAnsi="Arial"/>
                <w:sz w:val="21"/>
                <w:szCs w:val="21"/>
                <w:color w:val="auto"/>
                <w:w w:val="93"/>
              </w:rPr>
              <w:t>Documents, Instruments and Tangible Chattel Paper Schedule 3.24(d)(i)  Deposit</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8780" w:type="dxa"/>
            <w:vAlign w:val="bottom"/>
            <w:gridSpan w:val="11"/>
          </w:tcPr>
          <w:p>
            <w:pPr>
              <w:spacing w:after="0" w:line="215" w:lineRule="exact"/>
              <w:rPr>
                <w:sz w:val="20"/>
                <w:szCs w:val="20"/>
                <w:color w:val="auto"/>
              </w:rPr>
            </w:pPr>
            <w:r>
              <w:rPr>
                <w:rFonts w:ascii="Arial" w:cs="Arial" w:eastAsia="Arial" w:hAnsi="Arial"/>
                <w:sz w:val="21"/>
                <w:szCs w:val="21"/>
                <w:color w:val="auto"/>
                <w:w w:val="94"/>
              </w:rPr>
              <w:t>Accounts and Securities Accounts Schedule 3.24(d)(ii)  Electronic Chattel Paper and Letter of Credit</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2280" w:type="dxa"/>
            <w:vAlign w:val="bottom"/>
            <w:gridSpan w:val="4"/>
          </w:tcPr>
          <w:p>
            <w:pPr>
              <w:spacing w:after="0" w:line="215" w:lineRule="exact"/>
              <w:rPr>
                <w:sz w:val="20"/>
                <w:szCs w:val="20"/>
                <w:color w:val="auto"/>
              </w:rPr>
            </w:pPr>
            <w:r>
              <w:rPr>
                <w:rFonts w:ascii="Arial" w:cs="Arial" w:eastAsia="Arial" w:hAnsi="Arial"/>
                <w:sz w:val="21"/>
                <w:szCs w:val="21"/>
                <w:color w:val="auto"/>
              </w:rPr>
              <w:t>Rights Schedule 3.24(e)</w:t>
            </w:r>
          </w:p>
        </w:tc>
        <w:tc>
          <w:tcPr>
            <w:tcW w:w="2320" w:type="dxa"/>
            <w:vAlign w:val="bottom"/>
            <w:gridSpan w:val="4"/>
          </w:tcPr>
          <w:p>
            <w:pPr>
              <w:jc w:val="right"/>
              <w:ind w:right="93"/>
              <w:spacing w:after="0" w:line="215" w:lineRule="exact"/>
              <w:rPr>
                <w:sz w:val="20"/>
                <w:szCs w:val="20"/>
                <w:color w:val="auto"/>
              </w:rPr>
            </w:pPr>
            <w:r>
              <w:rPr>
                <w:rFonts w:ascii="Arial" w:cs="Arial" w:eastAsia="Arial" w:hAnsi="Arial"/>
                <w:sz w:val="21"/>
                <w:szCs w:val="21"/>
                <w:color w:val="auto"/>
                <w:w w:val="93"/>
              </w:rPr>
              <w:t>Commercial Tort Claims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vMerge w:val="restart"/>
          </w:tcPr>
          <w:p>
            <w:pPr>
              <w:jc w:val="center"/>
              <w:ind w:right="2313"/>
              <w:spacing w:after="0"/>
              <w:rPr>
                <w:sz w:val="20"/>
                <w:szCs w:val="20"/>
                <w:color w:val="auto"/>
              </w:rPr>
            </w:pPr>
            <w:r>
              <w:rPr>
                <w:rFonts w:ascii="Arial" w:cs="Arial" w:eastAsia="Arial" w:hAnsi="Arial"/>
                <w:sz w:val="21"/>
                <w:szCs w:val="21"/>
                <w:color w:val="auto"/>
                <w:w w:val="89"/>
              </w:rPr>
              <w:t>Properties</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w w:val="90"/>
              </w:rPr>
              <w:t>Schedule 3.24(f)</w:t>
            </w:r>
          </w:p>
        </w:tc>
        <w:tc>
          <w:tcPr>
            <w:tcW w:w="100" w:type="dxa"/>
            <w:vAlign w:val="bottom"/>
          </w:tcPr>
          <w:p>
            <w:pPr>
              <w:spacing w:after="0"/>
              <w:rPr>
                <w:sz w:val="18"/>
                <w:szCs w:val="18"/>
                <w:color w:val="auto"/>
              </w:rPr>
            </w:pPr>
          </w:p>
        </w:tc>
        <w:tc>
          <w:tcPr>
            <w:tcW w:w="3740" w:type="dxa"/>
            <w:vAlign w:val="bottom"/>
            <w:gridSpan w:val="6"/>
          </w:tcPr>
          <w:p>
            <w:pPr>
              <w:ind w:left="120"/>
              <w:spacing w:after="0" w:line="215" w:lineRule="exact"/>
              <w:rPr>
                <w:sz w:val="20"/>
                <w:szCs w:val="20"/>
                <w:color w:val="auto"/>
              </w:rPr>
            </w:pPr>
            <w:r>
              <w:rPr>
                <w:rFonts w:ascii="Arial" w:cs="Arial" w:eastAsia="Arial" w:hAnsi="Arial"/>
                <w:sz w:val="21"/>
                <w:szCs w:val="21"/>
                <w:color w:val="auto"/>
                <w:w w:val="91"/>
              </w:rPr>
              <w:t>Pledged Equity Interests Schedule 3.24(g)</w:t>
            </w:r>
          </w:p>
        </w:tc>
        <w:tc>
          <w:tcPr>
            <w:tcW w:w="200" w:type="dxa"/>
            <w:vAlign w:val="bottom"/>
          </w:tcPr>
          <w:p>
            <w:pPr>
              <w:spacing w:after="0"/>
              <w:rPr>
                <w:sz w:val="18"/>
                <w:szCs w:val="18"/>
                <w:color w:val="auto"/>
              </w:rPr>
            </w:pP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rPr>
              <w:t>Schedule 5.19</w:t>
            </w:r>
          </w:p>
        </w:tc>
        <w:tc>
          <w:tcPr>
            <w:tcW w:w="3840" w:type="dxa"/>
            <w:vAlign w:val="bottom"/>
            <w:gridSpan w:val="7"/>
          </w:tcPr>
          <w:p>
            <w:pPr>
              <w:spacing w:after="0" w:line="215" w:lineRule="exact"/>
              <w:rPr>
                <w:sz w:val="20"/>
                <w:szCs w:val="20"/>
                <w:color w:val="auto"/>
              </w:rPr>
            </w:pPr>
            <w:r>
              <w:rPr>
                <w:rFonts w:ascii="Arial" w:cs="Arial" w:eastAsia="Arial" w:hAnsi="Arial"/>
                <w:sz w:val="21"/>
                <w:szCs w:val="21"/>
                <w:color w:val="auto"/>
                <w:w w:val="96"/>
              </w:rPr>
              <w:t>Post-Closing Requirements Schedule 6.01</w:t>
            </w:r>
          </w:p>
        </w:tc>
        <w:tc>
          <w:tcPr>
            <w:tcW w:w="3520" w:type="dxa"/>
            <w:vAlign w:val="bottom"/>
            <w:gridSpan w:val="2"/>
          </w:tcPr>
          <w:p>
            <w:pPr>
              <w:jc w:val="center"/>
              <w:ind w:right="2173"/>
              <w:spacing w:after="0" w:line="215" w:lineRule="exact"/>
              <w:rPr>
                <w:sz w:val="20"/>
                <w:szCs w:val="20"/>
                <w:color w:val="auto"/>
              </w:rPr>
            </w:pPr>
            <w:r>
              <w:rPr>
                <w:rFonts w:ascii="Arial" w:cs="Arial" w:eastAsia="Arial" w:hAnsi="Arial"/>
                <w:sz w:val="21"/>
                <w:szCs w:val="21"/>
                <w:color w:val="auto"/>
                <w:w w:val="95"/>
              </w:rPr>
              <w:t>Existing Liens</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1420" w:type="dxa"/>
            <w:vAlign w:val="bottom"/>
            <w:gridSpan w:val="2"/>
          </w:tcPr>
          <w:p>
            <w:pPr>
              <w:spacing w:after="0" w:line="215" w:lineRule="exact"/>
              <w:rPr>
                <w:sz w:val="20"/>
                <w:szCs w:val="20"/>
                <w:color w:val="auto"/>
              </w:rPr>
            </w:pPr>
            <w:r>
              <w:rPr>
                <w:rFonts w:ascii="Arial" w:cs="Arial" w:eastAsia="Arial" w:hAnsi="Arial"/>
                <w:sz w:val="21"/>
                <w:szCs w:val="21"/>
                <w:color w:val="auto"/>
              </w:rPr>
              <w:t>Schedule 6.02</w:t>
            </w:r>
          </w:p>
        </w:tc>
        <w:tc>
          <w:tcPr>
            <w:tcW w:w="3180" w:type="dxa"/>
            <w:vAlign w:val="bottom"/>
            <w:gridSpan w:val="6"/>
          </w:tcPr>
          <w:p>
            <w:pPr>
              <w:spacing w:after="0" w:line="215" w:lineRule="exact"/>
              <w:rPr>
                <w:sz w:val="20"/>
                <w:szCs w:val="20"/>
                <w:color w:val="auto"/>
              </w:rPr>
            </w:pPr>
            <w:r>
              <w:rPr>
                <w:rFonts w:ascii="Arial" w:cs="Arial" w:eastAsia="Arial" w:hAnsi="Arial"/>
                <w:sz w:val="21"/>
                <w:szCs w:val="21"/>
                <w:color w:val="auto"/>
                <w:w w:val="94"/>
              </w:rPr>
              <w:t>Existing Investments Schedule 6.03</w:t>
            </w:r>
          </w:p>
        </w:tc>
        <w:tc>
          <w:tcPr>
            <w:tcW w:w="860" w:type="dxa"/>
            <w:vAlign w:val="bottom"/>
            <w:gridSpan w:val="2"/>
          </w:tcPr>
          <w:p>
            <w:pPr>
              <w:ind w:left="120"/>
              <w:spacing w:after="0" w:line="215" w:lineRule="exact"/>
              <w:rPr>
                <w:sz w:val="20"/>
                <w:szCs w:val="20"/>
                <w:color w:val="auto"/>
              </w:rPr>
            </w:pPr>
            <w:r>
              <w:rPr>
                <w:rFonts w:ascii="Arial" w:cs="Arial" w:eastAsia="Arial" w:hAnsi="Arial"/>
                <w:sz w:val="21"/>
                <w:szCs w:val="21"/>
                <w:color w:val="auto"/>
                <w:w w:val="97"/>
              </w:rPr>
              <w:t>Existing</w:t>
            </w: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640" w:type="dxa"/>
            <w:vAlign w:val="bottom"/>
          </w:tcPr>
          <w:p>
            <w:pPr>
              <w:spacing w:after="0"/>
              <w:rPr>
                <w:sz w:val="23"/>
                <w:szCs w:val="23"/>
                <w:color w:val="auto"/>
              </w:rPr>
            </w:pPr>
          </w:p>
        </w:tc>
        <w:tc>
          <w:tcPr>
            <w:tcW w:w="1420" w:type="dxa"/>
            <w:vAlign w:val="bottom"/>
            <w:gridSpan w:val="2"/>
          </w:tcPr>
          <w:p>
            <w:pPr>
              <w:spacing w:after="0"/>
              <w:rPr>
                <w:sz w:val="20"/>
                <w:szCs w:val="20"/>
                <w:color w:val="auto"/>
              </w:rPr>
            </w:pPr>
            <w:r>
              <w:rPr>
                <w:rFonts w:ascii="Arial" w:cs="Arial" w:eastAsia="Arial" w:hAnsi="Arial"/>
                <w:sz w:val="21"/>
                <w:szCs w:val="21"/>
                <w:color w:val="auto"/>
              </w:rPr>
              <w:t>Indebtedness</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999"/>
          </w:cols>
          <w:pgMar w:left="460" w:top="1440" w:right="1440" w:bottom="1440" w:gutter="0" w:footer="0" w:header="0"/>
        </w:sectPr>
      </w:pPr>
    </w:p>
    <w:bookmarkStart w:id="89" w:name="page90"/>
    <w:bookmarkEnd w:id="89"/>
    <w:p>
      <w:pPr>
        <w:spacing w:after="0" w:line="19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EXHIBITS:</w:t>
      </w:r>
    </w:p>
    <w:p>
      <w:pPr>
        <w:spacing w:after="0" w:line="214" w:lineRule="exact"/>
        <w:rPr>
          <w:sz w:val="20"/>
          <w:szCs w:val="20"/>
          <w:color w:val="auto"/>
        </w:rPr>
      </w:pPr>
    </w:p>
    <w:p>
      <w:pPr>
        <w:ind w:right="3279"/>
        <w:spacing w:after="0" w:line="222" w:lineRule="auto"/>
        <w:rPr>
          <w:sz w:val="20"/>
          <w:szCs w:val="20"/>
          <w:color w:val="auto"/>
        </w:rPr>
      </w:pPr>
      <w:r>
        <w:rPr>
          <w:rFonts w:ascii="Arial" w:cs="Arial" w:eastAsia="Arial" w:hAnsi="Arial"/>
          <w:sz w:val="21"/>
          <w:szCs w:val="21"/>
          <w:color w:val="auto"/>
        </w:rPr>
        <w:t>Exhibit A – Form of Assignment and Assumption Exhibit B – Form of Borrowing Request</w:t>
      </w:r>
    </w:p>
    <w:p>
      <w:pPr>
        <w:ind w:right="2179"/>
        <w:spacing w:after="0" w:line="213" w:lineRule="auto"/>
        <w:rPr>
          <w:sz w:val="20"/>
          <w:szCs w:val="20"/>
          <w:color w:val="auto"/>
        </w:rPr>
      </w:pPr>
      <w:r>
        <w:rPr>
          <w:rFonts w:ascii="Arial" w:cs="Arial" w:eastAsia="Arial" w:hAnsi="Arial"/>
          <w:sz w:val="21"/>
          <w:szCs w:val="21"/>
          <w:color w:val="auto"/>
        </w:rPr>
        <w:t>Exhibit C – Form of Interest Election Request Exhibit D – Form of Increasing Lender Supplement Exhibit E – Form of Augmenting Lender Supplement Exhibit F – List of Closing Documents</w:t>
      </w:r>
    </w:p>
    <w:p>
      <w:pPr>
        <w:spacing w:after="0" w:line="1" w:lineRule="exact"/>
        <w:rPr>
          <w:sz w:val="20"/>
          <w:szCs w:val="20"/>
          <w:color w:val="auto"/>
        </w:rPr>
      </w:pPr>
    </w:p>
    <w:p>
      <w:pPr>
        <w:ind w:right="1939"/>
        <w:spacing w:after="0" w:line="213" w:lineRule="auto"/>
        <w:rPr>
          <w:sz w:val="20"/>
          <w:szCs w:val="20"/>
          <w:color w:val="auto"/>
        </w:rPr>
      </w:pPr>
      <w:r>
        <w:rPr>
          <w:rFonts w:ascii="Arial" w:cs="Arial" w:eastAsia="Arial" w:hAnsi="Arial"/>
          <w:sz w:val="21"/>
          <w:szCs w:val="21"/>
          <w:color w:val="auto"/>
        </w:rPr>
        <w:t xml:space="preserve">Exhibit G-1 – U.S. Tax Certificate (For Non-U.S. Lenders that are </w:t>
      </w:r>
      <w:r>
        <w:rPr>
          <w:rFonts w:ascii="Arial" w:cs="Arial" w:eastAsia="Arial" w:hAnsi="Arial"/>
          <w:sz w:val="21"/>
          <w:szCs w:val="21"/>
          <w:u w:val="single" w:color="auto"/>
          <w:color w:val="auto"/>
        </w:rPr>
        <w:t>not</w:t>
      </w:r>
      <w:r>
        <w:rPr>
          <w:rFonts w:ascii="Arial" w:cs="Arial" w:eastAsia="Arial" w:hAnsi="Arial"/>
          <w:sz w:val="21"/>
          <w:szCs w:val="21"/>
          <w:color w:val="auto"/>
        </w:rPr>
        <w:t xml:space="preserve"> Partnerships for U.S. Federal Income Tax Purposes)</w:t>
      </w:r>
    </w:p>
    <w:p>
      <w:pPr>
        <w:ind w:right="1619"/>
        <w:spacing w:after="0" w:line="213" w:lineRule="auto"/>
        <w:rPr>
          <w:sz w:val="20"/>
          <w:szCs w:val="20"/>
          <w:color w:val="auto"/>
        </w:rPr>
      </w:pPr>
      <w:r>
        <w:rPr>
          <w:rFonts w:ascii="Arial" w:cs="Arial" w:eastAsia="Arial" w:hAnsi="Arial"/>
          <w:sz w:val="21"/>
          <w:szCs w:val="21"/>
          <w:color w:val="auto"/>
        </w:rPr>
        <w:t xml:space="preserve">Exhibit G-2 – U.S. Tax Certificate (For Non-U.S. Participants that are </w:t>
      </w:r>
      <w:r>
        <w:rPr>
          <w:rFonts w:ascii="Arial" w:cs="Arial" w:eastAsia="Arial" w:hAnsi="Arial"/>
          <w:sz w:val="21"/>
          <w:szCs w:val="21"/>
          <w:u w:val="single" w:color="auto"/>
          <w:color w:val="auto"/>
        </w:rPr>
        <w:t>not</w:t>
      </w:r>
      <w:r>
        <w:rPr>
          <w:rFonts w:ascii="Arial" w:cs="Arial" w:eastAsia="Arial" w:hAnsi="Arial"/>
          <w:sz w:val="21"/>
          <w:szCs w:val="21"/>
          <w:color w:val="auto"/>
        </w:rPr>
        <w:t xml:space="preserve"> Partnerships for U.S. Federal Income Tax Purposes)</w:t>
      </w:r>
    </w:p>
    <w:p>
      <w:pPr>
        <w:ind w:right="1939"/>
        <w:spacing w:after="0" w:line="213" w:lineRule="auto"/>
        <w:rPr>
          <w:sz w:val="20"/>
          <w:szCs w:val="20"/>
          <w:color w:val="auto"/>
        </w:rPr>
      </w:pPr>
      <w:r>
        <w:rPr>
          <w:rFonts w:ascii="Arial" w:cs="Arial" w:eastAsia="Arial" w:hAnsi="Arial"/>
          <w:sz w:val="21"/>
          <w:szCs w:val="21"/>
          <w:color w:val="auto"/>
        </w:rPr>
        <w:t xml:space="preserve">Exhibit G-3 – U.S. Tax Certificate (For Non-U.S. Participants that </w:t>
      </w:r>
      <w:r>
        <w:rPr>
          <w:rFonts w:ascii="Arial" w:cs="Arial" w:eastAsia="Arial" w:hAnsi="Arial"/>
          <w:sz w:val="21"/>
          <w:szCs w:val="21"/>
          <w:u w:val="single" w:color="auto"/>
          <w:color w:val="auto"/>
        </w:rPr>
        <w:t>are</w:t>
      </w:r>
      <w:r>
        <w:rPr>
          <w:rFonts w:ascii="Arial" w:cs="Arial" w:eastAsia="Arial" w:hAnsi="Arial"/>
          <w:sz w:val="21"/>
          <w:szCs w:val="21"/>
          <w:color w:val="auto"/>
        </w:rPr>
        <w:t xml:space="preserve"> Partnerships for U.S. Federal Income Tax Purposes)</w:t>
      </w:r>
    </w:p>
    <w:p>
      <w:pPr>
        <w:ind w:right="2259"/>
        <w:spacing w:after="0" w:line="213" w:lineRule="auto"/>
        <w:rPr>
          <w:sz w:val="20"/>
          <w:szCs w:val="20"/>
          <w:color w:val="auto"/>
        </w:rPr>
      </w:pPr>
      <w:r>
        <w:rPr>
          <w:rFonts w:ascii="Arial" w:cs="Arial" w:eastAsia="Arial" w:hAnsi="Arial"/>
          <w:sz w:val="21"/>
          <w:szCs w:val="21"/>
          <w:color w:val="auto"/>
        </w:rPr>
        <w:t xml:space="preserve">Exhibit G-4 – U.S. Tax Certificate (For Non-U.S. Lenders that </w:t>
      </w:r>
      <w:r>
        <w:rPr>
          <w:rFonts w:ascii="Arial" w:cs="Arial" w:eastAsia="Arial" w:hAnsi="Arial"/>
          <w:sz w:val="21"/>
          <w:szCs w:val="21"/>
          <w:u w:val="single" w:color="auto"/>
          <w:color w:val="auto"/>
        </w:rPr>
        <w:t>are</w:t>
      </w:r>
      <w:r>
        <w:rPr>
          <w:rFonts w:ascii="Arial" w:cs="Arial" w:eastAsia="Arial" w:hAnsi="Arial"/>
          <w:sz w:val="21"/>
          <w:szCs w:val="21"/>
          <w:color w:val="auto"/>
        </w:rPr>
        <w:t xml:space="preserve"> Partnerships for U.S. Federal Income Tax Purposes)</w:t>
      </w:r>
    </w:p>
    <w:p>
      <w:pPr>
        <w:spacing w:after="0"/>
        <w:rPr>
          <w:sz w:val="20"/>
          <w:szCs w:val="20"/>
          <w:color w:val="auto"/>
        </w:rPr>
      </w:pPr>
      <w:r>
        <w:rPr>
          <w:rFonts w:ascii="Arial" w:cs="Arial" w:eastAsia="Arial" w:hAnsi="Arial"/>
          <w:sz w:val="21"/>
          <w:szCs w:val="21"/>
          <w:color w:val="auto"/>
        </w:rPr>
        <w:t>Exhibit H – Form of Compliance Certificate</w:t>
      </w:r>
    </w:p>
    <w:p>
      <w:pPr>
        <w:sectPr>
          <w:pgSz w:w="11900" w:h="16838" w:orient="portrait"/>
          <w:cols w:equalWidth="0" w:num="1">
            <w:col w:w="9359"/>
          </w:cols>
          <w:pgMar w:left="1100" w:top="1440" w:right="1440" w:bottom="1440" w:gutter="0" w:footer="0" w:header="0"/>
        </w:sectPr>
      </w:pPr>
    </w:p>
    <w:bookmarkStart w:id="90" w:name="page91"/>
    <w:bookmarkEnd w:id="90"/>
    <w:p>
      <w:pPr>
        <w:jc w:val="both"/>
        <w:ind w:left="60" w:firstLine="642"/>
        <w:spacing w:after="0" w:line="232" w:lineRule="auto"/>
        <w:rPr>
          <w:sz w:val="20"/>
          <w:szCs w:val="20"/>
          <w:color w:val="auto"/>
        </w:rPr>
      </w:pPr>
      <w:r>
        <w:rPr>
          <w:rFonts w:ascii="Arial" w:cs="Arial" w:eastAsia="Arial" w:hAnsi="Arial"/>
          <w:sz w:val="21"/>
          <w:szCs w:val="21"/>
          <w:color w:val="auto"/>
        </w:rPr>
        <w:t>CREDIT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dated as of August 1, 2022, among MISTRAS GROUP, INC., as Borrower, the LENDERS from time to time party hereto, JPMORGAN CHASE BANK, N.A., as Administrative Agent, and BANK OF AMERICA, N.A., as Syndication Agent.</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21"/>
          <w:szCs w:val="21"/>
          <w:color w:val="auto"/>
        </w:rPr>
        <w:t>The parties hereto agree as follows: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I</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Definitions</w:t>
      </w:r>
    </w:p>
    <w:p>
      <w:pPr>
        <w:spacing w:after="0" w:line="228" w:lineRule="exact"/>
        <w:rPr>
          <w:sz w:val="20"/>
          <w:szCs w:val="20"/>
          <w:color w:val="auto"/>
        </w:rPr>
      </w:pPr>
    </w:p>
    <w:p>
      <w:pPr>
        <w:jc w:val="center"/>
        <w:ind w:right="-399"/>
        <w:spacing w:after="0"/>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 As used in this Agreement, the following terms have the meanings specified below:</w:t>
      </w:r>
    </w:p>
    <w:p>
      <w:pPr>
        <w:spacing w:after="0" w:line="239"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ABR</w:t>
      </w:r>
      <w:r>
        <w:rPr>
          <w:rFonts w:ascii="Arial" w:cs="Arial" w:eastAsia="Arial" w:hAnsi="Arial"/>
          <w:sz w:val="21"/>
          <w:szCs w:val="21"/>
          <w:color w:val="auto"/>
        </w:rPr>
        <w:t>”, when used in reference to any Loan or Borrowing, refers to whether such Loan, or the Loans comprising such Borrowing, bear interest at a rate determined by reference to the Alternate Base Rate. All ABR Loans shall be denominated in Dollars.</w:t>
      </w:r>
    </w:p>
    <w:p>
      <w:pPr>
        <w:spacing w:after="0" w:line="184" w:lineRule="exact"/>
        <w:rPr>
          <w:sz w:val="20"/>
          <w:szCs w:val="20"/>
          <w:color w:val="auto"/>
        </w:rPr>
      </w:pPr>
    </w:p>
    <w:p>
      <w:pPr>
        <w:jc w:val="both"/>
        <w:ind w:left="60" w:firstLine="642"/>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Acquisition</w:t>
      </w:r>
      <w:r>
        <w:rPr>
          <w:rFonts w:ascii="Arial" w:cs="Arial" w:eastAsia="Arial" w:hAnsi="Arial"/>
          <w:sz w:val="21"/>
          <w:szCs w:val="21"/>
          <w:color w:val="auto"/>
        </w:rPr>
        <w:t>” means any transaction, or any series of related transactions, consummated on or after the Effective Date, by which any Loan Party or Subsidiary (i) acquires any business or division of a Person or all or substantially all of the assets of any Person, whether through purchase of assets, merger or otherwise or (ii)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267"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Acquisition Holiday Election</w:t>
      </w:r>
      <w:r>
        <w:rPr>
          <w:rFonts w:ascii="Arial" w:cs="Arial" w:eastAsia="Arial" w:hAnsi="Arial"/>
          <w:sz w:val="21"/>
          <w:szCs w:val="21"/>
          <w:color w:val="auto"/>
        </w:rPr>
        <w:t>” has the meaning assigned to such term in Section 5.12(a).</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Acquisition Holiday Election Quarter</w:t>
      </w:r>
      <w:r>
        <w:rPr>
          <w:rFonts w:ascii="Arial" w:cs="Arial" w:eastAsia="Arial" w:hAnsi="Arial"/>
          <w:sz w:val="21"/>
          <w:szCs w:val="21"/>
          <w:color w:val="auto"/>
        </w:rPr>
        <w:t>” has the meaning assigned to such term in Section 5.12(a).</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Add Back Amounts</w:t>
      </w:r>
      <w:r>
        <w:rPr>
          <w:rFonts w:ascii="Arial" w:cs="Arial" w:eastAsia="Arial" w:hAnsi="Arial"/>
          <w:sz w:val="20"/>
          <w:szCs w:val="20"/>
          <w:color w:val="auto"/>
        </w:rPr>
        <w:t>” means, for the purposes of calculating EBITDA, to the extent that the Borrower or one of its</w:t>
      </w:r>
    </w:p>
    <w:p>
      <w:pPr>
        <w:ind w:left="60"/>
        <w:spacing w:after="0" w:line="238" w:lineRule="auto"/>
        <w:rPr>
          <w:sz w:val="20"/>
          <w:szCs w:val="20"/>
          <w:color w:val="auto"/>
        </w:rPr>
      </w:pPr>
      <w:r>
        <w:rPr>
          <w:rFonts w:ascii="Arial" w:cs="Arial" w:eastAsia="Arial" w:hAnsi="Arial"/>
          <w:sz w:val="19"/>
          <w:szCs w:val="19"/>
          <w:color w:val="auto"/>
        </w:rPr>
        <w:t>Subsidiaries makes a Permitted Acquisition, an amount to be included in such calculation of EBITDA, determined as follows:</w:t>
      </w:r>
    </w:p>
    <w:p>
      <w:pPr>
        <w:jc w:val="both"/>
        <w:ind w:left="60" w:hanging="8"/>
        <w:spacing w:after="0" w:line="221" w:lineRule="auto"/>
        <w:tabs>
          <w:tab w:leader="none" w:pos="354" w:val="left"/>
        </w:tabs>
        <w:numPr>
          <w:ilvl w:val="0"/>
          <w:numId w:val="30"/>
        </w:numPr>
        <w:rPr>
          <w:rFonts w:ascii="Arial" w:cs="Arial" w:eastAsia="Arial" w:hAnsi="Arial"/>
          <w:sz w:val="21"/>
          <w:szCs w:val="21"/>
          <w:color w:val="auto"/>
        </w:rPr>
      </w:pPr>
      <w:r>
        <w:rPr>
          <w:rFonts w:ascii="Arial" w:cs="Arial" w:eastAsia="Arial" w:hAnsi="Arial"/>
          <w:sz w:val="21"/>
          <w:szCs w:val="21"/>
          <w:color w:val="auto"/>
        </w:rPr>
        <w:t>for the first quarterly test date following such Acquisition, 100% of the TTM EBITDA with respect to such acquired Person or assets; (b) for the second quarterly test date following such Acquisition, 75% of the TTM EBITDA with respect to such acquired Person or assets; (c) for the third quarterly test date following such Acquisition, 50% of the TTM EBITDA with respect to such acquired Person or assets; and (d) for the fourth quarterly test date following such Acquisition, -0-% of the TTM EBITDA with respect to such acquired Person or assets.</w:t>
      </w:r>
    </w:p>
    <w:p>
      <w:pPr>
        <w:spacing w:after="0" w:line="184" w:lineRule="exact"/>
        <w:rPr>
          <w:sz w:val="20"/>
          <w:szCs w:val="20"/>
          <w:color w:val="auto"/>
        </w:rPr>
      </w:pPr>
    </w:p>
    <w:p>
      <w:pPr>
        <w:jc w:val="both"/>
        <w:ind w:left="60" w:firstLine="696"/>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Additional Secured Obligations</w:t>
      </w:r>
      <w:r>
        <w:rPr>
          <w:rFonts w:ascii="Arial" w:cs="Arial" w:eastAsia="Arial" w:hAnsi="Arial"/>
          <w:sz w:val="21"/>
          <w:szCs w:val="21"/>
          <w:color w:val="auto"/>
        </w:rPr>
        <w:t>” means (a) all obligations arising under Secured Cash Management Agreements and Secured Hedge Agreements and (b) to the extent provided for in this Agreement and the other Loan Documents, all costs and expenses incurred in connection with enforcement and collection of the foregoing, including the fees, charges and disbursements of</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040"/>
          </w:cols>
          <w:pgMar w:left="400" w:top="1392" w:right="459" w:bottom="1440" w:gutter="0" w:footer="0" w:header="0"/>
        </w:sectPr>
      </w:pPr>
    </w:p>
    <w:bookmarkStart w:id="91" w:name="page92"/>
    <w:bookmarkEnd w:id="91"/>
    <w:p>
      <w:pPr>
        <w:spacing w:after="0" w:line="193" w:lineRule="exact"/>
        <w:rPr>
          <w:sz w:val="20"/>
          <w:szCs w:val="20"/>
          <w:color w:val="auto"/>
        </w:rPr>
      </w:pPr>
    </w:p>
    <w:p>
      <w:pPr>
        <w:jc w:val="both"/>
        <w:ind w:left="60"/>
        <w:spacing w:after="0" w:line="222" w:lineRule="auto"/>
        <w:rPr>
          <w:sz w:val="20"/>
          <w:szCs w:val="20"/>
          <w:color w:val="auto"/>
        </w:rPr>
      </w:pPr>
      <w:r>
        <w:rPr>
          <w:rFonts w:ascii="Arial" w:cs="Arial" w:eastAsia="Arial" w:hAnsi="Arial"/>
          <w:sz w:val="21"/>
          <w:szCs w:val="21"/>
          <w:color w:val="auto"/>
        </w:rPr>
        <w:t xml:space="preserve">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Additional Secured Obligations of a Guarantor shall exclude any Excluded Swap Obligations with respect to such Guarantor.</w:t>
      </w:r>
    </w:p>
    <w:p>
      <w:pPr>
        <w:spacing w:after="0" w:line="188" w:lineRule="exact"/>
        <w:rPr>
          <w:sz w:val="20"/>
          <w:szCs w:val="20"/>
          <w:color w:val="auto"/>
        </w:rPr>
      </w:pPr>
    </w:p>
    <w:p>
      <w:pPr>
        <w:jc w:val="both"/>
        <w:ind w:left="60" w:firstLine="642"/>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Adjusted Daily Simple RFR</w:t>
      </w:r>
      <w:r>
        <w:rPr>
          <w:rFonts w:ascii="Arial" w:cs="Arial" w:eastAsia="Arial" w:hAnsi="Arial"/>
          <w:sz w:val="19"/>
          <w:szCs w:val="19"/>
          <w:color w:val="auto"/>
        </w:rPr>
        <w:t xml:space="preserve">” means with respect to any RFR Borrowing denominated in in Dollars, an interest rate per annum equal to (a) the Daily Simple RFR for Dollars, </w:t>
      </w:r>
      <w:r>
        <w:rPr>
          <w:rFonts w:ascii="Arial" w:cs="Arial" w:eastAsia="Arial" w:hAnsi="Arial"/>
          <w:sz w:val="19"/>
          <w:szCs w:val="19"/>
          <w:i w:val="1"/>
          <w:iCs w:val="1"/>
          <w:color w:val="auto"/>
        </w:rPr>
        <w:t>plus</w:t>
      </w:r>
      <w:r>
        <w:rPr>
          <w:rFonts w:ascii="Arial" w:cs="Arial" w:eastAsia="Arial" w:hAnsi="Arial"/>
          <w:sz w:val="19"/>
          <w:szCs w:val="19"/>
          <w:color w:val="auto"/>
        </w:rPr>
        <w:t xml:space="preserve"> (b) 0.10%;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Adjusted Daily Simple RFR as so determined would be less than the Floor, such rate shall be deemed to be equal to the Floor for the purposes of this Agreement.</w:t>
      </w:r>
    </w:p>
    <w:p>
      <w:pPr>
        <w:spacing w:after="0" w:line="174"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Adjusted EURIBOR Rate</w:t>
      </w:r>
      <w:r>
        <w:rPr>
          <w:rFonts w:ascii="Arial" w:cs="Arial" w:eastAsia="Arial" w:hAnsi="Arial"/>
          <w:sz w:val="21"/>
          <w:szCs w:val="21"/>
          <w:color w:val="auto"/>
        </w:rPr>
        <w:t xml:space="preserve">” means, with respect to any Term Benchmark Borrowing denominated in Euros for any Interest Period, an interest rate per annum equal to (a) the EURIBOR Rate for such Interest Period multiplied by (b) the Statutory Reserve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Adjusted EURIBOR Rate as so determined would be less than the Floor, such rate shall be deemed to be equal to the Floor for the purposes of this Agreement.</w:t>
      </w:r>
    </w:p>
    <w:p>
      <w:pPr>
        <w:spacing w:after="0" w:line="199" w:lineRule="exact"/>
        <w:rPr>
          <w:sz w:val="20"/>
          <w:szCs w:val="20"/>
          <w:color w:val="auto"/>
        </w:rPr>
      </w:pPr>
    </w:p>
    <w:p>
      <w:pPr>
        <w:jc w:val="both"/>
        <w:ind w:left="60" w:right="2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Adjusted Term SOFR Rate</w:t>
      </w:r>
      <w:r>
        <w:rPr>
          <w:rFonts w:ascii="Arial" w:cs="Arial" w:eastAsia="Arial" w:hAnsi="Arial"/>
          <w:sz w:val="21"/>
          <w:szCs w:val="21"/>
          <w:color w:val="auto"/>
        </w:rPr>
        <w:t xml:space="preserve">” means, with respect to any Term Benchmark Borrowing denominated in Dollars for any Interest Period, an interest rate per annum equal to (a) the Term SOFR Rate for such Interest Period, </w:t>
      </w:r>
      <w:r>
        <w:rPr>
          <w:rFonts w:ascii="Arial" w:cs="Arial" w:eastAsia="Arial" w:hAnsi="Arial"/>
          <w:sz w:val="21"/>
          <w:szCs w:val="21"/>
          <w:i w:val="1"/>
          <w:iCs w:val="1"/>
          <w:color w:val="auto"/>
        </w:rPr>
        <w:t>plus</w:t>
      </w:r>
      <w:r>
        <w:rPr>
          <w:rFonts w:ascii="Arial" w:cs="Arial" w:eastAsia="Arial" w:hAnsi="Arial"/>
          <w:sz w:val="21"/>
          <w:szCs w:val="21"/>
          <w:color w:val="auto"/>
        </w:rPr>
        <w:t xml:space="preserve"> (b) 0.10%;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Adjusted Term SOFR Rate as so determined would be less than the Floor, such rate shall be deemed to be equal to the Floor for the purposes of this Agreement.</w:t>
      </w:r>
    </w:p>
    <w:p>
      <w:pPr>
        <w:spacing w:after="0" w:line="186"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Adjusted TIBOR Rate</w:t>
      </w:r>
      <w:r>
        <w:rPr>
          <w:rFonts w:ascii="Arial" w:cs="Arial" w:eastAsia="Arial" w:hAnsi="Arial"/>
          <w:sz w:val="21"/>
          <w:szCs w:val="21"/>
          <w:color w:val="auto"/>
        </w:rPr>
        <w:t xml:space="preserve">” means, with respect to any Term Benchmark Borrowing denominated in Yen for any Interest Period, an interest rate per annum equal to (a) the TIBOR Rate for such Interest Period multiplied by (b) the Statutory Reserve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Adjusted TIBOR Rate as so determined would be less than the Floor, such rate shall be deemed to be equal to the Floor for the purposes of this Agreement.</w:t>
      </w:r>
    </w:p>
    <w:p>
      <w:pPr>
        <w:spacing w:after="0" w:line="199" w:lineRule="exact"/>
        <w:rPr>
          <w:sz w:val="20"/>
          <w:szCs w:val="20"/>
          <w:color w:val="auto"/>
        </w:rPr>
      </w:pPr>
    </w:p>
    <w:p>
      <w:pPr>
        <w:jc w:val="both"/>
        <w:ind w:left="60" w:right="20" w:firstLine="696"/>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Administrative Agent</w:t>
      </w:r>
      <w:r>
        <w:rPr>
          <w:rFonts w:ascii="Arial" w:cs="Arial" w:eastAsia="Arial" w:hAnsi="Arial"/>
          <w:sz w:val="21"/>
          <w:szCs w:val="21"/>
          <w:color w:val="auto"/>
        </w:rPr>
        <w:t>” means JPMorgan Chase Bank, N.A. (or any of its designated branch offices or affiliates), in its capacity as administrative agent for the Lenders hereunder.</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Questionnaire</w:t>
      </w:r>
      <w:r>
        <w:rPr>
          <w:rFonts w:ascii="Arial" w:cs="Arial" w:eastAsia="Arial" w:hAnsi="Arial"/>
          <w:sz w:val="20"/>
          <w:szCs w:val="20"/>
          <w:color w:val="auto"/>
        </w:rPr>
        <w:t>” means an Administrative Questionnaire in a form supplied by the Administrative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21"/>
          <w:szCs w:val="21"/>
          <w:color w:val="auto"/>
        </w:rPr>
        <w:t>Agent.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228"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with respect to a specified Person, another Person that directly, or indirectly through one or more intermediaries, Controls or is Controlled by or is under common Control with the Person specified.</w:t>
      </w:r>
    </w:p>
    <w:p>
      <w:pPr>
        <w:spacing w:after="0" w:line="313" w:lineRule="exact"/>
        <w:rPr>
          <w:sz w:val="20"/>
          <w:szCs w:val="20"/>
          <w:color w:val="auto"/>
        </w:rPr>
      </w:pPr>
    </w:p>
    <w:p>
      <w:pPr>
        <w:ind w:left="700" w:right="1340"/>
        <w:spacing w:after="0" w:line="48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Agent Related Person</w:t>
      </w:r>
      <w:r>
        <w:rPr>
          <w:rFonts w:ascii="Arial" w:cs="Arial" w:eastAsia="Arial" w:hAnsi="Arial"/>
          <w:sz w:val="21"/>
          <w:szCs w:val="21"/>
          <w:color w:val="auto"/>
        </w:rPr>
        <w:t>” has the meaning assigned to it in Section 9.03(d). “</w:t>
      </w:r>
      <w:r>
        <w:rPr>
          <w:rFonts w:ascii="Arial" w:cs="Arial" w:eastAsia="Arial" w:hAnsi="Arial"/>
          <w:sz w:val="21"/>
          <w:szCs w:val="21"/>
          <w:b w:val="1"/>
          <w:bCs w:val="1"/>
          <w:i w:val="1"/>
          <w:iCs w:val="1"/>
          <w:color w:val="auto"/>
        </w:rPr>
        <w:t>Agreed Currencies</w:t>
      </w:r>
      <w:r>
        <w:rPr>
          <w:rFonts w:ascii="Arial" w:cs="Arial" w:eastAsia="Arial" w:hAnsi="Arial"/>
          <w:sz w:val="21"/>
          <w:szCs w:val="21"/>
          <w:color w:val="auto"/>
        </w:rPr>
        <w:t>” means (i) Dollars and (ii) each Foreign Currency.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040"/>
          </w:cols>
          <w:pgMar w:left="400" w:top="1440" w:right="459" w:bottom="1440" w:gutter="0" w:footer="0" w:header="0"/>
        </w:sectPr>
      </w:pPr>
    </w:p>
    <w:bookmarkStart w:id="92" w:name="page93"/>
    <w:bookmarkEnd w:id="92"/>
    <w:p>
      <w:pPr>
        <w:spacing w:after="0" w:line="193" w:lineRule="exact"/>
        <w:rPr>
          <w:sz w:val="20"/>
          <w:szCs w:val="20"/>
          <w:color w:val="auto"/>
        </w:rPr>
      </w:pPr>
    </w:p>
    <w:p>
      <w:pPr>
        <w:ind w:left="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has the meaning specified in introductory paragraph hereof.</w:t>
      </w:r>
    </w:p>
    <w:p>
      <w:pPr>
        <w:spacing w:after="0" w:line="214" w:lineRule="exact"/>
        <w:rPr>
          <w:sz w:val="20"/>
          <w:szCs w:val="20"/>
          <w:color w:val="auto"/>
        </w:rPr>
      </w:pPr>
    </w:p>
    <w:p>
      <w:pPr>
        <w:jc w:val="both"/>
        <w:ind w:left="60" w:firstLine="642"/>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Alternate Base Rate</w:t>
      </w:r>
      <w:r>
        <w:rPr>
          <w:rFonts w:ascii="Arial" w:cs="Arial" w:eastAsia="Arial" w:hAnsi="Arial"/>
          <w:sz w:val="20"/>
          <w:szCs w:val="20"/>
          <w:color w:val="auto"/>
        </w:rPr>
        <w:t>”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 such rate shall be deemed to be 1% for purposes of this Agreement.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Ancillary Document</w:t>
      </w:r>
      <w:r>
        <w:rPr>
          <w:rFonts w:ascii="Arial" w:cs="Arial" w:eastAsia="Arial" w:hAnsi="Arial"/>
          <w:sz w:val="21"/>
          <w:szCs w:val="21"/>
          <w:color w:val="auto"/>
        </w:rPr>
        <w:t>” has the meaning assigned to it in Section 9.06(b).</w:t>
      </w:r>
    </w:p>
    <w:p>
      <w:pPr>
        <w:spacing w:after="0" w:line="228"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Anti-Corruption Laws</w:t>
      </w:r>
      <w:r>
        <w:rPr>
          <w:rFonts w:ascii="Arial" w:cs="Arial" w:eastAsia="Arial" w:hAnsi="Arial"/>
          <w:sz w:val="21"/>
          <w:szCs w:val="21"/>
          <w:color w:val="auto"/>
        </w:rPr>
        <w:t>” means all laws, rules, and regulations of any jurisdiction applicable to the Borrower or any of its Subsidiaries from time to time concerning or relating to bribery or corruption.</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Applicable Party</w:t>
      </w:r>
      <w:r>
        <w:rPr>
          <w:rFonts w:ascii="Arial" w:cs="Arial" w:eastAsia="Arial" w:hAnsi="Arial"/>
          <w:sz w:val="21"/>
          <w:szCs w:val="21"/>
          <w:color w:val="auto"/>
        </w:rPr>
        <w:t>” has the meaning assigned to it in Section 8.03(c).</w:t>
      </w:r>
    </w:p>
    <w:p>
      <w:pPr>
        <w:spacing w:after="0" w:line="228"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Percentage</w:t>
      </w:r>
      <w:r>
        <w:rPr>
          <w:rFonts w:ascii="Arial" w:cs="Arial" w:eastAsia="Arial" w:hAnsi="Arial"/>
          <w:sz w:val="19"/>
          <w:szCs w:val="19"/>
          <w:color w:val="auto"/>
        </w:rPr>
        <w:t xml:space="preserve">” means, with respect to any Lender, (a) with respect to Revolving Loans, LC Exposure or Swingline Loans, the percentage equal to a fraction the numerator of which is such Lender’s Revolving Commitment and the denominator of which is the aggregate Revolving Commitments of all Revolving Lenders (if the Revolving Commitments have terminated or expired, the Applicable Percentages shall be determined based upon the Revolving Commitments most recently in effect, giving effect to any assignments);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Section 2.20 when a Defaulting Lender shall exist, any such Defaulting Lender’s Revolving Commitment shall be disregarded in the calculation and (b) with respect to the Term Loans, a percentage equal to a fraction the numerator of which is such Lender’s outstanding principal amount of the Term Loans and the denominator of which is the aggregate outstanding principal amount of the Term Loans of all Term Lenders.</w:t>
      </w:r>
    </w:p>
    <w:p>
      <w:pPr>
        <w:spacing w:after="0" w:line="194" w:lineRule="exact"/>
        <w:rPr>
          <w:sz w:val="20"/>
          <w:szCs w:val="20"/>
          <w:color w:val="auto"/>
        </w:rPr>
      </w:pPr>
    </w:p>
    <w:p>
      <w:pPr>
        <w:jc w:val="both"/>
        <w:ind w:left="60" w:firstLine="642"/>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Applicable Rate</w:t>
      </w:r>
      <w:r>
        <w:rPr>
          <w:rFonts w:ascii="Arial" w:cs="Arial" w:eastAsia="Arial" w:hAnsi="Arial"/>
          <w:sz w:val="21"/>
          <w:szCs w:val="21"/>
          <w:color w:val="auto"/>
        </w:rPr>
        <w:t xml:space="preserve">” means, for any day, with respect to any Term Benchmark Loan, any ABR Loan, any RFR Loan or with respect to the facility fees payable hereunder, as the case may be, the applicable rate </w:t>
      </w:r>
      <w:r>
        <w:rPr>
          <w:rFonts w:ascii="Arial" w:cs="Arial" w:eastAsia="Arial" w:hAnsi="Arial"/>
          <w:sz w:val="21"/>
          <w:szCs w:val="21"/>
          <w:i w:val="1"/>
          <w:iCs w:val="1"/>
          <w:color w:val="auto"/>
        </w:rPr>
        <w:t>per annum</w:t>
      </w:r>
      <w:r>
        <w:rPr>
          <w:rFonts w:ascii="Arial" w:cs="Arial" w:eastAsia="Arial" w:hAnsi="Arial"/>
          <w:sz w:val="21"/>
          <w:szCs w:val="21"/>
          <w:color w:val="auto"/>
        </w:rPr>
        <w:t xml:space="preserve"> set forth below under the caption “Term Benchmark/RFR Spread”, ““ABR Spread,” or “Commitment Fee Rate</w:t>
      </w:r>
      <w:r>
        <w:rPr>
          <w:rFonts w:ascii="Arial" w:cs="Arial" w:eastAsia="Arial" w:hAnsi="Arial"/>
          <w:sz w:val="14"/>
          <w:szCs w:val="14"/>
          <w:color w:val="auto"/>
        </w:rPr>
        <w:t>”</w:t>
      </w:r>
      <w:r>
        <w:rPr>
          <w:rFonts w:ascii="Arial" w:cs="Arial" w:eastAsia="Arial" w:hAnsi="Arial"/>
          <w:sz w:val="21"/>
          <w:szCs w:val="21"/>
          <w:color w:val="auto"/>
        </w:rPr>
        <w:t>, as the case may be, based upon the Total Consolidated Debt Leverage Ratio applicable on such date: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040"/>
          </w:cols>
          <w:pgMar w:left="400" w:top="1440" w:right="459" w:bottom="1440" w:gutter="0" w:footer="0" w:header="0"/>
        </w:sectPr>
      </w:pPr>
    </w:p>
    <w:bookmarkStart w:id="93" w:name="page94"/>
    <w:bookmarkEnd w:id="93"/>
    <w:tbl>
      <w:tblPr>
        <w:tblLayout w:type="fixed"/>
        <w:tblInd w:w="70" w:type="dxa"/>
        <w:tblCellMar>
          <w:top w:w="0" w:type="dxa"/>
          <w:left w:w="0" w:type="dxa"/>
          <w:bottom w:w="0" w:type="dxa"/>
          <w:right w:w="0" w:type="dxa"/>
        </w:tblCellMar>
      </w:tblPr>
      <w:tr>
        <w:trPr>
          <w:trHeight w:val="241"/>
        </w:trPr>
        <w:tc>
          <w:tcPr>
            <w:tcW w:w="460" w:type="dxa"/>
            <w:vAlign w:val="bottom"/>
            <w:tcBorders>
              <w:top w:val="single" w:sz="8" w:color="auto"/>
              <w:left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Borders>
              <w:top w:val="single" w:sz="8" w:color="auto"/>
              <w:right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21"/>
                <w:szCs w:val="21"/>
                <w:color w:val="auto"/>
                <w:w w:val="81"/>
              </w:rPr>
              <w:t>Total</w:t>
            </w:r>
          </w:p>
        </w:tc>
        <w:tc>
          <w:tcPr>
            <w:tcW w:w="660" w:type="dxa"/>
            <w:vAlign w:val="bottom"/>
            <w:tcBorders>
              <w:top w:val="single" w:sz="8" w:color="auto"/>
              <w:right w:val="single" w:sz="8" w:color="auto"/>
            </w:tcBorders>
            <w:gridSpan w:val="6"/>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21"/>
                <w:szCs w:val="21"/>
                <w:color w:val="auto"/>
                <w:w w:val="93"/>
              </w:rPr>
              <w:t>Term</w:t>
            </w:r>
          </w:p>
        </w:tc>
        <w:tc>
          <w:tcPr>
            <w:tcW w:w="920" w:type="dxa"/>
            <w:vAlign w:val="bottom"/>
            <w:tcBorders>
              <w:top w:val="single" w:sz="8" w:color="auto"/>
              <w:right w:val="single" w:sz="8" w:color="auto"/>
            </w:tcBorders>
            <w:gridSpan w:val="3"/>
          </w:tcPr>
          <w:p>
            <w:pPr>
              <w:spacing w:after="0"/>
              <w:rPr>
                <w:sz w:val="20"/>
                <w:szCs w:val="20"/>
                <w:color w:val="auto"/>
              </w:rPr>
            </w:pPr>
          </w:p>
        </w:tc>
        <w:tc>
          <w:tcPr>
            <w:tcW w:w="2380" w:type="dxa"/>
            <w:vAlign w:val="bottom"/>
            <w:tcBorders>
              <w:top w:val="single" w:sz="8" w:color="auto"/>
              <w:right w:val="single" w:sz="8" w:color="auto"/>
            </w:tcBorders>
            <w:gridSpan w:val="3"/>
          </w:tcPr>
          <w:p>
            <w:pPr>
              <w:ind w:left="640"/>
              <w:spacing w:after="0"/>
              <w:rPr>
                <w:sz w:val="20"/>
                <w:szCs w:val="20"/>
                <w:color w:val="auto"/>
              </w:rPr>
            </w:pPr>
            <w:r>
              <w:rPr>
                <w:rFonts w:ascii="Arial" w:cs="Arial" w:eastAsia="Arial" w:hAnsi="Arial"/>
                <w:sz w:val="21"/>
                <w:szCs w:val="21"/>
                <w:color w:val="auto"/>
              </w:rPr>
              <w:t>ABR Spread</w:t>
            </w:r>
          </w:p>
        </w:tc>
        <w:tc>
          <w:tcPr>
            <w:tcW w:w="200" w:type="dxa"/>
            <w:vAlign w:val="bottom"/>
            <w:tcBorders>
              <w:top w:val="single" w:sz="8" w:color="auto"/>
            </w:tcBorders>
          </w:tcPr>
          <w:p>
            <w:pPr>
              <w:spacing w:after="0"/>
              <w:rPr>
                <w:sz w:val="20"/>
                <w:szCs w:val="20"/>
                <w:color w:val="auto"/>
              </w:rPr>
            </w:pPr>
          </w:p>
        </w:tc>
        <w:tc>
          <w:tcPr>
            <w:tcW w:w="216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21"/>
                <w:szCs w:val="21"/>
                <w:color w:val="auto"/>
              </w:rPr>
              <w:t>Commitment Fee Rate</w:t>
            </w: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right w:val="single" w:sz="8" w:color="auto"/>
            </w:tcBorders>
            <w:gridSpan w:val="8"/>
          </w:tcPr>
          <w:p>
            <w:pPr>
              <w:jc w:val="center"/>
              <w:ind w:right="320"/>
              <w:spacing w:after="0" w:line="195" w:lineRule="exact"/>
              <w:rPr>
                <w:sz w:val="20"/>
                <w:szCs w:val="20"/>
                <w:color w:val="auto"/>
              </w:rPr>
            </w:pPr>
            <w:r>
              <w:rPr>
                <w:rFonts w:ascii="Arial" w:cs="Arial" w:eastAsia="Arial" w:hAnsi="Arial"/>
                <w:sz w:val="21"/>
                <w:szCs w:val="21"/>
                <w:color w:val="auto"/>
                <w:w w:val="91"/>
              </w:rPr>
              <w:t>Consolidated</w:t>
            </w:r>
          </w:p>
        </w:tc>
        <w:tc>
          <w:tcPr>
            <w:tcW w:w="400" w:type="dxa"/>
            <w:vAlign w:val="bottom"/>
          </w:tcPr>
          <w:p>
            <w:pPr>
              <w:spacing w:after="0"/>
              <w:rPr>
                <w:sz w:val="16"/>
                <w:szCs w:val="16"/>
                <w:color w:val="auto"/>
              </w:rPr>
            </w:pPr>
          </w:p>
        </w:tc>
        <w:tc>
          <w:tcPr>
            <w:tcW w:w="1880" w:type="dxa"/>
            <w:vAlign w:val="bottom"/>
            <w:tcBorders>
              <w:right w:val="single" w:sz="8" w:color="auto"/>
            </w:tcBorders>
            <w:gridSpan w:val="6"/>
          </w:tcPr>
          <w:p>
            <w:pPr>
              <w:jc w:val="center"/>
              <w:ind w:right="420"/>
              <w:spacing w:after="0" w:line="195" w:lineRule="exact"/>
              <w:rPr>
                <w:sz w:val="20"/>
                <w:szCs w:val="20"/>
                <w:color w:val="auto"/>
              </w:rPr>
            </w:pPr>
            <w:r>
              <w:rPr>
                <w:rFonts w:ascii="Arial" w:cs="Arial" w:eastAsia="Arial" w:hAnsi="Arial"/>
                <w:sz w:val="21"/>
                <w:szCs w:val="21"/>
                <w:color w:val="auto"/>
                <w:w w:val="94"/>
              </w:rPr>
              <w:t>Benchmark/RFR</w:t>
            </w: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gridSpan w:val="5"/>
          </w:tcPr>
          <w:p>
            <w:pPr>
              <w:jc w:val="center"/>
              <w:spacing w:after="0" w:line="195" w:lineRule="exact"/>
              <w:rPr>
                <w:sz w:val="20"/>
                <w:szCs w:val="20"/>
                <w:color w:val="auto"/>
              </w:rPr>
            </w:pPr>
            <w:r>
              <w:rPr>
                <w:rFonts w:ascii="Arial" w:cs="Arial" w:eastAsia="Arial" w:hAnsi="Arial"/>
                <w:sz w:val="21"/>
                <w:szCs w:val="21"/>
                <w:color w:val="auto"/>
                <w:w w:val="81"/>
              </w:rPr>
              <w:t>Debt Leverage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4"/>
          </w:tcPr>
          <w:p>
            <w:pPr>
              <w:jc w:val="center"/>
              <w:ind w:right="440"/>
              <w:spacing w:after="0" w:line="195" w:lineRule="exact"/>
              <w:rPr>
                <w:sz w:val="20"/>
                <w:szCs w:val="20"/>
                <w:color w:val="auto"/>
              </w:rPr>
            </w:pPr>
            <w:r>
              <w:rPr>
                <w:rFonts w:ascii="Arial" w:cs="Arial" w:eastAsia="Arial" w:hAnsi="Arial"/>
                <w:sz w:val="21"/>
                <w:szCs w:val="21"/>
                <w:color w:val="auto"/>
                <w:w w:val="85"/>
              </w:rPr>
              <w:t>Spread</w:t>
            </w:r>
          </w:p>
        </w:tc>
        <w:tc>
          <w:tcPr>
            <w:tcW w:w="42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21"/>
                <w:szCs w:val="21"/>
                <w:color w:val="auto"/>
              </w:rPr>
              <w:t>Ratio</w:t>
            </w:r>
          </w:p>
        </w:tc>
        <w:tc>
          <w:tcPr>
            <w:tcW w:w="24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6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60" w:type="dxa"/>
            <w:vAlign w:val="bottom"/>
            <w:tcBorders>
              <w:left w:val="single" w:sz="8" w:color="auto"/>
            </w:tcBorders>
          </w:tcPr>
          <w:p>
            <w:pPr>
              <w:spacing w:after="0"/>
              <w:rPr>
                <w:sz w:val="18"/>
                <w:szCs w:val="18"/>
                <w:color w:val="auto"/>
              </w:rPr>
            </w:pPr>
          </w:p>
        </w:tc>
        <w:tc>
          <w:tcPr>
            <w:tcW w:w="1140" w:type="dxa"/>
            <w:vAlign w:val="bottom"/>
            <w:tcBorders>
              <w:right w:val="single" w:sz="8" w:color="auto"/>
            </w:tcBorders>
            <w:gridSpan w:val="2"/>
          </w:tcPr>
          <w:p>
            <w:pPr>
              <w:spacing w:after="0" w:line="208" w:lineRule="exact"/>
              <w:rPr>
                <w:sz w:val="20"/>
                <w:szCs w:val="20"/>
                <w:color w:val="auto"/>
              </w:rPr>
            </w:pPr>
            <w:r>
              <w:rPr>
                <w:rFonts w:ascii="Arial" w:cs="Arial" w:eastAsia="Arial" w:hAnsi="Arial"/>
                <w:sz w:val="21"/>
                <w:szCs w:val="21"/>
                <w:color w:val="auto"/>
              </w:rPr>
              <w:t>Category 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right w:val="single" w:sz="8" w:color="auto"/>
            </w:tcBorders>
            <w:gridSpan w:val="8"/>
          </w:tcPr>
          <w:p>
            <w:pPr>
              <w:jc w:val="center"/>
              <w:ind w:right="320"/>
              <w:spacing w:after="0" w:line="208" w:lineRule="exact"/>
              <w:rPr>
                <w:sz w:val="20"/>
                <w:szCs w:val="20"/>
                <w:color w:val="auto"/>
              </w:rPr>
            </w:pPr>
            <w:r>
              <w:rPr>
                <w:rFonts w:ascii="Arial" w:cs="Arial" w:eastAsia="Arial" w:hAnsi="Arial"/>
                <w:sz w:val="21"/>
                <w:szCs w:val="21"/>
                <w:color w:val="auto"/>
                <w:w w:val="93"/>
              </w:rPr>
              <w:t>≤ 1.25 to</w:t>
            </w:r>
          </w:p>
        </w:tc>
        <w:tc>
          <w:tcPr>
            <w:tcW w:w="1360" w:type="dxa"/>
            <w:vAlign w:val="bottom"/>
            <w:gridSpan w:val="4"/>
          </w:tcPr>
          <w:p>
            <w:pPr>
              <w:jc w:val="center"/>
              <w:ind w:left="333"/>
              <w:spacing w:after="0" w:line="208" w:lineRule="exact"/>
              <w:rPr>
                <w:sz w:val="20"/>
                <w:szCs w:val="20"/>
                <w:color w:val="auto"/>
              </w:rPr>
            </w:pPr>
            <w:r>
              <w:rPr>
                <w:rFonts w:ascii="Arial" w:cs="Arial" w:eastAsia="Arial" w:hAnsi="Arial"/>
                <w:sz w:val="21"/>
                <w:szCs w:val="21"/>
                <w:color w:val="auto"/>
                <w:w w:val="93"/>
              </w:rPr>
              <w:t>1.25%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720" w:type="dxa"/>
            <w:vAlign w:val="bottom"/>
            <w:gridSpan w:val="2"/>
          </w:tcPr>
          <w:p>
            <w:pPr>
              <w:jc w:val="center"/>
              <w:ind w:left="533"/>
              <w:spacing w:after="0" w:line="208" w:lineRule="exact"/>
              <w:rPr>
                <w:sz w:val="20"/>
                <w:szCs w:val="20"/>
                <w:color w:val="auto"/>
              </w:rPr>
            </w:pPr>
            <w:r>
              <w:rPr>
                <w:rFonts w:ascii="Arial" w:cs="Arial" w:eastAsia="Arial" w:hAnsi="Arial"/>
                <w:sz w:val="21"/>
                <w:szCs w:val="21"/>
                <w:color w:val="auto"/>
                <w:w w:val="93"/>
              </w:rPr>
              <w:t>0.25%</w:t>
            </w:r>
          </w:p>
        </w:tc>
        <w:tc>
          <w:tcPr>
            <w:tcW w:w="660" w:type="dxa"/>
            <w:vAlign w:val="bottom"/>
            <w:tcBorders>
              <w:right w:val="single" w:sz="8" w:color="auto"/>
            </w:tcBorders>
          </w:tcPr>
          <w:p>
            <w:pPr>
              <w:spacing w:after="0"/>
              <w:rPr>
                <w:sz w:val="18"/>
                <w:szCs w:val="18"/>
                <w:color w:val="auto"/>
              </w:rPr>
            </w:pPr>
          </w:p>
        </w:tc>
        <w:tc>
          <w:tcPr>
            <w:tcW w:w="1680" w:type="dxa"/>
            <w:vAlign w:val="bottom"/>
            <w:gridSpan w:val="2"/>
          </w:tcPr>
          <w:p>
            <w:pPr>
              <w:jc w:val="center"/>
              <w:ind w:left="553"/>
              <w:spacing w:after="0" w:line="208" w:lineRule="exact"/>
              <w:rPr>
                <w:sz w:val="20"/>
                <w:szCs w:val="20"/>
                <w:color w:val="auto"/>
              </w:rPr>
            </w:pPr>
            <w:r>
              <w:rPr>
                <w:rFonts w:ascii="Arial" w:cs="Arial" w:eastAsia="Arial" w:hAnsi="Arial"/>
                <w:sz w:val="21"/>
                <w:szCs w:val="21"/>
                <w:color w:val="auto"/>
                <w:w w:val="90"/>
              </w:rPr>
              <w:t>0.15%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0" w:type="dxa"/>
            <w:vAlign w:val="bottom"/>
            <w:tcBorders>
              <w:left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4"/>
          </w:tcPr>
          <w:p>
            <w:pPr>
              <w:jc w:val="center"/>
              <w:ind w:left="533"/>
              <w:spacing w:after="0"/>
              <w:rPr>
                <w:sz w:val="20"/>
                <w:szCs w:val="20"/>
                <w:color w:val="auto"/>
              </w:rPr>
            </w:pPr>
            <w:r>
              <w:rPr>
                <w:rFonts w:ascii="Arial" w:cs="Arial" w:eastAsia="Arial" w:hAnsi="Arial"/>
                <w:sz w:val="21"/>
                <w:szCs w:val="21"/>
                <w:color w:val="auto"/>
                <w:w w:val="87"/>
              </w:rPr>
              <w:t>1.00</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1140" w:type="dxa"/>
            <w:vAlign w:val="bottom"/>
            <w:tcBorders>
              <w:right w:val="single" w:sz="8" w:color="auto"/>
            </w:tcBorders>
            <w:gridSpan w:val="2"/>
          </w:tcPr>
          <w:p>
            <w:pPr>
              <w:spacing w:after="0" w:line="221" w:lineRule="exact"/>
              <w:rPr>
                <w:sz w:val="20"/>
                <w:szCs w:val="20"/>
                <w:color w:val="auto"/>
              </w:rPr>
            </w:pPr>
            <w:r>
              <w:rPr>
                <w:rFonts w:ascii="Arial" w:cs="Arial" w:eastAsia="Arial" w:hAnsi="Arial"/>
                <w:sz w:val="21"/>
                <w:szCs w:val="21"/>
                <w:color w:val="auto"/>
              </w:rPr>
              <w:t>Category 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Borders>
              <w:right w:val="single" w:sz="8" w:color="auto"/>
            </w:tcBorders>
            <w:gridSpan w:val="7"/>
          </w:tcPr>
          <w:p>
            <w:pPr>
              <w:jc w:val="center"/>
              <w:ind w:right="320"/>
              <w:spacing w:after="0" w:line="221" w:lineRule="exact"/>
              <w:rPr>
                <w:sz w:val="20"/>
                <w:szCs w:val="20"/>
                <w:color w:val="auto"/>
              </w:rPr>
            </w:pPr>
            <w:r>
              <w:rPr>
                <w:rFonts w:ascii="Arial" w:cs="Arial" w:eastAsia="Arial" w:hAnsi="Arial"/>
                <w:sz w:val="21"/>
                <w:szCs w:val="21"/>
                <w:color w:val="auto"/>
                <w:w w:val="87"/>
              </w:rPr>
              <w:t>&gt; 1.25 to</w:t>
            </w:r>
          </w:p>
        </w:tc>
        <w:tc>
          <w:tcPr>
            <w:tcW w:w="1360" w:type="dxa"/>
            <w:vAlign w:val="bottom"/>
            <w:gridSpan w:val="4"/>
          </w:tcPr>
          <w:p>
            <w:pPr>
              <w:jc w:val="center"/>
              <w:ind w:left="333"/>
              <w:spacing w:after="0" w:line="221" w:lineRule="exact"/>
              <w:rPr>
                <w:sz w:val="20"/>
                <w:szCs w:val="20"/>
                <w:color w:val="auto"/>
              </w:rPr>
            </w:pPr>
            <w:r>
              <w:rPr>
                <w:rFonts w:ascii="Arial" w:cs="Arial" w:eastAsia="Arial" w:hAnsi="Arial"/>
                <w:sz w:val="21"/>
                <w:szCs w:val="21"/>
                <w:color w:val="auto"/>
                <w:w w:val="93"/>
              </w:rPr>
              <w:t>1.50%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720" w:type="dxa"/>
            <w:vAlign w:val="bottom"/>
            <w:gridSpan w:val="2"/>
          </w:tcPr>
          <w:p>
            <w:pPr>
              <w:jc w:val="center"/>
              <w:ind w:left="533"/>
              <w:spacing w:after="0" w:line="221" w:lineRule="exact"/>
              <w:rPr>
                <w:sz w:val="20"/>
                <w:szCs w:val="20"/>
                <w:color w:val="auto"/>
              </w:rPr>
            </w:pPr>
            <w:r>
              <w:rPr>
                <w:rFonts w:ascii="Arial" w:cs="Arial" w:eastAsia="Arial" w:hAnsi="Arial"/>
                <w:sz w:val="21"/>
                <w:szCs w:val="21"/>
                <w:color w:val="auto"/>
                <w:w w:val="93"/>
              </w:rPr>
              <w:t>0.50%</w:t>
            </w:r>
          </w:p>
        </w:tc>
        <w:tc>
          <w:tcPr>
            <w:tcW w:w="660" w:type="dxa"/>
            <w:vAlign w:val="bottom"/>
            <w:tcBorders>
              <w:right w:val="single" w:sz="8" w:color="auto"/>
            </w:tcBorders>
          </w:tcPr>
          <w:p>
            <w:pPr>
              <w:spacing w:after="0"/>
              <w:rPr>
                <w:sz w:val="19"/>
                <w:szCs w:val="19"/>
                <w:color w:val="auto"/>
              </w:rPr>
            </w:pPr>
          </w:p>
        </w:tc>
        <w:tc>
          <w:tcPr>
            <w:tcW w:w="1680" w:type="dxa"/>
            <w:vAlign w:val="bottom"/>
            <w:gridSpan w:val="2"/>
          </w:tcPr>
          <w:p>
            <w:pPr>
              <w:jc w:val="center"/>
              <w:ind w:left="553"/>
              <w:spacing w:after="0" w:line="221" w:lineRule="exact"/>
              <w:rPr>
                <w:sz w:val="20"/>
                <w:szCs w:val="20"/>
                <w:color w:val="auto"/>
              </w:rPr>
            </w:pPr>
            <w:r>
              <w:rPr>
                <w:rFonts w:ascii="Arial" w:cs="Arial" w:eastAsia="Arial" w:hAnsi="Arial"/>
                <w:sz w:val="21"/>
                <w:szCs w:val="21"/>
                <w:color w:val="auto"/>
                <w:w w:val="92"/>
              </w:rPr>
              <w:t>0.175%</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0" w:type="dxa"/>
            <w:vAlign w:val="bottom"/>
            <w:tcBorders>
              <w:left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right w:val="single" w:sz="8" w:color="auto"/>
            </w:tcBorders>
            <w:gridSpan w:val="8"/>
          </w:tcPr>
          <w:p>
            <w:pPr>
              <w:jc w:val="center"/>
              <w:spacing w:after="0" w:line="200" w:lineRule="exact"/>
              <w:rPr>
                <w:sz w:val="20"/>
                <w:szCs w:val="20"/>
                <w:color w:val="auto"/>
              </w:rPr>
            </w:pPr>
            <w:r>
              <w:rPr>
                <w:rFonts w:ascii="Arial" w:cs="Arial" w:eastAsia="Arial" w:hAnsi="Arial"/>
                <w:sz w:val="21"/>
                <w:szCs w:val="21"/>
                <w:color w:val="auto"/>
                <w:w w:val="94"/>
              </w:rPr>
              <w:t>1.00 but ≤</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60" w:type="dxa"/>
            <w:vAlign w:val="bottom"/>
            <w:tcBorders>
              <w:left w:val="single" w:sz="8" w:color="auto"/>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40" w:type="dxa"/>
            <w:vAlign w:val="bottom"/>
            <w:tcBorders>
              <w:bottom w:val="single" w:sz="8" w:color="auto"/>
              <w:right w:val="single" w:sz="8" w:color="auto"/>
            </w:tcBorders>
            <w:gridSpan w:val="8"/>
          </w:tcPr>
          <w:p>
            <w:pPr>
              <w:jc w:val="center"/>
              <w:spacing w:after="0"/>
              <w:rPr>
                <w:sz w:val="20"/>
                <w:szCs w:val="20"/>
                <w:color w:val="auto"/>
              </w:rPr>
            </w:pPr>
            <w:r>
              <w:rPr>
                <w:rFonts w:ascii="Arial" w:cs="Arial" w:eastAsia="Arial" w:hAnsi="Arial"/>
                <w:sz w:val="21"/>
                <w:szCs w:val="21"/>
                <w:color w:val="auto"/>
                <w:w w:val="91"/>
              </w:rPr>
              <w:t>1.75 to 1.00</w:t>
            </w:r>
          </w:p>
        </w:tc>
        <w:tc>
          <w:tcPr>
            <w:tcW w:w="4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6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60" w:type="dxa"/>
            <w:vAlign w:val="bottom"/>
            <w:tcBorders>
              <w:left w:val="single" w:sz="8" w:color="auto"/>
            </w:tcBorders>
          </w:tcPr>
          <w:p>
            <w:pPr>
              <w:spacing w:after="0"/>
              <w:rPr>
                <w:sz w:val="19"/>
                <w:szCs w:val="19"/>
                <w:color w:val="auto"/>
              </w:rPr>
            </w:pPr>
          </w:p>
        </w:tc>
        <w:tc>
          <w:tcPr>
            <w:tcW w:w="1140" w:type="dxa"/>
            <w:vAlign w:val="bottom"/>
            <w:tcBorders>
              <w:right w:val="single" w:sz="8" w:color="auto"/>
            </w:tcBorders>
            <w:gridSpan w:val="2"/>
          </w:tcPr>
          <w:p>
            <w:pPr>
              <w:spacing w:after="0" w:line="223" w:lineRule="exact"/>
              <w:rPr>
                <w:sz w:val="20"/>
                <w:szCs w:val="20"/>
                <w:color w:val="auto"/>
              </w:rPr>
            </w:pPr>
            <w:r>
              <w:rPr>
                <w:rFonts w:ascii="Arial" w:cs="Arial" w:eastAsia="Arial" w:hAnsi="Arial"/>
                <w:sz w:val="21"/>
                <w:szCs w:val="21"/>
                <w:color w:val="auto"/>
              </w:rPr>
              <w:t>Category 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Borders>
              <w:right w:val="single" w:sz="8" w:color="auto"/>
            </w:tcBorders>
            <w:gridSpan w:val="7"/>
          </w:tcPr>
          <w:p>
            <w:pPr>
              <w:jc w:val="center"/>
              <w:ind w:right="320"/>
              <w:spacing w:after="0" w:line="223" w:lineRule="exact"/>
              <w:rPr>
                <w:sz w:val="20"/>
                <w:szCs w:val="20"/>
                <w:color w:val="auto"/>
              </w:rPr>
            </w:pPr>
            <w:r>
              <w:rPr>
                <w:rFonts w:ascii="Arial" w:cs="Arial" w:eastAsia="Arial" w:hAnsi="Arial"/>
                <w:sz w:val="21"/>
                <w:szCs w:val="21"/>
                <w:color w:val="auto"/>
                <w:w w:val="87"/>
              </w:rPr>
              <w:t>&gt; 1.75 to</w:t>
            </w:r>
          </w:p>
        </w:tc>
        <w:tc>
          <w:tcPr>
            <w:tcW w:w="1360" w:type="dxa"/>
            <w:vAlign w:val="bottom"/>
            <w:gridSpan w:val="4"/>
          </w:tcPr>
          <w:p>
            <w:pPr>
              <w:jc w:val="center"/>
              <w:ind w:left="313"/>
              <w:spacing w:after="0" w:line="223" w:lineRule="exact"/>
              <w:rPr>
                <w:sz w:val="20"/>
                <w:szCs w:val="20"/>
                <w:color w:val="auto"/>
              </w:rPr>
            </w:pPr>
            <w:r>
              <w:rPr>
                <w:rFonts w:ascii="Arial" w:cs="Arial" w:eastAsia="Arial" w:hAnsi="Arial"/>
                <w:sz w:val="21"/>
                <w:szCs w:val="21"/>
                <w:color w:val="auto"/>
                <w:w w:val="92"/>
              </w:rPr>
              <w:t>1.625%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720" w:type="dxa"/>
            <w:vAlign w:val="bottom"/>
            <w:gridSpan w:val="2"/>
          </w:tcPr>
          <w:p>
            <w:pPr>
              <w:jc w:val="center"/>
              <w:ind w:left="553"/>
              <w:spacing w:after="0" w:line="223" w:lineRule="exact"/>
              <w:rPr>
                <w:sz w:val="20"/>
                <w:szCs w:val="20"/>
                <w:color w:val="auto"/>
              </w:rPr>
            </w:pPr>
            <w:r>
              <w:rPr>
                <w:rFonts w:ascii="Arial" w:cs="Arial" w:eastAsia="Arial" w:hAnsi="Arial"/>
                <w:sz w:val="21"/>
                <w:szCs w:val="21"/>
                <w:color w:val="auto"/>
                <w:w w:val="92"/>
              </w:rPr>
              <w:t>0.625%</w:t>
            </w:r>
          </w:p>
        </w:tc>
        <w:tc>
          <w:tcPr>
            <w:tcW w:w="660" w:type="dxa"/>
            <w:vAlign w:val="bottom"/>
            <w:tcBorders>
              <w:right w:val="single" w:sz="8" w:color="auto"/>
            </w:tcBorders>
          </w:tcPr>
          <w:p>
            <w:pPr>
              <w:spacing w:after="0"/>
              <w:rPr>
                <w:sz w:val="19"/>
                <w:szCs w:val="19"/>
                <w:color w:val="auto"/>
              </w:rPr>
            </w:pPr>
          </w:p>
        </w:tc>
        <w:tc>
          <w:tcPr>
            <w:tcW w:w="1680" w:type="dxa"/>
            <w:vAlign w:val="bottom"/>
            <w:gridSpan w:val="2"/>
          </w:tcPr>
          <w:p>
            <w:pPr>
              <w:jc w:val="center"/>
              <w:ind w:left="553"/>
              <w:spacing w:after="0" w:line="223" w:lineRule="exact"/>
              <w:rPr>
                <w:sz w:val="20"/>
                <w:szCs w:val="20"/>
                <w:color w:val="auto"/>
              </w:rPr>
            </w:pPr>
            <w:r>
              <w:rPr>
                <w:rFonts w:ascii="Arial" w:cs="Arial" w:eastAsia="Arial" w:hAnsi="Arial"/>
                <w:sz w:val="21"/>
                <w:szCs w:val="21"/>
                <w:color w:val="auto"/>
                <w:w w:val="90"/>
              </w:rPr>
              <w:t>0.20%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0" w:type="dxa"/>
            <w:vAlign w:val="bottom"/>
            <w:tcBorders>
              <w:left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right w:val="single" w:sz="8" w:color="auto"/>
            </w:tcBorders>
            <w:gridSpan w:val="8"/>
          </w:tcPr>
          <w:p>
            <w:pPr>
              <w:jc w:val="center"/>
              <w:spacing w:after="0" w:line="200" w:lineRule="exact"/>
              <w:rPr>
                <w:sz w:val="20"/>
                <w:szCs w:val="20"/>
                <w:color w:val="auto"/>
              </w:rPr>
            </w:pPr>
            <w:r>
              <w:rPr>
                <w:rFonts w:ascii="Arial" w:cs="Arial" w:eastAsia="Arial" w:hAnsi="Arial"/>
                <w:sz w:val="21"/>
                <w:szCs w:val="21"/>
                <w:color w:val="auto"/>
                <w:w w:val="94"/>
              </w:rPr>
              <w:t>1.00 but ≤</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60" w:type="dxa"/>
            <w:vAlign w:val="bottom"/>
            <w:tcBorders>
              <w:left w:val="single" w:sz="8" w:color="auto"/>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40" w:type="dxa"/>
            <w:vAlign w:val="bottom"/>
            <w:tcBorders>
              <w:bottom w:val="single" w:sz="8" w:color="auto"/>
              <w:right w:val="single" w:sz="8" w:color="auto"/>
            </w:tcBorders>
            <w:gridSpan w:val="8"/>
          </w:tcPr>
          <w:p>
            <w:pPr>
              <w:jc w:val="center"/>
              <w:spacing w:after="0"/>
              <w:rPr>
                <w:sz w:val="20"/>
                <w:szCs w:val="20"/>
                <w:color w:val="auto"/>
              </w:rPr>
            </w:pPr>
            <w:r>
              <w:rPr>
                <w:rFonts w:ascii="Arial" w:cs="Arial" w:eastAsia="Arial" w:hAnsi="Arial"/>
                <w:sz w:val="21"/>
                <w:szCs w:val="21"/>
                <w:color w:val="auto"/>
                <w:w w:val="91"/>
              </w:rPr>
              <w:t>2.25 to 1.00</w:t>
            </w:r>
          </w:p>
        </w:tc>
        <w:tc>
          <w:tcPr>
            <w:tcW w:w="4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6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60" w:type="dxa"/>
            <w:vAlign w:val="bottom"/>
            <w:tcBorders>
              <w:left w:val="single" w:sz="8" w:color="auto"/>
            </w:tcBorders>
          </w:tcPr>
          <w:p>
            <w:pPr>
              <w:spacing w:after="0"/>
              <w:rPr>
                <w:sz w:val="19"/>
                <w:szCs w:val="19"/>
                <w:color w:val="auto"/>
              </w:rPr>
            </w:pPr>
          </w:p>
        </w:tc>
        <w:tc>
          <w:tcPr>
            <w:tcW w:w="1140" w:type="dxa"/>
            <w:vAlign w:val="bottom"/>
            <w:tcBorders>
              <w:right w:val="single" w:sz="8" w:color="auto"/>
            </w:tcBorders>
            <w:gridSpan w:val="2"/>
          </w:tcPr>
          <w:p>
            <w:pPr>
              <w:spacing w:after="0" w:line="223" w:lineRule="exact"/>
              <w:rPr>
                <w:sz w:val="20"/>
                <w:szCs w:val="20"/>
                <w:color w:val="auto"/>
              </w:rPr>
            </w:pPr>
            <w:r>
              <w:rPr>
                <w:rFonts w:ascii="Arial" w:cs="Arial" w:eastAsia="Arial" w:hAnsi="Arial"/>
                <w:sz w:val="21"/>
                <w:szCs w:val="21"/>
                <w:color w:val="auto"/>
              </w:rPr>
              <w:t>Category 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Borders>
              <w:right w:val="single" w:sz="8" w:color="auto"/>
            </w:tcBorders>
            <w:gridSpan w:val="7"/>
          </w:tcPr>
          <w:p>
            <w:pPr>
              <w:jc w:val="center"/>
              <w:ind w:right="320"/>
              <w:spacing w:after="0" w:line="223" w:lineRule="exact"/>
              <w:rPr>
                <w:sz w:val="20"/>
                <w:szCs w:val="20"/>
                <w:color w:val="auto"/>
              </w:rPr>
            </w:pPr>
            <w:r>
              <w:rPr>
                <w:rFonts w:ascii="Arial" w:cs="Arial" w:eastAsia="Arial" w:hAnsi="Arial"/>
                <w:sz w:val="21"/>
                <w:szCs w:val="21"/>
                <w:color w:val="auto"/>
                <w:w w:val="87"/>
              </w:rPr>
              <w:t>&gt; 2.25 to</w:t>
            </w:r>
          </w:p>
        </w:tc>
        <w:tc>
          <w:tcPr>
            <w:tcW w:w="1360" w:type="dxa"/>
            <w:vAlign w:val="bottom"/>
            <w:gridSpan w:val="4"/>
          </w:tcPr>
          <w:p>
            <w:pPr>
              <w:jc w:val="center"/>
              <w:ind w:left="333"/>
              <w:spacing w:after="0" w:line="223" w:lineRule="exact"/>
              <w:rPr>
                <w:sz w:val="20"/>
                <w:szCs w:val="20"/>
                <w:color w:val="auto"/>
              </w:rPr>
            </w:pPr>
            <w:r>
              <w:rPr>
                <w:rFonts w:ascii="Arial" w:cs="Arial" w:eastAsia="Arial" w:hAnsi="Arial"/>
                <w:sz w:val="21"/>
                <w:szCs w:val="21"/>
                <w:color w:val="auto"/>
                <w:w w:val="93"/>
              </w:rPr>
              <w:t>1.75%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720" w:type="dxa"/>
            <w:vAlign w:val="bottom"/>
            <w:gridSpan w:val="2"/>
          </w:tcPr>
          <w:p>
            <w:pPr>
              <w:jc w:val="center"/>
              <w:ind w:left="533"/>
              <w:spacing w:after="0" w:line="223" w:lineRule="exact"/>
              <w:rPr>
                <w:sz w:val="20"/>
                <w:szCs w:val="20"/>
                <w:color w:val="auto"/>
              </w:rPr>
            </w:pPr>
            <w:r>
              <w:rPr>
                <w:rFonts w:ascii="Arial" w:cs="Arial" w:eastAsia="Arial" w:hAnsi="Arial"/>
                <w:sz w:val="21"/>
                <w:szCs w:val="21"/>
                <w:color w:val="auto"/>
                <w:w w:val="93"/>
              </w:rPr>
              <w:t>0.75%</w:t>
            </w:r>
          </w:p>
        </w:tc>
        <w:tc>
          <w:tcPr>
            <w:tcW w:w="660" w:type="dxa"/>
            <w:vAlign w:val="bottom"/>
            <w:tcBorders>
              <w:right w:val="single" w:sz="8" w:color="auto"/>
            </w:tcBorders>
          </w:tcPr>
          <w:p>
            <w:pPr>
              <w:spacing w:after="0"/>
              <w:rPr>
                <w:sz w:val="19"/>
                <w:szCs w:val="19"/>
                <w:color w:val="auto"/>
              </w:rPr>
            </w:pPr>
          </w:p>
        </w:tc>
        <w:tc>
          <w:tcPr>
            <w:tcW w:w="1680" w:type="dxa"/>
            <w:vAlign w:val="bottom"/>
            <w:gridSpan w:val="2"/>
          </w:tcPr>
          <w:p>
            <w:pPr>
              <w:jc w:val="center"/>
              <w:ind w:left="553"/>
              <w:spacing w:after="0" w:line="223" w:lineRule="exact"/>
              <w:rPr>
                <w:sz w:val="20"/>
                <w:szCs w:val="20"/>
                <w:color w:val="auto"/>
              </w:rPr>
            </w:pPr>
            <w:r>
              <w:rPr>
                <w:rFonts w:ascii="Arial" w:cs="Arial" w:eastAsia="Arial" w:hAnsi="Arial"/>
                <w:sz w:val="21"/>
                <w:szCs w:val="21"/>
                <w:color w:val="auto"/>
                <w:w w:val="90"/>
              </w:rPr>
              <w:t>0.25%</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0" w:type="dxa"/>
            <w:vAlign w:val="bottom"/>
            <w:tcBorders>
              <w:left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right w:val="single" w:sz="8" w:color="auto"/>
            </w:tcBorders>
            <w:gridSpan w:val="8"/>
          </w:tcPr>
          <w:p>
            <w:pPr>
              <w:jc w:val="center"/>
              <w:spacing w:after="0" w:line="208" w:lineRule="exact"/>
              <w:rPr>
                <w:sz w:val="20"/>
                <w:szCs w:val="20"/>
                <w:color w:val="auto"/>
              </w:rPr>
            </w:pPr>
            <w:r>
              <w:rPr>
                <w:rFonts w:ascii="Arial" w:cs="Arial" w:eastAsia="Arial" w:hAnsi="Arial"/>
                <w:sz w:val="21"/>
                <w:szCs w:val="21"/>
                <w:color w:val="auto"/>
                <w:w w:val="93"/>
              </w:rPr>
              <w:t>1.00 but &lt;</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0" w:type="dxa"/>
            <w:vAlign w:val="bottom"/>
            <w:tcBorders>
              <w:left w:val="single" w:sz="8" w:color="auto"/>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6"/>
          </w:tcPr>
          <w:p>
            <w:pPr>
              <w:ind w:left="240"/>
              <w:spacing w:after="0"/>
              <w:rPr>
                <w:sz w:val="20"/>
                <w:szCs w:val="20"/>
                <w:color w:val="auto"/>
              </w:rPr>
            </w:pPr>
            <w:r>
              <w:rPr>
                <w:rFonts w:ascii="Arial" w:cs="Arial" w:eastAsia="Arial" w:hAnsi="Arial"/>
                <w:sz w:val="21"/>
                <w:szCs w:val="21"/>
                <w:color w:val="auto"/>
                <w:w w:val="82"/>
              </w:rPr>
              <w:t>2.75 to 1.00</w:t>
            </w:r>
          </w:p>
        </w:tc>
        <w:tc>
          <w:tcPr>
            <w:tcW w:w="260" w:type="dxa"/>
            <w:vAlign w:val="bottom"/>
            <w:tcBorders>
              <w:bottom w:val="single" w:sz="8" w:color="auto"/>
              <w:right w:val="single" w:sz="8" w:color="auto"/>
            </w:tcBorders>
            <w:gridSpan w:val="2"/>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1140" w:type="dxa"/>
            <w:vAlign w:val="bottom"/>
            <w:tcBorders>
              <w:right w:val="single" w:sz="8" w:color="auto"/>
            </w:tcBorders>
            <w:gridSpan w:val="2"/>
          </w:tcPr>
          <w:p>
            <w:pPr>
              <w:spacing w:after="0" w:line="221" w:lineRule="exact"/>
              <w:rPr>
                <w:sz w:val="20"/>
                <w:szCs w:val="20"/>
                <w:color w:val="auto"/>
              </w:rPr>
            </w:pPr>
            <w:r>
              <w:rPr>
                <w:rFonts w:ascii="Arial" w:cs="Arial" w:eastAsia="Arial" w:hAnsi="Arial"/>
                <w:sz w:val="21"/>
                <w:szCs w:val="21"/>
                <w:color w:val="auto"/>
              </w:rPr>
              <w:t>Category 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Borders>
              <w:right w:val="single" w:sz="8" w:color="auto"/>
            </w:tcBorders>
            <w:gridSpan w:val="7"/>
          </w:tcPr>
          <w:p>
            <w:pPr>
              <w:jc w:val="center"/>
              <w:ind w:right="320"/>
              <w:spacing w:after="0" w:line="221" w:lineRule="exact"/>
              <w:rPr>
                <w:sz w:val="20"/>
                <w:szCs w:val="20"/>
                <w:color w:val="auto"/>
              </w:rPr>
            </w:pPr>
            <w:r>
              <w:rPr>
                <w:rFonts w:ascii="Arial" w:cs="Arial" w:eastAsia="Arial" w:hAnsi="Arial"/>
                <w:sz w:val="21"/>
                <w:szCs w:val="21"/>
                <w:color w:val="auto"/>
                <w:w w:val="87"/>
              </w:rPr>
              <w:t>&gt; 2.75 to</w:t>
            </w:r>
          </w:p>
        </w:tc>
        <w:tc>
          <w:tcPr>
            <w:tcW w:w="1360" w:type="dxa"/>
            <w:vAlign w:val="bottom"/>
            <w:gridSpan w:val="4"/>
          </w:tcPr>
          <w:p>
            <w:pPr>
              <w:jc w:val="center"/>
              <w:ind w:left="333"/>
              <w:spacing w:after="0" w:line="221" w:lineRule="exact"/>
              <w:rPr>
                <w:sz w:val="20"/>
                <w:szCs w:val="20"/>
                <w:color w:val="auto"/>
              </w:rPr>
            </w:pPr>
            <w:r>
              <w:rPr>
                <w:rFonts w:ascii="Arial" w:cs="Arial" w:eastAsia="Arial" w:hAnsi="Arial"/>
                <w:sz w:val="21"/>
                <w:szCs w:val="21"/>
                <w:color w:val="auto"/>
                <w:w w:val="93"/>
              </w:rPr>
              <w:t>2.00%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720" w:type="dxa"/>
            <w:vAlign w:val="bottom"/>
            <w:gridSpan w:val="2"/>
          </w:tcPr>
          <w:p>
            <w:pPr>
              <w:jc w:val="center"/>
              <w:ind w:left="533"/>
              <w:spacing w:after="0" w:line="221" w:lineRule="exact"/>
              <w:rPr>
                <w:sz w:val="20"/>
                <w:szCs w:val="20"/>
                <w:color w:val="auto"/>
              </w:rPr>
            </w:pPr>
            <w:r>
              <w:rPr>
                <w:rFonts w:ascii="Arial" w:cs="Arial" w:eastAsia="Arial" w:hAnsi="Arial"/>
                <w:sz w:val="21"/>
                <w:szCs w:val="21"/>
                <w:color w:val="auto"/>
                <w:w w:val="93"/>
              </w:rPr>
              <w:t>1.00%</w:t>
            </w:r>
          </w:p>
        </w:tc>
        <w:tc>
          <w:tcPr>
            <w:tcW w:w="660" w:type="dxa"/>
            <w:vAlign w:val="bottom"/>
            <w:tcBorders>
              <w:right w:val="single" w:sz="8" w:color="auto"/>
            </w:tcBorders>
          </w:tcPr>
          <w:p>
            <w:pPr>
              <w:spacing w:after="0"/>
              <w:rPr>
                <w:sz w:val="19"/>
                <w:szCs w:val="19"/>
                <w:color w:val="auto"/>
              </w:rPr>
            </w:pPr>
          </w:p>
        </w:tc>
        <w:tc>
          <w:tcPr>
            <w:tcW w:w="1680" w:type="dxa"/>
            <w:vAlign w:val="bottom"/>
            <w:gridSpan w:val="2"/>
          </w:tcPr>
          <w:p>
            <w:pPr>
              <w:jc w:val="center"/>
              <w:ind w:left="553"/>
              <w:spacing w:after="0" w:line="221" w:lineRule="exact"/>
              <w:rPr>
                <w:sz w:val="20"/>
                <w:szCs w:val="20"/>
                <w:color w:val="auto"/>
              </w:rPr>
            </w:pPr>
            <w:r>
              <w:rPr>
                <w:rFonts w:ascii="Arial" w:cs="Arial" w:eastAsia="Arial" w:hAnsi="Arial"/>
                <w:sz w:val="21"/>
                <w:szCs w:val="21"/>
                <w:color w:val="auto"/>
                <w:w w:val="92"/>
              </w:rPr>
              <w:t>0.275%</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0" w:type="dxa"/>
            <w:vAlign w:val="bottom"/>
            <w:tcBorders>
              <w:left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right w:val="single" w:sz="8" w:color="auto"/>
            </w:tcBorders>
            <w:gridSpan w:val="8"/>
          </w:tcPr>
          <w:p>
            <w:pPr>
              <w:jc w:val="center"/>
              <w:spacing w:after="0" w:line="208" w:lineRule="exact"/>
              <w:rPr>
                <w:sz w:val="20"/>
                <w:szCs w:val="20"/>
                <w:color w:val="auto"/>
              </w:rPr>
            </w:pPr>
            <w:r>
              <w:rPr>
                <w:rFonts w:ascii="Arial" w:cs="Arial" w:eastAsia="Arial" w:hAnsi="Arial"/>
                <w:sz w:val="21"/>
                <w:szCs w:val="21"/>
                <w:color w:val="auto"/>
                <w:w w:val="93"/>
              </w:rPr>
              <w:t>1.00 but &lt;</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0" w:type="dxa"/>
            <w:vAlign w:val="bottom"/>
            <w:tcBorders>
              <w:left w:val="single" w:sz="8" w:color="auto"/>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6"/>
          </w:tcPr>
          <w:p>
            <w:pPr>
              <w:ind w:left="240"/>
              <w:spacing w:after="0"/>
              <w:rPr>
                <w:sz w:val="20"/>
                <w:szCs w:val="20"/>
                <w:color w:val="auto"/>
              </w:rPr>
            </w:pPr>
            <w:r>
              <w:rPr>
                <w:rFonts w:ascii="Arial" w:cs="Arial" w:eastAsia="Arial" w:hAnsi="Arial"/>
                <w:sz w:val="21"/>
                <w:szCs w:val="21"/>
                <w:color w:val="auto"/>
                <w:w w:val="82"/>
              </w:rPr>
              <w:t>3.25 to 1.00</w:t>
            </w:r>
          </w:p>
        </w:tc>
        <w:tc>
          <w:tcPr>
            <w:tcW w:w="260" w:type="dxa"/>
            <w:vAlign w:val="bottom"/>
            <w:tcBorders>
              <w:bottom w:val="single" w:sz="8" w:color="auto"/>
              <w:right w:val="single" w:sz="8" w:color="auto"/>
            </w:tcBorders>
            <w:gridSpan w:val="2"/>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1140" w:type="dxa"/>
            <w:vAlign w:val="bottom"/>
            <w:tcBorders>
              <w:right w:val="single" w:sz="8" w:color="auto"/>
            </w:tcBorders>
            <w:gridSpan w:val="2"/>
          </w:tcPr>
          <w:p>
            <w:pPr>
              <w:spacing w:after="0" w:line="221" w:lineRule="exact"/>
              <w:rPr>
                <w:sz w:val="20"/>
                <w:szCs w:val="20"/>
                <w:color w:val="auto"/>
              </w:rPr>
            </w:pPr>
            <w:r>
              <w:rPr>
                <w:rFonts w:ascii="Arial" w:cs="Arial" w:eastAsia="Arial" w:hAnsi="Arial"/>
                <w:sz w:val="21"/>
                <w:szCs w:val="21"/>
                <w:color w:val="auto"/>
              </w:rPr>
              <w:t>Category 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Borders>
              <w:right w:val="single" w:sz="8" w:color="auto"/>
            </w:tcBorders>
            <w:gridSpan w:val="7"/>
          </w:tcPr>
          <w:p>
            <w:pPr>
              <w:jc w:val="center"/>
              <w:ind w:right="320"/>
              <w:spacing w:after="0" w:line="221" w:lineRule="exact"/>
              <w:rPr>
                <w:sz w:val="20"/>
                <w:szCs w:val="20"/>
                <w:color w:val="auto"/>
              </w:rPr>
            </w:pPr>
            <w:r>
              <w:rPr>
                <w:rFonts w:ascii="Arial" w:cs="Arial" w:eastAsia="Arial" w:hAnsi="Arial"/>
                <w:sz w:val="21"/>
                <w:szCs w:val="21"/>
                <w:color w:val="auto"/>
                <w:w w:val="87"/>
              </w:rPr>
              <w:t>&gt; 3.25 to</w:t>
            </w:r>
          </w:p>
        </w:tc>
        <w:tc>
          <w:tcPr>
            <w:tcW w:w="1360" w:type="dxa"/>
            <w:vAlign w:val="bottom"/>
            <w:gridSpan w:val="4"/>
          </w:tcPr>
          <w:p>
            <w:pPr>
              <w:jc w:val="center"/>
              <w:ind w:left="333"/>
              <w:spacing w:after="0" w:line="221" w:lineRule="exact"/>
              <w:rPr>
                <w:sz w:val="20"/>
                <w:szCs w:val="20"/>
                <w:color w:val="auto"/>
              </w:rPr>
            </w:pPr>
            <w:r>
              <w:rPr>
                <w:rFonts w:ascii="Arial" w:cs="Arial" w:eastAsia="Arial" w:hAnsi="Arial"/>
                <w:sz w:val="21"/>
                <w:szCs w:val="21"/>
                <w:color w:val="auto"/>
                <w:w w:val="93"/>
              </w:rPr>
              <w:t>2.25%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720" w:type="dxa"/>
            <w:vAlign w:val="bottom"/>
            <w:gridSpan w:val="2"/>
          </w:tcPr>
          <w:p>
            <w:pPr>
              <w:jc w:val="center"/>
              <w:ind w:left="533"/>
              <w:spacing w:after="0" w:line="221" w:lineRule="exact"/>
              <w:rPr>
                <w:sz w:val="20"/>
                <w:szCs w:val="20"/>
                <w:color w:val="auto"/>
              </w:rPr>
            </w:pPr>
            <w:r>
              <w:rPr>
                <w:rFonts w:ascii="Arial" w:cs="Arial" w:eastAsia="Arial" w:hAnsi="Arial"/>
                <w:sz w:val="21"/>
                <w:szCs w:val="21"/>
                <w:color w:val="auto"/>
                <w:w w:val="93"/>
              </w:rPr>
              <w:t>1.25%</w:t>
            </w:r>
          </w:p>
        </w:tc>
        <w:tc>
          <w:tcPr>
            <w:tcW w:w="660" w:type="dxa"/>
            <w:vAlign w:val="bottom"/>
            <w:tcBorders>
              <w:right w:val="single" w:sz="8" w:color="auto"/>
            </w:tcBorders>
          </w:tcPr>
          <w:p>
            <w:pPr>
              <w:spacing w:after="0"/>
              <w:rPr>
                <w:sz w:val="19"/>
                <w:szCs w:val="19"/>
                <w:color w:val="auto"/>
              </w:rPr>
            </w:pPr>
          </w:p>
        </w:tc>
        <w:tc>
          <w:tcPr>
            <w:tcW w:w="1680" w:type="dxa"/>
            <w:vAlign w:val="bottom"/>
            <w:gridSpan w:val="2"/>
          </w:tcPr>
          <w:p>
            <w:pPr>
              <w:jc w:val="center"/>
              <w:ind w:left="553"/>
              <w:spacing w:after="0" w:line="221" w:lineRule="exact"/>
              <w:rPr>
                <w:sz w:val="20"/>
                <w:szCs w:val="20"/>
                <w:color w:val="auto"/>
              </w:rPr>
            </w:pPr>
            <w:r>
              <w:rPr>
                <w:rFonts w:ascii="Arial" w:cs="Arial" w:eastAsia="Arial" w:hAnsi="Arial"/>
                <w:sz w:val="21"/>
                <w:szCs w:val="21"/>
                <w:color w:val="auto"/>
                <w:w w:val="90"/>
              </w:rPr>
              <w:t>0.30%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0" w:type="dxa"/>
            <w:vAlign w:val="bottom"/>
            <w:tcBorders>
              <w:left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right w:val="single" w:sz="8" w:color="auto"/>
            </w:tcBorders>
            <w:gridSpan w:val="8"/>
          </w:tcPr>
          <w:p>
            <w:pPr>
              <w:jc w:val="center"/>
              <w:spacing w:after="0" w:line="208" w:lineRule="exact"/>
              <w:rPr>
                <w:sz w:val="20"/>
                <w:szCs w:val="20"/>
                <w:color w:val="auto"/>
              </w:rPr>
            </w:pPr>
            <w:r>
              <w:rPr>
                <w:rFonts w:ascii="Arial" w:cs="Arial" w:eastAsia="Arial" w:hAnsi="Arial"/>
                <w:sz w:val="21"/>
                <w:szCs w:val="21"/>
                <w:color w:val="auto"/>
                <w:w w:val="93"/>
              </w:rPr>
              <w:t>1.00 but &lt;</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0" w:type="dxa"/>
            <w:vAlign w:val="bottom"/>
            <w:tcBorders>
              <w:left w:val="single" w:sz="8" w:color="auto"/>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6"/>
          </w:tcPr>
          <w:p>
            <w:pPr>
              <w:ind w:left="240"/>
              <w:spacing w:after="0"/>
              <w:rPr>
                <w:sz w:val="20"/>
                <w:szCs w:val="20"/>
                <w:color w:val="auto"/>
              </w:rPr>
            </w:pPr>
            <w:r>
              <w:rPr>
                <w:rFonts w:ascii="Arial" w:cs="Arial" w:eastAsia="Arial" w:hAnsi="Arial"/>
                <w:sz w:val="21"/>
                <w:szCs w:val="21"/>
                <w:color w:val="auto"/>
                <w:w w:val="82"/>
              </w:rPr>
              <w:t>3.75 to 1.00</w:t>
            </w:r>
          </w:p>
        </w:tc>
        <w:tc>
          <w:tcPr>
            <w:tcW w:w="260" w:type="dxa"/>
            <w:vAlign w:val="bottom"/>
            <w:tcBorders>
              <w:bottom w:val="single" w:sz="8" w:color="auto"/>
              <w:right w:val="single" w:sz="8" w:color="auto"/>
            </w:tcBorders>
            <w:gridSpan w:val="2"/>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60" w:type="dxa"/>
            <w:vAlign w:val="bottom"/>
            <w:tcBorders>
              <w:left w:val="single" w:sz="8" w:color="auto"/>
            </w:tcBorders>
          </w:tcPr>
          <w:p>
            <w:pPr>
              <w:spacing w:after="0"/>
              <w:rPr>
                <w:sz w:val="19"/>
                <w:szCs w:val="19"/>
                <w:color w:val="auto"/>
              </w:rPr>
            </w:pPr>
          </w:p>
        </w:tc>
        <w:tc>
          <w:tcPr>
            <w:tcW w:w="1140" w:type="dxa"/>
            <w:vAlign w:val="bottom"/>
            <w:tcBorders>
              <w:right w:val="single" w:sz="8" w:color="auto"/>
            </w:tcBorders>
            <w:gridSpan w:val="2"/>
          </w:tcPr>
          <w:p>
            <w:pPr>
              <w:spacing w:after="0" w:line="221" w:lineRule="exact"/>
              <w:rPr>
                <w:sz w:val="20"/>
                <w:szCs w:val="20"/>
                <w:color w:val="auto"/>
              </w:rPr>
            </w:pPr>
            <w:r>
              <w:rPr>
                <w:rFonts w:ascii="Arial" w:cs="Arial" w:eastAsia="Arial" w:hAnsi="Arial"/>
                <w:sz w:val="21"/>
                <w:szCs w:val="21"/>
                <w:color w:val="auto"/>
              </w:rPr>
              <w:t>Category 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right w:val="single" w:sz="8" w:color="auto"/>
            </w:tcBorders>
            <w:gridSpan w:val="8"/>
          </w:tcPr>
          <w:p>
            <w:pPr>
              <w:jc w:val="center"/>
              <w:ind w:right="320"/>
              <w:spacing w:after="0" w:line="221" w:lineRule="exact"/>
              <w:rPr>
                <w:sz w:val="20"/>
                <w:szCs w:val="20"/>
                <w:color w:val="auto"/>
              </w:rPr>
            </w:pPr>
            <w:r>
              <w:rPr>
                <w:rFonts w:ascii="Arial" w:cs="Arial" w:eastAsia="Arial" w:hAnsi="Arial"/>
                <w:sz w:val="21"/>
                <w:szCs w:val="21"/>
                <w:color w:val="auto"/>
                <w:w w:val="92"/>
              </w:rPr>
              <w:t>&gt; 3.75 to</w:t>
            </w:r>
          </w:p>
        </w:tc>
        <w:tc>
          <w:tcPr>
            <w:tcW w:w="1360" w:type="dxa"/>
            <w:vAlign w:val="bottom"/>
            <w:gridSpan w:val="4"/>
          </w:tcPr>
          <w:p>
            <w:pPr>
              <w:jc w:val="center"/>
              <w:ind w:left="333"/>
              <w:spacing w:after="0" w:line="221" w:lineRule="exact"/>
              <w:rPr>
                <w:sz w:val="20"/>
                <w:szCs w:val="20"/>
                <w:color w:val="auto"/>
              </w:rPr>
            </w:pPr>
            <w:r>
              <w:rPr>
                <w:rFonts w:ascii="Arial" w:cs="Arial" w:eastAsia="Arial" w:hAnsi="Arial"/>
                <w:sz w:val="21"/>
                <w:szCs w:val="21"/>
                <w:color w:val="auto"/>
                <w:w w:val="93"/>
              </w:rPr>
              <w:t>2.75%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720" w:type="dxa"/>
            <w:vAlign w:val="bottom"/>
            <w:gridSpan w:val="2"/>
          </w:tcPr>
          <w:p>
            <w:pPr>
              <w:jc w:val="center"/>
              <w:ind w:left="533"/>
              <w:spacing w:after="0" w:line="221" w:lineRule="exact"/>
              <w:rPr>
                <w:sz w:val="20"/>
                <w:szCs w:val="20"/>
                <w:color w:val="auto"/>
              </w:rPr>
            </w:pPr>
            <w:r>
              <w:rPr>
                <w:rFonts w:ascii="Arial" w:cs="Arial" w:eastAsia="Arial" w:hAnsi="Arial"/>
                <w:sz w:val="21"/>
                <w:szCs w:val="21"/>
                <w:color w:val="auto"/>
                <w:w w:val="93"/>
              </w:rPr>
              <w:t>1.75%</w:t>
            </w:r>
          </w:p>
        </w:tc>
        <w:tc>
          <w:tcPr>
            <w:tcW w:w="660" w:type="dxa"/>
            <w:vAlign w:val="bottom"/>
            <w:tcBorders>
              <w:right w:val="single" w:sz="8" w:color="auto"/>
            </w:tcBorders>
          </w:tcPr>
          <w:p>
            <w:pPr>
              <w:spacing w:after="0"/>
              <w:rPr>
                <w:sz w:val="19"/>
                <w:szCs w:val="19"/>
                <w:color w:val="auto"/>
              </w:rPr>
            </w:pPr>
          </w:p>
        </w:tc>
        <w:tc>
          <w:tcPr>
            <w:tcW w:w="1680" w:type="dxa"/>
            <w:vAlign w:val="bottom"/>
            <w:gridSpan w:val="2"/>
          </w:tcPr>
          <w:p>
            <w:pPr>
              <w:jc w:val="center"/>
              <w:ind w:left="553"/>
              <w:spacing w:after="0" w:line="221" w:lineRule="exact"/>
              <w:rPr>
                <w:sz w:val="20"/>
                <w:szCs w:val="20"/>
                <w:color w:val="auto"/>
              </w:rPr>
            </w:pPr>
            <w:r>
              <w:rPr>
                <w:rFonts w:ascii="Arial" w:cs="Arial" w:eastAsia="Arial" w:hAnsi="Arial"/>
                <w:sz w:val="21"/>
                <w:szCs w:val="21"/>
                <w:color w:val="auto"/>
                <w:w w:val="90"/>
              </w:rPr>
              <w:t>0.35%</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460" w:type="dxa"/>
            <w:vAlign w:val="bottom"/>
            <w:tcBorders>
              <w:left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1080" w:type="dxa"/>
            <w:vAlign w:val="bottom"/>
            <w:tcBorders>
              <w:bottom w:val="single" w:sz="8" w:color="auto"/>
            </w:tcBorders>
            <w:gridSpan w:val="4"/>
          </w:tcPr>
          <w:p>
            <w:pPr>
              <w:jc w:val="center"/>
              <w:ind w:left="533"/>
              <w:spacing w:after="0"/>
              <w:rPr>
                <w:sz w:val="20"/>
                <w:szCs w:val="20"/>
                <w:color w:val="auto"/>
              </w:rPr>
            </w:pPr>
            <w:r>
              <w:rPr>
                <w:rFonts w:ascii="Arial" w:cs="Arial" w:eastAsia="Arial" w:hAnsi="Arial"/>
                <w:sz w:val="21"/>
                <w:szCs w:val="21"/>
                <w:color w:val="auto"/>
                <w:w w:val="87"/>
              </w:rPr>
              <w:t>1.00</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6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381" w:lineRule="exact"/>
        <w:rPr>
          <w:sz w:val="20"/>
          <w:szCs w:val="20"/>
          <w:color w:val="auto"/>
        </w:rPr>
      </w:pPr>
    </w:p>
    <w:p>
      <w:pPr>
        <w:ind w:left="700"/>
        <w:spacing w:after="0"/>
        <w:rPr>
          <w:sz w:val="20"/>
          <w:szCs w:val="20"/>
          <w:color w:val="auto"/>
        </w:rPr>
      </w:pPr>
      <w:r>
        <w:rPr>
          <w:rFonts w:ascii="Arial" w:cs="Arial" w:eastAsia="Arial" w:hAnsi="Arial"/>
          <w:sz w:val="21"/>
          <w:szCs w:val="21"/>
          <w:color w:val="auto"/>
        </w:rPr>
        <w:t>For purposes of the foregoing,</w:t>
      </w:r>
    </w:p>
    <w:p>
      <w:pPr>
        <w:spacing w:after="0" w:line="228" w:lineRule="exact"/>
        <w:rPr>
          <w:sz w:val="20"/>
          <w:szCs w:val="20"/>
          <w:color w:val="auto"/>
        </w:rPr>
      </w:pPr>
    </w:p>
    <w:p>
      <w:pPr>
        <w:jc w:val="both"/>
        <w:ind w:left="1340" w:firstLine="643"/>
        <w:spacing w:after="0" w:line="224" w:lineRule="auto"/>
        <w:tabs>
          <w:tab w:leader="none" w:pos="2421" w:val="left"/>
        </w:tabs>
        <w:numPr>
          <w:ilvl w:val="0"/>
          <w:numId w:val="31"/>
        </w:numPr>
        <w:rPr>
          <w:rFonts w:ascii="Arial" w:cs="Arial" w:eastAsia="Arial" w:hAnsi="Arial"/>
          <w:sz w:val="21"/>
          <w:szCs w:val="21"/>
          <w:color w:val="auto"/>
        </w:rPr>
      </w:pPr>
      <w:r>
        <w:rPr>
          <w:rFonts w:ascii="Arial" w:cs="Arial" w:eastAsia="Arial" w:hAnsi="Arial"/>
          <w:sz w:val="21"/>
          <w:szCs w:val="21"/>
          <w:color w:val="auto"/>
        </w:rPr>
        <w:t>if at any time the Borrower fails to deliver the Financials on or before the date the Financials are due pursuant to Section 5.01, Category 7 shall be deemed applicable for the period commencing three (3) Business Days after the required date of delivery and ending on the date which is three (3) Business Days after the Financials are actually delivered, after which the Category shall be determined in accordance with the table above as applicable;</w:t>
      </w:r>
    </w:p>
    <w:p>
      <w:pPr>
        <w:spacing w:after="0" w:line="200" w:lineRule="exact"/>
        <w:rPr>
          <w:rFonts w:ascii="Arial" w:cs="Arial" w:eastAsia="Arial" w:hAnsi="Arial"/>
          <w:sz w:val="21"/>
          <w:szCs w:val="21"/>
          <w:color w:val="auto"/>
        </w:rPr>
      </w:pPr>
    </w:p>
    <w:p>
      <w:pPr>
        <w:jc w:val="both"/>
        <w:ind w:left="1340" w:right="120" w:firstLine="643"/>
        <w:spacing w:after="0" w:line="227" w:lineRule="auto"/>
        <w:tabs>
          <w:tab w:leader="none" w:pos="2519" w:val="left"/>
        </w:tabs>
        <w:numPr>
          <w:ilvl w:val="0"/>
          <w:numId w:val="31"/>
        </w:numPr>
        <w:rPr>
          <w:rFonts w:ascii="Arial" w:cs="Arial" w:eastAsia="Arial" w:hAnsi="Arial"/>
          <w:sz w:val="21"/>
          <w:szCs w:val="21"/>
          <w:color w:val="auto"/>
        </w:rPr>
      </w:pPr>
      <w:r>
        <w:rPr>
          <w:rFonts w:ascii="Arial" w:cs="Arial" w:eastAsia="Arial" w:hAnsi="Arial"/>
          <w:sz w:val="21"/>
          <w:szCs w:val="21"/>
          <w:color w:val="auto"/>
        </w:rPr>
        <w:t>adjustments, if any, to the Category then in effect shall be effective three (3) Business Days after the Administrative Agent has received the applicable Financials (it being understood and agreed that each change in Category shall apply during the period commencing on the effective date of such change and ending on the date immediately preceding the effective date of the next such change); and</w:t>
      </w:r>
    </w:p>
    <w:p>
      <w:pPr>
        <w:spacing w:after="0" w:line="185" w:lineRule="exact"/>
        <w:rPr>
          <w:rFonts w:ascii="Arial" w:cs="Arial" w:eastAsia="Arial" w:hAnsi="Arial"/>
          <w:sz w:val="21"/>
          <w:szCs w:val="21"/>
          <w:color w:val="auto"/>
        </w:rPr>
      </w:pPr>
    </w:p>
    <w:p>
      <w:pPr>
        <w:jc w:val="both"/>
        <w:ind w:left="1340" w:right="120" w:firstLine="643"/>
        <w:spacing w:after="0" w:line="232" w:lineRule="auto"/>
        <w:tabs>
          <w:tab w:leader="none" w:pos="2835" w:val="left"/>
        </w:tabs>
        <w:numPr>
          <w:ilvl w:val="0"/>
          <w:numId w:val="31"/>
        </w:numPr>
        <w:rPr>
          <w:rFonts w:ascii="Arial" w:cs="Arial" w:eastAsia="Arial" w:hAnsi="Arial"/>
          <w:sz w:val="21"/>
          <w:szCs w:val="21"/>
          <w:color w:val="auto"/>
        </w:rPr>
      </w:pPr>
      <w:r>
        <w:rPr>
          <w:rFonts w:ascii="Arial" w:cs="Arial" w:eastAsia="Arial" w:hAnsi="Arial"/>
          <w:sz w:val="21"/>
          <w:szCs w:val="21"/>
          <w:color w:val="auto"/>
        </w:rPr>
        <w:t>notwithstanding the foregoing, Category 6 shall be deemed to be applicable until the Administrative Agent’s receipt of the applicable Financials for the Borrower’s first full fiscal quarter ending after the Effective Date (unless such</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160"/>
          </w:cols>
          <w:pgMar w:left="400" w:top="1433" w:right="339" w:bottom="1440" w:gutter="0" w:footer="0" w:header="0"/>
        </w:sectPr>
      </w:pPr>
    </w:p>
    <w:bookmarkStart w:id="94" w:name="page95"/>
    <w:bookmarkEnd w:id="94"/>
    <w:p>
      <w:pPr>
        <w:jc w:val="both"/>
        <w:ind w:left="1340" w:right="20"/>
        <w:spacing w:after="0" w:line="232" w:lineRule="auto"/>
        <w:rPr>
          <w:sz w:val="20"/>
          <w:szCs w:val="20"/>
          <w:color w:val="auto"/>
        </w:rPr>
      </w:pPr>
      <w:r>
        <w:rPr>
          <w:rFonts w:ascii="Arial" w:cs="Arial" w:eastAsia="Arial" w:hAnsi="Arial"/>
          <w:sz w:val="21"/>
          <w:szCs w:val="21"/>
          <w:color w:val="auto"/>
        </w:rPr>
        <w:t>Financials demonstrate that Category 7 should have been applicable during such period, in which case such other Category shall be deemed to be applicable during such period) and adjustments to the Category then in effect shall thereafter be effected in accordance with the preceding paragraphs.</w:t>
      </w:r>
    </w:p>
    <w:p>
      <w:pPr>
        <w:spacing w:after="0" w:line="184"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Applicable Time</w:t>
      </w:r>
      <w:r>
        <w:rPr>
          <w:rFonts w:ascii="Arial" w:cs="Arial" w:eastAsia="Arial" w:hAnsi="Arial"/>
          <w:sz w:val="21"/>
          <w:szCs w:val="21"/>
          <w:color w:val="auto"/>
        </w:rPr>
        <w:t>” means, with respect to any Borrowings and payments in any Foreign Currency, the local time in the place of settlement for such Foreign Currency as may be determined by the Administrative Agent or the Issuing Bank, as the case may be, to be necessary for timely settlement on the relevant date in accordance with normal banking procedures in the place of payment.</w:t>
      </w:r>
    </w:p>
    <w:p>
      <w:pPr>
        <w:spacing w:after="0" w:line="320" w:lineRule="exact"/>
        <w:rPr>
          <w:sz w:val="20"/>
          <w:szCs w:val="20"/>
          <w:color w:val="auto"/>
        </w:rPr>
      </w:pPr>
    </w:p>
    <w:p>
      <w:pPr>
        <w:ind w:left="700" w:right="620"/>
        <w:spacing w:after="0" w:line="39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Approved Electronic Platform</w:t>
      </w:r>
      <w:r>
        <w:rPr>
          <w:rFonts w:ascii="Arial" w:cs="Arial" w:eastAsia="Arial" w:hAnsi="Arial"/>
          <w:sz w:val="21"/>
          <w:szCs w:val="21"/>
          <w:color w:val="auto"/>
        </w:rPr>
        <w:t>” has the meaning assigned to it in Section 8.03(a). “</w:t>
      </w:r>
      <w:r>
        <w:rPr>
          <w:rFonts w:ascii="Arial" w:cs="Arial" w:eastAsia="Arial" w:hAnsi="Arial"/>
          <w:sz w:val="21"/>
          <w:szCs w:val="21"/>
          <w:b w:val="1"/>
          <w:bCs w:val="1"/>
          <w:i w:val="1"/>
          <w:iCs w:val="1"/>
          <w:color w:val="auto"/>
        </w:rPr>
        <w:t>Approved Fund</w:t>
      </w:r>
      <w:r>
        <w:rPr>
          <w:rFonts w:ascii="Arial" w:cs="Arial" w:eastAsia="Arial" w:hAnsi="Arial"/>
          <w:sz w:val="21"/>
          <w:szCs w:val="21"/>
          <w:color w:val="auto"/>
        </w:rPr>
        <w:t>” has the meaning assigned to it in Section 9.04(b).</w:t>
      </w:r>
    </w:p>
    <w:p>
      <w:pPr>
        <w:spacing w:after="0" w:line="1"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Arrangers</w:t>
      </w:r>
      <w:r>
        <w:rPr>
          <w:rFonts w:ascii="Arial" w:cs="Arial" w:eastAsia="Arial" w:hAnsi="Arial"/>
          <w:sz w:val="21"/>
          <w:szCs w:val="21"/>
          <w:color w:val="auto"/>
        </w:rPr>
        <w:t>” means JPMorgan Chase Bank, N.A. and BofA Securities, Inc. in their respective capacities as joint bookrunners and joint lead arrangers hereunder.</w:t>
      </w:r>
    </w:p>
    <w:p>
      <w:pPr>
        <w:spacing w:after="0" w:line="193"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Assignment and Assumption</w:t>
      </w:r>
      <w:r>
        <w:rPr>
          <w:rFonts w:ascii="Arial" w:cs="Arial" w:eastAsia="Arial" w:hAnsi="Arial"/>
          <w:sz w:val="21"/>
          <w:szCs w:val="21"/>
          <w:color w:val="auto"/>
        </w:rPr>
        <w:t>” means an assignment and assumption entered into by a Lender and an assignee (with the consent of any party whose consent is required by Section 9.04), and accepted by the Administrative Agent, in the form of Exhibit A or any other form (including electronic records generated by the use of an electronic platform) approved by the Administrative Agent.</w:t>
      </w:r>
    </w:p>
    <w:p>
      <w:pPr>
        <w:spacing w:after="0" w:line="266" w:lineRule="exact"/>
        <w:rPr>
          <w:sz w:val="20"/>
          <w:szCs w:val="20"/>
          <w:color w:val="auto"/>
        </w:rPr>
      </w:pPr>
    </w:p>
    <w:p>
      <w:pPr>
        <w:jc w:val="both"/>
        <w:ind w:left="60" w:firstLine="642"/>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Attributable Indebtedness</w:t>
      </w:r>
      <w:r>
        <w:rPr>
          <w:rFonts w:ascii="Arial" w:cs="Arial" w:eastAsia="Arial" w:hAnsi="Arial"/>
          <w:sz w:val="19"/>
          <w:szCs w:val="19"/>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 lease.</w:t>
      </w:r>
    </w:p>
    <w:p>
      <w:pPr>
        <w:spacing w:after="0" w:line="189" w:lineRule="exact"/>
        <w:rPr>
          <w:sz w:val="20"/>
          <w:szCs w:val="20"/>
          <w:color w:val="auto"/>
        </w:rPr>
      </w:pPr>
    </w:p>
    <w:p>
      <w:pPr>
        <w:jc w:val="both"/>
        <w:ind w:left="60" w:firstLine="642"/>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Attributable Receivables Indebtedness</w:t>
      </w:r>
      <w:r>
        <w:rPr>
          <w:rFonts w:ascii="Arial" w:cs="Arial" w:eastAsia="Arial" w:hAnsi="Arial"/>
          <w:sz w:val="21"/>
          <w:szCs w:val="21"/>
          <w:color w:val="auto"/>
        </w:rPr>
        <w:t>” means, at any time, the principal amount of Indebtedness which (i) if a Permitted Receivables Facility is structured as a lending agreement or other similar agreement, constitutes the principal amount of such Indebtedness or (ii) if a Permitted Receivables Facility is structured as a purchase agreement or other similar agreement, would be outstanding at such time under the Permitted Receivables Facility if the same were structured as a lending agreement rather than a purchase agreement or such other similar agreement (whether such amount is described as “capital” or otherwise).</w:t>
      </w:r>
    </w:p>
    <w:p>
      <w:pPr>
        <w:spacing w:after="0" w:line="188" w:lineRule="exact"/>
        <w:rPr>
          <w:sz w:val="20"/>
          <w:szCs w:val="20"/>
          <w:color w:val="auto"/>
        </w:rPr>
      </w:pPr>
    </w:p>
    <w:p>
      <w:pPr>
        <w:jc w:val="both"/>
        <w:ind w:left="60" w:firstLine="642"/>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Audited Financial Statements</w:t>
      </w:r>
      <w:r>
        <w:rPr>
          <w:rFonts w:ascii="Arial" w:cs="Arial" w:eastAsia="Arial" w:hAnsi="Arial"/>
          <w:sz w:val="20"/>
          <w:szCs w:val="20"/>
          <w:color w:val="auto"/>
        </w:rPr>
        <w:t>” means the audited Consolidated balance sheet of the Borrower and its Subsidiaries for the fiscal year ended December 31, 2021 and the related Consolidated statements of income or operations, shareholders’ equity and cash flows for such fiscal year of the Borrower and its Subsidiaries, including the notes thereto.</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Augmenting Lender</w:t>
      </w:r>
      <w:r>
        <w:rPr>
          <w:rFonts w:ascii="Arial" w:cs="Arial" w:eastAsia="Arial" w:hAnsi="Arial"/>
          <w:sz w:val="21"/>
          <w:szCs w:val="21"/>
          <w:color w:val="auto"/>
        </w:rPr>
        <w:t>” has the meaning assigned to such term in Section 2.22.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040"/>
          </w:cols>
          <w:pgMar w:left="400" w:top="1392" w:right="459" w:bottom="1440" w:gutter="0" w:footer="0" w:header="0"/>
        </w:sectPr>
      </w:pPr>
    </w:p>
    <w:bookmarkStart w:id="95" w:name="page96"/>
    <w:bookmarkEnd w:id="95"/>
    <w:p>
      <w:pPr>
        <w:spacing w:after="0" w:line="193"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Availability Period</w:t>
      </w:r>
      <w:r>
        <w:rPr>
          <w:rFonts w:ascii="Arial" w:cs="Arial" w:eastAsia="Arial" w:hAnsi="Arial"/>
          <w:sz w:val="21"/>
          <w:szCs w:val="21"/>
          <w:color w:val="auto"/>
        </w:rPr>
        <w:t>” means the period from and including the Effective Date to but excluding the earlier of the Maturity Date and the date of termination of the Commitments.</w:t>
      </w:r>
    </w:p>
    <w:p>
      <w:pPr>
        <w:spacing w:after="0" w:line="179"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Available Revolving Commitment</w:t>
      </w:r>
      <w:r>
        <w:rPr>
          <w:rFonts w:ascii="Arial" w:cs="Arial" w:eastAsia="Arial" w:hAnsi="Arial"/>
          <w:sz w:val="21"/>
          <w:szCs w:val="21"/>
          <w:color w:val="auto"/>
        </w:rPr>
        <w:t>” means, at any time with respect to any Lender, the Revolving Commitment of such Lender then in effect minus the Revolving Credit Exposure of such Lender at such time; it being understood and agreed that any Lender’s Swingline Exposure shall not be deemed to be a component of the Revolving Credit Exposure for purposes of calculating the commitment fee under Section 2.12(a).</w:t>
      </w:r>
    </w:p>
    <w:p>
      <w:pPr>
        <w:spacing w:after="0" w:line="199" w:lineRule="exact"/>
        <w:rPr>
          <w:sz w:val="20"/>
          <w:szCs w:val="20"/>
          <w:color w:val="auto"/>
        </w:rPr>
      </w:pPr>
    </w:p>
    <w:p>
      <w:pPr>
        <w:jc w:val="both"/>
        <w:ind w:left="60" w:firstLine="642"/>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Available Tenor</w:t>
      </w:r>
      <w:r>
        <w:rPr>
          <w:rFonts w:ascii="Arial" w:cs="Arial" w:eastAsia="Arial" w:hAnsi="Arial"/>
          <w:sz w:val="20"/>
          <w:szCs w:val="20"/>
          <w:color w:val="auto"/>
        </w:rPr>
        <w:t>” means, as of any date of determination and with respect to the then- 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spacing w:after="0" w:line="183"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Bail-In Action</w:t>
      </w:r>
      <w:r>
        <w:rPr>
          <w:rFonts w:ascii="Arial" w:cs="Arial" w:eastAsia="Arial" w:hAnsi="Arial"/>
          <w:sz w:val="21"/>
          <w:szCs w:val="21"/>
          <w:color w:val="auto"/>
        </w:rPr>
        <w:t>” means the exercise of any Write-Down and Conversion Powers by the applicable Resolution Authority in respect of any liability of an Affected Financial Institution.</w:t>
      </w:r>
    </w:p>
    <w:p>
      <w:pPr>
        <w:spacing w:after="0" w:line="179" w:lineRule="exact"/>
        <w:rPr>
          <w:sz w:val="20"/>
          <w:szCs w:val="20"/>
          <w:color w:val="auto"/>
        </w:rPr>
      </w:pPr>
    </w:p>
    <w:p>
      <w:pPr>
        <w:jc w:val="both"/>
        <w:ind w:left="60" w:firstLine="642"/>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Bail-In Legislation</w:t>
      </w:r>
      <w:r>
        <w:rPr>
          <w:rFonts w:ascii="Arial" w:cs="Arial" w:eastAsia="Arial" w:hAnsi="Arial"/>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w:t>
      </w:r>
    </w:p>
    <w:p>
      <w:pPr>
        <w:jc w:val="both"/>
        <w:ind w:left="60" w:hanging="8"/>
        <w:spacing w:after="0" w:line="223" w:lineRule="auto"/>
        <w:tabs>
          <w:tab w:leader="none" w:pos="374" w:val="left"/>
        </w:tabs>
        <w:numPr>
          <w:ilvl w:val="0"/>
          <w:numId w:val="32"/>
        </w:numPr>
        <w:rPr>
          <w:rFonts w:ascii="Arial" w:cs="Arial" w:eastAsia="Arial" w:hAnsi="Arial"/>
          <w:sz w:val="21"/>
          <w:szCs w:val="21"/>
          <w:color w:val="auto"/>
        </w:rPr>
      </w:pPr>
      <w:r>
        <w:rPr>
          <w:rFonts w:ascii="Arial" w:cs="Arial" w:eastAsia="Arial" w:hAnsi="Arial"/>
          <w:sz w:val="21"/>
          <w:szCs w:val="21"/>
          <w:color w:val="auto"/>
        </w:rPr>
        <w:t>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7" w:lineRule="exact"/>
        <w:rPr>
          <w:sz w:val="20"/>
          <w:szCs w:val="20"/>
          <w:color w:val="auto"/>
        </w:rPr>
      </w:pPr>
    </w:p>
    <w:p>
      <w:pPr>
        <w:jc w:val="both"/>
        <w:ind w:left="60" w:firstLine="642"/>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BANA LC Commitment Start Date</w:t>
      </w:r>
      <w:r>
        <w:rPr>
          <w:rFonts w:ascii="Arial" w:cs="Arial" w:eastAsia="Arial" w:hAnsi="Arial"/>
          <w:sz w:val="20"/>
          <w:szCs w:val="20"/>
          <w:color w:val="auto"/>
        </w:rPr>
        <w:t>” means the date after the Effective Date upon which JPMorgan Chase Bank, N.A., as Issuing Bank hereunder, shall have issued at least $10,000,000 (without reduction for any draw, termination or expiration thereof) in aggregate face amount of Letters of Credit hereunder (including in connection with the issuance of Letters of Credit replacing the Existing Letters of Credit upon the stated maturity thereof as listed on Schedule 2.06 hereto).</w:t>
      </w:r>
    </w:p>
    <w:p>
      <w:pPr>
        <w:spacing w:after="0" w:line="197" w:lineRule="exact"/>
        <w:rPr>
          <w:sz w:val="20"/>
          <w:szCs w:val="20"/>
          <w:color w:val="auto"/>
        </w:rPr>
      </w:pPr>
    </w:p>
    <w:p>
      <w:pPr>
        <w:jc w:val="both"/>
        <w:ind w:left="60" w:firstLine="642"/>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Banking Services</w:t>
      </w:r>
      <w:r>
        <w:rPr>
          <w:rFonts w:ascii="Arial" w:cs="Arial" w:eastAsia="Arial" w:hAnsi="Arial"/>
          <w:sz w:val="20"/>
          <w:szCs w:val="20"/>
          <w:color w:val="auto"/>
        </w:rPr>
        <w:t>” means each and any of the following bank services provided to the Borrower or any Subsidiary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196"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Banking Services Agreement</w:t>
      </w:r>
      <w:r>
        <w:rPr>
          <w:rFonts w:ascii="Arial" w:cs="Arial" w:eastAsia="Arial" w:hAnsi="Arial"/>
          <w:sz w:val="21"/>
          <w:szCs w:val="21"/>
          <w:color w:val="auto"/>
        </w:rPr>
        <w:t>” means any agreement entered into by the Borrower or any Subsidiary in connection with Banking Services.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040"/>
          </w:cols>
          <w:pgMar w:left="400" w:top="1440" w:right="459" w:bottom="1440" w:gutter="0" w:footer="0" w:header="0"/>
        </w:sectPr>
      </w:pPr>
    </w:p>
    <w:bookmarkStart w:id="96" w:name="page97"/>
    <w:bookmarkEnd w:id="96"/>
    <w:p>
      <w:pPr>
        <w:spacing w:after="0" w:line="193"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Banking Services Obligations</w:t>
      </w:r>
      <w:r>
        <w:rPr>
          <w:rFonts w:ascii="Arial" w:cs="Arial" w:eastAsia="Arial" w:hAnsi="Arial"/>
          <w:sz w:val="21"/>
          <w:szCs w:val="21"/>
          <w:color w:val="auto"/>
        </w:rPr>
        <w:t>” means any and all obligations of the Borrower or any Subsidiary, whether absolute or contingent and howsoever and whensoever created, arising, evidenced or acquired (including all renewals, extensions and modifications thereof and substitutions therefor) in connection with Banking Services.</w:t>
      </w:r>
    </w:p>
    <w:p>
      <w:pPr>
        <w:spacing w:after="0" w:line="184"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Bankruptcy Code</w:t>
      </w:r>
      <w:r>
        <w:rPr>
          <w:rFonts w:ascii="Arial" w:cs="Arial" w:eastAsia="Arial" w:hAnsi="Arial"/>
          <w:sz w:val="21"/>
          <w:szCs w:val="21"/>
          <w:color w:val="auto"/>
        </w:rPr>
        <w:t>” means Title 11 of the United States Code entitled “Bankruptcy”, as now and hereafter in effect, or any successor statute.</w:t>
      </w:r>
    </w:p>
    <w:p>
      <w:pPr>
        <w:spacing w:after="0" w:line="193" w:lineRule="exact"/>
        <w:rPr>
          <w:sz w:val="20"/>
          <w:szCs w:val="20"/>
          <w:color w:val="auto"/>
        </w:rPr>
      </w:pPr>
    </w:p>
    <w:p>
      <w:pPr>
        <w:jc w:val="both"/>
        <w:ind w:left="60" w:firstLine="64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Bankruptcy Event</w:t>
      </w:r>
      <w:r>
        <w:rPr>
          <w:rFonts w:ascii="Arial" w:cs="Arial" w:eastAsia="Arial" w:hAnsi="Arial"/>
          <w:sz w:val="20"/>
          <w:szCs w:val="20"/>
          <w:color w:val="auto"/>
        </w:rPr>
        <w:t xml:space="preserve">” 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consented to, approved of, or acquiesced in, any such proceeding or appointment or has had any order for relief in such proceeding entered in respect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spacing w:after="0" w:line="192" w:lineRule="exact"/>
        <w:rPr>
          <w:sz w:val="20"/>
          <w:szCs w:val="20"/>
          <w:color w:val="auto"/>
        </w:rPr>
      </w:pPr>
    </w:p>
    <w:p>
      <w:pPr>
        <w:jc w:val="both"/>
        <w:ind w:left="60" w:firstLine="642"/>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Benchmark</w:t>
      </w:r>
      <w:r>
        <w:rPr>
          <w:rFonts w:ascii="Arial" w:cs="Arial" w:eastAsia="Arial" w:hAnsi="Arial"/>
          <w:sz w:val="21"/>
          <w:szCs w:val="21"/>
          <w:color w:val="auto"/>
        </w:rPr>
        <w:t xml:space="preserve">” means, initially, with respect to any (i) RFR Loan in any Agreed Currency, the applicable Relevant Rate for such Agreed Currency or (ii) Term Benchmark Loan, the Relevant Rate for the applicable Agreed Currency;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w:t>
      </w:r>
    </w:p>
    <w:p>
      <w:pPr>
        <w:spacing w:after="0" w:line="188" w:lineRule="exact"/>
        <w:rPr>
          <w:sz w:val="20"/>
          <w:szCs w:val="20"/>
          <w:color w:val="auto"/>
        </w:rPr>
      </w:pPr>
    </w:p>
    <w:p>
      <w:pPr>
        <w:jc w:val="both"/>
        <w:ind w:left="60" w:firstLine="642"/>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Replacement</w:t>
      </w:r>
      <w:r>
        <w:rPr>
          <w:rFonts w:ascii="Arial" w:cs="Arial" w:eastAsia="Arial" w:hAnsi="Arial"/>
          <w:sz w:val="20"/>
          <w:szCs w:val="20"/>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any Loan denominated in a Foreign Currency, “Benchmark Replacement” shall mean the alternative set forth in (2) below:</w:t>
      </w:r>
    </w:p>
    <w:p>
      <w:pPr>
        <w:spacing w:after="0" w:line="191" w:lineRule="exact"/>
        <w:rPr>
          <w:sz w:val="20"/>
          <w:szCs w:val="20"/>
          <w:color w:val="auto"/>
        </w:rPr>
      </w:pPr>
    </w:p>
    <w:p>
      <w:pPr>
        <w:ind w:left="380" w:firstLine="315"/>
        <w:spacing w:after="0" w:line="244" w:lineRule="auto"/>
        <w:tabs>
          <w:tab w:leader="none" w:pos="1165" w:val="left"/>
        </w:tabs>
        <w:numPr>
          <w:ilvl w:val="0"/>
          <w:numId w:val="33"/>
        </w:numPr>
        <w:rPr>
          <w:rFonts w:ascii="Arial" w:cs="Arial" w:eastAsia="Arial" w:hAnsi="Arial"/>
          <w:sz w:val="21"/>
          <w:szCs w:val="21"/>
          <w:color w:val="auto"/>
        </w:rPr>
      </w:pPr>
      <w:r>
        <w:rPr>
          <w:rFonts w:ascii="Arial" w:cs="Arial" w:eastAsia="Arial" w:hAnsi="Arial"/>
          <w:sz w:val="21"/>
          <w:szCs w:val="21"/>
          <w:color w:val="auto"/>
        </w:rPr>
        <w:t>in the case of any Loan denominated in Dollars, the sum of: (a) Daily Simple SOFR and (b) the related Benchmark Replacement Adjustment,</w:t>
      </w:r>
    </w:p>
    <w:p>
      <w:pPr>
        <w:spacing w:after="0" w:line="192" w:lineRule="exact"/>
        <w:rPr>
          <w:rFonts w:ascii="Arial" w:cs="Arial" w:eastAsia="Arial" w:hAnsi="Arial"/>
          <w:sz w:val="21"/>
          <w:szCs w:val="21"/>
          <w:color w:val="auto"/>
        </w:rPr>
      </w:pPr>
    </w:p>
    <w:p>
      <w:pPr>
        <w:jc w:val="both"/>
        <w:ind w:left="380" w:firstLine="315"/>
        <w:spacing w:after="0" w:line="247" w:lineRule="auto"/>
        <w:tabs>
          <w:tab w:leader="none" w:pos="1192"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040"/>
          </w:cols>
          <w:pgMar w:left="400" w:top="1440" w:right="459" w:bottom="1440" w:gutter="0" w:footer="0" w:header="0"/>
        </w:sectPr>
      </w:pPr>
    </w:p>
    <w:bookmarkStart w:id="97" w:name="page98"/>
    <w:bookmarkEnd w:id="97"/>
    <w:p>
      <w:pPr>
        <w:spacing w:after="0" w:line="193" w:lineRule="exact"/>
        <w:rPr>
          <w:sz w:val="20"/>
          <w:szCs w:val="20"/>
          <w:color w:val="auto"/>
        </w:rPr>
      </w:pPr>
    </w:p>
    <w:p>
      <w:pPr>
        <w:jc w:val="both"/>
        <w:ind w:left="60" w:right="20" w:firstLine="642"/>
        <w:spacing w:after="0" w:line="295" w:lineRule="auto"/>
        <w:rPr>
          <w:sz w:val="20"/>
          <w:szCs w:val="20"/>
          <w:color w:val="auto"/>
        </w:rPr>
      </w:pPr>
      <w:r>
        <w:rPr>
          <w:rFonts w:ascii="Arial" w:cs="Arial" w:eastAsia="Arial" w:hAnsi="Arial"/>
          <w:sz w:val="19"/>
          <w:szCs w:val="19"/>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33" w:lineRule="exact"/>
        <w:rPr>
          <w:sz w:val="20"/>
          <w:szCs w:val="20"/>
          <w:color w:val="auto"/>
        </w:rPr>
      </w:pPr>
    </w:p>
    <w:p>
      <w:pPr>
        <w:jc w:val="both"/>
        <w:ind w:left="60" w:firstLine="6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Adjustment</w:t>
      </w:r>
      <w:r>
        <w:rPr>
          <w:rFonts w:ascii="Arial" w:cs="Arial" w:eastAsia="Arial" w:hAnsi="Arial"/>
          <w:sz w:val="19"/>
          <w:szCs w:val="19"/>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3" w:lineRule="exact"/>
        <w:rPr>
          <w:sz w:val="20"/>
          <w:szCs w:val="20"/>
          <w:color w:val="auto"/>
        </w:rPr>
      </w:pPr>
    </w:p>
    <w:p>
      <w:pPr>
        <w:jc w:val="both"/>
        <w:ind w:left="60" w:firstLine="642"/>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Replacement Conforming Changes</w:t>
      </w:r>
      <w:r>
        <w:rPr>
          <w:rFonts w:ascii="Arial" w:cs="Arial" w:eastAsia="Arial" w:hAnsi="Arial"/>
          <w:sz w:val="20"/>
          <w:szCs w:val="20"/>
          <w:color w:val="auto"/>
        </w:rPr>
        <w:t>” 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207"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Benchmark Replacement Date</w:t>
      </w:r>
      <w:r>
        <w:rPr>
          <w:rFonts w:ascii="Arial" w:cs="Arial" w:eastAsia="Arial" w:hAnsi="Arial"/>
          <w:sz w:val="21"/>
          <w:szCs w:val="21"/>
          <w:color w:val="auto"/>
        </w:rPr>
        <w:t>” means, with respect to any Benchmark, the earliest to occur of the following events with respect to such then-current Benchmark:</w:t>
      </w:r>
    </w:p>
    <w:p>
      <w:pPr>
        <w:spacing w:after="0" w:line="193" w:lineRule="exact"/>
        <w:rPr>
          <w:sz w:val="20"/>
          <w:szCs w:val="20"/>
          <w:color w:val="auto"/>
        </w:rPr>
      </w:pPr>
    </w:p>
    <w:p>
      <w:pPr>
        <w:jc w:val="both"/>
        <w:ind w:left="60" w:firstLine="635"/>
        <w:spacing w:after="0" w:line="227" w:lineRule="auto"/>
        <w:tabs>
          <w:tab w:leader="none" w:pos="1217" w:val="left"/>
        </w:tabs>
        <w:numPr>
          <w:ilvl w:val="0"/>
          <w:numId w:val="34"/>
        </w:numPr>
        <w:rPr>
          <w:rFonts w:ascii="Arial" w:cs="Arial" w:eastAsia="Arial" w:hAnsi="Arial"/>
          <w:sz w:val="21"/>
          <w:szCs w:val="21"/>
          <w:color w:val="auto"/>
        </w:rPr>
      </w:pPr>
      <w:r>
        <w:rPr>
          <w:rFonts w:ascii="Arial" w:cs="Arial" w:eastAsia="Arial" w:hAnsi="Arial"/>
          <w:sz w:val="21"/>
          <w:szCs w:val="21"/>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85" w:lineRule="exact"/>
        <w:rPr>
          <w:rFonts w:ascii="Arial" w:cs="Arial" w:eastAsia="Arial" w:hAnsi="Arial"/>
          <w:sz w:val="21"/>
          <w:szCs w:val="21"/>
          <w:color w:val="auto"/>
        </w:rPr>
      </w:pPr>
    </w:p>
    <w:p>
      <w:pPr>
        <w:jc w:val="both"/>
        <w:ind w:left="60" w:firstLine="635"/>
        <w:spacing w:after="0" w:line="227" w:lineRule="auto"/>
        <w:tabs>
          <w:tab w:leader="none" w:pos="1347" w:val="left"/>
        </w:tabs>
        <w:numPr>
          <w:ilvl w:val="0"/>
          <w:numId w:val="34"/>
        </w:numPr>
        <w:rPr>
          <w:rFonts w:ascii="Arial" w:cs="Arial" w:eastAsia="Arial" w:hAnsi="Arial"/>
          <w:sz w:val="21"/>
          <w:szCs w:val="21"/>
          <w:color w:val="auto"/>
        </w:rPr>
      </w:pPr>
      <w:r>
        <w:rPr>
          <w:rFonts w:ascii="Arial" w:cs="Arial" w:eastAsia="Arial" w:hAnsi="Arial"/>
          <w:sz w:val="21"/>
          <w:szCs w:val="21"/>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040"/>
          </w:cols>
          <w:pgMar w:left="400" w:top="1440" w:right="459" w:bottom="1440" w:gutter="0" w:footer="0" w:header="0"/>
        </w:sectPr>
      </w:pPr>
    </w:p>
    <w:bookmarkStart w:id="98" w:name="page99"/>
    <w:bookmarkEnd w:id="98"/>
    <w:p>
      <w:pPr>
        <w:spacing w:after="0" w:line="193" w:lineRule="exact"/>
        <w:rPr>
          <w:sz w:val="20"/>
          <w:szCs w:val="20"/>
          <w:color w:val="auto"/>
        </w:rPr>
      </w:pPr>
    </w:p>
    <w:p>
      <w:pPr>
        <w:jc w:val="both"/>
        <w:ind w:left="60" w:right="140"/>
        <w:spacing w:after="0" w:line="268" w:lineRule="auto"/>
        <w:rPr>
          <w:sz w:val="20"/>
          <w:szCs w:val="20"/>
          <w:color w:val="auto"/>
        </w:rPr>
      </w:pPr>
      <w:r>
        <w:rPr>
          <w:rFonts w:ascii="Arial" w:cs="Arial" w:eastAsia="Arial" w:hAnsi="Arial"/>
          <w:sz w:val="20"/>
          <w:szCs w:val="20"/>
          <w:color w:val="auto"/>
        </w:rPr>
        <w:t>representativeness will be determined by reference to the most recent statement or publication referenced in such clause (3) and even if any Available Tenor of such Benchmark (or such component thereof) continues to be provided on such date.</w:t>
      </w:r>
    </w:p>
    <w:p>
      <w:pPr>
        <w:spacing w:after="0" w:line="157" w:lineRule="exact"/>
        <w:rPr>
          <w:sz w:val="20"/>
          <w:szCs w:val="20"/>
          <w:color w:val="auto"/>
        </w:rPr>
      </w:pPr>
    </w:p>
    <w:p>
      <w:pPr>
        <w:jc w:val="both"/>
        <w:ind w:left="60" w:right="120" w:firstLine="642"/>
        <w:spacing w:after="0" w:line="222" w:lineRule="auto"/>
        <w:rPr>
          <w:sz w:val="20"/>
          <w:szCs w:val="20"/>
          <w:color w:val="auto"/>
        </w:rPr>
      </w:pPr>
      <w:r>
        <w:rPr>
          <w:rFonts w:ascii="Arial" w:cs="Arial" w:eastAsia="Arial" w:hAnsi="Arial"/>
          <w:sz w:val="21"/>
          <w:szCs w:val="21"/>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1" w:lineRule="exact"/>
        <w:rPr>
          <w:sz w:val="20"/>
          <w:szCs w:val="20"/>
          <w:color w:val="auto"/>
        </w:rPr>
      </w:pPr>
    </w:p>
    <w:p>
      <w:pPr>
        <w:jc w:val="both"/>
        <w:ind w:left="60" w:right="14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Benchmark Transition Event</w:t>
      </w:r>
      <w:r>
        <w:rPr>
          <w:rFonts w:ascii="Arial" w:cs="Arial" w:eastAsia="Arial" w:hAnsi="Arial"/>
          <w:sz w:val="21"/>
          <w:szCs w:val="21"/>
          <w:color w:val="auto"/>
        </w:rPr>
        <w:t>” means, with respect to any Benchmark, the occurrence of one or more of the following events with respect to such then-current Benchmark:</w:t>
      </w:r>
    </w:p>
    <w:p>
      <w:pPr>
        <w:spacing w:after="0" w:line="193" w:lineRule="exact"/>
        <w:rPr>
          <w:sz w:val="20"/>
          <w:szCs w:val="20"/>
          <w:color w:val="auto"/>
        </w:rPr>
      </w:pPr>
    </w:p>
    <w:p>
      <w:pPr>
        <w:jc w:val="both"/>
        <w:ind w:left="60" w:right="120" w:firstLine="635"/>
        <w:spacing w:after="0" w:line="224" w:lineRule="auto"/>
        <w:tabs>
          <w:tab w:leader="none" w:pos="1226"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1"/>
          <w:szCs w:val="21"/>
          <w:u w:val="single" w:color="auto"/>
          <w:color w:val="auto"/>
        </w:rPr>
        <w:t>provided that</w:t>
      </w:r>
      <w:r>
        <w:rPr>
          <w:rFonts w:ascii="Arial" w:cs="Arial" w:eastAsia="Arial" w:hAnsi="Arial"/>
          <w:sz w:val="21"/>
          <w:szCs w:val="21"/>
          <w:color w:val="auto"/>
        </w:rPr>
        <w:t>, at the time of such statement or publication, there is no successor administrator that will continue to provide any Available Tenor of such Benchmark (or such component thereof);</w:t>
      </w:r>
    </w:p>
    <w:p>
      <w:pPr>
        <w:spacing w:after="0" w:line="186" w:lineRule="exact"/>
        <w:rPr>
          <w:rFonts w:ascii="Arial" w:cs="Arial" w:eastAsia="Arial" w:hAnsi="Arial"/>
          <w:sz w:val="21"/>
          <w:szCs w:val="21"/>
          <w:color w:val="auto"/>
        </w:rPr>
      </w:pPr>
    </w:p>
    <w:p>
      <w:pPr>
        <w:jc w:val="both"/>
        <w:ind w:left="60" w:firstLine="635"/>
        <w:spacing w:after="0" w:line="243" w:lineRule="auto"/>
        <w:tabs>
          <w:tab w:leader="none" w:pos="1362"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in each case,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9"/>
          <w:szCs w:val="19"/>
          <w:u w:val="single" w:color="auto"/>
          <w:color w:val="auto"/>
        </w:rPr>
        <w:t>provided that</w:t>
      </w:r>
      <w:r>
        <w:rPr>
          <w:rFonts w:ascii="Arial" w:cs="Arial" w:eastAsia="Arial" w:hAnsi="Arial"/>
          <w:sz w:val="19"/>
          <w:szCs w:val="19"/>
          <w:color w:val="auto"/>
        </w:rPr>
        <w:t>, at the time of such statement or publication, there is no successor administrator that will continue to provide any Available Tenor of such Benchmark (or such component thereof); or</w:t>
      </w:r>
    </w:p>
    <w:p>
      <w:pPr>
        <w:spacing w:after="0" w:line="194" w:lineRule="exact"/>
        <w:rPr>
          <w:rFonts w:ascii="Arial" w:cs="Arial" w:eastAsia="Arial" w:hAnsi="Arial"/>
          <w:sz w:val="19"/>
          <w:szCs w:val="19"/>
          <w:color w:val="auto"/>
        </w:rPr>
      </w:pPr>
    </w:p>
    <w:p>
      <w:pPr>
        <w:jc w:val="both"/>
        <w:ind w:left="60" w:right="120" w:firstLine="635"/>
        <w:spacing w:after="0" w:line="246" w:lineRule="auto"/>
        <w:tabs>
          <w:tab w:leader="none" w:pos="1336"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21"/>
          <w:szCs w:val="21"/>
          <w:color w:val="auto"/>
        </w:rPr>
        <w:t>For the avoidance of doubt, a “Benchmark Transition Event” will be deemed to have occurred with respect to any</w:t>
      </w:r>
    </w:p>
    <w:p>
      <w:pPr>
        <w:ind w:left="60"/>
        <w:spacing w:after="0" w:line="223" w:lineRule="auto"/>
        <w:rPr>
          <w:sz w:val="20"/>
          <w:szCs w:val="20"/>
          <w:color w:val="auto"/>
        </w:rPr>
      </w:pPr>
      <w:r>
        <w:rPr>
          <w:rFonts w:ascii="Arial" w:cs="Arial" w:eastAsia="Arial" w:hAnsi="Arial"/>
          <w:sz w:val="20"/>
          <w:szCs w:val="20"/>
          <w:color w:val="auto"/>
        </w:rPr>
        <w:t>Benchmark if a public statement or publication of information set forth above has occurred with respect to each then-current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1"/>
          <w:szCs w:val="21"/>
          <w:color w:val="auto"/>
        </w:rPr>
        <w:t>Available Tenor of such Benchmark (or the published component used in the calculation thereof).</w:t>
      </w:r>
    </w:p>
    <w:p>
      <w:pPr>
        <w:spacing w:after="0" w:line="196" w:lineRule="exact"/>
        <w:rPr>
          <w:sz w:val="20"/>
          <w:szCs w:val="20"/>
          <w:color w:val="auto"/>
        </w:rPr>
      </w:pPr>
    </w:p>
    <w:p>
      <w:pPr>
        <w:jc w:val="both"/>
        <w:ind w:left="60" w:right="1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Benchmark Unavailability Period</w:t>
      </w:r>
      <w:r>
        <w:rPr>
          <w:rFonts w:ascii="Arial" w:cs="Arial" w:eastAsia="Arial" w:hAnsi="Arial"/>
          <w:sz w:val="21"/>
          <w:szCs w:val="21"/>
          <w:color w:val="auto"/>
        </w:rPr>
        <w:t>” means, with respect to any Benchmark, the period (if any) (x) beginning at the time that a Benchmark Replacement Date pursuant to clauses (1) or (2)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160"/>
          </w:cols>
          <w:pgMar w:left="400" w:top="1440" w:right="339" w:bottom="1440" w:gutter="0" w:footer="0" w:header="0"/>
        </w:sectPr>
      </w:pPr>
    </w:p>
    <w:bookmarkStart w:id="99" w:name="page100"/>
    <w:bookmarkEnd w:id="99"/>
    <w:p>
      <w:pPr>
        <w:spacing w:after="0" w:line="193" w:lineRule="exact"/>
        <w:rPr>
          <w:sz w:val="20"/>
          <w:szCs w:val="20"/>
          <w:color w:val="auto"/>
        </w:rPr>
      </w:pPr>
    </w:p>
    <w:p>
      <w:pPr>
        <w:jc w:val="both"/>
        <w:ind w:left="60" w:right="20"/>
        <w:spacing w:after="0" w:line="227" w:lineRule="auto"/>
        <w:rPr>
          <w:sz w:val="20"/>
          <w:szCs w:val="20"/>
          <w:color w:val="auto"/>
        </w:rPr>
      </w:pPr>
      <w:r>
        <w:rPr>
          <w:rFonts w:ascii="Arial" w:cs="Arial" w:eastAsia="Arial" w:hAnsi="Arial"/>
          <w:sz w:val="21"/>
          <w:szCs w:val="21"/>
          <w:color w:val="auto"/>
        </w:rPr>
        <w:t>of that definition has occurred if, at such time, no Benchmark Replacement has replaced such then- current Benchmark for all purposes hereunder and under any Loan Document in accordance with Section 2.14 and (y) ending at the time that a Benchmark Replacement has replaced such then- current Benchmark for all purposes hereunder and under any Loan Document in accordance with Section 2.14.</w:t>
      </w:r>
    </w:p>
    <w:p>
      <w:pPr>
        <w:spacing w:after="0" w:line="186" w:lineRule="exact"/>
        <w:rPr>
          <w:sz w:val="20"/>
          <w:szCs w:val="20"/>
          <w:color w:val="auto"/>
        </w:rPr>
      </w:pPr>
    </w:p>
    <w:p>
      <w:pPr>
        <w:jc w:val="both"/>
        <w:ind w:left="60" w:firstLine="696"/>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Beneficial Ownership Certification</w:t>
      </w:r>
      <w:r>
        <w:rPr>
          <w:rFonts w:ascii="Arial" w:cs="Arial" w:eastAsia="Arial" w:hAnsi="Arial"/>
          <w:sz w:val="21"/>
          <w:szCs w:val="21"/>
          <w:color w:val="auto"/>
        </w:rPr>
        <w:t>” means a certification regarding beneficial ownership required by the Beneficial Ownership Regulation.</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Beneficial Ownership Regulation</w:t>
      </w:r>
      <w:r>
        <w:rPr>
          <w:rFonts w:ascii="Arial" w:cs="Arial" w:eastAsia="Arial" w:hAnsi="Arial"/>
          <w:sz w:val="21"/>
          <w:szCs w:val="21"/>
          <w:color w:val="auto"/>
        </w:rPr>
        <w:t>” means 31 C.F.R. § 1010.230.</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Benefit Plan</w:t>
      </w:r>
      <w:r>
        <w:rPr>
          <w:rFonts w:ascii="Arial" w:cs="Arial" w:eastAsia="Arial" w:hAnsi="Arial"/>
          <w:sz w:val="20"/>
          <w:szCs w:val="20"/>
          <w:color w:val="auto"/>
        </w:rPr>
        <w:t>” means any of (a) an “employee benefit plan” (as defined in ERISA) that is subject to Title I of ERISA,</w:t>
      </w:r>
    </w:p>
    <w:p>
      <w:pPr>
        <w:ind w:left="360" w:hanging="308"/>
        <w:spacing w:after="0" w:line="228" w:lineRule="auto"/>
        <w:tabs>
          <w:tab w:leader="none" w:pos="3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a “plan” as defined in and subject to Section 4975 of the Code, or</w:t>
      </w:r>
    </w:p>
    <w:p>
      <w:pPr>
        <w:ind w:left="60" w:hanging="8"/>
        <w:spacing w:after="0" w:line="233" w:lineRule="auto"/>
        <w:tabs>
          <w:tab w:leader="none" w:pos="371"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any Person whose assets include (for purposes of ERISA Section 3(42) or otherwise for purposes of Title I of ERISA or Section 4975 of the Code) the assets of any such “employee benefit plan” or “plan”.</w:t>
      </w:r>
    </w:p>
    <w:p>
      <w:pPr>
        <w:spacing w:after="0" w:line="183"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BHC Act Affiliate</w:t>
      </w:r>
      <w:r>
        <w:rPr>
          <w:rFonts w:ascii="Arial" w:cs="Arial" w:eastAsia="Arial" w:hAnsi="Arial"/>
          <w:sz w:val="21"/>
          <w:szCs w:val="21"/>
          <w:color w:val="auto"/>
        </w:rPr>
        <w:t>” of a party means an “affiliate” (as such term is defined under, and interpreted in accordance with, 12 U.S.C. 1841(k)) of such party.</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Borrower</w:t>
      </w:r>
      <w:r>
        <w:rPr>
          <w:rFonts w:ascii="Arial" w:cs="Arial" w:eastAsia="Arial" w:hAnsi="Arial"/>
          <w:sz w:val="21"/>
          <w:szCs w:val="21"/>
          <w:color w:val="auto"/>
        </w:rPr>
        <w:t>” means Mistras Group, Inc., a Delaware corporation.</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Borrowing</w:t>
      </w:r>
      <w:r>
        <w:rPr>
          <w:rFonts w:ascii="Arial" w:cs="Arial" w:eastAsia="Arial" w:hAnsi="Arial"/>
          <w:sz w:val="21"/>
          <w:szCs w:val="21"/>
          <w:color w:val="auto"/>
        </w:rPr>
        <w:t>” means (a) a Revolving Borrowing, (b) a Term Loan Borrowing or (c) a Swingline Loan.</w:t>
      </w:r>
    </w:p>
    <w:p>
      <w:pPr>
        <w:spacing w:after="0" w:line="214"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Borrowing Request</w:t>
      </w:r>
      <w:r>
        <w:rPr>
          <w:rFonts w:ascii="Arial" w:cs="Arial" w:eastAsia="Arial" w:hAnsi="Arial"/>
          <w:sz w:val="21"/>
          <w:szCs w:val="21"/>
          <w:color w:val="auto"/>
        </w:rPr>
        <w:t>” means a request by the Borrower for a Revolving Borrowing in accordance with Section 2.03, which shall be substantially in the form of Exhibit B or any other form approved by the Administrative Agent.</w:t>
      </w:r>
    </w:p>
    <w:p>
      <w:pPr>
        <w:spacing w:after="0" w:line="193" w:lineRule="exact"/>
        <w:rPr>
          <w:sz w:val="20"/>
          <w:szCs w:val="20"/>
          <w:color w:val="auto"/>
        </w:rPr>
      </w:pPr>
    </w:p>
    <w:p>
      <w:pPr>
        <w:jc w:val="both"/>
        <w:ind w:left="60" w:firstLine="642"/>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 Day</w:t>
      </w:r>
      <w:r>
        <w:rPr>
          <w:rFonts w:ascii="Arial" w:cs="Arial" w:eastAsia="Arial" w:hAnsi="Arial"/>
          <w:sz w:val="20"/>
          <w:szCs w:val="20"/>
          <w:color w:val="auto"/>
        </w:rPr>
        <w:t>” means, any day (other than a Saturday or a Sunday) on which banks are open for business in New York City; provided that, in addition to the foregoing, a Business Day shall be (a) in relation to Loans denominated in Yen and in relation to the calculation or computation of TIBOR or the Japanese Prime Rate, any day (other than a Saturday or a Sunday) on which banks are open for business in Japan, (b) in relation to Loans denominated in Euros and in relation to the calculation or computation of EURIBOR, any day which is a TARGET Day, (c) in relation to Loans or other obligations denominated in Canadian Dollars and in relation to the calculation or computation of the CDOR Rate, any day (other than a Saturday or a Sunday) on which banks are open for business in Toronto, Canada, (d) in relation to RFR Loans and any interest rate settings, fundings, disbursements, settlements or payments of any such RFR Loan, or any other dealings in the applicable Agreed Currency of such RFR Loan, any such day that is only a RFR Business Day, and (d)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Canadian Dollars</w:t>
      </w:r>
      <w:r>
        <w:rPr>
          <w:rFonts w:ascii="Arial" w:cs="Arial" w:eastAsia="Arial" w:hAnsi="Arial"/>
          <w:sz w:val="21"/>
          <w:szCs w:val="21"/>
          <w:color w:val="auto"/>
        </w:rPr>
        <w:t>” means the lawful currency of Canada.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040"/>
          </w:cols>
          <w:pgMar w:left="400" w:top="1440" w:right="459" w:bottom="1440" w:gutter="0" w:footer="0" w:header="0"/>
        </w:sectPr>
      </w:pPr>
    </w:p>
    <w:bookmarkStart w:id="100" w:name="page101"/>
    <w:bookmarkEnd w:id="100"/>
    <w:p>
      <w:pPr>
        <w:spacing w:after="0" w:line="193"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Canadian Prime</w:t>
      </w:r>
      <w:r>
        <w:rPr>
          <w:rFonts w:ascii="Arial" w:cs="Arial" w:eastAsia="Arial" w:hAnsi="Arial"/>
          <w:sz w:val="21"/>
          <w:szCs w:val="21"/>
          <w:color w:val="auto"/>
        </w:rPr>
        <w:t>” when used in reference to any Loan or Borrowing, refers to whether such Loan, or the Loans comprising such Borrowing, are bearing interest at a rate determined by reference to the Canadian Prime Rate.</w:t>
      </w:r>
    </w:p>
    <w:p>
      <w:pPr>
        <w:spacing w:after="0" w:line="179" w:lineRule="exact"/>
        <w:rPr>
          <w:sz w:val="20"/>
          <w:szCs w:val="20"/>
          <w:color w:val="auto"/>
        </w:rPr>
      </w:pPr>
    </w:p>
    <w:p>
      <w:pPr>
        <w:jc w:val="both"/>
        <w:ind w:left="60" w:firstLine="642"/>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Canadian Prime Rate</w:t>
      </w:r>
      <w:r>
        <w:rPr>
          <w:rFonts w:ascii="Arial" w:cs="Arial" w:eastAsia="Arial" w:hAnsi="Arial"/>
          <w:sz w:val="19"/>
          <w:szCs w:val="19"/>
          <w:color w:val="auto"/>
        </w:rPr>
        <w:t>” means, on any day, a rate per annum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CDOR Rate for a one month Interest Period at approximately 10:15 a.m., Toronto, Ontario time, on such day (and, if such day is not a Business Day, then on the immediately preceding Business Day (as adjusted by Administrative Agent after 10:15 a.m., Toronto, Ontario time to reflect any error in the posted rate of interest or in the posted average annual rate of interest)), rounded to the nearest 1/100</w:t>
      </w:r>
      <w:r>
        <w:rPr>
          <w:rFonts w:ascii="Arial" w:cs="Arial" w:eastAsia="Arial" w:hAnsi="Arial"/>
          <w:sz w:val="13"/>
          <w:szCs w:val="13"/>
          <w:color w:val="auto"/>
        </w:rPr>
        <w:t>th</w:t>
      </w:r>
      <w:r>
        <w:rPr>
          <w:rFonts w:ascii="Arial" w:cs="Arial" w:eastAsia="Arial" w:hAnsi="Arial"/>
          <w:sz w:val="19"/>
          <w:szCs w:val="19"/>
          <w:color w:val="auto"/>
        </w:rPr>
        <w:t xml:space="preserve"> of 1% (with .005% being rounded up), plus 1% per annum; provided, that if any the above rates shall be less than 1% per annum, such rate shall be deemed to be 1% per annum for purposes of this Agreement. Any change in the Canadian Prime Rate due to a change in the PRIMCAN Index or the CDOR Rate shall be effective from and including the effective date of such change in the PRIMCAN Index or CDOR Rate, respectively. If the Canadian Prime Rate is being used as an alternate rate of interest pursuant to Section 2.14 (for the avoidance of doubt, only until the applicable Benchmark Replacement has been determined pursuant to Section 2.14(b)), then the Canadian Prime Rate shall be determined solely by reference to clause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21"/>
          <w:szCs w:val="21"/>
          <w:color w:val="auto"/>
        </w:rPr>
        <w:t>(i) above and shall be determined without reference to clause (ii) above.</w:t>
      </w:r>
    </w:p>
    <w:p>
      <w:pPr>
        <w:spacing w:after="0" w:line="210" w:lineRule="exact"/>
        <w:rPr>
          <w:sz w:val="20"/>
          <w:szCs w:val="20"/>
          <w:color w:val="auto"/>
        </w:rPr>
      </w:pPr>
    </w:p>
    <w:p>
      <w:pPr>
        <w:jc w:val="both"/>
        <w:ind w:left="60" w:firstLine="64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Lease Obligations</w:t>
      </w:r>
      <w:r>
        <w:rPr>
          <w:rFonts w:ascii="Arial" w:cs="Arial" w:eastAsia="Arial" w:hAnsi="Arial"/>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CBR Loan</w:t>
      </w:r>
      <w:r>
        <w:rPr>
          <w:rFonts w:ascii="Arial" w:cs="Arial" w:eastAsia="Arial" w:hAnsi="Arial"/>
          <w:sz w:val="20"/>
          <w:szCs w:val="20"/>
          <w:color w:val="auto"/>
        </w:rPr>
        <w:t>” means a Loan that bears interest at a rate determined by reference to the Central Bank/Prime Rate.</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CBR Spread</w:t>
      </w:r>
      <w:r>
        <w:rPr>
          <w:rFonts w:ascii="Arial" w:cs="Arial" w:eastAsia="Arial" w:hAnsi="Arial"/>
          <w:sz w:val="21"/>
          <w:szCs w:val="21"/>
          <w:color w:val="auto"/>
        </w:rPr>
        <w:t>” means the Applicable Rate, applicable to such Loan that is replaced by a CBR Loan.</w:t>
      </w:r>
    </w:p>
    <w:p>
      <w:pPr>
        <w:spacing w:after="0" w:line="214"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CDOR Rate</w:t>
      </w:r>
      <w:r>
        <w:rPr>
          <w:rFonts w:ascii="Arial" w:cs="Arial" w:eastAsia="Arial" w:hAnsi="Arial"/>
          <w:sz w:val="21"/>
          <w:szCs w:val="21"/>
          <w:color w:val="auto"/>
        </w:rPr>
        <w:t>” means, with respect to any Term Benchmark Borrowing denominated in Canadian Dollars and for any Interest Period, the CDOR Screen Rate at approximately 10:15 a.m. Toronto local time on the first day of such Interest Period (and, if such day is not a Business Day, then on the immediately preceding Business Day (as adjusted by Administrative Agent after 10:15</w:t>
      </w:r>
    </w:p>
    <w:p>
      <w:pPr>
        <w:spacing w:after="0" w:line="1" w:lineRule="exact"/>
        <w:rPr>
          <w:sz w:val="20"/>
          <w:szCs w:val="20"/>
          <w:color w:val="auto"/>
        </w:rPr>
      </w:pPr>
    </w:p>
    <w:p>
      <w:pPr>
        <w:jc w:val="both"/>
        <w:ind w:left="60" w:right="20"/>
        <w:spacing w:after="0" w:line="253" w:lineRule="auto"/>
        <w:rPr>
          <w:sz w:val="20"/>
          <w:szCs w:val="20"/>
          <w:color w:val="auto"/>
        </w:rPr>
      </w:pPr>
      <w:r>
        <w:rPr>
          <w:rFonts w:ascii="Arial" w:cs="Arial" w:eastAsia="Arial" w:hAnsi="Arial"/>
          <w:sz w:val="21"/>
          <w:szCs w:val="21"/>
          <w:color w:val="auto"/>
        </w:rPr>
        <w:t>a.m. Toronto, Ontario time to reflect any error in the posted rate of interest or in the posted average annual rate of interest)), rounded to the nearest 1/100</w:t>
      </w:r>
      <w:r>
        <w:rPr>
          <w:rFonts w:ascii="Arial" w:cs="Arial" w:eastAsia="Arial" w:hAnsi="Arial"/>
          <w:sz w:val="14"/>
          <w:szCs w:val="14"/>
          <w:color w:val="auto"/>
        </w:rPr>
        <w:t>th</w:t>
      </w:r>
      <w:r>
        <w:rPr>
          <w:rFonts w:ascii="Arial" w:cs="Arial" w:eastAsia="Arial" w:hAnsi="Arial"/>
          <w:sz w:val="21"/>
          <w:szCs w:val="21"/>
          <w:color w:val="auto"/>
        </w:rPr>
        <w:t xml:space="preserve"> of 1% (with .005% being rounded up).</w:t>
      </w:r>
    </w:p>
    <w:p>
      <w:pPr>
        <w:spacing w:after="0" w:line="143"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CDOR Screen Rate</w:t>
      </w:r>
      <w:r>
        <w:rPr>
          <w:rFonts w:ascii="Arial" w:cs="Arial" w:eastAsia="Arial" w:hAnsi="Arial"/>
          <w:sz w:val="21"/>
          <w:szCs w:val="21"/>
          <w:color w:val="auto"/>
        </w:rPr>
        <w:t>” means, for any day and time, with respect to any Term Benchmark Borrowing denominated in Canadian Dollars and for any Interest Period, the annual rate of interest equal to the average rate applicable to Canadian dollar Canadian bankers’ acceptances for the applicable Interest Period that appears on the “Reuters Screen CDOR Page” as defined in the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040"/>
          </w:cols>
          <w:pgMar w:left="400" w:top="1440" w:right="459" w:bottom="1440" w:gutter="0" w:footer="0" w:header="0"/>
        </w:sectPr>
      </w:pPr>
    </w:p>
    <w:bookmarkStart w:id="101" w:name="page102"/>
    <w:bookmarkEnd w:id="101"/>
    <w:p>
      <w:pPr>
        <w:spacing w:after="0" w:line="193" w:lineRule="exact"/>
        <w:rPr>
          <w:sz w:val="20"/>
          <w:szCs w:val="20"/>
          <w:color w:val="auto"/>
        </w:rPr>
      </w:pPr>
    </w:p>
    <w:p>
      <w:pPr>
        <w:jc w:val="both"/>
        <w:ind w:left="60"/>
        <w:spacing w:after="0" w:line="224" w:lineRule="auto"/>
        <w:rPr>
          <w:sz w:val="20"/>
          <w:szCs w:val="20"/>
          <w:color w:val="auto"/>
        </w:rPr>
      </w:pPr>
      <w:r>
        <w:rPr>
          <w:rFonts w:ascii="Arial" w:cs="Arial" w:eastAsia="Arial" w:hAnsi="Arial"/>
          <w:sz w:val="21"/>
          <w:szCs w:val="21"/>
          <w:color w:val="auto"/>
        </w:rPr>
        <w:t>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provided that, if the CDOR Screen Rate shall be less than zero, the CDOR Screen Rate shall be deemed to be zero for purposes of this Agreement.</w:t>
      </w:r>
    </w:p>
    <w:p>
      <w:pPr>
        <w:spacing w:after="0" w:line="187" w:lineRule="exact"/>
        <w:rPr>
          <w:sz w:val="20"/>
          <w:szCs w:val="20"/>
          <w:color w:val="auto"/>
        </w:rPr>
      </w:pPr>
    </w:p>
    <w:p>
      <w:pPr>
        <w:jc w:val="both"/>
        <w:ind w:left="60" w:firstLine="642"/>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Central Bank/Prime Rate</w:t>
      </w:r>
      <w:r>
        <w:rPr>
          <w:rFonts w:ascii="Arial" w:cs="Arial" w:eastAsia="Arial" w:hAnsi="Arial"/>
          <w:sz w:val="21"/>
          <w:szCs w:val="21"/>
          <w:color w:val="auto"/>
        </w:rPr>
        <w:t>” means, the greater of (I)(A)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(b) Canadian Dollars, the Canadian Prime Rate, (c) Yen, the Japanese Prime Rate, and (d) any other Foreign Currency determined after the Effective Date, a central bank rate as determined by the Administrative Agent in its reasonable discretion plus (B) the applicable Central Bank/Prime Rate Adjustment and (II) the Floor.</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Central Bank/Prime Rate Adjustment</w:t>
      </w:r>
      <w:r>
        <w:rPr>
          <w:rFonts w:ascii="Arial" w:cs="Arial" w:eastAsia="Arial" w:hAnsi="Arial"/>
          <w:sz w:val="21"/>
          <w:szCs w:val="21"/>
          <w:color w:val="auto"/>
        </w:rPr>
        <w:t>” means for any day, for any Loan denominated in</w:t>
      </w:r>
    </w:p>
    <w:p>
      <w:pPr>
        <w:jc w:val="both"/>
        <w:ind w:left="60" w:hanging="8"/>
        <w:spacing w:after="0" w:line="235" w:lineRule="auto"/>
        <w:tabs>
          <w:tab w:leader="none" w:pos="5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Bank/Prime Rate in respect of Euro in effect on the last Business Day in such period, (b) Canadian Dollars or Japanese Yen, zero, and (c) any other Foreign Currency determined after the Effective Date, a Central Bank/Prime Rate Adjustment as determined by the Administrative Agent in its reasonable discretion. For purposes of this definition, (x) the term Central Bank/Prime Rate shall be determined disregarding clause (B) of the definition of such term and</w:t>
      </w:r>
    </w:p>
    <w:p>
      <w:pPr>
        <w:spacing w:after="0" w:line="3" w:lineRule="exact"/>
        <w:rPr>
          <w:rFonts w:ascii="Arial" w:cs="Arial" w:eastAsia="Arial" w:hAnsi="Arial"/>
          <w:sz w:val="19"/>
          <w:szCs w:val="19"/>
          <w:color w:val="auto"/>
        </w:rPr>
      </w:pPr>
    </w:p>
    <w:p>
      <w:pPr>
        <w:ind w:left="60" w:hanging="8"/>
        <w:spacing w:after="0" w:line="250" w:lineRule="auto"/>
        <w:tabs>
          <w:tab w:leader="none" w:pos="364"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EURIBOR Rate on any day shall be based on the EURIBOR Screen Rate on such day at approximately the time referred to in the definition of such term for deposits in the applicable Agreed Currency for a maturity of one month.</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Change of Control</w:t>
      </w:r>
      <w:r>
        <w:rPr>
          <w:rFonts w:ascii="Arial" w:cs="Arial" w:eastAsia="Arial" w:hAnsi="Arial"/>
          <w:sz w:val="21"/>
          <w:szCs w:val="21"/>
          <w:color w:val="auto"/>
        </w:rPr>
        <w:t>” means, with respect to a specified Person, an event or series of events by which:</w:t>
      </w:r>
    </w:p>
    <w:p>
      <w:pPr>
        <w:spacing w:after="0" w:line="295" w:lineRule="exact"/>
        <w:rPr>
          <w:sz w:val="20"/>
          <w:szCs w:val="20"/>
          <w:color w:val="auto"/>
        </w:rPr>
      </w:pPr>
    </w:p>
    <w:p>
      <w:pPr>
        <w:jc w:val="both"/>
        <w:ind w:left="60" w:firstLine="1278"/>
        <w:spacing w:after="0" w:line="221" w:lineRule="auto"/>
        <w:tabs>
          <w:tab w:leader="none" w:pos="1865" w:val="left"/>
        </w:tabs>
        <w:numPr>
          <w:ilvl w:val="0"/>
          <w:numId w:val="39"/>
        </w:numPr>
        <w:rPr>
          <w:rFonts w:ascii="Arial" w:cs="Arial" w:eastAsia="Arial" w:hAnsi="Arial"/>
          <w:sz w:val="21"/>
          <w:szCs w:val="21"/>
          <w:color w:val="auto"/>
        </w:rPr>
      </w:pPr>
      <w:r>
        <w:rPr>
          <w:rFonts w:ascii="Arial" w:cs="Arial" w:eastAsia="Arial" w:hAnsi="Arial"/>
          <w:sz w:val="21"/>
          <w:szCs w:val="21"/>
          <w:color w:val="auto"/>
        </w:rPr>
        <w:t>any “person” or “group” (as such terms are used in Sections 13(d) and 14(d) of the Securities Exchange Act of 1934, but excluding (i) Dr. Sotirios J. Vahaviolos or any Person Controlled by him, or any trust established for the sole benefit of, and Controlled by, him, his spouse, children or other lineal descendants and (ii)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040"/>
          </w:cols>
          <w:pgMar w:left="400" w:top="1440" w:right="459" w:bottom="1440" w:gutter="0" w:footer="0" w:header="0"/>
        </w:sectPr>
      </w:pPr>
    </w:p>
    <w:bookmarkStart w:id="102" w:name="page103"/>
    <w:bookmarkEnd w:id="102"/>
    <w:p>
      <w:pPr>
        <w:spacing w:after="0" w:line="193" w:lineRule="exact"/>
        <w:rPr>
          <w:sz w:val="20"/>
          <w:szCs w:val="20"/>
          <w:color w:val="auto"/>
        </w:rPr>
      </w:pPr>
    </w:p>
    <w:p>
      <w:pPr>
        <w:jc w:val="both"/>
        <w:ind w:left="60" w:right="120"/>
        <w:spacing w:after="0" w:line="239" w:lineRule="auto"/>
        <w:rPr>
          <w:sz w:val="20"/>
          <w:szCs w:val="20"/>
          <w:color w:val="auto"/>
        </w:rPr>
      </w:pPr>
      <w:r>
        <w:rPr>
          <w:rFonts w:ascii="Arial" w:cs="Arial" w:eastAsia="Arial" w:hAnsi="Arial"/>
          <w:sz w:val="20"/>
          <w:szCs w:val="20"/>
          <w:color w:val="auto"/>
        </w:rPr>
        <w:t>whether such right is exercisable immediately or only after the passage of time (hereinafter such right shall be referred to as an “</w:t>
      </w:r>
      <w:r>
        <w:rPr>
          <w:rFonts w:ascii="Arial" w:cs="Arial" w:eastAsia="Arial" w:hAnsi="Arial"/>
          <w:sz w:val="20"/>
          <w:szCs w:val="20"/>
          <w:u w:val="single" w:color="auto"/>
          <w:color w:val="auto"/>
        </w:rPr>
        <w:t>option right</w:t>
      </w:r>
      <w:r>
        <w:rPr>
          <w:rFonts w:ascii="Arial" w:cs="Arial" w:eastAsia="Arial" w:hAnsi="Arial"/>
          <w:sz w:val="20"/>
          <w:szCs w:val="20"/>
          <w:color w:val="auto"/>
        </w:rPr>
        <w:t>”)), directly or indirectly, of more than thirty-five percent (35%) of the equity securities of such Person entitled to vote for members of the board of directors or equivalent governing body of such Person on a fully-diluted basis (and taking into account all such securities that such person or group has the right to acquire pursuant to any option right); or</w:t>
      </w:r>
    </w:p>
    <w:p>
      <w:pPr>
        <w:spacing w:after="0" w:line="264" w:lineRule="exact"/>
        <w:rPr>
          <w:sz w:val="20"/>
          <w:szCs w:val="20"/>
          <w:color w:val="auto"/>
        </w:rPr>
      </w:pPr>
    </w:p>
    <w:p>
      <w:pPr>
        <w:jc w:val="both"/>
        <w:ind w:left="60" w:right="120" w:firstLine="1278"/>
        <w:spacing w:after="0" w:line="232" w:lineRule="auto"/>
        <w:tabs>
          <w:tab w:leader="none" w:pos="19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during any period of twenty-four (24) consecutive months, a majority of the members of the board of directors or other equivalent governing body of such Person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20"/>
          <w:szCs w:val="20"/>
          <w:u w:val="single" w:color="auto"/>
          <w:color w:val="auto"/>
        </w:rPr>
        <w:t>clauses (i) and (ii)</w:t>
      </w:r>
      <w:r>
        <w:rPr>
          <w:rFonts w:ascii="Arial" w:cs="Arial" w:eastAsia="Arial" w:hAnsi="Arial"/>
          <w:sz w:val="20"/>
          <w:szCs w:val="20"/>
          <w:color w:val="auto"/>
        </w:rPr>
        <w:t xml:space="preserve"> above constituting at the time of such election or nomination at least a majority of that board or equivalent governing body; or</w:t>
      </w:r>
    </w:p>
    <w:p>
      <w:pPr>
        <w:spacing w:after="0" w:line="186" w:lineRule="exact"/>
        <w:rPr>
          <w:rFonts w:ascii="Arial" w:cs="Arial" w:eastAsia="Arial" w:hAnsi="Arial"/>
          <w:sz w:val="20"/>
          <w:szCs w:val="20"/>
          <w:color w:val="auto"/>
        </w:rPr>
      </w:pPr>
    </w:p>
    <w:p>
      <w:pPr>
        <w:jc w:val="both"/>
        <w:ind w:left="60" w:firstLine="1278"/>
        <w:spacing w:after="0" w:line="247" w:lineRule="auto"/>
        <w:tabs>
          <w:tab w:leader="none" w:pos="1874"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individual(s) or entity(s) acting in concert shall have acquired by contract or otherwise, or shall have entered into a contract or arrangement that, upon consummation thereof, will result in its or their acquisition of the power to exercise, directly or indirectly, a controlling influence over the management or policies of such Person, or control over the equity securities of such Person entitled to vote for members of the board of directors or equivalent governing body of such Person on a fully-diluted basis (and taking into account all such securities that such individual(s) or entity(s) or group has the right to acquire pursuant to any option right) representing more than thirty-five percent (35%) of the combined voting power of such securities.</w:t>
      </w:r>
    </w:p>
    <w:p>
      <w:pPr>
        <w:spacing w:after="0" w:line="192" w:lineRule="exact"/>
        <w:rPr>
          <w:sz w:val="20"/>
          <w:szCs w:val="20"/>
          <w:color w:val="auto"/>
        </w:rPr>
      </w:pPr>
    </w:p>
    <w:p>
      <w:pPr>
        <w:jc w:val="both"/>
        <w:ind w:left="60" w:right="120" w:firstLine="642"/>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Law</w:t>
      </w:r>
      <w:r>
        <w:rPr>
          <w:rFonts w:ascii="Arial" w:cs="Arial" w:eastAsia="Arial" w:hAnsi="Arial"/>
          <w:sz w:val="20"/>
          <w:szCs w:val="20"/>
          <w:color w:val="auto"/>
        </w:rPr>
        <w:t xml:space="preserve">” means the occurrence, after the date of this Agreement (or, with respect to any Lender, such later date on which such Lender becomes a party to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Issuing Bank (or, for purposes of Section 2.15(b), by any lending office of such Lender or by such Lender’s or Issuing Bank’s holding company, if any) with any request, rule, guideline, requirement or directive (whether or not having the force of law) of any Governmental Authority made or issued after the date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w:t>
      </w:r>
    </w:p>
    <w:p>
      <w:pPr>
        <w:spacing w:after="0" w:line="8" w:lineRule="exact"/>
        <w:rPr>
          <w:sz w:val="20"/>
          <w:szCs w:val="20"/>
          <w:color w:val="auto"/>
        </w:rPr>
      </w:pPr>
    </w:p>
    <w:p>
      <w:pPr>
        <w:jc w:val="both"/>
        <w:ind w:left="60" w:hanging="8"/>
        <w:spacing w:after="0" w:line="223" w:lineRule="auto"/>
        <w:tabs>
          <w:tab w:leader="none" w:pos="561" w:val="left"/>
        </w:tabs>
        <w:numPr>
          <w:ilvl w:val="0"/>
          <w:numId w:val="41"/>
        </w:numPr>
        <w:rPr>
          <w:rFonts w:ascii="Arial" w:cs="Arial" w:eastAsia="Arial" w:hAnsi="Arial"/>
          <w:sz w:val="21"/>
          <w:szCs w:val="21"/>
          <w:color w:val="auto"/>
        </w:rPr>
      </w:pPr>
      <w:r>
        <w:rPr>
          <w:rFonts w:ascii="Arial" w:cs="Arial" w:eastAsia="Arial" w:hAnsi="Arial"/>
          <w:sz w:val="21"/>
          <w:szCs w:val="21"/>
          <w:color w:val="auto"/>
        </w:rPr>
        <w:t>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Charges</w:t>
      </w:r>
      <w:r>
        <w:rPr>
          <w:rFonts w:ascii="Arial" w:cs="Arial" w:eastAsia="Arial" w:hAnsi="Arial"/>
          <w:sz w:val="21"/>
          <w:szCs w:val="21"/>
          <w:color w:val="auto"/>
        </w:rPr>
        <w:t>” has the meaning assigned to it in Section 9.14.</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160"/>
          </w:cols>
          <w:pgMar w:left="400" w:top="1440" w:right="339" w:bottom="1440" w:gutter="0" w:footer="0" w:header="0"/>
        </w:sectPr>
      </w:pPr>
    </w:p>
    <w:bookmarkStart w:id="103" w:name="page104"/>
    <w:bookmarkEnd w:id="103"/>
    <w:p>
      <w:pPr>
        <w:spacing w:after="0" w:line="193"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Class</w:t>
      </w:r>
      <w:r>
        <w:rPr>
          <w:rFonts w:ascii="Arial" w:cs="Arial" w:eastAsia="Arial" w:hAnsi="Arial"/>
          <w:sz w:val="21"/>
          <w:szCs w:val="21"/>
          <w:color w:val="auto"/>
        </w:rPr>
        <w:t>” when used in reference to any Loan or Borrowing, refers to whether such Loan, or the Loans comprising such Borrowing, are Revolving Loans, Term Loans or Swingline Loans.</w:t>
      </w:r>
    </w:p>
    <w:p>
      <w:pPr>
        <w:spacing w:after="0" w:line="179"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CME Term SOFR Administrator</w:t>
      </w:r>
      <w:r>
        <w:rPr>
          <w:rFonts w:ascii="Arial" w:cs="Arial" w:eastAsia="Arial" w:hAnsi="Arial"/>
          <w:sz w:val="21"/>
          <w:szCs w:val="21"/>
          <w:color w:val="auto"/>
        </w:rPr>
        <w:t>” means CME Group Benchmark Administration Limited as administrator of the forward-looking term Secured Overnight Financing Rate (SOFR) (or a successor administrator).</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Code</w:t>
      </w:r>
      <w:r>
        <w:rPr>
          <w:rFonts w:ascii="Arial" w:cs="Arial" w:eastAsia="Arial" w:hAnsi="Arial"/>
          <w:sz w:val="21"/>
          <w:szCs w:val="21"/>
          <w:color w:val="auto"/>
        </w:rPr>
        <w:t>” means the Internal Revenue Code of 1986, as amended.</w:t>
      </w:r>
    </w:p>
    <w:p>
      <w:pPr>
        <w:spacing w:after="0" w:line="214"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Collateral</w:t>
      </w:r>
      <w:r>
        <w:rPr>
          <w:rFonts w:ascii="Arial" w:cs="Arial" w:eastAsia="Arial" w:hAnsi="Arial"/>
          <w:sz w:val="21"/>
          <w:szCs w:val="21"/>
          <w:color w:val="auto"/>
        </w:rPr>
        <w:t>” means any and all property owned, leased or operated by a Person covered by the Collateral Documents and any and all other property of any Loan Party, now existing or hereafter acquired, that may at any time be or become subject to a security interest or Lien in favor of Administrative Agent, on behalf of itself and the Secured Parties, to secure the Secured Obligations.</w:t>
      </w:r>
    </w:p>
    <w:p>
      <w:pPr>
        <w:spacing w:after="0" w:line="199" w:lineRule="exact"/>
        <w:rPr>
          <w:sz w:val="20"/>
          <w:szCs w:val="20"/>
          <w:color w:val="auto"/>
        </w:rPr>
      </w:pPr>
    </w:p>
    <w:p>
      <w:pPr>
        <w:jc w:val="both"/>
        <w:ind w:left="60" w:firstLine="642"/>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Collateral Documents</w:t>
      </w:r>
      <w:r>
        <w:rPr>
          <w:rFonts w:ascii="Arial" w:cs="Arial" w:eastAsia="Arial" w:hAnsi="Arial"/>
          <w:sz w:val="21"/>
          <w:szCs w:val="21"/>
          <w:color w:val="auto"/>
        </w:rPr>
        <w:t>” means, collectively, the Security Agreement, each Trademark and Patent Security Agreement, each Copyright Security Agreement and all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heretofore, now, or hereafter executed by the Borrower or any of its Subsidiaries and delivered to the Administrative Agent.</w:t>
      </w:r>
    </w:p>
    <w:p>
      <w:pPr>
        <w:spacing w:after="0" w:line="200"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w:t>
      </w:r>
      <w:r>
        <w:rPr>
          <w:rFonts w:ascii="Arial" w:cs="Arial" w:eastAsia="Arial" w:hAnsi="Arial"/>
          <w:sz w:val="20"/>
          <w:szCs w:val="20"/>
          <w:color w:val="auto"/>
        </w:rPr>
        <w:t xml:space="preserve">” means, with respect to each Lender, the amount of such Lender’s Revolving Commitment and Term Loan Commitment as set forth on Schedule 2.01 opposite such Lender’s name, or in the Assignment and Assumption or other documentation or record (as such term is defined in Section 9-102(a)(70) of the New York Uniform Commercial Code) as provided in Section 9.04(b)(ii)(C), pursuant to which such Lender shall have assumed its Commitment, as applicable, and giving effect to (a) any reduction in such amount from time to time pursuant to Section 2.09 and (b) any reduction or increase in such amount from time to time pursuant to assignments by or to such Lender pursuant to Section 9.04; </w:t>
      </w:r>
      <w:r>
        <w:rPr>
          <w:rFonts w:ascii="Arial" w:cs="Arial" w:eastAsia="Arial" w:hAnsi="Arial"/>
          <w:sz w:val="20"/>
          <w:szCs w:val="20"/>
          <w:u w:val="single" w:color="auto"/>
          <w:color w:val="auto"/>
        </w:rPr>
        <w:t>provided</w:t>
      </w:r>
      <w:r>
        <w:rPr>
          <w:rFonts w:ascii="Arial" w:cs="Arial" w:eastAsia="Arial" w:hAnsi="Arial"/>
          <w:sz w:val="20"/>
          <w:szCs w:val="20"/>
          <w:color w:val="auto"/>
        </w:rPr>
        <w:t>, that at no time shall the Revolving Credit Exposure of any Lender exceed its Commitment.</w:t>
      </w:r>
    </w:p>
    <w:p>
      <w:pPr>
        <w:spacing w:after="0" w:line="200"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Commodity Exchange Act</w:t>
      </w:r>
      <w:r>
        <w:rPr>
          <w:rFonts w:ascii="Arial" w:cs="Arial" w:eastAsia="Arial" w:hAnsi="Arial"/>
          <w:sz w:val="21"/>
          <w:szCs w:val="21"/>
          <w:color w:val="auto"/>
        </w:rPr>
        <w:t>” means the Commodity Exchange Act (7 U.S.C. § 1 et seq.), as amended from time to time, and any successor statute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Communications</w:t>
      </w:r>
      <w:r>
        <w:rPr>
          <w:rFonts w:ascii="Arial" w:cs="Arial" w:eastAsia="Arial" w:hAnsi="Arial"/>
          <w:sz w:val="21"/>
          <w:szCs w:val="21"/>
          <w:color w:val="auto"/>
        </w:rPr>
        <w:t>” has the meaning assigned to it in Section 8.03(c).</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attached hereto and made a part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21"/>
          <w:szCs w:val="21"/>
          <w:color w:val="auto"/>
        </w:rPr>
        <w:t>hereof.</w:t>
      </w:r>
    </w:p>
    <w:p>
      <w:pPr>
        <w:spacing w:after="0" w:line="210"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Connection Income Taxes</w:t>
      </w:r>
      <w:r>
        <w:rPr>
          <w:rFonts w:ascii="Arial" w:cs="Arial" w:eastAsia="Arial" w:hAnsi="Arial"/>
          <w:sz w:val="21"/>
          <w:szCs w:val="21"/>
          <w:color w:val="auto"/>
        </w:rPr>
        <w:t>” means Other Connection Taxes that are imposed on or measured by net income (however denominated) or that are franchise Taxes or branch profits Taxes.</w:t>
      </w:r>
    </w:p>
    <w:p>
      <w:pPr>
        <w:spacing w:after="0" w:line="260"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Consolidated</w:t>
      </w:r>
      <w:r>
        <w:rPr>
          <w:rFonts w:ascii="Arial" w:cs="Arial" w:eastAsia="Arial" w:hAnsi="Arial"/>
          <w:sz w:val="21"/>
          <w:szCs w:val="21"/>
          <w:color w:val="auto"/>
        </w:rPr>
        <w:t>” means, when used with reference to financial statements or financial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040"/>
          </w:cols>
          <w:pgMar w:left="400" w:top="1440" w:right="459" w:bottom="1440" w:gutter="0" w:footer="0" w:header="0"/>
        </w:sectPr>
      </w:pPr>
    </w:p>
    <w:bookmarkStart w:id="104" w:name="page105"/>
    <w:bookmarkEnd w:id="104"/>
    <w:p>
      <w:pPr>
        <w:spacing w:after="0" w:line="193" w:lineRule="exact"/>
        <w:rPr>
          <w:sz w:val="20"/>
          <w:szCs w:val="20"/>
          <w:color w:val="auto"/>
        </w:rPr>
      </w:pPr>
    </w:p>
    <w:p>
      <w:pPr>
        <w:ind w:left="60" w:right="300"/>
        <w:spacing w:after="0" w:line="244" w:lineRule="auto"/>
        <w:rPr>
          <w:sz w:val="20"/>
          <w:szCs w:val="20"/>
          <w:color w:val="auto"/>
        </w:rPr>
      </w:pPr>
      <w:r>
        <w:rPr>
          <w:rFonts w:ascii="Arial" w:cs="Arial" w:eastAsia="Arial" w:hAnsi="Arial"/>
          <w:sz w:val="21"/>
          <w:szCs w:val="21"/>
          <w:color w:val="auto"/>
        </w:rPr>
        <w:t>statement items of the Borrower and its Subsidiaries or any other Person, such statements or items on a consolidated basis in accordance with the consolidation principles of GAAP.</w:t>
      </w:r>
    </w:p>
    <w:p>
      <w:pPr>
        <w:spacing w:after="0" w:line="179"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Consolidated Net Income</w:t>
      </w:r>
      <w:r>
        <w:rPr>
          <w:rFonts w:ascii="Arial" w:cs="Arial" w:eastAsia="Arial" w:hAnsi="Arial"/>
          <w:sz w:val="21"/>
          <w:szCs w:val="21"/>
          <w:color w:val="auto"/>
        </w:rPr>
        <w:t xml:space="preserve">” means, with reference to any period, the net income (or loss) of the Borrower and its Subsidiaries calculated in accordance with GAAP on a consolidated basis (without duplication) for such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there shall be excluded any income (or loss) of any Person other than the Borrower or a Subsidiary, but any such income so excluded may be included in such period or any later period to the extent of any cash dividends or distributions actually paid in the relevant period to the Borrower or any Subsidiary of the Borrower.</w:t>
      </w:r>
    </w:p>
    <w:p>
      <w:pPr>
        <w:spacing w:after="0" w:line="200"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Consolidated Total Assets</w:t>
      </w:r>
      <w:r>
        <w:rPr>
          <w:rFonts w:ascii="Arial" w:cs="Arial" w:eastAsia="Arial" w:hAnsi="Arial"/>
          <w:sz w:val="21"/>
          <w:szCs w:val="21"/>
          <w:color w:val="auto"/>
        </w:rPr>
        <w:t>” means, as of the date of any determination thereof, total assets of the Borrower and its Subsidiaries calculated in accordance with GAAP on a consolidated basis as of such date.</w:t>
      </w:r>
    </w:p>
    <w:p>
      <w:pPr>
        <w:spacing w:after="0" w:line="193" w:lineRule="exact"/>
        <w:rPr>
          <w:sz w:val="20"/>
          <w:szCs w:val="20"/>
          <w:color w:val="auto"/>
        </w:rPr>
      </w:pPr>
    </w:p>
    <w:p>
      <w:pPr>
        <w:jc w:val="both"/>
        <w:ind w:left="60" w:firstLine="642"/>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7" w:lineRule="exact"/>
        <w:rPr>
          <w:sz w:val="20"/>
          <w:szCs w:val="20"/>
          <w:color w:val="auto"/>
        </w:rPr>
      </w:pPr>
    </w:p>
    <w:p>
      <w:pPr>
        <w:jc w:val="both"/>
        <w:ind w:left="60" w:right="2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Control</w:t>
      </w:r>
      <w:r>
        <w:rPr>
          <w:rFonts w:ascii="Arial" w:cs="Arial" w:eastAsia="Arial" w:hAnsi="Arial"/>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1"/>
          <w:szCs w:val="21"/>
          <w:b w:val="1"/>
          <w:bCs w:val="1"/>
          <w:i w:val="1"/>
          <w:iCs w:val="1"/>
          <w:color w:val="auto"/>
        </w:rPr>
        <w:t>Controlling</w:t>
      </w:r>
      <w:r>
        <w:rPr>
          <w:rFonts w:ascii="Arial" w:cs="Arial" w:eastAsia="Arial" w:hAnsi="Arial"/>
          <w:sz w:val="21"/>
          <w:szCs w:val="21"/>
          <w:color w:val="auto"/>
        </w:rPr>
        <w:t>” and “</w:t>
      </w:r>
      <w:r>
        <w:rPr>
          <w:rFonts w:ascii="Arial" w:cs="Arial" w:eastAsia="Arial" w:hAnsi="Arial"/>
          <w:sz w:val="21"/>
          <w:szCs w:val="21"/>
          <w:b w:val="1"/>
          <w:bCs w:val="1"/>
          <w:i w:val="1"/>
          <w:iCs w:val="1"/>
          <w:color w:val="auto"/>
        </w:rPr>
        <w:t>Controlled</w:t>
      </w:r>
      <w:r>
        <w:rPr>
          <w:rFonts w:ascii="Arial" w:cs="Arial" w:eastAsia="Arial" w:hAnsi="Arial"/>
          <w:sz w:val="21"/>
          <w:szCs w:val="21"/>
          <w:color w:val="auto"/>
        </w:rPr>
        <w:t>” have meanings correlative thereto.</w:t>
      </w:r>
    </w:p>
    <w:p>
      <w:pPr>
        <w:spacing w:after="0" w:line="198" w:lineRule="exact"/>
        <w:rPr>
          <w:sz w:val="20"/>
          <w:szCs w:val="20"/>
          <w:color w:val="auto"/>
        </w:rPr>
      </w:pPr>
    </w:p>
    <w:p>
      <w:pPr>
        <w:jc w:val="both"/>
        <w:ind w:left="60" w:firstLine="64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Copyright Security Agreement</w:t>
      </w:r>
      <w:r>
        <w:rPr>
          <w:rFonts w:ascii="Arial" w:cs="Arial" w:eastAsia="Arial" w:hAnsi="Arial"/>
          <w:sz w:val="19"/>
          <w:szCs w:val="19"/>
          <w:color w:val="auto"/>
        </w:rPr>
        <w:t>” means any copyright security agreement entered into after the date of this Agreement by any Loan Party (as required by this Agreement or any other Loan Document) or any other Person and the Administrative Agent, for the benefit of the Administrative Agent and the other Secured Parties, in form and substance reasonably acceptable to the Administrative Agent, as the same may be amended, restated or otherwise modified from time to time.</w:t>
      </w:r>
    </w:p>
    <w:p>
      <w:pPr>
        <w:spacing w:after="0" w:line="184" w:lineRule="exact"/>
        <w:rPr>
          <w:sz w:val="20"/>
          <w:szCs w:val="20"/>
          <w:color w:val="auto"/>
        </w:rPr>
      </w:pPr>
    </w:p>
    <w:p>
      <w:pPr>
        <w:jc w:val="both"/>
        <w:ind w:left="60" w:right="2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Corresponding Tenor</w:t>
      </w:r>
      <w:r>
        <w:rPr>
          <w:rFonts w:ascii="Arial" w:cs="Arial" w:eastAsia="Arial" w:hAnsi="Arial"/>
          <w:sz w:val="21"/>
          <w:szCs w:val="21"/>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Covered Entity</w:t>
      </w:r>
      <w:r>
        <w:rPr>
          <w:rFonts w:ascii="Arial" w:cs="Arial" w:eastAsia="Arial" w:hAnsi="Arial"/>
          <w:sz w:val="21"/>
          <w:szCs w:val="21"/>
          <w:color w:val="auto"/>
        </w:rPr>
        <w:t>” means any of the following:</w:t>
      </w:r>
    </w:p>
    <w:p>
      <w:pPr>
        <w:spacing w:after="0" w:line="228" w:lineRule="exact"/>
        <w:rPr>
          <w:sz w:val="20"/>
          <w:szCs w:val="20"/>
          <w:color w:val="auto"/>
        </w:rPr>
      </w:pPr>
    </w:p>
    <w:p>
      <w:pPr>
        <w:ind w:left="1340" w:right="2800" w:hanging="645"/>
        <w:spacing w:after="0" w:line="244" w:lineRule="auto"/>
        <w:tabs>
          <w:tab w:leader="none" w:pos="1113" w:val="left"/>
        </w:tabs>
        <w:numPr>
          <w:ilvl w:val="0"/>
          <w:numId w:val="42"/>
        </w:numPr>
        <w:rPr>
          <w:rFonts w:ascii="Arial" w:cs="Arial" w:eastAsia="Arial" w:hAnsi="Arial"/>
          <w:sz w:val="21"/>
          <w:szCs w:val="21"/>
          <w:color w:val="auto"/>
        </w:rPr>
      </w:pPr>
      <w:r>
        <w:rPr>
          <w:rFonts w:ascii="Arial" w:cs="Arial" w:eastAsia="Arial" w:hAnsi="Arial"/>
          <w:sz w:val="21"/>
          <w:szCs w:val="21"/>
          <w:color w:val="auto"/>
        </w:rPr>
        <w:t>a “covered entity” as that term is defined in, and interpreted in accordance with, 12 C.F.R. § 252.82(b);</w:t>
      </w:r>
    </w:p>
    <w:p>
      <w:pPr>
        <w:spacing w:after="0" w:line="192" w:lineRule="exact"/>
        <w:rPr>
          <w:rFonts w:ascii="Arial" w:cs="Arial" w:eastAsia="Arial" w:hAnsi="Arial"/>
          <w:sz w:val="21"/>
          <w:szCs w:val="21"/>
          <w:color w:val="auto"/>
        </w:rPr>
      </w:pPr>
    </w:p>
    <w:p>
      <w:pPr>
        <w:ind w:left="1340" w:right="2820" w:hanging="645"/>
        <w:spacing w:after="0" w:line="244" w:lineRule="auto"/>
        <w:tabs>
          <w:tab w:leader="none" w:pos="1172" w:val="left"/>
        </w:tabs>
        <w:numPr>
          <w:ilvl w:val="0"/>
          <w:numId w:val="42"/>
        </w:numPr>
        <w:rPr>
          <w:rFonts w:ascii="Arial" w:cs="Arial" w:eastAsia="Arial" w:hAnsi="Arial"/>
          <w:sz w:val="21"/>
          <w:szCs w:val="21"/>
          <w:color w:val="auto"/>
        </w:rPr>
      </w:pPr>
      <w:r>
        <w:rPr>
          <w:rFonts w:ascii="Arial" w:cs="Arial" w:eastAsia="Arial" w:hAnsi="Arial"/>
          <w:sz w:val="21"/>
          <w:szCs w:val="21"/>
          <w:color w:val="auto"/>
        </w:rPr>
        <w:t>a “covered bank” as that term is defined in, and interpreted in accordance with, 12 C.F.R. § 47.3(b); or</w:t>
      </w:r>
    </w:p>
    <w:p>
      <w:pPr>
        <w:spacing w:after="0" w:line="179" w:lineRule="exact"/>
        <w:rPr>
          <w:rFonts w:ascii="Arial" w:cs="Arial" w:eastAsia="Arial" w:hAnsi="Arial"/>
          <w:sz w:val="21"/>
          <w:szCs w:val="21"/>
          <w:color w:val="auto"/>
        </w:rPr>
      </w:pPr>
    </w:p>
    <w:p>
      <w:pPr>
        <w:ind w:left="1340" w:right="2860" w:hanging="645"/>
        <w:spacing w:after="0" w:line="244" w:lineRule="auto"/>
        <w:tabs>
          <w:tab w:leader="none" w:pos="1232" w:val="left"/>
        </w:tabs>
        <w:numPr>
          <w:ilvl w:val="0"/>
          <w:numId w:val="42"/>
        </w:numPr>
        <w:rPr>
          <w:rFonts w:ascii="Arial" w:cs="Arial" w:eastAsia="Arial" w:hAnsi="Arial"/>
          <w:sz w:val="21"/>
          <w:szCs w:val="21"/>
          <w:color w:val="auto"/>
        </w:rPr>
      </w:pPr>
      <w:r>
        <w:rPr>
          <w:rFonts w:ascii="Arial" w:cs="Arial" w:eastAsia="Arial" w:hAnsi="Arial"/>
          <w:sz w:val="21"/>
          <w:szCs w:val="21"/>
          <w:color w:val="auto"/>
        </w:rPr>
        <w:t>a “covered FSI” as that term is defined in, and interpreted in accordance with, 12 C.F.R. § 382.2(b).</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Covered Party</w:t>
      </w:r>
      <w:r>
        <w:rPr>
          <w:rFonts w:ascii="Arial" w:cs="Arial" w:eastAsia="Arial" w:hAnsi="Arial"/>
          <w:sz w:val="21"/>
          <w:szCs w:val="21"/>
          <w:color w:val="auto"/>
        </w:rPr>
        <w:t>” has the meaning assigned to it in Section 9.18.</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040"/>
          </w:cols>
          <w:pgMar w:left="400" w:top="1440" w:right="459" w:bottom="1440" w:gutter="0" w:footer="0" w:header="0"/>
        </w:sectPr>
      </w:pPr>
    </w:p>
    <w:bookmarkStart w:id="105" w:name="page106"/>
    <w:bookmarkEnd w:id="105"/>
    <w:p>
      <w:pPr>
        <w:spacing w:after="0" w:line="193"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Credit Event</w:t>
      </w:r>
      <w:r>
        <w:rPr>
          <w:rFonts w:ascii="Arial" w:cs="Arial" w:eastAsia="Arial" w:hAnsi="Arial"/>
          <w:sz w:val="21"/>
          <w:szCs w:val="21"/>
          <w:color w:val="auto"/>
        </w:rPr>
        <w:t>” means a Borrowing, the issuance, amendment, renewal or extension of a Letter of Credit, an LC Disbursement or any of the foregoing.</w:t>
      </w:r>
    </w:p>
    <w:p>
      <w:pPr>
        <w:spacing w:after="0" w:line="179" w:lineRule="exact"/>
        <w:rPr>
          <w:sz w:val="20"/>
          <w:szCs w:val="20"/>
          <w:color w:val="auto"/>
        </w:rPr>
      </w:pPr>
    </w:p>
    <w:p>
      <w:pPr>
        <w:jc w:val="both"/>
        <w:ind w:left="60" w:firstLine="642"/>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Credit Exposure</w:t>
      </w:r>
      <w:r>
        <w:rPr>
          <w:rFonts w:ascii="Arial" w:cs="Arial" w:eastAsia="Arial" w:hAnsi="Arial"/>
          <w:sz w:val="20"/>
          <w:szCs w:val="20"/>
          <w:color w:val="auto"/>
        </w:rPr>
        <w:t>” means, as to any Lender at any time, the sum of (a) such Lender’s Revolving Credit Exposure at such time, plus (b) an amount equal to the aggregate principal amount of its Term Loans outstanding at such time.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Credit Party</w:t>
      </w:r>
      <w:r>
        <w:rPr>
          <w:rFonts w:ascii="Arial" w:cs="Arial" w:eastAsia="Arial" w:hAnsi="Arial"/>
          <w:sz w:val="21"/>
          <w:szCs w:val="21"/>
          <w:color w:val="auto"/>
        </w:rPr>
        <w:t>” means the Administrative Agent, each Issuing Bank, the Swingline Lenders or any other Lender.</w:t>
      </w:r>
    </w:p>
    <w:p>
      <w:pPr>
        <w:spacing w:after="0" w:line="214"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Daily Simple RFR</w:t>
      </w:r>
      <w:r>
        <w:rPr>
          <w:rFonts w:ascii="Arial" w:cs="Arial" w:eastAsia="Arial" w:hAnsi="Arial"/>
          <w:sz w:val="21"/>
          <w:szCs w:val="21"/>
          <w:color w:val="auto"/>
        </w:rPr>
        <w:t>” means, for any day (an “</w:t>
      </w:r>
      <w:r>
        <w:rPr>
          <w:rFonts w:ascii="Arial" w:cs="Arial" w:eastAsia="Arial" w:hAnsi="Arial"/>
          <w:sz w:val="21"/>
          <w:szCs w:val="21"/>
          <w:b w:val="1"/>
          <w:bCs w:val="1"/>
          <w:i w:val="1"/>
          <w:iCs w:val="1"/>
          <w:color w:val="auto"/>
        </w:rPr>
        <w:t>RFR Interest Day</w:t>
      </w:r>
      <w:r>
        <w:rPr>
          <w:rFonts w:ascii="Arial" w:cs="Arial" w:eastAsia="Arial" w:hAnsi="Arial"/>
          <w:sz w:val="21"/>
          <w:szCs w:val="21"/>
          <w:color w:val="auto"/>
        </w:rPr>
        <w:t>”), an interest rate per annum equal to, for any RFR Loan denominated in Dollars, Daily Simple SOFR (following a Benchmark Transition Event and Benchmark Replacement Date with respect to the Term SOFR Rate).</w:t>
      </w:r>
    </w:p>
    <w:p>
      <w:pPr>
        <w:spacing w:after="0" w:line="278" w:lineRule="exact"/>
        <w:rPr>
          <w:sz w:val="20"/>
          <w:szCs w:val="20"/>
          <w:color w:val="auto"/>
        </w:rPr>
      </w:pPr>
    </w:p>
    <w:p>
      <w:pPr>
        <w:jc w:val="both"/>
        <w:ind w:left="60" w:firstLine="642"/>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Daily Simple SOFR</w:t>
      </w:r>
      <w:r>
        <w:rPr>
          <w:rFonts w:ascii="Arial" w:cs="Arial" w:eastAsia="Arial" w:hAnsi="Arial"/>
          <w:sz w:val="21"/>
          <w:szCs w:val="21"/>
          <w:color w:val="auto"/>
        </w:rPr>
        <w:t>” means, for any day (a “</w:t>
      </w:r>
      <w:r>
        <w:rPr>
          <w:rFonts w:ascii="Arial" w:cs="Arial" w:eastAsia="Arial" w:hAnsi="Arial"/>
          <w:sz w:val="21"/>
          <w:szCs w:val="21"/>
          <w:b w:val="1"/>
          <w:bCs w:val="1"/>
          <w:i w:val="1"/>
          <w:iCs w:val="1"/>
          <w:color w:val="auto"/>
        </w:rPr>
        <w:t>SOFR Rate Day</w:t>
      </w:r>
      <w:r>
        <w:rPr>
          <w:rFonts w:ascii="Arial" w:cs="Arial" w:eastAsia="Arial" w:hAnsi="Arial"/>
          <w:sz w:val="21"/>
          <w:szCs w:val="21"/>
          <w:color w:val="auto"/>
        </w:rPr>
        <w:t>”), a rate per annum equal to SOFR for the day (such day “</w:t>
      </w:r>
      <w:r>
        <w:rPr>
          <w:rFonts w:ascii="Arial" w:cs="Arial" w:eastAsia="Arial" w:hAnsi="Arial"/>
          <w:sz w:val="21"/>
          <w:szCs w:val="21"/>
          <w:b w:val="1"/>
          <w:bCs w:val="1"/>
          <w:i w:val="1"/>
          <w:iCs w:val="1"/>
          <w:color w:val="auto"/>
        </w:rPr>
        <w:t>SOFR Determination Date</w:t>
      </w:r>
      <w:r>
        <w:rPr>
          <w:rFonts w:ascii="Arial" w:cs="Arial" w:eastAsia="Arial" w:hAnsi="Arial"/>
          <w:sz w:val="21"/>
          <w:szCs w:val="21"/>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8" w:lineRule="exact"/>
        <w:rPr>
          <w:sz w:val="20"/>
          <w:szCs w:val="20"/>
          <w:color w:val="auto"/>
        </w:rPr>
      </w:pPr>
    </w:p>
    <w:p>
      <w:pPr>
        <w:jc w:val="both"/>
        <w:ind w:left="60" w:firstLine="642"/>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91"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Default</w:t>
      </w:r>
      <w:r>
        <w:rPr>
          <w:rFonts w:ascii="Arial" w:cs="Arial" w:eastAsia="Arial" w:hAnsi="Arial"/>
          <w:sz w:val="21"/>
          <w:szCs w:val="21"/>
          <w:color w:val="auto"/>
        </w:rPr>
        <w:t>” means any event or condition which constitutes an Event of Default or which upon notice, lapse of time or both would, unless cured or waived, become an Event of Default.</w:t>
      </w:r>
    </w:p>
    <w:p>
      <w:pPr>
        <w:spacing w:after="0" w:line="193"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Default Right</w:t>
      </w:r>
      <w:r>
        <w:rPr>
          <w:rFonts w:ascii="Arial" w:cs="Arial" w:eastAsia="Arial" w:hAnsi="Arial"/>
          <w:sz w:val="21"/>
          <w:szCs w:val="21"/>
          <w:color w:val="auto"/>
        </w:rPr>
        <w:t>” has the meaning assigned to that term in, and shall be interpreted in accordance with, 12 C.F.R. §§ 252.81, 47.2 or 382.1, as applicable.</w:t>
      </w:r>
    </w:p>
    <w:p>
      <w:pPr>
        <w:spacing w:after="0" w:line="179" w:lineRule="exact"/>
        <w:rPr>
          <w:sz w:val="20"/>
          <w:szCs w:val="20"/>
          <w:color w:val="auto"/>
        </w:rPr>
      </w:pPr>
    </w:p>
    <w:p>
      <w:pPr>
        <w:jc w:val="both"/>
        <w:ind w:left="60" w:firstLine="642"/>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Defaulting Lender</w:t>
      </w:r>
      <w:r>
        <w:rPr>
          <w:rFonts w:ascii="Arial" w:cs="Arial" w:eastAsia="Arial" w:hAnsi="Arial"/>
          <w:sz w:val="21"/>
          <w:szCs w:val="21"/>
          <w:color w:val="auto"/>
        </w:rPr>
        <w:t>” 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040"/>
          </w:cols>
          <w:pgMar w:left="400" w:top="1440" w:right="459" w:bottom="1440" w:gutter="0" w:footer="0" w:header="0"/>
        </w:sectPr>
      </w:pPr>
    </w:p>
    <w:bookmarkStart w:id="106" w:name="page107"/>
    <w:bookmarkEnd w:id="106"/>
    <w:p>
      <w:pPr>
        <w:spacing w:after="0" w:line="193" w:lineRule="exact"/>
        <w:rPr>
          <w:sz w:val="20"/>
          <w:szCs w:val="20"/>
          <w:color w:val="auto"/>
        </w:rPr>
      </w:pPr>
    </w:p>
    <w:p>
      <w:pPr>
        <w:jc w:val="both"/>
        <w:ind w:left="60"/>
        <w:spacing w:after="0" w:line="222" w:lineRule="auto"/>
        <w:rPr>
          <w:sz w:val="20"/>
          <w:szCs w:val="20"/>
          <w:color w:val="auto"/>
        </w:rPr>
      </w:pPr>
      <w:r>
        <w:rPr>
          <w:rFonts w:ascii="Arial" w:cs="Arial" w:eastAsia="Arial" w:hAnsi="Arial"/>
          <w:sz w:val="21"/>
          <w:szCs w:val="21"/>
          <w:color w:val="auto"/>
        </w:rPr>
        <w:t xml:space="preserve">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Lender shall cease to be a Defaulting Lender pursuant to this clause (c) upon such Credit Party’s receipt of such certification in form and substance satisfactory to it and the Administrative Agent, or (d) has become the subject of (A) a Bankruptcy Event or (B) a Bail-In Action.</w:t>
      </w:r>
    </w:p>
    <w:p>
      <w:pPr>
        <w:spacing w:after="0" w:line="188"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Disposition</w:t>
      </w:r>
      <w:r>
        <w:rPr>
          <w:rFonts w:ascii="Arial" w:cs="Arial" w:eastAsia="Arial" w:hAnsi="Arial"/>
          <w:sz w:val="21"/>
          <w:szCs w:val="21"/>
          <w:color w:val="auto"/>
        </w:rPr>
        <w:t>” or “</w:t>
      </w:r>
      <w:r>
        <w:rPr>
          <w:rFonts w:ascii="Arial" w:cs="Arial" w:eastAsia="Arial" w:hAnsi="Arial"/>
          <w:sz w:val="21"/>
          <w:szCs w:val="21"/>
          <w:b w:val="1"/>
          <w:bCs w:val="1"/>
          <w:i w:val="1"/>
          <w:iCs w:val="1"/>
          <w:color w:val="auto"/>
        </w:rPr>
        <w:t>Dispose</w:t>
      </w:r>
      <w:r>
        <w:rPr>
          <w:rFonts w:ascii="Arial" w:cs="Arial" w:eastAsia="Arial" w:hAnsi="Arial"/>
          <w:sz w:val="21"/>
          <w:szCs w:val="21"/>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200" w:lineRule="exact"/>
        <w:rPr>
          <w:sz w:val="20"/>
          <w:szCs w:val="20"/>
          <w:color w:val="auto"/>
        </w:rPr>
      </w:pPr>
    </w:p>
    <w:p>
      <w:pPr>
        <w:jc w:val="both"/>
        <w:ind w:left="60" w:firstLine="64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Dollar Equivalent</w:t>
      </w:r>
      <w:r>
        <w:rPr>
          <w:rFonts w:ascii="Arial" w:cs="Arial" w:eastAsia="Arial" w:hAnsi="Arial"/>
          <w:sz w:val="20"/>
          <w:szCs w:val="20"/>
          <w:color w:val="auto"/>
        </w:rPr>
        <w:t>” means, for any amount, at the time of determination thereof, (a) if such amount is expressed in Dollars, such amount, (b) if such amount is expressed in a Foreign Currency, the equivalent of such amount in Dollars determined by using the rate of exchange for the purchase of Dollars with the Foreign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Dollars</w:t>
      </w:r>
      <w:r>
        <w:rPr>
          <w:rFonts w:ascii="Arial" w:cs="Arial" w:eastAsia="Arial" w:hAnsi="Arial"/>
          <w:sz w:val="20"/>
          <w:szCs w:val="20"/>
          <w:color w:val="auto"/>
        </w:rPr>
        <w:t>”, “</w:t>
      </w:r>
      <w:r>
        <w:rPr>
          <w:rFonts w:ascii="Arial" w:cs="Arial" w:eastAsia="Arial" w:hAnsi="Arial"/>
          <w:sz w:val="20"/>
          <w:szCs w:val="20"/>
          <w:b w:val="1"/>
          <w:bCs w:val="1"/>
          <w:i w:val="1"/>
          <w:iCs w:val="1"/>
          <w:color w:val="auto"/>
        </w:rPr>
        <w:t>dollars</w:t>
      </w:r>
      <w:r>
        <w:rPr>
          <w:rFonts w:ascii="Arial" w:cs="Arial" w:eastAsia="Arial" w:hAnsi="Arial"/>
          <w:sz w:val="20"/>
          <w:szCs w:val="20"/>
          <w:color w:val="auto"/>
        </w:rPr>
        <w:t>” or “</w:t>
      </w:r>
      <w:r>
        <w:rPr>
          <w:rFonts w:ascii="Arial" w:cs="Arial" w:eastAsia="Arial" w:hAnsi="Arial"/>
          <w:sz w:val="20"/>
          <w:szCs w:val="20"/>
          <w:b w:val="1"/>
          <w:bCs w:val="1"/>
          <w:i w:val="1"/>
          <w:iCs w:val="1"/>
          <w:color w:val="auto"/>
        </w:rPr>
        <w:t>$</w:t>
      </w:r>
      <w:r>
        <w:rPr>
          <w:rFonts w:ascii="Arial" w:cs="Arial" w:eastAsia="Arial" w:hAnsi="Arial"/>
          <w:sz w:val="20"/>
          <w:szCs w:val="20"/>
          <w:color w:val="auto"/>
        </w:rPr>
        <w:t>” refers to lawful money of the United States of America. “</w:t>
      </w:r>
      <w:r>
        <w:rPr>
          <w:rFonts w:ascii="Arial" w:cs="Arial" w:eastAsia="Arial" w:hAnsi="Arial"/>
          <w:sz w:val="20"/>
          <w:szCs w:val="20"/>
          <w:b w:val="1"/>
          <w:bCs w:val="1"/>
          <w:i w:val="1"/>
          <w:iCs w:val="1"/>
          <w:color w:val="auto"/>
        </w:rPr>
        <w:t>Domestic Subsidiary</w:t>
      </w:r>
      <w:r>
        <w:rPr>
          <w:rFonts w:ascii="Arial" w:cs="Arial" w:eastAsia="Arial" w:hAnsi="Arial"/>
          <w:sz w:val="20"/>
          <w:szCs w:val="20"/>
          <w:color w:val="auto"/>
        </w:rPr>
        <w:t>” means a</w:t>
      </w:r>
    </w:p>
    <w:p>
      <w:pPr>
        <w:spacing w:after="0" w:line="306" w:lineRule="exact"/>
        <w:rPr>
          <w:sz w:val="20"/>
          <w:szCs w:val="20"/>
          <w:color w:val="auto"/>
        </w:rPr>
      </w:pPr>
    </w:p>
    <w:p>
      <w:pPr>
        <w:ind w:left="700"/>
        <w:spacing w:after="0"/>
        <w:rPr>
          <w:sz w:val="20"/>
          <w:szCs w:val="20"/>
          <w:color w:val="auto"/>
        </w:rPr>
      </w:pPr>
      <w:r>
        <w:rPr>
          <w:rFonts w:ascii="Arial" w:cs="Arial" w:eastAsia="Arial" w:hAnsi="Arial"/>
          <w:sz w:val="21"/>
          <w:szCs w:val="21"/>
          <w:color w:val="auto"/>
        </w:rPr>
        <w:t>Subsidiary organized under the laws of a jurisdiction</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21"/>
          <w:szCs w:val="21"/>
          <w:color w:val="auto"/>
        </w:rPr>
        <w:t>located in the United States of America.</w:t>
      </w:r>
    </w:p>
    <w:p>
      <w:pPr>
        <w:spacing w:after="0" w:line="214" w:lineRule="exact"/>
        <w:rPr>
          <w:sz w:val="20"/>
          <w:szCs w:val="20"/>
          <w:color w:val="auto"/>
        </w:rPr>
      </w:pPr>
    </w:p>
    <w:p>
      <w:pPr>
        <w:jc w:val="both"/>
        <w:ind w:left="60" w:firstLine="642"/>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EBITDA</w:t>
      </w:r>
      <w:r>
        <w:rPr>
          <w:rFonts w:ascii="Arial" w:cs="Arial" w:eastAsia="Arial" w:hAnsi="Arial"/>
          <w:sz w:val="19"/>
          <w:szCs w:val="19"/>
          <w:color w:val="auto"/>
        </w:rPr>
        <w:t xml:space="preserve">” means, with reference to any period, (a) Consolidated Net Income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income (or plus loss) from discontinued operations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(c) unusual and non-recurring gains (or plus unusual and non-recurring losses),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income tax expenses,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(e) interest expense,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(f) depreciation, depletion, and amortization (including non-cash loss on retirement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9"/>
          <w:szCs w:val="19"/>
          <w:color w:val="auto"/>
        </w:rPr>
        <w:t xml:space="preserve">of assets),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(g) stock compensation expense,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(h) </w:t>
      </w:r>
      <w:r>
        <w:rPr>
          <w:rFonts w:ascii="Arial" w:cs="Arial" w:eastAsia="Arial" w:hAnsi="Arial"/>
          <w:sz w:val="22"/>
          <w:szCs w:val="22"/>
          <w:b w:val="1"/>
          <w:bCs w:val="1"/>
          <w:u w:val="single" w:color="auto"/>
          <w:color w:val="auto"/>
        </w:rPr>
        <w:t>[</w:t>
      </w:r>
      <w:r>
        <w:rPr>
          <w:rFonts w:ascii="Arial" w:cs="Arial" w:eastAsia="Arial" w:hAnsi="Arial"/>
          <w:sz w:val="19"/>
          <w:szCs w:val="19"/>
          <w:color w:val="auto"/>
        </w:rPr>
        <w:t>reserved</w:t>
      </w:r>
      <w:r>
        <w:rPr>
          <w:rFonts w:ascii="Arial" w:cs="Arial" w:eastAsia="Arial" w:hAnsi="Arial"/>
          <w:sz w:val="22"/>
          <w:szCs w:val="22"/>
          <w:b w:val="1"/>
          <w:bCs w:val="1"/>
          <w:u w:val="single" w:color="auto"/>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 Add Back Amounts, if applicable, in an amount</w:t>
      </w:r>
    </w:p>
    <w:p>
      <w:pPr>
        <w:spacing w:after="0" w:line="7" w:lineRule="exact"/>
        <w:rPr>
          <w:sz w:val="20"/>
          <w:szCs w:val="20"/>
          <w:color w:val="auto"/>
        </w:rPr>
      </w:pPr>
    </w:p>
    <w:p>
      <w:pPr>
        <w:jc w:val="both"/>
        <w:ind w:left="60"/>
        <w:spacing w:after="0" w:line="219" w:lineRule="auto"/>
        <w:rPr>
          <w:sz w:val="20"/>
          <w:szCs w:val="20"/>
          <w:color w:val="auto"/>
        </w:rPr>
      </w:pPr>
      <w:r>
        <w:rPr>
          <w:rFonts w:ascii="Arial" w:cs="Arial" w:eastAsia="Arial" w:hAnsi="Arial"/>
          <w:sz w:val="21"/>
          <w:szCs w:val="21"/>
          <w:color w:val="auto"/>
        </w:rPr>
        <w:t xml:space="preserve">not to exceed $40,000,000,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(j) amounts expended by the Borrower in connection with the closing of the credit facilities described in this Agreement, and adjusted for certain historical expenses, accounting adjustments, and other non-cash charges,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(k) non-cash expenses which do not (in the current or any future period) represent a cash item (excluding any non-cash gains which increase net income),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(l) non-recurring cash charges in an aggregate amount not to exceed $10,000,000 for the period of four consecutive fiscal quarters immediately preceding any date of determination, in respect of the following: (i) severance payments; (ii)</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040"/>
          </w:cols>
          <w:pgMar w:left="400" w:top="1440" w:right="459" w:bottom="1440" w:gutter="0" w:footer="0" w:header="0"/>
        </w:sectPr>
      </w:pPr>
    </w:p>
    <w:bookmarkStart w:id="107" w:name="page108"/>
    <w:bookmarkEnd w:id="107"/>
    <w:p>
      <w:pPr>
        <w:spacing w:after="0" w:line="193" w:lineRule="exact"/>
        <w:rPr>
          <w:sz w:val="20"/>
          <w:szCs w:val="20"/>
          <w:color w:val="auto"/>
        </w:rPr>
      </w:pPr>
    </w:p>
    <w:p>
      <w:pPr>
        <w:ind w:left="60"/>
        <w:spacing w:after="0"/>
        <w:rPr>
          <w:sz w:val="20"/>
          <w:szCs w:val="20"/>
          <w:color w:val="auto"/>
        </w:rPr>
      </w:pPr>
      <w:r>
        <w:rPr>
          <w:rFonts w:ascii="Arial" w:cs="Arial" w:eastAsia="Arial" w:hAnsi="Arial"/>
          <w:sz w:val="20"/>
          <w:szCs w:val="20"/>
          <w:color w:val="auto"/>
        </w:rPr>
        <w:t>general asset write-offs recorded during said period; (iii) lease termination payments; (iv) litigation settlement payments; and</w:t>
      </w:r>
    </w:p>
    <w:p>
      <w:pPr>
        <w:spacing w:after="0" w:line="3" w:lineRule="exact"/>
        <w:rPr>
          <w:sz w:val="20"/>
          <w:szCs w:val="20"/>
          <w:color w:val="auto"/>
        </w:rPr>
      </w:pPr>
    </w:p>
    <w:p>
      <w:pPr>
        <w:jc w:val="both"/>
        <w:ind w:left="60" w:hanging="8"/>
        <w:spacing w:after="0" w:line="237" w:lineRule="auto"/>
        <w:tabs>
          <w:tab w:leader="none" w:pos="376" w:val="left"/>
        </w:tabs>
        <w:numPr>
          <w:ilvl w:val="0"/>
          <w:numId w:val="43"/>
        </w:numPr>
        <w:rPr>
          <w:rFonts w:ascii="Arial" w:cs="Arial" w:eastAsia="Arial" w:hAnsi="Arial"/>
          <w:sz w:val="20"/>
          <w:szCs w:val="20"/>
          <w:color w:val="auto"/>
        </w:rPr>
      </w:pPr>
      <w:r>
        <w:rPr>
          <w:rFonts w:ascii="Arial" w:cs="Arial" w:eastAsia="Arial" w:hAnsi="Arial"/>
          <w:sz w:val="20"/>
          <w:szCs w:val="20"/>
          <w:color w:val="auto"/>
        </w:rPr>
        <w:t>multi-employer pension plan withdrawal liabilities; provided that (x) that each of the foregoing subtractions shall be made without duplication and to the extent included in Consolidated Net Income and (y) each of the foregoing additions shall be made without duplication and to the extent deducted from revenues in determining Consolidated Net Income.</w:t>
      </w:r>
    </w:p>
    <w:p>
      <w:pPr>
        <w:spacing w:after="0" w:line="185"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ECP</w:t>
      </w:r>
      <w:r>
        <w:rPr>
          <w:rFonts w:ascii="Arial" w:cs="Arial" w:eastAsia="Arial" w:hAnsi="Arial"/>
          <w:sz w:val="21"/>
          <w:szCs w:val="21"/>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EDGAR</w:t>
      </w:r>
      <w:r>
        <w:rPr>
          <w:rFonts w:ascii="Arial" w:cs="Arial" w:eastAsia="Arial" w:hAnsi="Arial"/>
          <w:sz w:val="21"/>
          <w:szCs w:val="21"/>
          <w:color w:val="auto"/>
        </w:rPr>
        <w:t>” has the meaning assigned to such term in Section 5.01.</w:t>
      </w:r>
    </w:p>
    <w:p>
      <w:pPr>
        <w:spacing w:after="0" w:line="228"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EEA Financial Institution</w:t>
      </w:r>
      <w:r>
        <w:rPr>
          <w:rFonts w:ascii="Arial" w:cs="Arial" w:eastAsia="Arial" w:hAnsi="Arial"/>
          <w:sz w:val="21"/>
          <w:szCs w:val="21"/>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51" w:lineRule="exact"/>
        <w:rPr>
          <w:sz w:val="20"/>
          <w:szCs w:val="20"/>
          <w:color w:val="auto"/>
        </w:rPr>
      </w:pPr>
    </w:p>
    <w:p>
      <w:pPr>
        <w:jc w:val="both"/>
        <w:ind w:left="60" w:right="2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EEA Resolution Authority</w:t>
      </w:r>
      <w:r>
        <w:rPr>
          <w:rFonts w:ascii="Arial" w:cs="Arial" w:eastAsia="Arial" w:hAnsi="Arial"/>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98"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means the date on which the conditions specified in Section 4.01 are satisfied (or waived in accordance with Section 9.02).</w:t>
      </w:r>
    </w:p>
    <w:p>
      <w:pPr>
        <w:spacing w:after="0" w:line="179" w:lineRule="exact"/>
        <w:rPr>
          <w:sz w:val="20"/>
          <w:szCs w:val="20"/>
          <w:color w:val="auto"/>
        </w:rPr>
      </w:pPr>
    </w:p>
    <w:p>
      <w:pPr>
        <w:jc w:val="both"/>
        <w:ind w:left="60" w:firstLine="642"/>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left="60" w:firstLine="642"/>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Environmental Laws</w:t>
      </w:r>
      <w:r>
        <w:rPr>
          <w:rFonts w:ascii="Arial" w:cs="Arial" w:eastAsia="Arial" w:hAnsi="Arial"/>
          <w:sz w:val="20"/>
          <w:szCs w:val="20"/>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97" w:lineRule="exact"/>
        <w:rPr>
          <w:sz w:val="20"/>
          <w:szCs w:val="20"/>
          <w:color w:val="auto"/>
        </w:rPr>
      </w:pPr>
    </w:p>
    <w:p>
      <w:pPr>
        <w:jc w:val="both"/>
        <w:ind w:left="60" w:firstLine="642"/>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040"/>
          </w:cols>
          <w:pgMar w:left="400" w:top="1440" w:right="459" w:bottom="1440" w:gutter="0" w:footer="0" w:header="0"/>
        </w:sectPr>
      </w:pPr>
    </w:p>
    <w:bookmarkStart w:id="108" w:name="page109"/>
    <w:bookmarkEnd w:id="108"/>
    <w:p>
      <w:pPr>
        <w:spacing w:after="0" w:line="194" w:lineRule="exact"/>
        <w:rPr>
          <w:sz w:val="20"/>
          <w:szCs w:val="20"/>
          <w:color w:val="auto"/>
        </w:rPr>
      </w:pPr>
    </w:p>
    <w:p>
      <w:pPr>
        <w:jc w:val="both"/>
        <w:ind w:left="60" w:firstLine="642"/>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Equity Interests</w:t>
      </w:r>
      <w:r>
        <w:rPr>
          <w:rFonts w:ascii="Arial" w:cs="Arial" w:eastAsia="Arial" w:hAnsi="Arial"/>
          <w:sz w:val="19"/>
          <w:szCs w:val="19"/>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1" w:lineRule="exact"/>
        <w:rPr>
          <w:sz w:val="20"/>
          <w:szCs w:val="20"/>
          <w:color w:val="auto"/>
        </w:rPr>
      </w:pPr>
    </w:p>
    <w:p>
      <w:pPr>
        <w:jc w:val="both"/>
        <w:ind w:left="60" w:right="20" w:firstLine="642"/>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Equivalent Amount</w:t>
      </w:r>
      <w:r>
        <w:rPr>
          <w:rFonts w:ascii="Arial" w:cs="Arial" w:eastAsia="Arial" w:hAnsi="Arial"/>
          <w:sz w:val="21"/>
          <w:szCs w:val="21"/>
          <w:color w:val="auto"/>
        </w:rPr>
        <w:t>” means, for any amount of any Foreign Currency, at the time of determination thereof, (a) if such amount is expressed in such Foreign Currency, such amount and</w:t>
      </w:r>
    </w:p>
    <w:p>
      <w:pPr>
        <w:jc w:val="both"/>
        <w:ind w:left="60" w:hanging="8"/>
        <w:spacing w:after="0" w:line="217" w:lineRule="auto"/>
        <w:tabs>
          <w:tab w:leader="none" w:pos="557" w:val="left"/>
        </w:tabs>
        <w:numPr>
          <w:ilvl w:val="0"/>
          <w:numId w:val="44"/>
        </w:numPr>
        <w:rPr>
          <w:rFonts w:ascii="Arial" w:cs="Arial" w:eastAsia="Arial" w:hAnsi="Arial"/>
          <w:sz w:val="21"/>
          <w:szCs w:val="21"/>
          <w:color w:val="auto"/>
        </w:rPr>
      </w:pPr>
      <w:r>
        <w:rPr>
          <w:rFonts w:ascii="Arial" w:cs="Arial" w:eastAsia="Arial" w:hAnsi="Arial"/>
          <w:sz w:val="21"/>
          <w:szCs w:val="21"/>
          <w:color w:val="auto"/>
        </w:rPr>
        <w:t>if such amount is expressed in Dollars, the equivalent of such amount in such Foreign Currency determined by using the rate of exchange for the purchase of such Foreign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Foreign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spacing w:after="0" w:line="202"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ERISA</w:t>
      </w:r>
      <w:r>
        <w:rPr>
          <w:rFonts w:ascii="Arial" w:cs="Arial" w:eastAsia="Arial" w:hAnsi="Arial"/>
          <w:sz w:val="21"/>
          <w:szCs w:val="21"/>
          <w:color w:val="auto"/>
        </w:rPr>
        <w:t>” means the Employee Retirement Income Security Act of 1974, as amended or modified from time to time, and the rules and regulations promulgated thereunder.</w:t>
      </w:r>
    </w:p>
    <w:p>
      <w:pPr>
        <w:spacing w:after="0" w:line="193"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ERISA Affiliate</w:t>
      </w:r>
      <w:r>
        <w:rPr>
          <w:rFonts w:ascii="Arial" w:cs="Arial" w:eastAsia="Arial" w:hAnsi="Arial"/>
          <w:sz w:val="21"/>
          <w:szCs w:val="21"/>
          <w:color w:val="auto"/>
        </w:rPr>
        <w:t>” means any trade or business (whether or not incorporated) under common control with the Borrower within the meaning of Section 4001 of ERISA or Section 414(b) or (c) of the Code (and Sections 414(m) and (o) of the Code for purposes of provisions relating to Section 412 of the Code).</w:t>
      </w:r>
    </w:p>
    <w:p>
      <w:pPr>
        <w:spacing w:after="0" w:line="184" w:lineRule="exact"/>
        <w:rPr>
          <w:sz w:val="20"/>
          <w:szCs w:val="20"/>
          <w:color w:val="auto"/>
        </w:rPr>
      </w:pPr>
    </w:p>
    <w:p>
      <w:pPr>
        <w:jc w:val="both"/>
        <w:ind w:left="60" w:firstLine="642"/>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 Event</w:t>
      </w:r>
      <w:r>
        <w:rPr>
          <w:rFonts w:ascii="Arial" w:cs="Arial" w:eastAsia="Arial" w:hAnsi="Arial"/>
          <w:sz w:val="20"/>
          <w:szCs w:val="20"/>
          <w:i w:val="1"/>
          <w:iCs w:val="1"/>
          <w:color w:val="auto"/>
        </w:rPr>
        <w:t>”</w:t>
      </w:r>
      <w:r>
        <w:rPr>
          <w:rFonts w:ascii="Arial" w:cs="Arial" w:eastAsia="Arial" w:hAnsi="Arial"/>
          <w:sz w:val="20"/>
          <w:szCs w:val="20"/>
          <w:color w:val="auto"/>
        </w:rPr>
        <w:t xml:space="preserve">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(d) the filing of a notice of intent to terminate, or the treatment of an amendment as a termination under Section 4041 or 4041A of ERISA of, a Pension Plan;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040"/>
          </w:cols>
          <w:pgMar w:left="400" w:top="1440" w:right="459" w:bottom="1440" w:gutter="0" w:footer="0" w:header="0"/>
        </w:sectPr>
      </w:pPr>
    </w:p>
    <w:bookmarkStart w:id="109" w:name="page110"/>
    <w:bookmarkEnd w:id="109"/>
    <w:p>
      <w:pPr>
        <w:spacing w:after="0" w:line="193" w:lineRule="exact"/>
        <w:rPr>
          <w:sz w:val="20"/>
          <w:szCs w:val="20"/>
          <w:color w:val="auto"/>
        </w:rPr>
      </w:pPr>
    </w:p>
    <w:p>
      <w:pPr>
        <w:jc w:val="both"/>
        <w:ind w:left="60"/>
        <w:spacing w:after="0" w:line="244" w:lineRule="auto"/>
        <w:rPr>
          <w:sz w:val="20"/>
          <w:szCs w:val="20"/>
          <w:color w:val="auto"/>
        </w:rPr>
      </w:pPr>
      <w:r>
        <w:rPr>
          <w:rFonts w:ascii="Arial" w:cs="Arial" w:eastAsia="Arial" w:hAnsi="Arial"/>
          <w:sz w:val="21"/>
          <w:szCs w:val="21"/>
          <w:color w:val="auto"/>
        </w:rPr>
        <w:t>Rules in respect of a Pension Plan, whether or not waived, or the failure by the Borrower or any ERISA Affiliate to make any required contribution to a Multiemployer Plan.</w:t>
      </w:r>
    </w:p>
    <w:p>
      <w:pPr>
        <w:spacing w:after="0" w:line="179"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EU Bail-In Legislation Schedule</w:t>
      </w:r>
      <w:r>
        <w:rPr>
          <w:rFonts w:ascii="Arial" w:cs="Arial" w:eastAsia="Arial" w:hAnsi="Arial"/>
          <w:sz w:val="21"/>
          <w:szCs w:val="21"/>
          <w:color w:val="auto"/>
        </w:rPr>
        <w:t>” means the EU Bail-In Legislation Schedule published by the Loan Market Association (or any successor Person), as in effect from time to time.</w:t>
      </w:r>
    </w:p>
    <w:p>
      <w:pPr>
        <w:spacing w:after="0" w:line="193" w:lineRule="exact"/>
        <w:rPr>
          <w:sz w:val="20"/>
          <w:szCs w:val="20"/>
          <w:color w:val="auto"/>
        </w:rPr>
      </w:pPr>
    </w:p>
    <w:p>
      <w:pPr>
        <w:jc w:val="both"/>
        <w:ind w:left="60" w:right="20" w:firstLine="642"/>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EURIBOR Rate</w:t>
      </w:r>
      <w:r>
        <w:rPr>
          <w:rFonts w:ascii="Arial" w:cs="Arial" w:eastAsia="Arial" w:hAnsi="Arial"/>
          <w:sz w:val="20"/>
          <w:szCs w:val="20"/>
          <w:color w:val="auto"/>
        </w:rPr>
        <w:t>” means, with respect to any Term Benchmark Borrowing denominated in Euros and for any Interest Period, the EURIBOR Screen Rate two (2) TARGET Days prior to the commencement of such Interest Period.</w:t>
      </w:r>
    </w:p>
    <w:p>
      <w:pPr>
        <w:spacing w:after="0" w:line="157" w:lineRule="exact"/>
        <w:rPr>
          <w:sz w:val="20"/>
          <w:szCs w:val="20"/>
          <w:color w:val="auto"/>
        </w:rPr>
      </w:pPr>
    </w:p>
    <w:p>
      <w:pPr>
        <w:jc w:val="both"/>
        <w:ind w:left="60" w:firstLine="642"/>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EURIBOR Screen Rate</w:t>
      </w:r>
      <w:r>
        <w:rPr>
          <w:rFonts w:ascii="Arial" w:cs="Arial" w:eastAsia="Arial" w:hAnsi="Arial"/>
          <w:sz w:val="19"/>
          <w:szCs w:val="19"/>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(2) TARGET Days prior to the commencement of such Interest Period. If such page or service ceases to be available, the Administrative Agent may specify another page or service displaying the relevant rate after consultation with the Borrower.</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Euro</w:t>
      </w:r>
      <w:r>
        <w:rPr>
          <w:rFonts w:ascii="Arial" w:cs="Arial" w:eastAsia="Arial" w:hAnsi="Arial"/>
          <w:sz w:val="20"/>
          <w:szCs w:val="20"/>
          <w:color w:val="auto"/>
        </w:rPr>
        <w:t>” and/or “€” means the single currency of the Participating Member States. “</w:t>
      </w:r>
      <w:r>
        <w:rPr>
          <w:rFonts w:ascii="Arial" w:cs="Arial" w:eastAsia="Arial" w:hAnsi="Arial"/>
          <w:sz w:val="20"/>
          <w:szCs w:val="20"/>
          <w:b w:val="1"/>
          <w:bCs w:val="1"/>
          <w:i w:val="1"/>
          <w:iCs w:val="1"/>
          <w:color w:val="auto"/>
        </w:rPr>
        <w:t>Eurocurrency Payment Office</w:t>
      </w:r>
      <w:r>
        <w:rPr>
          <w:rFonts w:ascii="Arial" w:cs="Arial" w:eastAsia="Arial" w:hAnsi="Arial"/>
          <w:sz w:val="20"/>
          <w:szCs w:val="20"/>
          <w:color w:val="auto"/>
        </w:rPr>
        <w:t>” of</w:t>
      </w:r>
    </w:p>
    <w:p>
      <w:pPr>
        <w:spacing w:after="0" w:line="293" w:lineRule="exact"/>
        <w:rPr>
          <w:sz w:val="20"/>
          <w:szCs w:val="20"/>
          <w:color w:val="auto"/>
        </w:rPr>
      </w:pPr>
    </w:p>
    <w:p>
      <w:pPr>
        <w:ind w:left="800"/>
        <w:spacing w:after="0"/>
        <w:rPr>
          <w:sz w:val="20"/>
          <w:szCs w:val="20"/>
          <w:color w:val="auto"/>
        </w:rPr>
      </w:pPr>
      <w:r>
        <w:rPr>
          <w:rFonts w:ascii="Arial" w:cs="Arial" w:eastAsia="Arial" w:hAnsi="Arial"/>
          <w:sz w:val="21"/>
          <w:szCs w:val="21"/>
          <w:color w:val="auto"/>
        </w:rPr>
        <w:t>the Administrative Agent means, for each Foreign</w:t>
      </w:r>
    </w:p>
    <w:p>
      <w:pPr>
        <w:spacing w:after="0" w:line="134" w:lineRule="exact"/>
        <w:rPr>
          <w:sz w:val="20"/>
          <w:szCs w:val="20"/>
          <w:color w:val="auto"/>
        </w:rPr>
      </w:pPr>
    </w:p>
    <w:p>
      <w:pPr>
        <w:jc w:val="both"/>
        <w:ind w:left="60"/>
        <w:spacing w:after="0" w:line="244" w:lineRule="auto"/>
        <w:rPr>
          <w:sz w:val="20"/>
          <w:szCs w:val="20"/>
          <w:color w:val="auto"/>
        </w:rPr>
      </w:pPr>
      <w:r>
        <w:rPr>
          <w:rFonts w:ascii="Arial" w:cs="Arial" w:eastAsia="Arial" w:hAnsi="Arial"/>
          <w:sz w:val="21"/>
          <w:szCs w:val="21"/>
          <w:color w:val="auto"/>
        </w:rPr>
        <w:t>Currency, the office, branch, affiliate or correspondent bank of the Administrative Agent for such currency as specified from time to time by the Administrative Agent to the Borrower and each Lender.</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Event of Default</w:t>
      </w:r>
      <w:r>
        <w:rPr>
          <w:rFonts w:ascii="Arial" w:cs="Arial" w:eastAsia="Arial" w:hAnsi="Arial"/>
          <w:sz w:val="21"/>
          <w:szCs w:val="21"/>
          <w:color w:val="auto"/>
        </w:rPr>
        <w:t>” has the meaning assigned to such term in Section 7.01.</w:t>
      </w:r>
    </w:p>
    <w:p>
      <w:pPr>
        <w:spacing w:after="0" w:line="228"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Exchange Rate</w:t>
      </w:r>
      <w:r>
        <w:rPr>
          <w:rFonts w:ascii="Arial" w:cs="Arial" w:eastAsia="Arial" w:hAnsi="Arial"/>
          <w:sz w:val="21"/>
          <w:szCs w:val="21"/>
          <w:color w:val="auto"/>
        </w:rPr>
        <w:t>” means, for any Foreign Currency, the rate of exchange therefor as described in clause (b) of the definition of “Dollar Equivalent”.</w:t>
      </w:r>
    </w:p>
    <w:p>
      <w:pPr>
        <w:spacing w:after="0" w:line="179" w:lineRule="exact"/>
        <w:rPr>
          <w:sz w:val="20"/>
          <w:szCs w:val="20"/>
          <w:color w:val="auto"/>
        </w:rPr>
      </w:pPr>
    </w:p>
    <w:p>
      <w:pPr>
        <w:jc w:val="both"/>
        <w:ind w:left="60" w:firstLine="642"/>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Excluded Swap Obligation</w:t>
      </w:r>
      <w:r>
        <w:rPr>
          <w:rFonts w:ascii="Arial" w:cs="Arial" w:eastAsia="Arial" w:hAnsi="Arial"/>
          <w:sz w:val="21"/>
          <w:szCs w:val="21"/>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202"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Excluded Taxes</w:t>
      </w:r>
      <w:r>
        <w:rPr>
          <w:rFonts w:ascii="Arial" w:cs="Arial" w:eastAsia="Arial" w:hAnsi="Arial"/>
          <w:sz w:val="21"/>
          <w:szCs w:val="21"/>
          <w:color w:val="auto"/>
        </w:rPr>
        <w:t>” means any of the following Taxes imposed on or with respect to a Recipient or required to be withheld or deducted from a payment to a Recipient, (a) Taxes imposed on or measured by net income (however denominated), franchise Taxes, and branch profits Taxes,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040"/>
          </w:cols>
          <w:pgMar w:left="400" w:top="1440" w:right="459" w:bottom="1440" w:gutter="0" w:footer="0" w:header="0"/>
        </w:sectPr>
      </w:pPr>
    </w:p>
    <w:bookmarkStart w:id="110" w:name="page111"/>
    <w:bookmarkEnd w:id="110"/>
    <w:p>
      <w:pPr>
        <w:spacing w:after="0" w:line="193" w:lineRule="exact"/>
        <w:rPr>
          <w:sz w:val="20"/>
          <w:szCs w:val="20"/>
          <w:color w:val="auto"/>
        </w:rPr>
      </w:pPr>
    </w:p>
    <w:p>
      <w:pPr>
        <w:jc w:val="both"/>
        <w:ind w:left="60"/>
        <w:spacing w:after="0" w:line="242" w:lineRule="auto"/>
        <w:rPr>
          <w:sz w:val="20"/>
          <w:szCs w:val="20"/>
          <w:color w:val="auto"/>
        </w:rPr>
      </w:pPr>
      <w:r>
        <w:rPr>
          <w:rFonts w:ascii="Arial" w:cs="Arial" w:eastAsia="Arial" w:hAnsi="Arial"/>
          <w:sz w:val="19"/>
          <w:szCs w:val="19"/>
          <w:color w:val="auto"/>
        </w:rPr>
        <w:t>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w:t>
      </w:r>
    </w:p>
    <w:p>
      <w:pPr>
        <w:spacing w:after="0" w:line="183"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Existing Credit Agreement</w:t>
      </w:r>
      <w:r>
        <w:rPr>
          <w:rFonts w:ascii="Arial" w:cs="Arial" w:eastAsia="Arial" w:hAnsi="Arial"/>
          <w:sz w:val="21"/>
          <w:szCs w:val="21"/>
          <w:color w:val="auto"/>
        </w:rPr>
        <w:t>” means that certain Fifth Amended and Restated Credit Agreement dated as of December 13, 2018 among the Borrower, the lenders party thereto and Bank of America, N.A., as administrative agent (as amended, restated, supplemented or otherwise modified prior to the Effective Date).</w:t>
      </w:r>
    </w:p>
    <w:p>
      <w:pPr>
        <w:spacing w:after="0" w:line="198"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Existing Letter of Credit</w:t>
      </w:r>
      <w:r>
        <w:rPr>
          <w:rFonts w:ascii="Arial" w:cs="Arial" w:eastAsia="Arial" w:hAnsi="Arial"/>
          <w:sz w:val="21"/>
          <w:szCs w:val="21"/>
          <w:color w:val="auto"/>
        </w:rPr>
        <w:t>” means each letter of credit issued prior to the Effective Date by a Person that shall be an Issuing Bank and listed on Schedule 2.06.</w:t>
      </w:r>
    </w:p>
    <w:p>
      <w:pPr>
        <w:spacing w:after="0" w:line="193"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7"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Federal Funds Effective Rate</w:t>
      </w:r>
      <w:r>
        <w:rPr>
          <w:rFonts w:ascii="Arial" w:cs="Arial" w:eastAsia="Arial" w:hAnsi="Arial"/>
          <w:sz w:val="21"/>
          <w:szCs w:val="21"/>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Federal Funds Effective Rate as so determined would be less than 0%, such rate shall be deemed to be 0% for the purposes of this Agreement.</w:t>
      </w:r>
    </w:p>
    <w:p>
      <w:pPr>
        <w:spacing w:after="0" w:line="200"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Federal Reserve Board</w:t>
      </w:r>
      <w:r>
        <w:rPr>
          <w:rFonts w:ascii="Arial" w:cs="Arial" w:eastAsia="Arial" w:hAnsi="Arial"/>
          <w:sz w:val="21"/>
          <w:szCs w:val="21"/>
          <w:color w:val="auto"/>
        </w:rPr>
        <w:t>” means the Board of Governors of the Federal Reserve System of the United States of America.</w:t>
      </w:r>
    </w:p>
    <w:p>
      <w:pPr>
        <w:spacing w:after="0" w:line="193"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Financial Officer</w:t>
      </w:r>
      <w:r>
        <w:rPr>
          <w:rFonts w:ascii="Arial" w:cs="Arial" w:eastAsia="Arial" w:hAnsi="Arial"/>
          <w:sz w:val="21"/>
          <w:szCs w:val="21"/>
          <w:color w:val="auto"/>
        </w:rPr>
        <w:t>” means the chief financial officer, principal accounting officer, treasurer or controller of the Borrower.</w:t>
      </w:r>
    </w:p>
    <w:p>
      <w:pPr>
        <w:spacing w:after="0" w:line="179"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Financials</w:t>
      </w:r>
      <w:r>
        <w:rPr>
          <w:rFonts w:ascii="Arial" w:cs="Arial" w:eastAsia="Arial" w:hAnsi="Arial"/>
          <w:sz w:val="21"/>
          <w:szCs w:val="21"/>
          <w:color w:val="auto"/>
        </w:rPr>
        <w:t>” means the annual or quarterly financial statements, and accompanying certificates and other documents, of the Borrower and its Subsidiaries required to be delivered pursuant to Section 5.01(a) or 5.01(b) (or, if prior to the date of the delivery of the first financial statements to be delivered pursuant to Section 5.01(a) or (b), the most recent financial statements referred to in Section 3.05(a) or (b)).</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040"/>
          </w:cols>
          <w:pgMar w:left="400" w:top="1440" w:right="459" w:bottom="1440" w:gutter="0" w:footer="0" w:header="0"/>
        </w:sectPr>
      </w:pPr>
    </w:p>
    <w:bookmarkStart w:id="111" w:name="page112"/>
    <w:bookmarkEnd w:id="111"/>
    <w:p>
      <w:pPr>
        <w:spacing w:after="0" w:line="193"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First Tier Foreign Subsidiary</w:t>
      </w:r>
      <w:r>
        <w:rPr>
          <w:rFonts w:ascii="Arial" w:cs="Arial" w:eastAsia="Arial" w:hAnsi="Arial"/>
          <w:sz w:val="21"/>
          <w:szCs w:val="21"/>
          <w:color w:val="auto"/>
        </w:rPr>
        <w:t>” means each Foreign Subsidiary with respect to which any one or more of the Borrower and its Domestic Subsidiaries directly owns or Controls more than 50% of such Foreign Subsidiary’s issued and outstanding Equity Interests.</w:t>
      </w:r>
    </w:p>
    <w:p>
      <w:pPr>
        <w:spacing w:after="0" w:line="184" w:lineRule="exact"/>
        <w:rPr>
          <w:sz w:val="20"/>
          <w:szCs w:val="20"/>
          <w:color w:val="auto"/>
        </w:rPr>
      </w:pPr>
    </w:p>
    <w:p>
      <w:pPr>
        <w:jc w:val="both"/>
        <w:ind w:left="60" w:firstLine="642"/>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Fixed Charge Coverage Ratio</w:t>
      </w:r>
      <w:r>
        <w:rPr>
          <w:rFonts w:ascii="Arial" w:cs="Arial" w:eastAsia="Arial" w:hAnsi="Arial"/>
          <w:sz w:val="20"/>
          <w:szCs w:val="20"/>
          <w:color w:val="auto"/>
        </w:rPr>
        <w:t xml:space="preserve">” means the ratio, as of any date of determination thereof, of (a) (i) EBITDA for the twelve (12) month period immediately preceding said date of determination, taken together as one accounting period,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(ii) the aggregate amount of all Capital Expenditures made during said test period,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(iii) taxes paid in cash during said test period, and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(iv) Restricted Payments paid in cash during said test period, </w:t>
      </w:r>
      <w:r>
        <w:rPr>
          <w:rFonts w:ascii="Arial" w:cs="Arial" w:eastAsia="Arial" w:hAnsi="Arial"/>
          <w:sz w:val="20"/>
          <w:szCs w:val="20"/>
          <w:i w:val="1"/>
          <w:iCs w:val="1"/>
          <w:color w:val="auto"/>
        </w:rPr>
        <w:t>-to-</w:t>
      </w:r>
      <w:r>
        <w:rPr>
          <w:rFonts w:ascii="Arial" w:cs="Arial" w:eastAsia="Arial" w:hAnsi="Arial"/>
          <w:sz w:val="20"/>
          <w:szCs w:val="20"/>
          <w:color w:val="auto"/>
        </w:rPr>
        <w:t xml:space="preserve"> (b) the sum of (i) all interest, premium payments, debt discount, fees, charges and related expenses of the Borrower and its Subsidiaries in connection with borrowed money (including capitalized interest) or in connection with the deferred purchase price of assets, in each case, to the extent treated as interest in accordance with GAAP and to the extent paid in cash during said test period, (ii) the aggregate principal amount of all redemptions or similar acquisitions for value of outstanding debt for borrowed money or regularly scheduled principal payments made during said test period, but excluding any such payments to the extent refinanced through the incurrence of additional Indebtedness otherwise expressly permitted under Section 6.03, and (iii) subject to and in accordance with Section 1.04(b), payments made during said test period under all leases that have been or should be, in accordance with GAAP, recorded as capitalized leases.</w:t>
      </w:r>
    </w:p>
    <w:p>
      <w:pPr>
        <w:spacing w:after="0" w:line="193" w:lineRule="exact"/>
        <w:rPr>
          <w:sz w:val="20"/>
          <w:szCs w:val="20"/>
          <w:color w:val="auto"/>
        </w:rPr>
      </w:pPr>
    </w:p>
    <w:p>
      <w:pPr>
        <w:jc w:val="both"/>
        <w:ind w:left="60" w:firstLine="642"/>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Floor</w:t>
      </w:r>
      <w:r>
        <w:rPr>
          <w:rFonts w:ascii="Arial" w:cs="Arial" w:eastAsia="Arial" w:hAnsi="Arial"/>
          <w:sz w:val="21"/>
          <w:szCs w:val="21"/>
          <w:color w:val="auto"/>
        </w:rPr>
        <w:t>” means the benchmark rate floor, if any, provided in this Agreement initially (as of the execution of this Agreement, the modification, amendment or renewal of this Agreement or otherwise) with respect to the Adjusted Term SOFR Rate, CDOR Rate, Adjusted EURIBOR Rate, Adjusted TIBOR Rate, each Adjusted Daily Simple RFR or the Central Bank/Prime Rate as applicable. For the avoidance of doubt the initial Floor for each of Adjusted Term SOFR Rate, CDOR Rate, Adjusted EURIBOR Rate, Adjusted TIBOR Rate, each Adjusted Daily Simple RFR, or the Central Bank/Prime Rate shall be 0%.</w:t>
      </w:r>
    </w:p>
    <w:p>
      <w:pPr>
        <w:spacing w:after="0" w:line="201" w:lineRule="exact"/>
        <w:rPr>
          <w:sz w:val="20"/>
          <w:szCs w:val="20"/>
          <w:color w:val="auto"/>
        </w:rPr>
      </w:pPr>
    </w:p>
    <w:p>
      <w:pPr>
        <w:jc w:val="both"/>
        <w:ind w:left="60" w:right="20" w:firstLine="642"/>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Foreign Currency</w:t>
      </w:r>
      <w:r>
        <w:rPr>
          <w:rFonts w:ascii="Arial" w:cs="Arial" w:eastAsia="Arial" w:hAnsi="Arial"/>
          <w:sz w:val="19"/>
          <w:szCs w:val="19"/>
          <w:color w:val="auto"/>
        </w:rPr>
        <w:t xml:space="preserve">” means Euros, Canadian Dollars, Yen and any additional currencies determined after the Effective Date by mutual agreement of the Borrower, Lenders, Issuing Bank and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currency is a lawful currency that is readily available, freely transferable and not restricted and able to be converted into Dollars.</w:t>
      </w:r>
    </w:p>
    <w:p>
      <w:pPr>
        <w:spacing w:after="0" w:line="161" w:lineRule="exact"/>
        <w:rPr>
          <w:sz w:val="20"/>
          <w:szCs w:val="20"/>
          <w:color w:val="auto"/>
        </w:rPr>
      </w:pPr>
    </w:p>
    <w:p>
      <w:pPr>
        <w:jc w:val="both"/>
        <w:ind w:left="60" w:firstLine="696"/>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Foreign Currency LC Exposure</w:t>
      </w:r>
      <w:r>
        <w:rPr>
          <w:rFonts w:ascii="Arial" w:cs="Arial" w:eastAsia="Arial" w:hAnsi="Arial"/>
          <w:sz w:val="21"/>
          <w:szCs w:val="21"/>
          <w:color w:val="auto"/>
        </w:rPr>
        <w:t>” means, at any time, the sum of (a) the Dollar Equivalent of the aggregate undrawn and unexpired amount of all outstanding Foreign Currency Letters of Credit at such time plus (b) the aggregate principal Dollar Equivalent of all LC Disbursements in respect of Foreign Currency Letters of Credit that have not yet been reimbursed at such time.</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Foreign Currency Letter of Credit</w:t>
      </w:r>
      <w:r>
        <w:rPr>
          <w:rFonts w:ascii="Arial" w:cs="Arial" w:eastAsia="Arial" w:hAnsi="Arial"/>
          <w:sz w:val="21"/>
          <w:szCs w:val="21"/>
          <w:color w:val="auto"/>
        </w:rPr>
        <w:t>” means a Letter of Credit denominated in a Foreign Currency.</w:t>
      </w:r>
    </w:p>
    <w:p>
      <w:pPr>
        <w:spacing w:after="0" w:line="228"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Foreign Currency Sublimit</w:t>
      </w:r>
      <w:r>
        <w:rPr>
          <w:rFonts w:ascii="Arial" w:cs="Arial" w:eastAsia="Arial" w:hAnsi="Arial"/>
          <w:sz w:val="21"/>
          <w:szCs w:val="21"/>
          <w:color w:val="auto"/>
        </w:rPr>
        <w:t>” means an amount equal to the lesser of (a) $100,000,000 and (b) the total amount of the Revolving Commitments. The Foreign Currency Sublimit is part of, and not in addition to, the Revolving Commitments hereunder.</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Foreign Lender</w:t>
      </w:r>
      <w:r>
        <w:rPr>
          <w:rFonts w:ascii="Arial" w:cs="Arial" w:eastAsia="Arial" w:hAnsi="Arial"/>
          <w:sz w:val="21"/>
          <w:szCs w:val="21"/>
          <w:color w:val="auto"/>
        </w:rPr>
        <w:t>” means a Lender that is not a U.S. Person.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040"/>
          </w:cols>
          <w:pgMar w:left="400" w:top="1440" w:right="459" w:bottom="1440" w:gutter="0" w:footer="0" w:header="0"/>
        </w:sectPr>
      </w:pPr>
    </w:p>
    <w:bookmarkStart w:id="112" w:name="page113"/>
    <w:bookmarkEnd w:id="112"/>
    <w:p>
      <w:pPr>
        <w:spacing w:after="0" w:line="314" w:lineRule="exact"/>
        <w:rPr>
          <w:sz w:val="20"/>
          <w:szCs w:val="20"/>
          <w:color w:val="auto"/>
        </w:rPr>
      </w:pPr>
    </w:p>
    <w:p>
      <w:pPr>
        <w:ind w:left="700" w:right="20" w:firstLine="54"/>
        <w:spacing w:after="0" w:line="39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Foreign Subsidiary</w:t>
      </w:r>
      <w:r>
        <w:rPr>
          <w:rFonts w:ascii="Arial" w:cs="Arial" w:eastAsia="Arial" w:hAnsi="Arial"/>
          <w:sz w:val="21"/>
          <w:szCs w:val="21"/>
          <w:color w:val="auto"/>
        </w:rPr>
        <w:t>” means any Subsidiary which is not a Domestic Subsidiary. “</w:t>
      </w:r>
      <w:r>
        <w:rPr>
          <w:rFonts w:ascii="Arial" w:cs="Arial" w:eastAsia="Arial" w:hAnsi="Arial"/>
          <w:sz w:val="21"/>
          <w:szCs w:val="21"/>
          <w:b w:val="1"/>
          <w:bCs w:val="1"/>
          <w:i w:val="1"/>
          <w:iCs w:val="1"/>
          <w:color w:val="auto"/>
        </w:rPr>
        <w:t>GAAP</w:t>
      </w:r>
      <w:r>
        <w:rPr>
          <w:rFonts w:ascii="Arial" w:cs="Arial" w:eastAsia="Arial" w:hAnsi="Arial"/>
          <w:sz w:val="21"/>
          <w:szCs w:val="21"/>
          <w:color w:val="auto"/>
        </w:rPr>
        <w:t>” means generally accepted accounting principles in the United States of America.</w:t>
      </w:r>
    </w:p>
    <w:p>
      <w:pPr>
        <w:spacing w:after="0" w:line="1" w:lineRule="exact"/>
        <w:rPr>
          <w:sz w:val="20"/>
          <w:szCs w:val="20"/>
          <w:color w:val="auto"/>
        </w:rPr>
      </w:pPr>
    </w:p>
    <w:p>
      <w:pPr>
        <w:jc w:val="both"/>
        <w:ind w:left="60" w:firstLine="642"/>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7" w:lineRule="exact"/>
        <w:rPr>
          <w:sz w:val="20"/>
          <w:szCs w:val="20"/>
          <w:color w:val="auto"/>
        </w:rPr>
      </w:pPr>
    </w:p>
    <w:p>
      <w:pPr>
        <w:jc w:val="both"/>
        <w:ind w:left="60" w:right="20" w:firstLine="642"/>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Guarantee</w:t>
      </w:r>
      <w:r>
        <w:rPr>
          <w:rFonts w:ascii="Arial" w:cs="Arial" w:eastAsia="Arial" w:hAnsi="Arial"/>
          <w:sz w:val="19"/>
          <w:szCs w:val="19"/>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w:t>
      </w:r>
    </w:p>
    <w:p>
      <w:pPr>
        <w:spacing w:after="0" w:line="1" w:lineRule="exact"/>
        <w:rPr>
          <w:sz w:val="20"/>
          <w:szCs w:val="20"/>
          <w:color w:val="auto"/>
        </w:rPr>
      </w:pPr>
    </w:p>
    <w:p>
      <w:pPr>
        <w:jc w:val="both"/>
        <w:ind w:left="60" w:hanging="8"/>
        <w:spacing w:after="0" w:line="227" w:lineRule="auto"/>
        <w:tabs>
          <w:tab w:leader="none" w:pos="319" w:val="left"/>
        </w:tabs>
        <w:numPr>
          <w:ilvl w:val="0"/>
          <w:numId w:val="45"/>
        </w:numPr>
        <w:rPr>
          <w:rFonts w:ascii="Arial" w:cs="Arial" w:eastAsia="Arial" w:hAnsi="Arial"/>
          <w:sz w:val="20"/>
          <w:szCs w:val="20"/>
          <w:color w:val="auto"/>
        </w:rPr>
      </w:pPr>
      <w:r>
        <w:rPr>
          <w:rFonts w:ascii="Arial" w:cs="Arial" w:eastAsia="Arial" w:hAnsi="Arial"/>
          <w:sz w:val="20"/>
          <w:szCs w:val="20"/>
          <w:color w:val="auto"/>
        </w:rPr>
        <w:t>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20"/>
          <w:szCs w:val="20"/>
          <w:b w:val="1"/>
          <w:bCs w:val="1"/>
          <w:i w:val="1"/>
          <w:iCs w:val="1"/>
          <w:color w:val="auto"/>
        </w:rPr>
        <w:t>Guarantee</w:t>
      </w:r>
      <w:r>
        <w:rPr>
          <w:rFonts w:ascii="Arial" w:cs="Arial" w:eastAsia="Arial" w:hAnsi="Arial"/>
          <w:sz w:val="20"/>
          <w:szCs w:val="20"/>
          <w:color w:val="auto"/>
        </w:rPr>
        <w:t>” as a verb has a corresponding meaning.</w:t>
      </w:r>
    </w:p>
    <w:p>
      <w:pPr>
        <w:spacing w:after="0" w:line="184"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Hazardous Materials</w:t>
      </w:r>
      <w:r>
        <w:rPr>
          <w:rFonts w:ascii="Arial" w:cs="Arial" w:eastAsia="Arial" w:hAnsi="Arial"/>
          <w:sz w:val="21"/>
          <w:szCs w:val="21"/>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05"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Increasing Lender</w:t>
      </w:r>
      <w:r>
        <w:rPr>
          <w:rFonts w:ascii="Arial" w:cs="Arial" w:eastAsia="Arial" w:hAnsi="Arial"/>
          <w:sz w:val="20"/>
          <w:szCs w:val="20"/>
          <w:color w:val="auto"/>
        </w:rPr>
        <w:t>” has the meaning assigned to such term in Section 2.22. “</w:t>
      </w:r>
      <w:r>
        <w:rPr>
          <w:rFonts w:ascii="Arial" w:cs="Arial" w:eastAsia="Arial" w:hAnsi="Arial"/>
          <w:sz w:val="20"/>
          <w:szCs w:val="20"/>
          <w:b w:val="1"/>
          <w:bCs w:val="1"/>
          <w:i w:val="1"/>
          <w:iCs w:val="1"/>
          <w:color w:val="auto"/>
        </w:rPr>
        <w:t>Incremental Term Loan</w:t>
      </w:r>
      <w:r>
        <w:rPr>
          <w:rFonts w:ascii="Arial" w:cs="Arial" w:eastAsia="Arial" w:hAnsi="Arial"/>
          <w:sz w:val="20"/>
          <w:szCs w:val="20"/>
          <w:color w:val="auto"/>
        </w:rPr>
        <w:t>” has the</w:t>
      </w:r>
    </w:p>
    <w:p>
      <w:pPr>
        <w:spacing w:after="0" w:line="30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meaning assigned to such term in Section 2.22. “</w:t>
      </w:r>
      <w:r>
        <w:rPr>
          <w:rFonts w:ascii="Arial" w:cs="Arial" w:eastAsia="Arial" w:hAnsi="Arial"/>
          <w:sz w:val="19"/>
          <w:szCs w:val="19"/>
          <w:b w:val="1"/>
          <w:bCs w:val="1"/>
          <w:i w:val="1"/>
          <w:iCs w:val="1"/>
          <w:color w:val="auto"/>
        </w:rPr>
        <w:t>Incremental Term Loan Amendment</w:t>
      </w:r>
      <w:r>
        <w:rPr>
          <w:rFonts w:ascii="Arial" w:cs="Arial" w:eastAsia="Arial" w:hAnsi="Arial"/>
          <w:sz w:val="19"/>
          <w:szCs w:val="19"/>
          <w:color w:val="auto"/>
        </w:rPr>
        <w:t>” has the meaning assigned to</w:t>
      </w:r>
    </w:p>
    <w:p>
      <w:pPr>
        <w:spacing w:after="0" w:line="304" w:lineRule="exact"/>
        <w:rPr>
          <w:sz w:val="20"/>
          <w:szCs w:val="20"/>
          <w:color w:val="auto"/>
        </w:rPr>
      </w:pPr>
    </w:p>
    <w:p>
      <w:pPr>
        <w:ind w:left="700"/>
        <w:spacing w:after="0"/>
        <w:rPr>
          <w:sz w:val="20"/>
          <w:szCs w:val="20"/>
          <w:color w:val="auto"/>
        </w:rPr>
      </w:pPr>
      <w:r>
        <w:rPr>
          <w:rFonts w:ascii="Arial" w:cs="Arial" w:eastAsia="Arial" w:hAnsi="Arial"/>
          <w:sz w:val="21"/>
          <w:szCs w:val="21"/>
          <w:color w:val="auto"/>
        </w:rPr>
        <w:t>such term in Section</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21"/>
          <w:szCs w:val="21"/>
          <w:color w:val="auto"/>
        </w:rPr>
        <w:t>2.22.</w:t>
      </w:r>
    </w:p>
    <w:p>
      <w:pPr>
        <w:spacing w:after="0" w:line="228" w:lineRule="exact"/>
        <w:rPr>
          <w:sz w:val="20"/>
          <w:szCs w:val="20"/>
          <w:color w:val="auto"/>
        </w:rPr>
      </w:pPr>
    </w:p>
    <w:p>
      <w:pPr>
        <w:ind w:left="60" w:right="2580" w:firstLine="644"/>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040"/>
          </w:cols>
          <w:pgMar w:left="400" w:top="1440" w:right="459" w:bottom="1440" w:gutter="0" w:footer="0" w:header="0"/>
        </w:sectPr>
      </w:pPr>
    </w:p>
    <w:bookmarkStart w:id="113" w:name="page114"/>
    <w:bookmarkEnd w:id="113"/>
    <w:p>
      <w:pPr>
        <w:spacing w:after="0" w:line="193" w:lineRule="exact"/>
        <w:rPr>
          <w:sz w:val="20"/>
          <w:szCs w:val="20"/>
          <w:color w:val="auto"/>
        </w:rPr>
      </w:pPr>
    </w:p>
    <w:p>
      <w:pPr>
        <w:ind w:left="60" w:right="120" w:firstLine="635"/>
        <w:spacing w:after="0" w:line="244" w:lineRule="auto"/>
        <w:tabs>
          <w:tab w:leader="none" w:pos="1308" w:val="left"/>
        </w:tabs>
        <w:numPr>
          <w:ilvl w:val="0"/>
          <w:numId w:val="46"/>
        </w:numPr>
        <w:rPr>
          <w:rFonts w:ascii="Arial" w:cs="Arial" w:eastAsia="Arial" w:hAnsi="Arial"/>
          <w:sz w:val="21"/>
          <w:szCs w:val="21"/>
          <w:color w:val="auto"/>
        </w:rPr>
      </w:pPr>
      <w:r>
        <w:rPr>
          <w:rFonts w:ascii="Arial" w:cs="Arial" w:eastAsia="Arial" w:hAnsi="Arial"/>
          <w:sz w:val="21"/>
          <w:szCs w:val="21"/>
          <w:color w:val="auto"/>
        </w:rPr>
        <w:t>all obligations of such Person for borrowed money and all obligations of such Person evidenced by bonds, debentures, notes, loan agreements or other similar instruments;</w:t>
      </w:r>
    </w:p>
    <w:p>
      <w:pPr>
        <w:spacing w:after="0" w:line="179" w:lineRule="exact"/>
        <w:rPr>
          <w:rFonts w:ascii="Arial" w:cs="Arial" w:eastAsia="Arial" w:hAnsi="Arial"/>
          <w:sz w:val="21"/>
          <w:szCs w:val="21"/>
          <w:color w:val="auto"/>
        </w:rPr>
      </w:pPr>
    </w:p>
    <w:p>
      <w:pPr>
        <w:ind w:left="60" w:right="140" w:firstLine="635"/>
        <w:spacing w:after="0" w:line="244" w:lineRule="auto"/>
        <w:tabs>
          <w:tab w:leader="none" w:pos="1347"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the maximum amount of all direct or contingent obligations of such Person arising under letters of credit (including standby and commercial), bankers’ acceptances, bank guaranties, surety bonds and similar instruments;</w:t>
      </w:r>
    </w:p>
    <w:p>
      <w:pPr>
        <w:spacing w:after="0" w:line="192" w:lineRule="exact"/>
        <w:rPr>
          <w:rFonts w:ascii="Arial" w:cs="Arial" w:eastAsia="Arial" w:hAnsi="Arial"/>
          <w:sz w:val="21"/>
          <w:szCs w:val="21"/>
          <w:color w:val="auto"/>
        </w:rPr>
      </w:pPr>
    </w:p>
    <w:p>
      <w:pPr>
        <w:ind w:left="1140" w:hanging="445"/>
        <w:spacing w:after="0"/>
        <w:tabs>
          <w:tab w:leader="none" w:pos="1140" w:val="left"/>
        </w:tabs>
        <w:numPr>
          <w:ilvl w:val="0"/>
          <w:numId w:val="46"/>
        </w:numPr>
        <w:rPr>
          <w:rFonts w:ascii="Arial" w:cs="Arial" w:eastAsia="Arial" w:hAnsi="Arial"/>
          <w:sz w:val="21"/>
          <w:szCs w:val="21"/>
          <w:color w:val="auto"/>
        </w:rPr>
      </w:pPr>
      <w:r>
        <w:rPr>
          <w:rFonts w:ascii="Arial" w:cs="Arial" w:eastAsia="Arial" w:hAnsi="Arial"/>
          <w:sz w:val="21"/>
          <w:szCs w:val="21"/>
          <w:color w:val="auto"/>
        </w:rPr>
        <w:t>net obligations of such Person under any Swap Agreement;</w:t>
      </w:r>
    </w:p>
    <w:p>
      <w:pPr>
        <w:spacing w:after="0" w:line="214" w:lineRule="exact"/>
        <w:rPr>
          <w:rFonts w:ascii="Arial" w:cs="Arial" w:eastAsia="Arial" w:hAnsi="Arial"/>
          <w:sz w:val="21"/>
          <w:szCs w:val="21"/>
          <w:color w:val="auto"/>
        </w:rPr>
      </w:pPr>
    </w:p>
    <w:p>
      <w:pPr>
        <w:jc w:val="both"/>
        <w:ind w:left="60" w:firstLine="635"/>
        <w:spacing w:after="0" w:line="236" w:lineRule="auto"/>
        <w:tabs>
          <w:tab w:leader="none" w:pos="1184"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all obligations (including, without limitation, earnout obligations) of such Person to pay the deferred purchase price of property or services (other than trade accounts payable in the ordinary course of business and, in each case, not past due for more than ninety (90) days or such longer period as permitted in the ordinary course of business); </w:t>
      </w:r>
      <w:r>
        <w:rPr>
          <w:rFonts w:ascii="Arial" w:cs="Arial" w:eastAsia="Arial" w:hAnsi="Arial"/>
          <w:sz w:val="20"/>
          <w:szCs w:val="20"/>
          <w:color w:val="181818"/>
        </w:rPr>
        <w:t>provided, however, such</w:t>
      </w:r>
      <w:r>
        <w:rPr>
          <w:rFonts w:ascii="Arial" w:cs="Arial" w:eastAsia="Arial" w:hAnsi="Arial"/>
          <w:sz w:val="20"/>
          <w:szCs w:val="20"/>
          <w:color w:val="auto"/>
        </w:rPr>
        <w:t xml:space="preserve"> </w:t>
      </w:r>
      <w:r>
        <w:rPr>
          <w:rFonts w:ascii="Arial" w:cs="Arial" w:eastAsia="Arial" w:hAnsi="Arial"/>
          <w:sz w:val="20"/>
          <w:szCs w:val="20"/>
          <w:color w:val="181818"/>
        </w:rPr>
        <w:t>obligations shall not include contingent purchase price amounts required to be recorded pursuant to GAAP until such time, if at all, as the Borrower has determined that such purchase price amounts are no longer contingent</w:t>
      </w:r>
      <w:r>
        <w:rPr>
          <w:rFonts w:ascii="Arial" w:cs="Arial" w:eastAsia="Arial" w:hAnsi="Arial"/>
          <w:sz w:val="20"/>
          <w:szCs w:val="20"/>
          <w:color w:val="000000"/>
        </w:rPr>
        <w:t>;</w:t>
      </w:r>
    </w:p>
    <w:p>
      <w:pPr>
        <w:spacing w:after="0" w:line="182" w:lineRule="exact"/>
        <w:rPr>
          <w:rFonts w:ascii="Arial" w:cs="Arial" w:eastAsia="Arial" w:hAnsi="Arial"/>
          <w:sz w:val="20"/>
          <w:szCs w:val="20"/>
          <w:color w:val="auto"/>
        </w:rPr>
      </w:pPr>
    </w:p>
    <w:p>
      <w:pPr>
        <w:jc w:val="both"/>
        <w:ind w:left="60" w:right="120" w:firstLine="635"/>
        <w:spacing w:after="0" w:line="232" w:lineRule="auto"/>
        <w:tabs>
          <w:tab w:leader="none" w:pos="1158" w:val="left"/>
        </w:tabs>
        <w:numPr>
          <w:ilvl w:val="0"/>
          <w:numId w:val="46"/>
        </w:numPr>
        <w:rPr>
          <w:rFonts w:ascii="Arial" w:cs="Arial" w:eastAsia="Arial" w:hAnsi="Arial"/>
          <w:sz w:val="21"/>
          <w:szCs w:val="21"/>
          <w:color w:val="auto"/>
        </w:rPr>
      </w:pPr>
      <w:r>
        <w:rPr>
          <w:rFonts w:ascii="Arial" w:cs="Arial" w:eastAsia="Arial" w:hAnsi="Arial"/>
          <w:sz w:val="21"/>
          <w:szCs w:val="21"/>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97" w:lineRule="exact"/>
        <w:rPr>
          <w:rFonts w:ascii="Arial" w:cs="Arial" w:eastAsia="Arial" w:hAnsi="Arial"/>
          <w:sz w:val="21"/>
          <w:szCs w:val="21"/>
          <w:color w:val="auto"/>
        </w:rPr>
      </w:pPr>
    </w:p>
    <w:p>
      <w:pPr>
        <w:jc w:val="both"/>
        <w:ind w:left="60" w:firstLine="635"/>
        <w:spacing w:after="0" w:line="232" w:lineRule="auto"/>
        <w:tabs>
          <w:tab w:leader="none" w:pos="1131"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capital leases and Synthetic Lease Obligations;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the adoption of FASB ASU No. 2016-02 (Leases) to the contrary, existing and future leases commonly referred to as “operating leases” shall not constitute Indebtedness for any purpose hereunder;</w:t>
      </w:r>
    </w:p>
    <w:p>
      <w:pPr>
        <w:spacing w:after="0" w:line="197" w:lineRule="exact"/>
        <w:rPr>
          <w:rFonts w:ascii="Arial" w:cs="Arial" w:eastAsia="Arial" w:hAnsi="Arial"/>
          <w:sz w:val="21"/>
          <w:szCs w:val="21"/>
          <w:color w:val="auto"/>
        </w:rPr>
      </w:pPr>
    </w:p>
    <w:p>
      <w:pPr>
        <w:jc w:val="both"/>
        <w:ind w:left="60" w:right="120" w:firstLine="635"/>
        <w:spacing w:after="0" w:line="227" w:lineRule="auto"/>
        <w:tabs>
          <w:tab w:leader="none" w:pos="1233" w:val="left"/>
        </w:tabs>
        <w:numPr>
          <w:ilvl w:val="0"/>
          <w:numId w:val="46"/>
        </w:numPr>
        <w:rPr>
          <w:rFonts w:ascii="Arial" w:cs="Arial" w:eastAsia="Arial" w:hAnsi="Arial"/>
          <w:sz w:val="21"/>
          <w:szCs w:val="21"/>
          <w:color w:val="auto"/>
        </w:rPr>
      </w:pPr>
      <w:r>
        <w:rPr>
          <w:rFonts w:ascii="Arial" w:cs="Arial" w:eastAsia="Arial" w:hAnsi="Arial"/>
          <w:sz w:val="21"/>
          <w:szCs w:val="21"/>
          <w:color w:val="auto"/>
        </w:rPr>
        <w:t>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w:t>
      </w:r>
    </w:p>
    <w:p>
      <w:pPr>
        <w:spacing w:after="0" w:line="185" w:lineRule="exact"/>
        <w:rPr>
          <w:rFonts w:ascii="Arial" w:cs="Arial" w:eastAsia="Arial" w:hAnsi="Arial"/>
          <w:sz w:val="21"/>
          <w:szCs w:val="21"/>
          <w:color w:val="auto"/>
        </w:rPr>
      </w:pPr>
    </w:p>
    <w:p>
      <w:pPr>
        <w:ind w:left="1160" w:hanging="465"/>
        <w:spacing w:after="0"/>
        <w:tabs>
          <w:tab w:leader="none" w:pos="1160" w:val="left"/>
        </w:tabs>
        <w:numPr>
          <w:ilvl w:val="0"/>
          <w:numId w:val="46"/>
        </w:numPr>
        <w:rPr>
          <w:rFonts w:ascii="Arial" w:cs="Arial" w:eastAsia="Arial" w:hAnsi="Arial"/>
          <w:sz w:val="21"/>
          <w:szCs w:val="21"/>
          <w:color w:val="auto"/>
        </w:rPr>
      </w:pPr>
      <w:r>
        <w:rPr>
          <w:rFonts w:ascii="Arial" w:cs="Arial" w:eastAsia="Arial" w:hAnsi="Arial"/>
          <w:sz w:val="21"/>
          <w:szCs w:val="21"/>
          <w:color w:val="auto"/>
        </w:rPr>
        <w:t>all Attributable Receivables Indebtedness of such Person; and</w:t>
      </w:r>
    </w:p>
    <w:p>
      <w:pPr>
        <w:spacing w:after="0" w:line="227" w:lineRule="exact"/>
        <w:rPr>
          <w:rFonts w:ascii="Arial" w:cs="Arial" w:eastAsia="Arial" w:hAnsi="Arial"/>
          <w:sz w:val="21"/>
          <w:szCs w:val="21"/>
          <w:color w:val="auto"/>
        </w:rPr>
      </w:pPr>
    </w:p>
    <w:p>
      <w:pPr>
        <w:ind w:left="1120" w:hanging="425"/>
        <w:spacing w:after="0"/>
        <w:tabs>
          <w:tab w:leader="none" w:pos="1120" w:val="left"/>
        </w:tabs>
        <w:numPr>
          <w:ilvl w:val="0"/>
          <w:numId w:val="46"/>
        </w:numPr>
        <w:rPr>
          <w:rFonts w:ascii="Arial" w:cs="Arial" w:eastAsia="Arial" w:hAnsi="Arial"/>
          <w:sz w:val="21"/>
          <w:szCs w:val="21"/>
          <w:color w:val="auto"/>
        </w:rPr>
      </w:pPr>
      <w:r>
        <w:rPr>
          <w:rFonts w:ascii="Arial" w:cs="Arial" w:eastAsia="Arial" w:hAnsi="Arial"/>
          <w:sz w:val="21"/>
          <w:szCs w:val="21"/>
          <w:color w:val="auto"/>
        </w:rPr>
        <w:t>all Guarantees of such Person in respect of any of the foregoing.</w:t>
      </w:r>
    </w:p>
    <w:p>
      <w:pPr>
        <w:spacing w:after="0" w:line="228" w:lineRule="exact"/>
        <w:rPr>
          <w:sz w:val="20"/>
          <w:szCs w:val="20"/>
          <w:color w:val="auto"/>
        </w:rPr>
      </w:pPr>
    </w:p>
    <w:p>
      <w:pPr>
        <w:jc w:val="both"/>
        <w:ind w:left="60" w:right="120"/>
        <w:spacing w:after="0" w:line="222" w:lineRule="auto"/>
        <w:rPr>
          <w:sz w:val="20"/>
          <w:szCs w:val="20"/>
          <w:color w:val="auto"/>
        </w:rPr>
      </w:pPr>
      <w:r>
        <w:rPr>
          <w:rFonts w:ascii="Arial" w:cs="Arial" w:eastAsia="Arial" w:hAnsi="Arial"/>
          <w:sz w:val="21"/>
          <w:szCs w:val="21"/>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Agreement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88" w:lineRule="exact"/>
        <w:rPr>
          <w:sz w:val="20"/>
          <w:szCs w:val="20"/>
          <w:color w:val="auto"/>
        </w:rPr>
      </w:pPr>
    </w:p>
    <w:p>
      <w:pPr>
        <w:jc w:val="both"/>
        <w:ind w:left="60" w:right="140" w:firstLine="642"/>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Indemnified Taxes</w:t>
      </w:r>
      <w:r>
        <w:rPr>
          <w:rFonts w:ascii="Arial" w:cs="Arial" w:eastAsia="Arial" w:hAnsi="Arial"/>
          <w:sz w:val="19"/>
          <w:szCs w:val="19"/>
          <w:color w:val="auto"/>
        </w:rPr>
        <w:t>” means (a) Taxes, other than Excluded Taxes, imposed on or with respect to any payment made by or on account of any obligation of any Loan Party under any Loan Document and (b) to the extent not otherwise described in</w:t>
      </w:r>
    </w:p>
    <w:p>
      <w:pPr>
        <w:spacing w:after="0" w:line="1" w:lineRule="exact"/>
        <w:rPr>
          <w:sz w:val="20"/>
          <w:szCs w:val="20"/>
          <w:color w:val="auto"/>
        </w:rPr>
      </w:pPr>
    </w:p>
    <w:p>
      <w:pPr>
        <w:ind w:left="340" w:hanging="288"/>
        <w:spacing w:after="0"/>
        <w:tabs>
          <w:tab w:leader="none" w:pos="340" w:val="left"/>
        </w:tabs>
        <w:numPr>
          <w:ilvl w:val="0"/>
          <w:numId w:val="47"/>
        </w:numPr>
        <w:rPr>
          <w:rFonts w:ascii="Arial" w:cs="Arial" w:eastAsia="Arial" w:hAnsi="Arial"/>
          <w:sz w:val="21"/>
          <w:szCs w:val="21"/>
          <w:color w:val="auto"/>
        </w:rPr>
      </w:pPr>
      <w:r>
        <w:rPr>
          <w:rFonts w:ascii="Arial" w:cs="Arial" w:eastAsia="Arial" w:hAnsi="Arial"/>
          <w:sz w:val="21"/>
          <w:szCs w:val="21"/>
          <w:color w:val="auto"/>
        </w:rPr>
        <w:t>hereof, Other Taxes.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4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24</w:t>
      </w:r>
    </w:p>
    <w:p>
      <w:pPr>
        <w:sectPr>
          <w:pgSz w:w="11900" w:h="16838" w:orient="portrait"/>
          <w:cols w:equalWidth="0" w:num="1">
            <w:col w:w="11160"/>
          </w:cols>
          <w:pgMar w:left="400" w:top="1440" w:right="339" w:bottom="1440" w:gutter="0" w:footer="0" w:header="0"/>
        </w:sectPr>
      </w:pPr>
    </w:p>
    <w:bookmarkStart w:id="114" w:name="page115"/>
    <w:bookmarkEnd w:id="114"/>
    <w:p>
      <w:pPr>
        <w:spacing w:after="0" w:line="314" w:lineRule="exact"/>
        <w:rPr>
          <w:sz w:val="20"/>
          <w:szCs w:val="20"/>
          <w:color w:val="auto"/>
        </w:rPr>
      </w:pPr>
    </w:p>
    <w:p>
      <w:pPr>
        <w:ind w:left="700" w:right="1400"/>
        <w:spacing w:after="0" w:line="4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has the meaning assigned to it in Section 9.03(c). “</w:t>
      </w:r>
      <w:r>
        <w:rPr>
          <w:rFonts w:ascii="Arial" w:cs="Arial" w:eastAsia="Arial" w:hAnsi="Arial"/>
          <w:sz w:val="19"/>
          <w:szCs w:val="19"/>
          <w:b w:val="1"/>
          <w:bCs w:val="1"/>
          <w:i w:val="1"/>
          <w:iCs w:val="1"/>
          <w:color w:val="auto"/>
        </w:rPr>
        <w:t>Ineligible Institution</w:t>
      </w:r>
      <w:r>
        <w:rPr>
          <w:rFonts w:ascii="Arial" w:cs="Arial" w:eastAsia="Arial" w:hAnsi="Arial"/>
          <w:sz w:val="19"/>
          <w:szCs w:val="19"/>
          <w:color w:val="auto"/>
        </w:rPr>
        <w:t>” has the meaning assigned to it in Section 9.04(b). “</w:t>
      </w:r>
      <w:r>
        <w:rPr>
          <w:rFonts w:ascii="Arial" w:cs="Arial" w:eastAsia="Arial" w:hAnsi="Arial"/>
          <w:sz w:val="19"/>
          <w:szCs w:val="19"/>
          <w:b w:val="1"/>
          <w:bCs w:val="1"/>
          <w:i w:val="1"/>
          <w:iCs w:val="1"/>
          <w:color w:val="auto"/>
        </w:rPr>
        <w:t>Information</w:t>
      </w:r>
      <w:r>
        <w:rPr>
          <w:rFonts w:ascii="Arial" w:cs="Arial" w:eastAsia="Arial" w:hAnsi="Arial"/>
          <w:sz w:val="19"/>
          <w:szCs w:val="19"/>
          <w:color w:val="auto"/>
        </w:rPr>
        <w:t>” has the meaning assigned to it in Section 9.12.</w:t>
      </w:r>
    </w:p>
    <w:p>
      <w:pPr>
        <w:spacing w:after="0" w:line="1"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Intercreditor Agreement</w:t>
      </w:r>
      <w:r>
        <w:rPr>
          <w:rFonts w:ascii="Arial" w:cs="Arial" w:eastAsia="Arial" w:hAnsi="Arial"/>
          <w:sz w:val="21"/>
          <w:szCs w:val="21"/>
          <w:color w:val="auto"/>
        </w:rPr>
        <w:t>” means any intercreditor agreement (including any Subordination Agreement) in form and substance reasonably satisfactory to the Administrative Agent entered into by the Borrower or any Subsidiary in connection with other Secured Debt or Subordinated Indebtedness, as any such intercreditor agreement may be from time to time amended, modified, extended, renewed, substituted, and/or supplemented.</w:t>
      </w:r>
    </w:p>
    <w:p>
      <w:pPr>
        <w:spacing w:after="0" w:line="199" w:lineRule="exact"/>
        <w:rPr>
          <w:sz w:val="20"/>
          <w:szCs w:val="20"/>
          <w:color w:val="auto"/>
        </w:rPr>
      </w:pPr>
    </w:p>
    <w:p>
      <w:pPr>
        <w:jc w:val="both"/>
        <w:ind w:left="60" w:firstLine="642"/>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Interest Election Request</w:t>
      </w:r>
      <w:r>
        <w:rPr>
          <w:rFonts w:ascii="Arial" w:cs="Arial" w:eastAsia="Arial" w:hAnsi="Arial"/>
          <w:sz w:val="19"/>
          <w:szCs w:val="19"/>
          <w:color w:val="auto"/>
        </w:rPr>
        <w:t>” means a request by the Borrower to convert or continue a Borrowing in accordance with Section 2.08, which shall be substantially in the form of Exhibit C or any other form approved by the Administrative Agent.</w:t>
      </w:r>
    </w:p>
    <w:p>
      <w:pPr>
        <w:spacing w:after="0" w:line="133" w:lineRule="exact"/>
        <w:rPr>
          <w:sz w:val="20"/>
          <w:szCs w:val="20"/>
          <w:color w:val="auto"/>
        </w:rPr>
      </w:pPr>
    </w:p>
    <w:p>
      <w:pPr>
        <w:jc w:val="both"/>
        <w:ind w:left="60" w:firstLine="642"/>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Interest Payment Date</w:t>
      </w:r>
      <w:r>
        <w:rPr>
          <w:rFonts w:ascii="Arial" w:cs="Arial" w:eastAsia="Arial" w:hAnsi="Arial"/>
          <w:sz w:val="21"/>
          <w:szCs w:val="21"/>
          <w:color w:val="auto"/>
        </w:rPr>
        <w:t>” means (a) with respect to any ABR Loan (other than a Swingline Loan), the last day of each March, June, September and December and the Maturity Date,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(c)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and (d) with respect to any Swingline Loan, the day that such Loan is required to be repaid and the Maturity Date.</w:t>
      </w:r>
    </w:p>
    <w:p>
      <w:pPr>
        <w:spacing w:after="0" w:line="202" w:lineRule="exact"/>
        <w:rPr>
          <w:sz w:val="20"/>
          <w:szCs w:val="20"/>
          <w:color w:val="auto"/>
        </w:rPr>
      </w:pPr>
    </w:p>
    <w:p>
      <w:pPr>
        <w:jc w:val="both"/>
        <w:ind w:left="60" w:firstLine="642"/>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Interest Period</w:t>
      </w:r>
      <w:r>
        <w:rPr>
          <w:rFonts w:ascii="Arial" w:cs="Arial" w:eastAsia="Arial" w:hAnsi="Arial"/>
          <w:sz w:val="20"/>
          <w:szCs w:val="20"/>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for any Agreed Currency or, in the case of Borrowings in Canadian Dollars, one, two or three months thereafter), as the Borrower may elect; </w:t>
      </w:r>
      <w:r>
        <w:rPr>
          <w:rFonts w:ascii="Arial" w:cs="Arial" w:eastAsia="Arial" w:hAnsi="Arial"/>
          <w:sz w:val="20"/>
          <w:szCs w:val="20"/>
          <w:u w:val="single" w:color="auto"/>
          <w:color w:val="auto"/>
        </w:rPr>
        <w:t>provided</w:t>
      </w:r>
      <w:r>
        <w:rPr>
          <w:rFonts w:ascii="Arial" w:cs="Arial" w:eastAsia="Arial" w:hAnsi="Arial"/>
          <w:sz w:val="20"/>
          <w:szCs w:val="20"/>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040"/>
          </w:cols>
          <w:pgMar w:left="400" w:top="1440" w:right="459" w:bottom="1440" w:gutter="0" w:footer="0" w:header="0"/>
        </w:sectPr>
      </w:pPr>
    </w:p>
    <w:bookmarkStart w:id="115" w:name="page116"/>
    <w:bookmarkEnd w:id="115"/>
    <w:p>
      <w:pPr>
        <w:spacing w:after="0" w:line="193"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Internal Control Event</w:t>
      </w:r>
      <w:r>
        <w:rPr>
          <w:rFonts w:ascii="Arial" w:cs="Arial" w:eastAsia="Arial" w:hAnsi="Arial"/>
          <w:sz w:val="21"/>
          <w:szCs w:val="21"/>
          <w:color w:val="auto"/>
        </w:rPr>
        <w:t>” means a material weakness in, or fraud that involves management or other employees who have a significant role in the Borrower’s internal controls over financial reporting.</w:t>
      </w:r>
    </w:p>
    <w:p>
      <w:pPr>
        <w:spacing w:after="0" w:line="179" w:lineRule="exact"/>
        <w:rPr>
          <w:sz w:val="20"/>
          <w:szCs w:val="20"/>
          <w:color w:val="auto"/>
        </w:rPr>
      </w:pPr>
    </w:p>
    <w:p>
      <w:pPr>
        <w:jc w:val="both"/>
        <w:ind w:left="60" w:firstLine="642"/>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Investment</w:t>
      </w:r>
      <w:r>
        <w:rPr>
          <w:rFonts w:ascii="Arial" w:cs="Arial" w:eastAsia="Arial" w:hAnsi="Arial"/>
          <w:sz w:val="21"/>
          <w:szCs w:val="21"/>
          <w:color w:val="auto"/>
        </w:rPr>
        <w:t>” 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amount actually invested, without adjustment for subsequent increases or decreases in the value of such Investment.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IRS</w:t>
      </w:r>
      <w:r>
        <w:rPr>
          <w:rFonts w:ascii="Arial" w:cs="Arial" w:eastAsia="Arial" w:hAnsi="Arial"/>
          <w:sz w:val="21"/>
          <w:szCs w:val="21"/>
          <w:color w:val="auto"/>
        </w:rPr>
        <w:t>” means the United States Internal Revenue Service.</w:t>
      </w:r>
    </w:p>
    <w:p>
      <w:pPr>
        <w:spacing w:after="0" w:line="228" w:lineRule="exact"/>
        <w:rPr>
          <w:sz w:val="20"/>
          <w:szCs w:val="20"/>
          <w:color w:val="auto"/>
        </w:rPr>
      </w:pPr>
    </w:p>
    <w:p>
      <w:pPr>
        <w:jc w:val="both"/>
        <w:ind w:left="60" w:firstLine="642"/>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Issuing Bank</w:t>
      </w:r>
      <w:r>
        <w:rPr>
          <w:rFonts w:ascii="Arial" w:cs="Arial" w:eastAsia="Arial" w:hAnsi="Arial"/>
          <w:sz w:val="21"/>
          <w:szCs w:val="21"/>
          <w:color w:val="auto"/>
        </w:rPr>
        <w:t>” means JPMorgan Chase Bank, N.A., Bank of America, N.A. (solely with respect to the Existing Letters of Credit until the BANA LC Commitment Start Date) and any other Lender that agrees to act as an Issuing Bank (in each case, through itself or through one of its designated affiliates or branch offices), each in its capacity as the issuer of Letters of Credit hereunder, and its successors in such capacity as provided in Section 2.06(i).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spacing w:after="0" w:line="186"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Japanese Prime Rate</w:t>
      </w:r>
      <w:r>
        <w:rPr>
          <w:rFonts w:ascii="Arial" w:cs="Arial" w:eastAsia="Arial" w:hAnsi="Arial"/>
          <w:sz w:val="21"/>
          <w:szCs w:val="21"/>
          <w:color w:val="auto"/>
        </w:rPr>
        <w:t>” means for any Loan denominated in Yen the greater of (a) (i) the Japanese local bank prime rate plus (ii) the Japanese Prime Rate Adjustment and (b) the Floor.</w:t>
      </w:r>
    </w:p>
    <w:p>
      <w:pPr>
        <w:spacing w:after="0" w:line="193" w:lineRule="exact"/>
        <w:rPr>
          <w:sz w:val="20"/>
          <w:szCs w:val="20"/>
          <w:color w:val="auto"/>
        </w:rPr>
      </w:pPr>
    </w:p>
    <w:p>
      <w:pPr>
        <w:jc w:val="both"/>
        <w:ind w:left="60" w:firstLine="642"/>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Japanese Prime Rate Adjustment</w:t>
      </w:r>
      <w:r>
        <w:rPr>
          <w:rFonts w:ascii="Arial" w:cs="Arial" w:eastAsia="Arial" w:hAnsi="Arial"/>
          <w:sz w:val="21"/>
          <w:szCs w:val="21"/>
          <w:color w:val="auto"/>
        </w:rPr>
        <w:t>” means, for any day, for any Loan denominated in Yen, a rate equal to the difference (which may be a positive or negative value or zero) of (i) the average of the Adjusted TIBOR Rate for the five most recent Business Days preceding such day for which the TIBOR Screen Rate was available (excluding, from such averaging, the highest and the lowest Adjusted TIBOR Rate applicable during such period of five Business Days) minus (ii) the Japanese Prime Rate in effect on the last Business Day in such period. For purposes of this definition, the TIBOR Rate on any day shall be based on the TIBOR Screen Rate on such day at approximately the time referred to in the definition of such term for deposits in Yen for a maturity of one month.</w:t>
      </w:r>
    </w:p>
    <w:p>
      <w:pPr>
        <w:spacing w:after="0" w:line="186"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Law</w:t>
      </w:r>
      <w:r>
        <w:rPr>
          <w:rFonts w:ascii="Arial" w:cs="Arial" w:eastAsia="Arial" w:hAnsi="Arial"/>
          <w:sz w:val="21"/>
          <w:szCs w:val="21"/>
          <w:color w:val="auto"/>
        </w:rPr>
        <w:t>” and “</w:t>
      </w:r>
      <w:r>
        <w:rPr>
          <w:rFonts w:ascii="Arial" w:cs="Arial" w:eastAsia="Arial" w:hAnsi="Arial"/>
          <w:sz w:val="21"/>
          <w:szCs w:val="21"/>
          <w:b w:val="1"/>
          <w:bCs w:val="1"/>
          <w:i w:val="1"/>
          <w:iCs w:val="1"/>
          <w:color w:val="auto"/>
        </w:rPr>
        <w:t>Laws</w:t>
      </w:r>
      <w:r>
        <w:rPr>
          <w:rFonts w:ascii="Arial" w:cs="Arial" w:eastAsia="Arial" w:hAnsi="Arial"/>
          <w:sz w:val="21"/>
          <w:szCs w:val="21"/>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040"/>
          </w:cols>
          <w:pgMar w:left="400" w:top="1440" w:right="459" w:bottom="1440" w:gutter="0" w:footer="0" w:header="0"/>
        </w:sectPr>
      </w:pPr>
    </w:p>
    <w:bookmarkStart w:id="116" w:name="page117"/>
    <w:bookmarkEnd w:id="116"/>
    <w:p>
      <w:pPr>
        <w:spacing w:after="0" w:line="193" w:lineRule="exact"/>
        <w:rPr>
          <w:sz w:val="20"/>
          <w:szCs w:val="20"/>
          <w:color w:val="auto"/>
        </w:rPr>
      </w:pPr>
    </w:p>
    <w:p>
      <w:pPr>
        <w:ind w:left="60"/>
        <w:spacing w:after="0"/>
        <w:rPr>
          <w:sz w:val="20"/>
          <w:szCs w:val="20"/>
          <w:color w:val="auto"/>
        </w:rPr>
      </w:pPr>
      <w:r>
        <w:rPr>
          <w:rFonts w:ascii="Arial" w:cs="Arial" w:eastAsia="Arial" w:hAnsi="Arial"/>
          <w:sz w:val="21"/>
          <w:szCs w:val="21"/>
          <w:color w:val="auto"/>
        </w:rPr>
        <w:t>permits of, and agreements with, any Governmental Authority, in each case whether or not having the force of law.</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LC Collateral Account</w:t>
      </w:r>
      <w:r>
        <w:rPr>
          <w:rFonts w:ascii="Arial" w:cs="Arial" w:eastAsia="Arial" w:hAnsi="Arial"/>
          <w:sz w:val="21"/>
          <w:szCs w:val="21"/>
          <w:color w:val="auto"/>
        </w:rPr>
        <w:t>” has the meaning assigned to such term in Section 2.06(j).</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LC Disbursement</w:t>
      </w:r>
      <w:r>
        <w:rPr>
          <w:rFonts w:ascii="Arial" w:cs="Arial" w:eastAsia="Arial" w:hAnsi="Arial"/>
          <w:sz w:val="21"/>
          <w:szCs w:val="21"/>
          <w:color w:val="auto"/>
        </w:rPr>
        <w:t>” means a payment made by an Issuing Bank pursuant to a Letter of</w:t>
      </w:r>
    </w:p>
    <w:p>
      <w:pPr>
        <w:ind w:left="60"/>
        <w:spacing w:after="0"/>
        <w:rPr>
          <w:sz w:val="20"/>
          <w:szCs w:val="20"/>
          <w:color w:val="auto"/>
        </w:rPr>
      </w:pPr>
      <w:r>
        <w:rPr>
          <w:rFonts w:ascii="Arial" w:cs="Arial" w:eastAsia="Arial" w:hAnsi="Arial"/>
          <w:sz w:val="21"/>
          <w:szCs w:val="21"/>
          <w:color w:val="auto"/>
        </w:rPr>
        <w:t>Credit.</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LC Exposure</w:t>
      </w:r>
      <w:r>
        <w:rPr>
          <w:rFonts w:ascii="Arial" w:cs="Arial" w:eastAsia="Arial" w:hAnsi="Arial"/>
          <w:sz w:val="21"/>
          <w:szCs w:val="21"/>
          <w:color w:val="auto"/>
        </w:rPr>
        <w:t>” means, at any time, the sum of (a) the aggregate undrawn Dollar</w:t>
      </w:r>
    </w:p>
    <w:p>
      <w:pPr>
        <w:jc w:val="both"/>
        <w:ind w:left="60"/>
        <w:spacing w:after="0" w:line="227" w:lineRule="auto"/>
        <w:rPr>
          <w:sz w:val="20"/>
          <w:szCs w:val="20"/>
          <w:color w:val="auto"/>
        </w:rPr>
      </w:pPr>
      <w:r>
        <w:rPr>
          <w:rFonts w:ascii="Arial" w:cs="Arial" w:eastAsia="Arial" w:hAnsi="Arial"/>
          <w:sz w:val="20"/>
          <w:szCs w:val="20"/>
          <w:color w:val="auto"/>
        </w:rPr>
        <w:t>Equivalent of all outstanding Letters of Credit at such time, plus (b) the aggregate Dollar Equivalent of all LC Disbursements that have not yet been reimbursed by or on behalf of the Borrower at such time. The LC Exposure of any Lender at any time shall be its Applicable Percentage of the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307" w:lineRule="exact"/>
        <w:rPr>
          <w:sz w:val="20"/>
          <w:szCs w:val="20"/>
          <w:color w:val="auto"/>
        </w:rPr>
      </w:pPr>
    </w:p>
    <w:p>
      <w:pPr>
        <w:ind w:left="700" w:right="1960"/>
        <w:spacing w:after="0" w:line="40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LCT Election</w:t>
      </w:r>
      <w:r>
        <w:rPr>
          <w:rFonts w:ascii="Arial" w:cs="Arial" w:eastAsia="Arial" w:hAnsi="Arial"/>
          <w:sz w:val="21"/>
          <w:szCs w:val="21"/>
          <w:color w:val="auto"/>
        </w:rPr>
        <w:t>” has the meaning assigned to it in Section 1.04(d). “</w:t>
      </w:r>
      <w:r>
        <w:rPr>
          <w:rFonts w:ascii="Arial" w:cs="Arial" w:eastAsia="Arial" w:hAnsi="Arial"/>
          <w:sz w:val="21"/>
          <w:szCs w:val="21"/>
          <w:b w:val="1"/>
          <w:bCs w:val="1"/>
          <w:i w:val="1"/>
          <w:iCs w:val="1"/>
          <w:color w:val="auto"/>
        </w:rPr>
        <w:t>LCT Test Date</w:t>
      </w:r>
      <w:r>
        <w:rPr>
          <w:rFonts w:ascii="Arial" w:cs="Arial" w:eastAsia="Arial" w:hAnsi="Arial"/>
          <w:sz w:val="21"/>
          <w:szCs w:val="21"/>
          <w:color w:val="auto"/>
        </w:rPr>
        <w:t>” has the meaning assigned to it in Section 1.04(d).</w:t>
      </w:r>
    </w:p>
    <w:p>
      <w:pPr>
        <w:spacing w:after="0" w:line="1"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Lender Parent</w:t>
      </w:r>
      <w:r>
        <w:rPr>
          <w:rFonts w:ascii="Arial" w:cs="Arial" w:eastAsia="Arial" w:hAnsi="Arial"/>
          <w:sz w:val="21"/>
          <w:szCs w:val="21"/>
          <w:color w:val="auto"/>
        </w:rPr>
        <w:t>” means, with respect to any Lender, any Person as to which such Lender is, directly or indirectly, a subsidiary.</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Lender-Related Person</w:t>
      </w:r>
      <w:r>
        <w:rPr>
          <w:rFonts w:ascii="Arial" w:cs="Arial" w:eastAsia="Arial" w:hAnsi="Arial"/>
          <w:sz w:val="21"/>
          <w:szCs w:val="21"/>
          <w:color w:val="auto"/>
        </w:rPr>
        <w:t>” has the meaning assigned to it in Section 9.03(b).</w:t>
      </w:r>
    </w:p>
    <w:p>
      <w:pPr>
        <w:spacing w:after="0" w:line="214"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Lenders</w:t>
      </w:r>
      <w:r>
        <w:rPr>
          <w:rFonts w:ascii="Arial" w:cs="Arial" w:eastAsia="Arial" w:hAnsi="Arial"/>
          <w:sz w:val="21"/>
          <w:szCs w:val="21"/>
          <w:color w:val="auto"/>
        </w:rPr>
        <w:t>” means the Persons listed on Schedule 2.01A and any other Person that shall have become a party hereto pursuant to an Assignment and Assumption or otherwise, other than any such Person that ceases to be a party hereto pursuant to an Assignment and Assumption or otherwise. Unless the context otherwise requires, the term “Lenders” includes the Swingline Lenders and the Issuing Banks.</w:t>
      </w:r>
    </w:p>
    <w:p>
      <w:pPr>
        <w:spacing w:after="0" w:line="199"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Letter of Credit</w:t>
      </w:r>
      <w:r>
        <w:rPr>
          <w:rFonts w:ascii="Arial" w:cs="Arial" w:eastAsia="Arial" w:hAnsi="Arial"/>
          <w:sz w:val="21"/>
          <w:szCs w:val="21"/>
          <w:color w:val="auto"/>
        </w:rPr>
        <w:t>” means any letter of credit issued pursuant to this Agreement and shall include each Existing Letter of Credit. A Letter of Credit may be issued in Dollars or in any Foreign Currency.</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Letter of Credit Agreement</w:t>
      </w:r>
      <w:r>
        <w:rPr>
          <w:rFonts w:ascii="Arial" w:cs="Arial" w:eastAsia="Arial" w:hAnsi="Arial"/>
          <w:sz w:val="21"/>
          <w:szCs w:val="21"/>
          <w:color w:val="auto"/>
        </w:rPr>
        <w:t>” has the meaning assigned to it in Section 2.06(b).</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040"/>
          </w:cols>
          <w:pgMar w:left="400" w:top="1440" w:right="459" w:bottom="1440" w:gutter="0" w:footer="0" w:header="0"/>
        </w:sectPr>
      </w:pPr>
    </w:p>
    <w:bookmarkStart w:id="117" w:name="page118"/>
    <w:bookmarkEnd w:id="117"/>
    <w:p>
      <w:pPr>
        <w:spacing w:after="0" w:line="193" w:lineRule="exact"/>
        <w:rPr>
          <w:sz w:val="20"/>
          <w:szCs w:val="20"/>
          <w:color w:val="auto"/>
        </w:rPr>
      </w:pPr>
    </w:p>
    <w:p>
      <w:pPr>
        <w:jc w:val="both"/>
        <w:ind w:left="60" w:firstLine="642"/>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Letter of Credit Commitment</w:t>
      </w:r>
      <w:r>
        <w:rPr>
          <w:rFonts w:ascii="Arial" w:cs="Arial" w:eastAsia="Arial" w:hAnsi="Arial"/>
          <w:sz w:val="19"/>
          <w:szCs w:val="19"/>
          <w:color w:val="auto"/>
        </w:rPr>
        <w:t>” means, with respect to each Issuing Bank, the commitment of such Issuing Bank to issue Letters of Credit hereunder. The initial amount of each Issuing Bank’s Letter of Credit Commitment is set forth on Schedule 2.01B, or if an Issuing Bank has entered into an Assignment and Assumption or has otherwise assumed a Letter of Credit Commitment after the Effective Date, the amount set forth for such Issuing Bank as its Letter of Credit Commitment in the Register maintained by the Administrative Agent. The Letter of Credit Commitment of an Issuing Bank may be modified from time to time by agreement between such Issuing Bank and the Borrower, and notified to the Administrative Agent.</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Liabilities</w:t>
      </w:r>
      <w:r>
        <w:rPr>
          <w:rFonts w:ascii="Arial" w:cs="Arial" w:eastAsia="Arial" w:hAnsi="Arial"/>
          <w:sz w:val="20"/>
          <w:szCs w:val="20"/>
          <w:color w:val="auto"/>
        </w:rPr>
        <w:t>” means any losses, claims (including intraparty claims), demands, damages or liabilities of any kind.</w:t>
      </w:r>
    </w:p>
    <w:p>
      <w:pPr>
        <w:spacing w:after="0" w:line="239"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Lien</w:t>
      </w:r>
      <w:r>
        <w:rPr>
          <w:rFonts w:ascii="Arial" w:cs="Arial" w:eastAsia="Arial" w:hAnsi="Arial"/>
          <w:sz w:val="21"/>
          <w:szCs w:val="21"/>
          <w:color w:val="auto"/>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200" w:lineRule="exact"/>
        <w:rPr>
          <w:sz w:val="20"/>
          <w:szCs w:val="20"/>
          <w:color w:val="auto"/>
        </w:rPr>
      </w:pPr>
    </w:p>
    <w:p>
      <w:pPr>
        <w:jc w:val="both"/>
        <w:ind w:left="60" w:firstLine="642"/>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Limited Condition Transaction</w:t>
      </w:r>
      <w:r>
        <w:rPr>
          <w:rFonts w:ascii="Arial" w:cs="Arial" w:eastAsia="Arial" w:hAnsi="Arial"/>
          <w:sz w:val="20"/>
          <w:szCs w:val="20"/>
          <w:color w:val="auto"/>
        </w:rPr>
        <w:t xml:space="preserve">” means any Acquisition or other Investment that the Borrower or one or more of its Subsidiaries is contractually committed to consummate (it being understood that such commitment may be subject to conditions precedent, which conditions precedent may be amended, satisfied or waived in accordance with the terms of the applicable agreement) and whose consummation is not conditioned on the availability of, or on obtaining, third party financing; </w:t>
      </w:r>
      <w:r>
        <w:rPr>
          <w:rFonts w:ascii="Arial" w:cs="Arial" w:eastAsia="Arial" w:hAnsi="Arial"/>
          <w:sz w:val="20"/>
          <w:szCs w:val="20"/>
          <w:u w:val="single" w:color="auto"/>
          <w:color w:val="auto"/>
        </w:rPr>
        <w:t>provided that</w:t>
      </w:r>
      <w:r>
        <w:rPr>
          <w:rFonts w:ascii="Arial" w:cs="Arial" w:eastAsia="Arial" w:hAnsi="Arial"/>
          <w:sz w:val="20"/>
          <w:szCs w:val="20"/>
          <w:color w:val="auto"/>
        </w:rPr>
        <w:t>, in the event the consummation of any such Acquisition or Investment shall not have occurred within one hundred and twenty (120) days following the signing of the applicable contractual commitment (which time period may be extended to three hundred sixty-five (365) days following signing so long as the only remaining condition to consummation of such Acquisition or Investment after the 120th day is receipt of required regulatory approvals), such Acquisition or Investment shall no longer constitute a Limited Condition Transaction for any purpose.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LLC</w:t>
      </w:r>
      <w:r>
        <w:rPr>
          <w:rFonts w:ascii="Arial" w:cs="Arial" w:eastAsia="Arial" w:hAnsi="Arial"/>
          <w:sz w:val="21"/>
          <w:szCs w:val="21"/>
          <w:color w:val="auto"/>
        </w:rPr>
        <w:t>” means any Person that is a limited liability company under the laws of its jurisdiction of formation.</w:t>
      </w:r>
    </w:p>
    <w:p>
      <w:pPr>
        <w:spacing w:after="0" w:line="228" w:lineRule="exact"/>
        <w:rPr>
          <w:sz w:val="20"/>
          <w:szCs w:val="20"/>
          <w:color w:val="auto"/>
        </w:rPr>
      </w:pPr>
    </w:p>
    <w:p>
      <w:pPr>
        <w:jc w:val="both"/>
        <w:ind w:left="60" w:firstLine="642"/>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 Documents</w:t>
      </w:r>
      <w:r>
        <w:rPr>
          <w:rFonts w:ascii="Arial" w:cs="Arial" w:eastAsia="Arial" w:hAnsi="Arial"/>
          <w:sz w:val="20"/>
          <w:szCs w:val="20"/>
          <w:color w:val="auto"/>
        </w:rPr>
        <w:t>” means this Agreement, including schedules and exhibits hereto, and any agreements entered into in connection herewith by the Borrower or any Loan Party with or in favor of the Administrative Agent and/or the Lenders, including any promissory notes issued pursuant to Section 2.10(e), the Collateral Documents, the Subsidiary Guaranty, any Intercreditor Agreements, any amendments, modifications or supplements thereto or waivers thereof, legal opinions issued in connection with the other Loan Documents, UCC filings, flood determinations, letter of credit applications and any agreements between the Borrower and an Issuing Bank regarding the issuance by such Issuing Bank of Letters of Credit hereunder and/or the respective rights and obligations between the Borrower and such Issuing Bank in connection thereunder and any other documents prepared in connection with the other Loan Documents, if any.</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Loan Parties</w:t>
      </w:r>
      <w:r>
        <w:rPr>
          <w:rFonts w:ascii="Arial" w:cs="Arial" w:eastAsia="Arial" w:hAnsi="Arial"/>
          <w:sz w:val="21"/>
          <w:szCs w:val="21"/>
          <w:color w:val="auto"/>
        </w:rPr>
        <w:t>” means, collectively, the Borrower and each Subsidiary Guarantor.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040"/>
          </w:cols>
          <w:pgMar w:left="400" w:top="1440" w:right="459" w:bottom="1440" w:gutter="0" w:footer="0" w:header="0"/>
        </w:sectPr>
      </w:pPr>
    </w:p>
    <w:bookmarkStart w:id="118" w:name="page119"/>
    <w:bookmarkEnd w:id="118"/>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Loans</w:t>
      </w:r>
      <w:r>
        <w:rPr>
          <w:rFonts w:ascii="Arial" w:cs="Arial" w:eastAsia="Arial" w:hAnsi="Arial"/>
          <w:sz w:val="21"/>
          <w:szCs w:val="21"/>
          <w:color w:val="auto"/>
        </w:rPr>
        <w:t>” means the loans made by the Lenders to the Borrower pursuant to this Agreement.</w:t>
      </w:r>
    </w:p>
    <w:p>
      <w:pPr>
        <w:spacing w:after="0" w:line="214"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Local Time</w:t>
      </w:r>
      <w:r>
        <w:rPr>
          <w:rFonts w:ascii="Arial" w:cs="Arial" w:eastAsia="Arial" w:hAnsi="Arial"/>
          <w:sz w:val="21"/>
          <w:szCs w:val="21"/>
          <w:color w:val="auto"/>
        </w:rPr>
        <w:t>” means (i) New York City time in the case of a Loan, Borrowing or LC Disbursement denominated in Dollars and (ii) local time in the case of a Loan, Borrowing or LC Disbursement denominated in a Foreign Currency.</w:t>
      </w:r>
    </w:p>
    <w:p>
      <w:pPr>
        <w:spacing w:after="0" w:line="193" w:lineRule="exact"/>
        <w:rPr>
          <w:sz w:val="20"/>
          <w:szCs w:val="20"/>
          <w:color w:val="auto"/>
        </w:rPr>
      </w:pPr>
    </w:p>
    <w:p>
      <w:pPr>
        <w:jc w:val="both"/>
        <w:ind w:left="60" w:firstLine="642"/>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Majority-Owned Subsidiary</w:t>
      </w:r>
      <w:r>
        <w:rPr>
          <w:rFonts w:ascii="Arial" w:cs="Arial" w:eastAsia="Arial" w:hAnsi="Arial"/>
          <w:sz w:val="19"/>
          <w:szCs w:val="19"/>
          <w:color w:val="auto"/>
        </w:rPr>
        <w:t>” of the Borrower means a Subsidiary of which the Borrower owns, directly or indirectly through another Subsidiary, more than fifty percent (50%) of the issued and outstanding capital stock or other equity interests.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Margin Stock</w:t>
      </w:r>
      <w:r>
        <w:rPr>
          <w:rFonts w:ascii="Arial" w:cs="Arial" w:eastAsia="Arial" w:hAnsi="Arial"/>
          <w:sz w:val="21"/>
          <w:szCs w:val="21"/>
          <w:color w:val="auto"/>
        </w:rPr>
        <w:t>” means margin stock within the meaning of Regulations T, U and X, as applicable.</w:t>
      </w:r>
    </w:p>
    <w:p>
      <w:pPr>
        <w:spacing w:after="0" w:line="228" w:lineRule="exact"/>
        <w:rPr>
          <w:sz w:val="20"/>
          <w:szCs w:val="20"/>
          <w:color w:val="auto"/>
        </w:rPr>
      </w:pPr>
    </w:p>
    <w:p>
      <w:pPr>
        <w:jc w:val="both"/>
        <w:ind w:left="60" w:firstLine="642"/>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Material Adverse Effect</w:t>
      </w:r>
      <w:r>
        <w:rPr>
          <w:rFonts w:ascii="Arial" w:cs="Arial" w:eastAsia="Arial" w:hAnsi="Arial"/>
          <w:sz w:val="21"/>
          <w:szCs w:val="21"/>
          <w:color w:val="auto"/>
        </w:rPr>
        <w:t>” means (a) a material adverse change in, or a material adverse effect upon, the operations, business, properties, liabilities (actual or contingent), or condition (financial or otherwise) of the Borrower or the Borrower and its Subsidiaries taken as a whole; (b) a material impairment of the ability of the Borrower to perform its obligations under this Agreement; or (c) a material adverse effect upon the legality, validity, binding effect or enforceability against any Loan Party of any Loan Document to which it is a party which could reasonably be expected to have a material adverse effect upon the rights of the Lenders hereunder.</w:t>
      </w:r>
    </w:p>
    <w:p>
      <w:pPr>
        <w:spacing w:after="0" w:line="201" w:lineRule="exact"/>
        <w:rPr>
          <w:sz w:val="20"/>
          <w:szCs w:val="20"/>
          <w:color w:val="auto"/>
        </w:rPr>
      </w:pPr>
    </w:p>
    <w:p>
      <w:pPr>
        <w:jc w:val="both"/>
        <w:ind w:left="60" w:firstLine="642"/>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Domestic Subsidiary</w:t>
      </w:r>
      <w:r>
        <w:rPr>
          <w:rFonts w:ascii="Arial" w:cs="Arial" w:eastAsia="Arial" w:hAnsi="Arial"/>
          <w:sz w:val="19"/>
          <w:szCs w:val="19"/>
          <w:color w:val="auto"/>
        </w:rPr>
        <w:t xml:space="preserve">” means each Domestic Subsidiary that is a Majority- Owned Subsidiary (other than any Receivables Entity) (i) which, as of the most recent fiscal quarter of the Borrower, for the period of four consecutive fiscal quarters then ended, for which Financials have been delivered, contributed greater than five percent (5%) of Consolidated operating income for such period or (ii) which contributed greater than five percent (5%) of Consolidated Total Assets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any time the aggregate amount of Consolidated operating income or Consolidated Total Assets attributable to all Domestic Subsidiaries that are not Material Domestic Subsidiaries exceeds ten percent (10%) of Consolidated operating income of the Borrower and its Domestic Subsidiaries for any such period or ten percent (10%) of Consolidated Total Assets attributable to the Borrower and its Domestic Subsidiaries as of the end of any such fiscal quarter, the Borrower (or, in the event the Borrower has failed to do so within ten (10) days, the Administrative Agent) shall designate sufficient Domestic Subsidiaries (other than Receivables Entities) as “Material Domestic Subsidiaries” to eliminate such excess, and such designated Subsidiaries shall for all purposes of this Agreement constitute Material Domestic Subsidiaries.</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Maturity Date</w:t>
      </w:r>
      <w:r>
        <w:rPr>
          <w:rFonts w:ascii="Arial" w:cs="Arial" w:eastAsia="Arial" w:hAnsi="Arial"/>
          <w:sz w:val="21"/>
          <w:szCs w:val="21"/>
          <w:color w:val="auto"/>
        </w:rPr>
        <w:t>” means July 30, 2027.</w:t>
      </w:r>
    </w:p>
    <w:p>
      <w:pPr>
        <w:spacing w:after="0" w:line="335" w:lineRule="exact"/>
        <w:rPr>
          <w:sz w:val="20"/>
          <w:szCs w:val="20"/>
          <w:color w:val="auto"/>
        </w:rPr>
      </w:pPr>
    </w:p>
    <w:p>
      <w:pPr>
        <w:ind w:left="700" w:right="2140"/>
        <w:spacing w:after="0" w:line="40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Maximum Rate</w:t>
      </w:r>
      <w:r>
        <w:rPr>
          <w:rFonts w:ascii="Arial" w:cs="Arial" w:eastAsia="Arial" w:hAnsi="Arial"/>
          <w:sz w:val="21"/>
          <w:szCs w:val="21"/>
          <w:color w:val="auto"/>
        </w:rPr>
        <w:t>” has the meaning assigned to it in Section 9.14. “</w:t>
      </w:r>
      <w:r>
        <w:rPr>
          <w:rFonts w:ascii="Arial" w:cs="Arial" w:eastAsia="Arial" w:hAnsi="Arial"/>
          <w:sz w:val="21"/>
          <w:szCs w:val="21"/>
          <w:b w:val="1"/>
          <w:bCs w:val="1"/>
          <w:i w:val="1"/>
          <w:iCs w:val="1"/>
          <w:color w:val="auto"/>
        </w:rPr>
        <w:t>Moody’s</w:t>
      </w:r>
      <w:r>
        <w:rPr>
          <w:rFonts w:ascii="Arial" w:cs="Arial" w:eastAsia="Arial" w:hAnsi="Arial"/>
          <w:sz w:val="21"/>
          <w:szCs w:val="21"/>
          <w:color w:val="auto"/>
        </w:rPr>
        <w:t>” means Moody’s Investors Service, Inc.</w:t>
      </w:r>
    </w:p>
    <w:p>
      <w:pPr>
        <w:spacing w:after="0" w:line="1"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Multiemployer Plan</w:t>
      </w:r>
      <w:r>
        <w:rPr>
          <w:rFonts w:ascii="Arial" w:cs="Arial" w:eastAsia="Arial" w:hAnsi="Arial"/>
          <w:sz w:val="21"/>
          <w:szCs w:val="21"/>
          <w:color w:val="auto"/>
        </w:rPr>
        <w:t>” means any employee benefit plan of the type described in Section 4001(a)(3) of ERISA, to which the Borrower or any ERISA Affiliate makes or is obligated to make contributions, or during the preceding five (5) plan years, has made or been obligated to make contributions.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040"/>
          </w:cols>
          <w:pgMar w:left="400" w:top="1440" w:right="459" w:bottom="1440" w:gutter="0" w:footer="0" w:header="0"/>
        </w:sectPr>
      </w:pPr>
    </w:p>
    <w:bookmarkStart w:id="119" w:name="page120"/>
    <w:bookmarkEnd w:id="119"/>
    <w:p>
      <w:pPr>
        <w:spacing w:after="0" w:line="193" w:lineRule="exact"/>
        <w:rPr>
          <w:sz w:val="20"/>
          <w:szCs w:val="20"/>
          <w:color w:val="auto"/>
        </w:rPr>
      </w:pPr>
    </w:p>
    <w:p>
      <w:pPr>
        <w:jc w:val="both"/>
        <w:ind w:left="60" w:right="20" w:firstLine="642"/>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Multiple Employer Plan</w:t>
      </w:r>
      <w:r>
        <w:rPr>
          <w:rFonts w:ascii="Arial" w:cs="Arial" w:eastAsia="Arial" w:hAnsi="Arial"/>
          <w:sz w:val="19"/>
          <w:szCs w:val="19"/>
          <w:color w:val="auto"/>
        </w:rPr>
        <w:t>” means a Plan which has two or more contributing sponsors (including the Borrower or any ERISA Affiliate) at least two of whom are not under common control, as such a plan is described in Section 4064 of ERISA.</w:t>
      </w:r>
    </w:p>
    <w:p>
      <w:pPr>
        <w:spacing w:after="0" w:line="133" w:lineRule="exact"/>
        <w:rPr>
          <w:sz w:val="20"/>
          <w:szCs w:val="20"/>
          <w:color w:val="auto"/>
        </w:rPr>
      </w:pPr>
    </w:p>
    <w:p>
      <w:pPr>
        <w:jc w:val="both"/>
        <w:ind w:left="60" w:firstLine="642"/>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Net Proceeds</w:t>
      </w:r>
      <w:r>
        <w:rPr>
          <w:rFonts w:ascii="Arial" w:cs="Arial" w:eastAsia="Arial" w:hAnsi="Arial"/>
          <w:sz w:val="20"/>
          <w:szCs w:val="20"/>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w:t>
      </w:r>
    </w:p>
    <w:p>
      <w:pPr>
        <w:spacing w:after="0" w:line="2" w:lineRule="exact"/>
        <w:rPr>
          <w:sz w:val="20"/>
          <w:szCs w:val="20"/>
          <w:color w:val="auto"/>
        </w:rPr>
      </w:pPr>
    </w:p>
    <w:p>
      <w:pPr>
        <w:jc w:val="both"/>
        <w:ind w:left="60" w:hanging="8"/>
        <w:spacing w:after="0" w:line="217" w:lineRule="auto"/>
        <w:tabs>
          <w:tab w:leader="none" w:pos="453" w:val="left"/>
        </w:tabs>
        <w:numPr>
          <w:ilvl w:val="0"/>
          <w:numId w:val="48"/>
        </w:numPr>
        <w:rPr>
          <w:rFonts w:ascii="Arial" w:cs="Arial" w:eastAsia="Arial" w:hAnsi="Arial"/>
          <w:sz w:val="21"/>
          <w:szCs w:val="21"/>
          <w:color w:val="auto"/>
        </w:rPr>
      </w:pPr>
      <w:r>
        <w:rPr>
          <w:rFonts w:ascii="Arial" w:cs="Arial" w:eastAsia="Arial" w:hAnsi="Arial"/>
          <w:sz w:val="21"/>
          <w:szCs w:val="21"/>
          <w:color w:val="auto"/>
        </w:rPr>
        <w:t>in the case of a condemnation or similar event, condemnation awards and similar payments, net of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NYFRB</w:t>
      </w:r>
      <w:r>
        <w:rPr>
          <w:rFonts w:ascii="Arial" w:cs="Arial" w:eastAsia="Arial" w:hAnsi="Arial"/>
          <w:sz w:val="21"/>
          <w:szCs w:val="21"/>
          <w:color w:val="auto"/>
        </w:rPr>
        <w:t>” means the Federal Reserve Bank of New York.</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NYFRB’s Website</w:t>
      </w:r>
      <w:r>
        <w:rPr>
          <w:rFonts w:ascii="Arial" w:cs="Arial" w:eastAsia="Arial" w:hAnsi="Arial"/>
          <w:sz w:val="21"/>
          <w:szCs w:val="21"/>
          <w:color w:val="auto"/>
        </w:rPr>
        <w:t>” means the website of the NYFRB at http://www.newyorkfed.org or any successor source.</w:t>
      </w:r>
    </w:p>
    <w:p>
      <w:pPr>
        <w:spacing w:after="0" w:line="214" w:lineRule="exact"/>
        <w:rPr>
          <w:sz w:val="20"/>
          <w:szCs w:val="20"/>
          <w:color w:val="auto"/>
        </w:rPr>
      </w:pPr>
    </w:p>
    <w:p>
      <w:pPr>
        <w:jc w:val="both"/>
        <w:ind w:left="60" w:firstLine="642"/>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NYFRB Rate</w:t>
      </w:r>
      <w:r>
        <w:rPr>
          <w:rFonts w:ascii="Arial" w:cs="Arial" w:eastAsia="Arial" w:hAnsi="Arial"/>
          <w:sz w:val="19"/>
          <w:szCs w:val="19"/>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any of the aforesaid rates as so determined would be less than 0%, such rate shall be deemed to be 0% for purposes of this Agreement.</w:t>
      </w:r>
    </w:p>
    <w:p>
      <w:pPr>
        <w:spacing w:after="0" w:line="192" w:lineRule="exact"/>
        <w:rPr>
          <w:sz w:val="20"/>
          <w:szCs w:val="20"/>
          <w:color w:val="auto"/>
        </w:rPr>
      </w:pPr>
    </w:p>
    <w:p>
      <w:pPr>
        <w:jc w:val="both"/>
        <w:ind w:left="60" w:firstLine="642"/>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Obligations</w:t>
      </w:r>
      <w:r>
        <w:rPr>
          <w:rFonts w:ascii="Arial" w:cs="Arial" w:eastAsia="Arial" w:hAnsi="Arial"/>
          <w:sz w:val="19"/>
          <w:szCs w:val="19"/>
          <w:color w:val="auto"/>
        </w:rPr>
        <w:t>” means all advances to, and debts, liabilities, obligations, covenants and duties of, the Borrower and its Subsidiaries arising under any Loan Document, or to the Lenders or any of their Affiliates under any Swap Agreement or any Banking Services Agreement,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or allowable claims in such proceeding. Without limiting the foregoing, the Obligations include</w:t>
      </w:r>
    </w:p>
    <w:p>
      <w:pPr>
        <w:spacing w:after="0" w:line="3" w:lineRule="exact"/>
        <w:rPr>
          <w:sz w:val="20"/>
          <w:szCs w:val="20"/>
          <w:color w:val="auto"/>
        </w:rPr>
      </w:pPr>
    </w:p>
    <w:p>
      <w:pPr>
        <w:jc w:val="both"/>
        <w:ind w:left="60" w:hanging="8"/>
        <w:spacing w:after="0" w:line="226" w:lineRule="auto"/>
        <w:tabs>
          <w:tab w:leader="none" w:pos="626"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obligation to pay principal, interest, Letter of Credit commissions, charges, expenses, fees, indemnities and other amounts payable by the Borrower under any Loan Document and (b) the obligation of the Borrower to reimburse any amount in respect of any of the foregoing that the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040"/>
          </w:cols>
          <w:pgMar w:left="400" w:top="1440" w:right="459" w:bottom="1440" w:gutter="0" w:footer="0" w:header="0"/>
        </w:sectPr>
      </w:pPr>
    </w:p>
    <w:bookmarkStart w:id="120" w:name="page121"/>
    <w:bookmarkEnd w:id="120"/>
    <w:p>
      <w:pPr>
        <w:spacing w:after="0" w:line="193" w:lineRule="exact"/>
        <w:rPr>
          <w:sz w:val="20"/>
          <w:szCs w:val="20"/>
          <w:color w:val="auto"/>
        </w:rPr>
      </w:pPr>
    </w:p>
    <w:p>
      <w:pPr>
        <w:ind w:left="60"/>
        <w:spacing w:after="0"/>
        <w:rPr>
          <w:sz w:val="20"/>
          <w:szCs w:val="20"/>
          <w:color w:val="auto"/>
        </w:rPr>
      </w:pPr>
      <w:r>
        <w:rPr>
          <w:rFonts w:ascii="Arial" w:cs="Arial" w:eastAsia="Arial" w:hAnsi="Arial"/>
          <w:sz w:val="19"/>
          <w:szCs w:val="19"/>
          <w:color w:val="auto"/>
        </w:rPr>
        <w:t>Administrative Agent or any Lender, in each case in its sole discretion, may elect to pay or advance on behalf of the Borrower.</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OFAC</w:t>
      </w:r>
      <w:r>
        <w:rPr>
          <w:rFonts w:ascii="Arial" w:cs="Arial" w:eastAsia="Arial" w:hAnsi="Arial"/>
          <w:sz w:val="21"/>
          <w:szCs w:val="21"/>
          <w:color w:val="auto"/>
        </w:rPr>
        <w:t>” means the Office of Foreign Assets Control of the U.S. Department of the Treasury.</w:t>
      </w:r>
    </w:p>
    <w:p>
      <w:pPr>
        <w:spacing w:after="0" w:line="228" w:lineRule="exact"/>
        <w:rPr>
          <w:sz w:val="20"/>
          <w:szCs w:val="20"/>
          <w:color w:val="auto"/>
        </w:rPr>
      </w:pPr>
    </w:p>
    <w:p>
      <w:pPr>
        <w:jc w:val="both"/>
        <w:ind w:left="60" w:firstLine="642"/>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as any of the foregoing may be from time to time amended, modified, substituted, and/or supplemented.</w:t>
      </w:r>
    </w:p>
    <w:p>
      <w:pPr>
        <w:spacing w:after="0" w:line="186"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Other Connection Taxes</w:t>
      </w:r>
      <w:r>
        <w:rPr>
          <w:rFonts w:ascii="Arial" w:cs="Arial" w:eastAsia="Arial" w:hAnsi="Arial"/>
          <w:sz w:val="21"/>
          <w:szCs w:val="21"/>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87" w:lineRule="exact"/>
        <w:rPr>
          <w:sz w:val="20"/>
          <w:szCs w:val="20"/>
          <w:color w:val="auto"/>
        </w:rPr>
      </w:pPr>
    </w:p>
    <w:p>
      <w:pPr>
        <w:jc w:val="both"/>
        <w:ind w:left="60" w:firstLine="64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4"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Overnight Bank Funding Rate</w:t>
      </w:r>
      <w:r>
        <w:rPr>
          <w:rFonts w:ascii="Arial" w:cs="Arial" w:eastAsia="Arial" w:hAnsi="Arial"/>
          <w:sz w:val="21"/>
          <w:szCs w:val="21"/>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99" w:lineRule="exact"/>
        <w:rPr>
          <w:sz w:val="20"/>
          <w:szCs w:val="20"/>
          <w:color w:val="auto"/>
        </w:rPr>
      </w:pPr>
    </w:p>
    <w:p>
      <w:pPr>
        <w:jc w:val="both"/>
        <w:ind w:left="60" w:firstLine="642"/>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Overnight Rate</w:t>
      </w:r>
      <w:r>
        <w:rPr>
          <w:rFonts w:ascii="Arial" w:cs="Arial" w:eastAsia="Arial" w:hAnsi="Arial"/>
          <w:sz w:val="20"/>
          <w:szCs w:val="20"/>
          <w:color w:val="auto"/>
        </w:rPr>
        <w:t>” means, for any day, (a) with respect to any amount denominated in Dollars, the NYFRB Rate and (b) with respect to any amount denominated in a Foreign Currency, an overnight rate determined by the Administrative Agent or the Issuing Banks, as the case may be, in accordance with banking industry rules on interbank compensation.</w:t>
      </w:r>
    </w:p>
    <w:p>
      <w:pPr>
        <w:spacing w:after="0" w:line="312" w:lineRule="exact"/>
        <w:rPr>
          <w:sz w:val="20"/>
          <w:szCs w:val="20"/>
          <w:color w:val="auto"/>
        </w:rPr>
      </w:pPr>
    </w:p>
    <w:p>
      <w:pPr>
        <w:ind w:left="700" w:right="780" w:firstLine="54"/>
        <w:spacing w:after="0" w:line="48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 has the meaning assigned to such term in Section 9.04(c). “</w:t>
      </w:r>
      <w:r>
        <w:rPr>
          <w:rFonts w:ascii="Arial" w:cs="Arial" w:eastAsia="Arial" w:hAnsi="Arial"/>
          <w:sz w:val="21"/>
          <w:szCs w:val="21"/>
          <w:b w:val="1"/>
          <w:bCs w:val="1"/>
          <w:i w:val="1"/>
          <w:iCs w:val="1"/>
          <w:color w:val="auto"/>
        </w:rPr>
        <w:t>Participant Register</w:t>
      </w:r>
      <w:r>
        <w:rPr>
          <w:rFonts w:ascii="Arial" w:cs="Arial" w:eastAsia="Arial" w:hAnsi="Arial"/>
          <w:sz w:val="21"/>
          <w:szCs w:val="21"/>
          <w:color w:val="auto"/>
        </w:rPr>
        <w:t>” has the meaning assigned to such term in Section 9.04(c).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040"/>
          </w:cols>
          <w:pgMar w:left="400" w:top="1440" w:right="459" w:bottom="1440" w:gutter="0" w:footer="0" w:header="0"/>
        </w:sectPr>
      </w:pPr>
    </w:p>
    <w:bookmarkStart w:id="121" w:name="page122"/>
    <w:bookmarkEnd w:id="121"/>
    <w:p>
      <w:pPr>
        <w:spacing w:after="0" w:line="193"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Participating Member State</w:t>
      </w:r>
      <w:r>
        <w:rPr>
          <w:rFonts w:ascii="Arial" w:cs="Arial" w:eastAsia="Arial" w:hAnsi="Arial"/>
          <w:sz w:val="21"/>
          <w:szCs w:val="21"/>
          <w:color w:val="auto"/>
        </w:rPr>
        <w:t>” means any member state of the European Union that has euro as its lawful currency in accordance with legislation of the European Union relating to Economic and Monetary Union.</w:t>
      </w:r>
    </w:p>
    <w:p>
      <w:pPr>
        <w:spacing w:after="0" w:line="300" w:lineRule="exact"/>
        <w:rPr>
          <w:sz w:val="20"/>
          <w:szCs w:val="20"/>
          <w:color w:val="auto"/>
        </w:rPr>
      </w:pPr>
    </w:p>
    <w:p>
      <w:pPr>
        <w:ind w:left="700" w:right="1900"/>
        <w:spacing w:after="0" w:line="4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Patriot Act</w:t>
      </w:r>
      <w:r>
        <w:rPr>
          <w:rFonts w:ascii="Arial" w:cs="Arial" w:eastAsia="Arial" w:hAnsi="Arial"/>
          <w:sz w:val="19"/>
          <w:szCs w:val="19"/>
          <w:color w:val="auto"/>
        </w:rPr>
        <w:t>” has the meaning assigned to it in Section 9.16.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has the meaning assigned to it in Section 8.06(c). “</w:t>
      </w:r>
      <w:r>
        <w:rPr>
          <w:rFonts w:ascii="Arial" w:cs="Arial" w:eastAsia="Arial" w:hAnsi="Arial"/>
          <w:sz w:val="19"/>
          <w:szCs w:val="19"/>
          <w:b w:val="1"/>
          <w:bCs w:val="1"/>
          <w:i w:val="1"/>
          <w:iCs w:val="1"/>
          <w:color w:val="auto"/>
        </w:rPr>
        <w:t>Payment Notice</w:t>
      </w:r>
      <w:r>
        <w:rPr>
          <w:rFonts w:ascii="Arial" w:cs="Arial" w:eastAsia="Arial" w:hAnsi="Arial"/>
          <w:sz w:val="19"/>
          <w:szCs w:val="19"/>
          <w:color w:val="auto"/>
        </w:rPr>
        <w:t>” has the meaning assigned to it in Section 8.06(c).</w:t>
      </w:r>
    </w:p>
    <w:p>
      <w:pPr>
        <w:ind w:left="60" w:right="200" w:firstLine="696"/>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PBGC</w:t>
      </w:r>
      <w:r>
        <w:rPr>
          <w:rFonts w:ascii="Arial" w:cs="Arial" w:eastAsia="Arial" w:hAnsi="Arial"/>
          <w:sz w:val="21"/>
          <w:szCs w:val="21"/>
          <w:color w:val="auto"/>
        </w:rPr>
        <w:t>” means the Pension Benefit Guaranty Corporation referred to and defined in ERISA and any successor entity performing similar functions.</w:t>
      </w:r>
    </w:p>
    <w:p>
      <w:pPr>
        <w:spacing w:after="0" w:line="179" w:lineRule="exact"/>
        <w:rPr>
          <w:sz w:val="20"/>
          <w:szCs w:val="20"/>
          <w:color w:val="auto"/>
        </w:rPr>
      </w:pPr>
    </w:p>
    <w:p>
      <w:pPr>
        <w:jc w:val="both"/>
        <w:ind w:left="60" w:firstLine="642"/>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Pension Funding Rules</w:t>
      </w:r>
      <w:r>
        <w:rPr>
          <w:rFonts w:ascii="Arial" w:cs="Arial" w:eastAsia="Arial" w:hAnsi="Arial"/>
          <w:sz w:val="20"/>
          <w:szCs w:val="20"/>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97"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Pension Plan</w:t>
      </w:r>
      <w:r>
        <w:rPr>
          <w:rFonts w:ascii="Arial" w:cs="Arial" w:eastAsia="Arial" w:hAnsi="Arial"/>
          <w:sz w:val="21"/>
          <w:szCs w:val="21"/>
          <w:color w:val="auto"/>
        </w:rPr>
        <w:t>” means any employee pension benefit plan (including a Multiple Employer Plan or a Multiemployer Plan) that is maintained or is contributed to by the Borrower and any ERISA Affiliate (or has at any time during the preceding 6 years been maintained or contributed to by the Borrower or any ERISA Affiliate) and is either covered by Title IV of ERISA or is subject to the minimum funding standards under Section 412 of the Code.</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Permitted Acquisition</w:t>
      </w:r>
      <w:r>
        <w:rPr>
          <w:rFonts w:ascii="Arial" w:cs="Arial" w:eastAsia="Arial" w:hAnsi="Arial"/>
          <w:sz w:val="21"/>
          <w:szCs w:val="21"/>
          <w:color w:val="auto"/>
        </w:rPr>
        <w:t>” means an Acquisition that satisfies the terms and conditions of Section 6.02(f).</w:t>
      </w:r>
    </w:p>
    <w:p>
      <w:pPr>
        <w:spacing w:after="0" w:line="214" w:lineRule="exact"/>
        <w:rPr>
          <w:sz w:val="20"/>
          <w:szCs w:val="20"/>
          <w:color w:val="auto"/>
        </w:rPr>
      </w:pPr>
    </w:p>
    <w:p>
      <w:pPr>
        <w:jc w:val="both"/>
        <w:ind w:left="60" w:firstLine="64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Receivables Facility</w:t>
      </w:r>
      <w:r>
        <w:rPr>
          <w:rFonts w:ascii="Arial" w:cs="Arial" w:eastAsia="Arial" w:hAnsi="Arial"/>
          <w:sz w:val="20"/>
          <w:szCs w:val="20"/>
          <w:color w:val="auto"/>
        </w:rPr>
        <w:t xml:space="preserve">” means a receivables facility or facilities created under the Permitted Receivables Facility Documents, providing for the sale, transfer and/or pledge by the Borrower and/or one or more other Receivables Sellers of Permitted Receivables Facility Assets (thereby providing financing to the Borrower and the Receivables Sellers) to a Receivables Entity (either directly or through another Receivables Seller), which in turn shall sell, transfer and/or pledge interests in the respective Permitted Receivables Facility Assets to third-party lenders or investors pursuant to the Permitted Receivables Facility Documents (with the Receivables Entity permitted to issue or convey purchaser interests, investor certificates, purchased interest certificates or other similar documentation evidencing interests in the Permitted Receivables Facility Assets) in return for the cash used by such Receivables Entity to acquire the Permitted Receivables Facility Assets from the Borrower and/or the respective Receivables Sellers, in each case as more fully set forth in the Permitted Receivables Facility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Attributable Receivables Indebtedness thereunder shall not exceed an aggregate amount of $50,000,000 at any time outstanding.</w:t>
      </w:r>
    </w:p>
    <w:p>
      <w:pPr>
        <w:spacing w:after="0" w:line="200"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Permitted Receivables Facility Assets</w:t>
      </w:r>
      <w:r>
        <w:rPr>
          <w:rFonts w:ascii="Arial" w:cs="Arial" w:eastAsia="Arial" w:hAnsi="Arial"/>
          <w:sz w:val="21"/>
          <w:szCs w:val="21"/>
          <w:color w:val="auto"/>
        </w:rPr>
        <w:t>” means Receivables (whether now existing or arising in the future) of the Receivables Sellers which are transferred, sold and/or pledged to a Receivables Entity pursuant to a Permitted Receivables Facility and any related Permitted Receivables Related Assets which are also so transferred, sold and/or pledged to a Receivables Entity and all proceeds thereof.</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040"/>
          </w:cols>
          <w:pgMar w:left="400" w:top="1440" w:right="459" w:bottom="1440" w:gutter="0" w:footer="0" w:header="0"/>
        </w:sectPr>
      </w:pPr>
    </w:p>
    <w:bookmarkStart w:id="122" w:name="page123"/>
    <w:bookmarkEnd w:id="122"/>
    <w:p>
      <w:pPr>
        <w:spacing w:after="0" w:line="193"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Permitted Receivables Facility Documents</w:t>
      </w:r>
      <w:r>
        <w:rPr>
          <w:rFonts w:ascii="Arial" w:cs="Arial" w:eastAsia="Arial" w:hAnsi="Arial"/>
          <w:sz w:val="21"/>
          <w:szCs w:val="21"/>
          <w:color w:val="auto"/>
        </w:rPr>
        <w:t>” means each of the documents and agreements entered into in connection with any Permitted Receivables Facility, including all documents and agreements relating to the issuance, funding and/or purchase of certificates and purchased interests or the incurrence of loans, as applicable, all of which documents and agreements shall be in customary form and substance.</w:t>
      </w:r>
    </w:p>
    <w:p>
      <w:pPr>
        <w:spacing w:after="0" w:line="186" w:lineRule="exact"/>
        <w:rPr>
          <w:sz w:val="20"/>
          <w:szCs w:val="20"/>
          <w:color w:val="auto"/>
        </w:rPr>
      </w:pPr>
    </w:p>
    <w:p>
      <w:pPr>
        <w:jc w:val="both"/>
        <w:ind w:left="60" w:firstLine="642"/>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Receivables Related Assets</w:t>
      </w:r>
      <w:r>
        <w:rPr>
          <w:rFonts w:ascii="Arial" w:cs="Arial" w:eastAsia="Arial" w:hAnsi="Arial"/>
          <w:sz w:val="20"/>
          <w:szCs w:val="20"/>
          <w:color w:val="auto"/>
        </w:rPr>
        <w:t>” means any assets that are customarily sold, transferred and/or pledged or in respect of which security interests are customarily granted in connection with asset securitization transactions involving receivables similar to Receivables and any collections or proceeds of any of the foregoing (including, without limitation, lock-boxes, deposit accounts, records in respect of Receivables and collections in respect of Receivables).</w:t>
      </w:r>
    </w:p>
    <w:p>
      <w:pPr>
        <w:spacing w:after="0" w:line="197" w:lineRule="exact"/>
        <w:rPr>
          <w:sz w:val="20"/>
          <w:szCs w:val="20"/>
          <w:color w:val="auto"/>
        </w:rPr>
      </w:pPr>
    </w:p>
    <w:p>
      <w:pPr>
        <w:jc w:val="both"/>
        <w:ind w:left="60" w:right="20" w:firstLine="642"/>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Restricted Payment</w:t>
      </w:r>
      <w:r>
        <w:rPr>
          <w:rFonts w:ascii="Arial" w:cs="Arial" w:eastAsia="Arial" w:hAnsi="Arial"/>
          <w:sz w:val="20"/>
          <w:szCs w:val="20"/>
          <w:color w:val="auto"/>
        </w:rPr>
        <w:t>” means (i) a Restricted Payment deemed to occur upon the cash-less exercise of any option, warrant or other right to acquire an Equity Interest, or (ii) the declaration or payment of a ratable dividend or distribution by a Subsidiary to the holders of a class of its Equity Interests (including the Borrower or any other Subsidiary).</w:t>
      </w:r>
    </w:p>
    <w:p>
      <w:pPr>
        <w:spacing w:after="0" w:line="191"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Person</w:t>
      </w:r>
      <w:r>
        <w:rPr>
          <w:rFonts w:ascii="Arial" w:cs="Arial" w:eastAsia="Arial" w:hAnsi="Arial"/>
          <w:sz w:val="21"/>
          <w:szCs w:val="21"/>
          <w:color w:val="auto"/>
        </w:rPr>
        <w:t>” means any natural person, corporation, limited liability company, trust, joint venture, association, company, partnership, Governmental Authority, or other entity.</w:t>
      </w:r>
    </w:p>
    <w:p>
      <w:pPr>
        <w:spacing w:after="0" w:line="179"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Plan</w:t>
      </w:r>
      <w:r>
        <w:rPr>
          <w:rFonts w:ascii="Arial" w:cs="Arial" w:eastAsia="Arial" w:hAnsi="Arial"/>
          <w:sz w:val="21"/>
          <w:szCs w:val="21"/>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98"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Plan Asset Regulations</w:t>
      </w:r>
      <w:r>
        <w:rPr>
          <w:rFonts w:ascii="Arial" w:cs="Arial" w:eastAsia="Arial" w:hAnsi="Arial"/>
          <w:sz w:val="21"/>
          <w:szCs w:val="21"/>
          <w:color w:val="auto"/>
        </w:rPr>
        <w:t xml:space="preserve">” means 29 CFR § 2510.3-101 </w:t>
      </w:r>
      <w:r>
        <w:rPr>
          <w:rFonts w:ascii="Arial" w:cs="Arial" w:eastAsia="Arial" w:hAnsi="Arial"/>
          <w:sz w:val="21"/>
          <w:szCs w:val="21"/>
          <w:i w:val="1"/>
          <w:iCs w:val="1"/>
          <w:color w:val="auto"/>
        </w:rPr>
        <w:t>et seq.</w:t>
      </w:r>
      <w:r>
        <w:rPr>
          <w:rFonts w:ascii="Arial" w:cs="Arial" w:eastAsia="Arial" w:hAnsi="Arial"/>
          <w:sz w:val="21"/>
          <w:szCs w:val="21"/>
          <w:color w:val="auto"/>
        </w:rPr>
        <w:t>, as modified by Section 3(42) of ERISA, as amended from time to time.</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Pledge Subsidiary</w:t>
      </w:r>
      <w:r>
        <w:rPr>
          <w:rFonts w:ascii="Arial" w:cs="Arial" w:eastAsia="Arial" w:hAnsi="Arial"/>
          <w:sz w:val="21"/>
          <w:szCs w:val="21"/>
          <w:color w:val="auto"/>
        </w:rPr>
        <w:t>” means (i) each Domestic Subsidiary and (ii) each First Tier Foreign Subsidiary.</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Prepayment Event</w:t>
      </w:r>
      <w:r>
        <w:rPr>
          <w:rFonts w:ascii="Arial" w:cs="Arial" w:eastAsia="Arial" w:hAnsi="Arial"/>
          <w:sz w:val="21"/>
          <w:szCs w:val="21"/>
          <w:color w:val="auto"/>
        </w:rPr>
        <w:t>” means:</w:t>
      </w:r>
    </w:p>
    <w:p>
      <w:pPr>
        <w:spacing w:after="0" w:line="228" w:lineRule="exact"/>
        <w:rPr>
          <w:sz w:val="20"/>
          <w:szCs w:val="20"/>
          <w:color w:val="auto"/>
        </w:rPr>
      </w:pPr>
    </w:p>
    <w:p>
      <w:pPr>
        <w:jc w:val="both"/>
        <w:ind w:left="60" w:firstLine="1278"/>
        <w:spacing w:after="0" w:line="227" w:lineRule="auto"/>
        <w:tabs>
          <w:tab w:leader="none" w:pos="1892" w:val="left"/>
        </w:tabs>
        <w:numPr>
          <w:ilvl w:val="0"/>
          <w:numId w:val="50"/>
        </w:numPr>
        <w:rPr>
          <w:rFonts w:ascii="Arial" w:cs="Arial" w:eastAsia="Arial" w:hAnsi="Arial"/>
          <w:sz w:val="21"/>
          <w:szCs w:val="21"/>
          <w:color w:val="auto"/>
        </w:rPr>
      </w:pPr>
      <w:r>
        <w:rPr>
          <w:rFonts w:ascii="Arial" w:cs="Arial" w:eastAsia="Arial" w:hAnsi="Arial"/>
          <w:sz w:val="21"/>
          <w:szCs w:val="21"/>
          <w:color w:val="auto"/>
        </w:rPr>
        <w:t>any sale, transfer or other Disposition (including pursuant to a Sale and Leaseback Transaction) of any property or asset of the Borrower or any Subsidiary, other than dispositions described in Section 6.05(a) through (e) or (g) with a fair market value immediately prior to such event equal to or less than $500,000 for each individual event, or $5,000,000 in the aggregate for all such events in any fiscal year of the Borrower; or</w:t>
      </w:r>
    </w:p>
    <w:p>
      <w:pPr>
        <w:spacing w:after="0" w:line="199" w:lineRule="exact"/>
        <w:rPr>
          <w:rFonts w:ascii="Arial" w:cs="Arial" w:eastAsia="Arial" w:hAnsi="Arial"/>
          <w:sz w:val="21"/>
          <w:szCs w:val="21"/>
          <w:color w:val="auto"/>
        </w:rPr>
      </w:pPr>
    </w:p>
    <w:p>
      <w:pPr>
        <w:jc w:val="both"/>
        <w:ind w:left="60" w:firstLine="1278"/>
        <w:spacing w:after="0" w:line="232" w:lineRule="auto"/>
        <w:tabs>
          <w:tab w:leader="none" w:pos="1811" w:val="left"/>
        </w:tabs>
        <w:numPr>
          <w:ilvl w:val="0"/>
          <w:numId w:val="50"/>
        </w:numPr>
        <w:rPr>
          <w:rFonts w:ascii="Arial" w:cs="Arial" w:eastAsia="Arial" w:hAnsi="Arial"/>
          <w:sz w:val="21"/>
          <w:szCs w:val="21"/>
          <w:color w:val="auto"/>
        </w:rPr>
      </w:pPr>
      <w:r>
        <w:rPr>
          <w:rFonts w:ascii="Arial" w:cs="Arial" w:eastAsia="Arial" w:hAnsi="Arial"/>
          <w:sz w:val="21"/>
          <w:szCs w:val="21"/>
          <w:color w:val="auto"/>
        </w:rPr>
        <w:t>any casualty or other insured damage to, or any taking under power of eminent domain or by condemnation or similar proceeding of, any property or asset of the Borrower or any Subsidiary with a fair market value immediately prior to such event equal to or greater than $5,000,000.</w:t>
      </w:r>
    </w:p>
    <w:p>
      <w:pPr>
        <w:spacing w:after="0" w:line="184" w:lineRule="exact"/>
        <w:rPr>
          <w:sz w:val="20"/>
          <w:szCs w:val="20"/>
          <w:color w:val="auto"/>
        </w:rPr>
      </w:pPr>
    </w:p>
    <w:p>
      <w:pPr>
        <w:jc w:val="both"/>
        <w:ind w:left="60" w:firstLine="696"/>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Prime Rate</w:t>
      </w:r>
      <w:r>
        <w:rPr>
          <w:rFonts w:ascii="Arial" w:cs="Arial" w:eastAsia="Arial" w:hAnsi="Arial"/>
          <w:sz w:val="21"/>
          <w:szCs w:val="21"/>
          <w:color w:val="auto"/>
        </w:rPr>
        <w:t xml:space="preserve">” means the rate of interest last quoted by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as the “Prime Rate” in the U.S. or, if </w:t>
      </w:r>
      <w:r>
        <w:rPr>
          <w:rFonts w:ascii="Arial" w:cs="Arial" w:eastAsia="Arial" w:hAnsi="Arial"/>
          <w:sz w:val="21"/>
          <w:szCs w:val="21"/>
          <w:i w:val="1"/>
          <w:iCs w:val="1"/>
          <w:color w:val="auto"/>
        </w:rPr>
        <w:t xml:space="preserve">The Wall Street Journal </w:t>
      </w:r>
      <w:r>
        <w:rPr>
          <w:rFonts w:ascii="Arial" w:cs="Arial" w:eastAsia="Arial" w:hAnsi="Arial"/>
          <w:sz w:val="21"/>
          <w:szCs w:val="21"/>
          <w:color w:val="auto"/>
        </w:rPr>
        <w:t>ceases to quote such rate, the highest</w:t>
      </w:r>
      <w:r>
        <w:rPr>
          <w:rFonts w:ascii="Arial" w:cs="Arial" w:eastAsia="Arial" w:hAnsi="Arial"/>
          <w:sz w:val="21"/>
          <w:szCs w:val="21"/>
          <w:i w:val="1"/>
          <w:iCs w:val="1"/>
          <w:color w:val="auto"/>
        </w:rPr>
        <w:t xml:space="preserve"> per annum </w:t>
      </w:r>
      <w:r>
        <w:rPr>
          <w:rFonts w:ascii="Arial" w:cs="Arial" w:eastAsia="Arial" w:hAnsi="Arial"/>
          <w:sz w:val="21"/>
          <w:szCs w:val="21"/>
          <w:color w:val="auto"/>
        </w:rPr>
        <w:t>interest rate published by the Federal Reserve Board</w:t>
      </w:r>
      <w:r>
        <w:rPr>
          <w:rFonts w:ascii="Arial" w:cs="Arial" w:eastAsia="Arial" w:hAnsi="Arial"/>
          <w:sz w:val="21"/>
          <w:szCs w:val="21"/>
          <w:i w:val="1"/>
          <w:iCs w:val="1"/>
          <w:color w:val="auto"/>
        </w:rPr>
        <w:t xml:space="preserve"> </w:t>
      </w:r>
      <w:r>
        <w:rPr>
          <w:rFonts w:ascii="Arial" w:cs="Arial" w:eastAsia="Arial" w:hAnsi="Arial"/>
          <w:sz w:val="21"/>
          <w:szCs w:val="21"/>
          <w:color w:val="auto"/>
        </w:rPr>
        <w:t>in Federal Reserve Statistical Release</w:t>
      </w:r>
    </w:p>
    <w:p>
      <w:pPr>
        <w:ind w:left="60"/>
        <w:spacing w:after="0"/>
        <w:rPr>
          <w:sz w:val="20"/>
          <w:szCs w:val="20"/>
          <w:color w:val="auto"/>
        </w:rPr>
      </w:pPr>
      <w:r>
        <w:rPr>
          <w:rFonts w:ascii="Arial" w:cs="Arial" w:eastAsia="Arial" w:hAnsi="Arial"/>
          <w:sz w:val="21"/>
          <w:szCs w:val="21"/>
          <w:color w:val="auto"/>
        </w:rPr>
        <w:t>H.15 (519) (Selected Interest Rates) as the “bank prime loan” rate or, if such rate is no longer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040"/>
          </w:cols>
          <w:pgMar w:left="400" w:top="1440" w:right="459" w:bottom="1440" w:gutter="0" w:footer="0" w:header="0"/>
        </w:sectPr>
      </w:pPr>
    </w:p>
    <w:bookmarkStart w:id="123" w:name="page124"/>
    <w:bookmarkEnd w:id="123"/>
    <w:p>
      <w:pPr>
        <w:spacing w:after="0" w:line="193" w:lineRule="exact"/>
        <w:rPr>
          <w:sz w:val="20"/>
          <w:szCs w:val="20"/>
          <w:color w:val="auto"/>
        </w:rPr>
      </w:pPr>
    </w:p>
    <w:p>
      <w:pPr>
        <w:jc w:val="both"/>
        <w:ind w:left="60"/>
        <w:spacing w:after="0" w:line="232" w:lineRule="auto"/>
        <w:rPr>
          <w:sz w:val="20"/>
          <w:szCs w:val="20"/>
          <w:color w:val="auto"/>
        </w:rPr>
      </w:pPr>
      <w:r>
        <w:rPr>
          <w:rFonts w:ascii="Arial" w:cs="Arial" w:eastAsia="Arial" w:hAnsi="Arial"/>
          <w:sz w:val="21"/>
          <w:szCs w:val="21"/>
          <w:color w:val="auto"/>
        </w:rPr>
        <w:t>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4"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Proceeding</w:t>
      </w:r>
      <w:r>
        <w:rPr>
          <w:rFonts w:ascii="Arial" w:cs="Arial" w:eastAsia="Arial" w:hAnsi="Arial"/>
          <w:sz w:val="21"/>
          <w:szCs w:val="21"/>
          <w:color w:val="auto"/>
        </w:rPr>
        <w:t>” means any claim, litigation, investigation, action, suit, arbitration or administrative, judicial or regulatory action or proceeding in any jurisdiction.</w:t>
      </w:r>
    </w:p>
    <w:p>
      <w:pPr>
        <w:spacing w:after="0" w:line="193"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PTE</w:t>
      </w:r>
      <w:r>
        <w:rPr>
          <w:rFonts w:ascii="Arial" w:cs="Arial" w:eastAsia="Arial" w:hAnsi="Arial"/>
          <w:sz w:val="21"/>
          <w:szCs w:val="21"/>
          <w:color w:val="auto"/>
        </w:rPr>
        <w:t>” means a prohibited transaction class exemption issued by the U.S. Department of Labor, as any such exemption may be amended from time to time.</w:t>
      </w:r>
    </w:p>
    <w:p>
      <w:pPr>
        <w:spacing w:after="0" w:line="179"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QFC</w:t>
      </w:r>
      <w:r>
        <w:rPr>
          <w:rFonts w:ascii="Arial" w:cs="Arial" w:eastAsia="Arial" w:hAnsi="Arial"/>
          <w:sz w:val="21"/>
          <w:szCs w:val="21"/>
          <w:color w:val="auto"/>
        </w:rPr>
        <w:t>” has the meaning assigned to the term “qualified financial contract” in, and shall be interpreted in accordance with, 12 U.S.C. 5390(c)(8)(D).</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QFC Credit Support</w:t>
      </w:r>
      <w:r>
        <w:rPr>
          <w:rFonts w:ascii="Arial" w:cs="Arial" w:eastAsia="Arial" w:hAnsi="Arial"/>
          <w:sz w:val="21"/>
          <w:szCs w:val="21"/>
          <w:color w:val="auto"/>
        </w:rPr>
        <w:t>” has the meaning assigned to it in Section 9.18.</w:t>
      </w:r>
    </w:p>
    <w:p>
      <w:pPr>
        <w:spacing w:after="0" w:line="228"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Receivables</w:t>
      </w:r>
      <w:r>
        <w:rPr>
          <w:rFonts w:ascii="Arial" w:cs="Arial" w:eastAsia="Arial" w:hAnsi="Arial"/>
          <w:sz w:val="21"/>
          <w:szCs w:val="21"/>
          <w:color w:val="auto"/>
        </w:rPr>
        <w:t>” means any right to payment created by or arising from sales of goods, leases of goods or the rendition of services rendered no matter how evidenced whether or not earned by performance (whether constituting accounts, general intangibles, chattel paper or otherwise).</w:t>
      </w:r>
    </w:p>
    <w:p>
      <w:pPr>
        <w:spacing w:after="0" w:line="198"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Receivables Entity</w:t>
      </w:r>
      <w:r>
        <w:rPr>
          <w:rFonts w:ascii="Arial" w:cs="Arial" w:eastAsia="Arial" w:hAnsi="Arial"/>
          <w:sz w:val="20"/>
          <w:szCs w:val="20"/>
          <w:color w:val="auto"/>
        </w:rPr>
        <w:t>” means a wholly-owned Subsidiary of the Borrower which engages in no activities other than in connection with the financing of accounts receivable of the Receivables Sellers and which is designated (as provided below) as a “Receivables Entity” (a) no portion of the Indebtedness or any other obligations (contingent or otherwise) of which (i) is guaranteed by the Borrower or any other Subsidiary of the Borrower, (ii) is recourse to or obligates the Borrower or any other Subsidiary of the Borrower in any way (other than pursuant to Standard Securitization Undertakings) or (iii) subjects any property or asset of the Borrower or any other Subsidiary of the Borrower, directly or indirectly, contingently or otherwise, to the satisfaction thereof, other than pursuant to Standard Securitization Undertakings, (b) with which neither the Borrower nor any of its Subsidiaries has any contract, agreement, arrangement or understanding (other than pursuant to the Permitted Receivables Facility Documents (including with respect to fees payable in the ordinary course of business in connection with the servicing of accounts receivable and related assets)) on terms less favorable to the Borrower or such Subsidiary than those that might be obtained at the time from persons that are not Affiliates of the Borrower, and (c) to which neither the Borrower nor any other Subsidiary of the Borrower has any obligation to maintain or preserve such entity’s financial condition or cause such entity to achieve certain levels of operating results (other than pursuant to Standard Securitization Undertakings). Any such designation shall be evidenced to the Administrative Agent by delivering to the Administrative Agent an officer’s certificate of the Borrower certifying that, to the best of such officer’s knowledge and belief after consultation with counsel, such designation complied with the foregoing conditions.</w:t>
      </w:r>
    </w:p>
    <w:p>
      <w:pPr>
        <w:spacing w:after="0" w:line="193"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Receivables Sellers</w:t>
      </w:r>
      <w:r>
        <w:rPr>
          <w:rFonts w:ascii="Arial" w:cs="Arial" w:eastAsia="Arial" w:hAnsi="Arial"/>
          <w:sz w:val="21"/>
          <w:szCs w:val="21"/>
          <w:color w:val="auto"/>
        </w:rPr>
        <w:t>” means the Borrower and those Subsidiaries that are from time to time party to the Permitted Receivables Facility Documents (other than any Receivables Entity).</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Recipient</w:t>
      </w:r>
      <w:r>
        <w:rPr>
          <w:rFonts w:ascii="Arial" w:cs="Arial" w:eastAsia="Arial" w:hAnsi="Arial"/>
          <w:sz w:val="21"/>
          <w:szCs w:val="21"/>
          <w:color w:val="auto"/>
        </w:rPr>
        <w:t>” means (a) the Administrative Agent, (b) any Lender and (c) any Issuing Bank, as applicable.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040"/>
          </w:cols>
          <w:pgMar w:left="400" w:top="1440" w:right="459" w:bottom="1440" w:gutter="0" w:footer="0" w:header="0"/>
        </w:sectPr>
      </w:pPr>
    </w:p>
    <w:bookmarkStart w:id="124" w:name="page125"/>
    <w:bookmarkEnd w:id="124"/>
    <w:p>
      <w:pPr>
        <w:spacing w:after="0" w:line="193" w:lineRule="exact"/>
        <w:rPr>
          <w:sz w:val="20"/>
          <w:szCs w:val="20"/>
          <w:color w:val="auto"/>
        </w:rPr>
      </w:pPr>
    </w:p>
    <w:p>
      <w:pPr>
        <w:jc w:val="both"/>
        <w:ind w:left="60" w:firstLine="642"/>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Reference Time</w:t>
      </w:r>
      <w:r>
        <w:rPr>
          <w:rFonts w:ascii="Arial" w:cs="Arial" w:eastAsia="Arial" w:hAnsi="Arial"/>
          <w:sz w:val="21"/>
          <w:szCs w:val="21"/>
          <w:color w:val="auto"/>
        </w:rPr>
        <w:t>” 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such Benchmark is TIBOR Rate, 11:00 a.m. Japan time two Business Days preceding the date of such setting, (4) if, following a Benchmark Transition Event and Benchmark Replacement Date with respect to the Term SOFR Rate, the RFR for such Benchmark is Daily Simple SOFR, then four RFR Business Days prior to such setting or (5) if such Benchmark is none of the Term SOFR Rate, the EURIBOR Rate, the TIBOR Rate, or Daily Simple SOFR, the time determined by the Administrative Agent in its reasonable discretion.</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Register</w:t>
      </w:r>
      <w:r>
        <w:rPr>
          <w:rFonts w:ascii="Arial" w:cs="Arial" w:eastAsia="Arial" w:hAnsi="Arial"/>
          <w:sz w:val="21"/>
          <w:szCs w:val="21"/>
          <w:color w:val="auto"/>
        </w:rPr>
        <w:t>” has the meaning assigned to such term in Section 9.04(b).</w:t>
      </w:r>
    </w:p>
    <w:p>
      <w:pPr>
        <w:spacing w:after="0" w:line="228"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Regulation D</w:t>
      </w:r>
      <w:r>
        <w:rPr>
          <w:rFonts w:ascii="Arial" w:cs="Arial" w:eastAsia="Arial" w:hAnsi="Arial"/>
          <w:sz w:val="21"/>
          <w:szCs w:val="21"/>
          <w:color w:val="auto"/>
        </w:rPr>
        <w:t>” means Regulation D of the Federal Reserve Board, as in effect from time to time and all official rulings and interpretations thereunder or thereof.</w:t>
      </w:r>
    </w:p>
    <w:p>
      <w:pPr>
        <w:spacing w:after="0" w:line="193"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Regulation U</w:t>
      </w:r>
      <w:r>
        <w:rPr>
          <w:rFonts w:ascii="Arial" w:cs="Arial" w:eastAsia="Arial" w:hAnsi="Arial"/>
          <w:sz w:val="21"/>
          <w:szCs w:val="21"/>
          <w:color w:val="auto"/>
        </w:rPr>
        <w:t>” means Regulation U of the Federal Reserve Board, as in effect from time to time and all official rulings and interpretations thereunder or thereof.</w:t>
      </w:r>
    </w:p>
    <w:p>
      <w:pPr>
        <w:spacing w:after="0" w:line="179"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Related Parties</w:t>
      </w:r>
      <w:r>
        <w:rPr>
          <w:rFonts w:ascii="Arial" w:cs="Arial" w:eastAsia="Arial" w:hAnsi="Arial"/>
          <w:sz w:val="21"/>
          <w:szCs w:val="21"/>
          <w:color w:val="auto"/>
        </w:rPr>
        <w:t>” means, with respect to any specified Person, such Person’s Affiliates and the respective directors, officers, employees, agents, advisors and representatives of such Person and such Person’s Affiliates.</w:t>
      </w:r>
    </w:p>
    <w:p>
      <w:pPr>
        <w:spacing w:after="0" w:line="193" w:lineRule="exact"/>
        <w:rPr>
          <w:sz w:val="20"/>
          <w:szCs w:val="20"/>
          <w:color w:val="auto"/>
        </w:rPr>
      </w:pPr>
    </w:p>
    <w:p>
      <w:pPr>
        <w:jc w:val="both"/>
        <w:ind w:left="60" w:firstLine="642"/>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Relevant Governmental Body</w:t>
      </w:r>
      <w:r>
        <w:rPr>
          <w:rFonts w:ascii="Arial" w:cs="Arial" w:eastAsia="Arial" w:hAnsi="Arial"/>
          <w:sz w:val="20"/>
          <w:szCs w:val="20"/>
          <w:color w:val="auto"/>
        </w:rPr>
        <w:t>”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Euros, the European Central Bank, or a committee officially endorsed or convened by the European Central Bank or, in each case, any successor thereto, (iii) with respect to a Benchmark Replacement in respect of Loans denominated in Yen, the Bank of Japan, or a committee officially endorsed or convened by the Bank of Japan or, in each case, any successor thereto, and (iv) with respect to a Benchmark Replacement in respect of Loans denominated in Canadian Dollars or with respect to a Benchmark Replacement in respect of Loans denominated in any other currency, (a) the central bank for the currency in which such Benchmark Replacement is denominated or any central bank or other supervisor which is responsible for supervising either</w:t>
      </w:r>
    </w:p>
    <w:p>
      <w:pPr>
        <w:spacing w:after="0" w:line="7" w:lineRule="exact"/>
        <w:rPr>
          <w:sz w:val="20"/>
          <w:szCs w:val="20"/>
          <w:color w:val="auto"/>
        </w:rPr>
      </w:pPr>
    </w:p>
    <w:p>
      <w:pPr>
        <w:jc w:val="both"/>
        <w:ind w:left="60" w:hanging="8"/>
        <w:spacing w:after="0" w:line="221" w:lineRule="auto"/>
        <w:tabs>
          <w:tab w:leader="none" w:pos="403" w:val="left"/>
        </w:tabs>
        <w:numPr>
          <w:ilvl w:val="0"/>
          <w:numId w:val="51"/>
        </w:numPr>
        <w:rPr>
          <w:rFonts w:ascii="Arial" w:cs="Arial" w:eastAsia="Arial" w:hAnsi="Arial"/>
          <w:sz w:val="21"/>
          <w:szCs w:val="21"/>
          <w:color w:val="auto"/>
        </w:rPr>
      </w:pPr>
      <w:r>
        <w:rPr>
          <w:rFonts w:ascii="Arial" w:cs="Arial" w:eastAsia="Arial" w:hAnsi="Arial"/>
          <w:sz w:val="21"/>
          <w:szCs w:val="21"/>
          <w:color w:val="auto"/>
        </w:rPr>
        <w:t>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44" w:lineRule="exact"/>
        <w:rPr>
          <w:sz w:val="20"/>
          <w:szCs w:val="20"/>
          <w:color w:val="auto"/>
        </w:rPr>
      </w:pPr>
    </w:p>
    <w:p>
      <w:pPr>
        <w:jc w:val="both"/>
        <w:ind w:left="60" w:firstLine="642"/>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Relevant Rate</w:t>
      </w:r>
      <w:r>
        <w:rPr>
          <w:rFonts w:ascii="Arial" w:cs="Arial" w:eastAsia="Arial" w:hAnsi="Arial"/>
          <w:sz w:val="20"/>
          <w:szCs w:val="20"/>
          <w:color w:val="auto"/>
        </w:rPr>
        <w:t>” means (i) with respect to any Term Benchmark Borrowing denominated in Dollars, the Adjusted Term SOFR Rate, (ii) with respect to any Term Benchmark Borrowing denominated in Canadian Dollars, the CDOR Rate, (iii) with respect to any Term Benchmark Borrowing denominated in Euros, the Adjusted EURIBOR Rate, (iv) with respect to any Term Benchmark Borrowing denominated in Yen, the Adjusted TIBOR Rate, as applicable or (v) with</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040"/>
          </w:cols>
          <w:pgMar w:left="400" w:top="1440" w:right="459" w:bottom="1440" w:gutter="0" w:footer="0" w:header="0"/>
        </w:sectPr>
      </w:pPr>
    </w:p>
    <w:bookmarkStart w:id="125" w:name="page126"/>
    <w:bookmarkEnd w:id="125"/>
    <w:p>
      <w:pPr>
        <w:spacing w:after="0" w:line="193" w:lineRule="exact"/>
        <w:rPr>
          <w:sz w:val="20"/>
          <w:szCs w:val="20"/>
          <w:color w:val="auto"/>
        </w:rPr>
      </w:pPr>
    </w:p>
    <w:p>
      <w:pPr>
        <w:ind w:left="60"/>
        <w:spacing w:after="0"/>
        <w:rPr>
          <w:sz w:val="20"/>
          <w:szCs w:val="20"/>
          <w:color w:val="auto"/>
        </w:rPr>
      </w:pPr>
      <w:r>
        <w:rPr>
          <w:rFonts w:ascii="Arial" w:cs="Arial" w:eastAsia="Arial" w:hAnsi="Arial"/>
          <w:sz w:val="21"/>
          <w:szCs w:val="21"/>
          <w:color w:val="auto"/>
        </w:rPr>
        <w:t>respect to any RFR Borrowing denominated in Dollars, the Adjusted Daily Simple RFR, as applicable.</w:t>
      </w:r>
    </w:p>
    <w:p>
      <w:pPr>
        <w:spacing w:after="0" w:line="214" w:lineRule="exact"/>
        <w:rPr>
          <w:sz w:val="20"/>
          <w:szCs w:val="20"/>
          <w:color w:val="auto"/>
        </w:rPr>
      </w:pPr>
    </w:p>
    <w:p>
      <w:pPr>
        <w:jc w:val="both"/>
        <w:ind w:left="60" w:firstLine="642"/>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Relevant Screen Rate</w:t>
      </w:r>
      <w:r>
        <w:rPr>
          <w:rFonts w:ascii="Arial" w:cs="Arial" w:eastAsia="Arial" w:hAnsi="Arial"/>
          <w:sz w:val="20"/>
          <w:szCs w:val="20"/>
          <w:color w:val="auto"/>
        </w:rPr>
        <w:t>” means (i) with respect to any Term Benchmark Borrowing denominated in Dollars, the Term SOFR Reference Rate, (ii) with respect to any Term Benchmark Borrowing denominated in Canadian Dollars, the CDOR Screen Rate, (iii) with respect to any Term Benchmark Borrowing denominated in Euros, the EURIBOR Screen Rate or (iv) with respect to any Term Benchmark Borrowing denominated in Yen, the TIBOR Screen Rate, as applicable.</w:t>
      </w:r>
    </w:p>
    <w:p>
      <w:pPr>
        <w:spacing w:after="0" w:line="197"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Reportable Event</w:t>
      </w:r>
      <w:r>
        <w:rPr>
          <w:rFonts w:ascii="Arial" w:cs="Arial" w:eastAsia="Arial" w:hAnsi="Arial"/>
          <w:sz w:val="21"/>
          <w:szCs w:val="21"/>
          <w:color w:val="auto"/>
        </w:rPr>
        <w:t>” means any of the events set forth in Section 4043(c) of ERISA, other than events for which the thirty (30) day notice period has been waived by regulations thereunder.</w:t>
      </w:r>
    </w:p>
    <w:p>
      <w:pPr>
        <w:spacing w:after="0" w:line="193" w:lineRule="exact"/>
        <w:rPr>
          <w:sz w:val="20"/>
          <w:szCs w:val="20"/>
          <w:color w:val="auto"/>
        </w:rPr>
      </w:pPr>
    </w:p>
    <w:p>
      <w:pPr>
        <w:jc w:val="both"/>
        <w:ind w:left="60" w:firstLine="642"/>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Required Lenders</w:t>
      </w:r>
      <w:r>
        <w:rPr>
          <w:rFonts w:ascii="Arial" w:cs="Arial" w:eastAsia="Arial" w:hAnsi="Arial"/>
          <w:sz w:val="19"/>
          <w:szCs w:val="19"/>
          <w:color w:val="auto"/>
        </w:rPr>
        <w:t xml:space="preserve">” means, subject to Section 2.20, (a) at any time prior to the earlier of the Loans becoming due and payable pursuant to Section 7.01 or the Commitments terminating or expiring, Lenders having Credit Exposures and Unfunded Commitments (and unused Term Loan Commitments, as applicable) representing more than 50% of the sum of the Total Credit Exposure and Unfunded Commitments (and unused Term Loan Commitments, as applicable)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purposes of declaring the Loans to be due and payable pursuant to Section 7.01, the Unfunded Commitment of each Lender shall be deemed to be zero; and (b) for all purposes after the Loans become due and payable pursuant to Section 7.01 or the Commitments expire or terminate, Lenders having Credit Exposures representing more than 50% of the Total Credit Exposure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clauses (a) and (b) above, (x) the Revolving Credit Exposure of any Lender that is a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Commitment of such Lender shall be determined on the basis of its Revolving Credit Exposure excluding such excess amount and (y) for the purpose of determining the Required Lenders needed for any waiver, amendment, modification or consent of or under this Agreement or any other Loan Document, any Lender that is the Borrower or an Affiliate of the Borrower shall be disregarded.</w:t>
      </w:r>
    </w:p>
    <w:p>
      <w:pPr>
        <w:spacing w:after="0" w:line="185"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Resolution Authority</w:t>
      </w:r>
      <w:r>
        <w:rPr>
          <w:rFonts w:ascii="Arial" w:cs="Arial" w:eastAsia="Arial" w:hAnsi="Arial"/>
          <w:sz w:val="21"/>
          <w:szCs w:val="21"/>
          <w:color w:val="auto"/>
        </w:rPr>
        <w:t>” means an EEA Resolution Authority or, with respect to any UK Financial Institution, a UK Resolution Authority.</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Responsible Officer</w:t>
      </w:r>
      <w:r>
        <w:rPr>
          <w:rFonts w:ascii="Arial" w:cs="Arial" w:eastAsia="Arial" w:hAnsi="Arial"/>
          <w:sz w:val="21"/>
          <w:szCs w:val="21"/>
          <w:color w:val="auto"/>
        </w:rPr>
        <w:t>” means the president, Financial Officer or other executive officer of the Borrower.</w:t>
      </w:r>
    </w:p>
    <w:p>
      <w:pPr>
        <w:spacing w:after="0" w:line="228"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Restricted Payment</w:t>
      </w:r>
      <w:r>
        <w:rPr>
          <w:rFonts w:ascii="Arial" w:cs="Arial" w:eastAsia="Arial" w:hAnsi="Arial"/>
          <w:sz w:val="21"/>
          <w:szCs w:val="21"/>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Reuters</w:t>
      </w:r>
      <w:r>
        <w:rPr>
          <w:rFonts w:ascii="Arial" w:cs="Arial" w:eastAsia="Arial" w:hAnsi="Arial"/>
          <w:sz w:val="21"/>
          <w:szCs w:val="21"/>
          <w:color w:val="auto"/>
        </w:rPr>
        <w:t>” means, as applicable, Thomson Reuters Corp., Refinitiv, or any successor thereto.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040"/>
          </w:cols>
          <w:pgMar w:left="400" w:top="1440" w:right="459" w:bottom="1440" w:gutter="0" w:footer="0" w:header="0"/>
        </w:sectPr>
      </w:pPr>
    </w:p>
    <w:bookmarkStart w:id="126" w:name="page127"/>
    <w:bookmarkEnd w:id="126"/>
    <w:p>
      <w:pPr>
        <w:spacing w:after="0" w:line="193" w:lineRule="exact"/>
        <w:rPr>
          <w:sz w:val="20"/>
          <w:szCs w:val="20"/>
          <w:color w:val="auto"/>
        </w:rPr>
      </w:pPr>
    </w:p>
    <w:p>
      <w:pPr>
        <w:jc w:val="both"/>
        <w:ind w:left="60" w:firstLine="642"/>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Revaluation Date</w:t>
      </w:r>
      <w:r>
        <w:rPr>
          <w:rFonts w:ascii="Arial" w:cs="Arial" w:eastAsia="Arial" w:hAnsi="Arial"/>
          <w:sz w:val="21"/>
          <w:szCs w:val="21"/>
          <w:color w:val="auto"/>
        </w:rPr>
        <w:t>” shall mean (a) with respect to any Loan denominated in any Foreign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 Foreign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spacing w:after="0" w:line="188" w:lineRule="exact"/>
        <w:rPr>
          <w:sz w:val="20"/>
          <w:szCs w:val="20"/>
          <w:color w:val="auto"/>
        </w:rPr>
      </w:pPr>
    </w:p>
    <w:p>
      <w:pPr>
        <w:jc w:val="both"/>
        <w:ind w:left="60" w:firstLine="642"/>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Borrowing</w:t>
      </w:r>
      <w:r>
        <w:rPr>
          <w:rFonts w:ascii="Arial" w:cs="Arial" w:eastAsia="Arial" w:hAnsi="Arial"/>
          <w:sz w:val="20"/>
          <w:szCs w:val="20"/>
          <w:color w:val="auto"/>
        </w:rPr>
        <w:t>” means Revolving Loans of the same Type and Agreed Currency, made, converted or continued on the same date and, in the case of Term Benchmark Loans, as to which a single Interest Period is in effect.</w:t>
      </w:r>
    </w:p>
    <w:p>
      <w:pPr>
        <w:spacing w:after="0" w:line="170" w:lineRule="exact"/>
        <w:rPr>
          <w:sz w:val="20"/>
          <w:szCs w:val="20"/>
          <w:color w:val="auto"/>
        </w:rPr>
      </w:pPr>
    </w:p>
    <w:p>
      <w:pPr>
        <w:jc w:val="both"/>
        <w:ind w:left="60" w:firstLine="696"/>
        <w:spacing w:after="0" w:line="220" w:lineRule="auto"/>
        <w:rPr>
          <w:sz w:val="20"/>
          <w:szCs w:val="20"/>
          <w:color w:val="auto"/>
        </w:rPr>
      </w:pPr>
      <w:r>
        <w:rPr>
          <w:rFonts w:ascii="Arial" w:cs="Arial" w:eastAsia="Arial" w:hAnsi="Arial"/>
          <w:sz w:val="21"/>
          <w:szCs w:val="21"/>
          <w:b w:val="1"/>
          <w:bCs w:val="1"/>
          <w:i w:val="1"/>
          <w:iCs w:val="1"/>
          <w:color w:val="auto"/>
        </w:rPr>
        <w:t>Revolving Commitment</w:t>
      </w:r>
      <w:r>
        <w:rPr>
          <w:rFonts w:ascii="Arial" w:cs="Arial" w:eastAsia="Arial" w:hAnsi="Arial"/>
          <w:sz w:val="21"/>
          <w:szCs w:val="21"/>
          <w:color w:val="auto"/>
        </w:rPr>
        <w:t>” means, with respect to each Lender, the amount under the column “Revolving Commitment”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set forth on Schedule 2.01A opposite such Lender’s name, or in the applicable documentation or record (as such term is defined in Section 9-102(a)(70) of the UCC) as provided in Section 9.04(b)(ii)(C), pursuant to which such Lender shall have assumed its Revolving Commitment pursuant to the terms hereof, as applicable, and giving effect to (a) any reduction in such amount from time to time pursuant to Section 2.09 and (b) any reduction or increase in such amount from time to time pursuant to assignments by or to such Lender pursuant to Section 9.04; </w:t>
      </w:r>
      <w:r>
        <w:rPr>
          <w:rFonts w:ascii="Arial" w:cs="Arial" w:eastAsia="Arial" w:hAnsi="Arial"/>
          <w:sz w:val="21"/>
          <w:szCs w:val="21"/>
          <w:u w:val="single" w:color="auto"/>
          <w:color w:val="auto"/>
        </w:rPr>
        <w:t>provided</w:t>
      </w:r>
      <w:r>
        <w:rPr>
          <w:rFonts w:ascii="Arial" w:cs="Arial" w:eastAsia="Arial" w:hAnsi="Arial"/>
          <w:sz w:val="21"/>
          <w:szCs w:val="21"/>
          <w:color w:val="auto"/>
        </w:rPr>
        <w:t>, that at no time shall the Revolving Credit Exposure of any Lender exceed its Revolving Commitment. The initial aggregate amount of the Revolving Lenders’ Revolving Commitments is $190,000,000.</w:t>
      </w:r>
    </w:p>
    <w:p>
      <w:pPr>
        <w:spacing w:after="0" w:line="200"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Revolving Credit Exposure</w:t>
      </w:r>
      <w:r>
        <w:rPr>
          <w:rFonts w:ascii="Arial" w:cs="Arial" w:eastAsia="Arial" w:hAnsi="Arial"/>
          <w:sz w:val="21"/>
          <w:szCs w:val="21"/>
          <w:color w:val="auto"/>
        </w:rPr>
        <w:t>” means, with respect to any Lender at any time, the sum of the outstanding principal amount of such Lender’s Revolving Loans, its LC Exposure and its Swingline Exposure at such time.</w:t>
      </w:r>
    </w:p>
    <w:p>
      <w:pPr>
        <w:spacing w:after="0" w:line="179"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Revolving Lender</w:t>
      </w:r>
      <w:r>
        <w:rPr>
          <w:rFonts w:ascii="Arial" w:cs="Arial" w:eastAsia="Arial" w:hAnsi="Arial"/>
          <w:sz w:val="21"/>
          <w:szCs w:val="21"/>
          <w:color w:val="auto"/>
        </w:rPr>
        <w:t>” means, as of any date of determination, each Lender that has a Revolving Commitment or, if the Revolving Commitments have terminated or expired, a Lender with Revolving Credit Exposure.</w:t>
      </w:r>
    </w:p>
    <w:p>
      <w:pPr>
        <w:spacing w:after="0" w:line="313" w:lineRule="exact"/>
        <w:rPr>
          <w:sz w:val="20"/>
          <w:szCs w:val="20"/>
          <w:color w:val="auto"/>
        </w:rPr>
      </w:pPr>
    </w:p>
    <w:p>
      <w:pPr>
        <w:ind w:left="700"/>
        <w:spacing w:after="0"/>
        <w:rPr>
          <w:sz w:val="20"/>
          <w:szCs w:val="20"/>
          <w:color w:val="auto"/>
        </w:rPr>
      </w:pPr>
      <w:r>
        <w:rPr>
          <w:rFonts w:ascii="Arial" w:cs="Arial" w:eastAsia="Arial" w:hAnsi="Arial"/>
          <w:sz w:val="19"/>
          <w:szCs w:val="19"/>
          <w:b w:val="1"/>
          <w:bCs w:val="1"/>
          <w:i w:val="1"/>
          <w:iCs w:val="1"/>
          <w:color w:val="auto"/>
        </w:rPr>
        <w:t>Revolving Loan</w:t>
      </w:r>
      <w:r>
        <w:rPr>
          <w:rFonts w:ascii="Arial" w:cs="Arial" w:eastAsia="Arial" w:hAnsi="Arial"/>
          <w:sz w:val="19"/>
          <w:szCs w:val="19"/>
          <w:color w:val="auto"/>
        </w:rPr>
        <w:t>” means a Loan made by a Revolving Lender pursuant to Section 2.01(a). “</w:t>
      </w:r>
      <w:r>
        <w:rPr>
          <w:rFonts w:ascii="Arial" w:cs="Arial" w:eastAsia="Arial" w:hAnsi="Arial"/>
          <w:sz w:val="19"/>
          <w:szCs w:val="19"/>
          <w:b w:val="1"/>
          <w:bCs w:val="1"/>
          <w:i w:val="1"/>
          <w:iCs w:val="1"/>
          <w:color w:val="auto"/>
        </w:rPr>
        <w:t>RFR</w:t>
      </w:r>
      <w:r>
        <w:rPr>
          <w:rFonts w:ascii="Arial" w:cs="Arial" w:eastAsia="Arial" w:hAnsi="Arial"/>
          <w:sz w:val="19"/>
          <w:szCs w:val="19"/>
          <w:color w:val="auto"/>
        </w:rPr>
        <w:t>” means, for any RFR</w:t>
      </w:r>
    </w:p>
    <w:p>
      <w:pPr>
        <w:spacing w:after="0" w:line="251" w:lineRule="exact"/>
        <w:rPr>
          <w:sz w:val="20"/>
          <w:szCs w:val="20"/>
          <w:color w:val="auto"/>
        </w:rPr>
      </w:pPr>
    </w:p>
    <w:p>
      <w:pPr>
        <w:ind w:left="700"/>
        <w:spacing w:after="0"/>
        <w:rPr>
          <w:sz w:val="20"/>
          <w:szCs w:val="20"/>
          <w:color w:val="auto"/>
        </w:rPr>
      </w:pPr>
      <w:r>
        <w:rPr>
          <w:rFonts w:ascii="Arial" w:cs="Arial" w:eastAsia="Arial" w:hAnsi="Arial"/>
          <w:sz w:val="21"/>
          <w:szCs w:val="21"/>
          <w:color w:val="auto"/>
        </w:rPr>
        <w:t>Loan denominated in Dollars, Daily Simple SOFR.</w:t>
      </w:r>
    </w:p>
    <w:p>
      <w:pPr>
        <w:spacing w:after="0" w:line="94"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RFR Administrator</w:t>
      </w:r>
      <w:r>
        <w:rPr>
          <w:rFonts w:ascii="Arial" w:cs="Arial" w:eastAsia="Arial" w:hAnsi="Arial"/>
          <w:sz w:val="21"/>
          <w:szCs w:val="21"/>
          <w:color w:val="auto"/>
        </w:rPr>
        <w:t>” means the SOFR Administrator.</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RFR Borrowing</w:t>
      </w:r>
      <w:r>
        <w:rPr>
          <w:rFonts w:ascii="Arial" w:cs="Arial" w:eastAsia="Arial" w:hAnsi="Arial"/>
          <w:sz w:val="21"/>
          <w:szCs w:val="21"/>
          <w:color w:val="auto"/>
        </w:rPr>
        <w:t>” means, as to any Borrowing, the RFR Loans comprising such Borrowing.</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RFR Business Day</w:t>
      </w:r>
      <w:r>
        <w:rPr>
          <w:rFonts w:ascii="Arial" w:cs="Arial" w:eastAsia="Arial" w:hAnsi="Arial"/>
          <w:sz w:val="20"/>
          <w:szCs w:val="20"/>
          <w:color w:val="auto"/>
        </w:rPr>
        <w:t>” means, for any Loan denominated in Dollars, a U.S. Government Securities Business Day.</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RFR Interest Day</w:t>
      </w:r>
      <w:r>
        <w:rPr>
          <w:rFonts w:ascii="Arial" w:cs="Arial" w:eastAsia="Arial" w:hAnsi="Arial"/>
          <w:sz w:val="21"/>
          <w:szCs w:val="21"/>
          <w:color w:val="auto"/>
        </w:rPr>
        <w:t>” has the meaning specified in the definition of “Daily Simple RFR”.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040"/>
          </w:cols>
          <w:pgMar w:left="400" w:top="1440" w:right="459" w:bottom="1440" w:gutter="0" w:footer="0" w:header="0"/>
        </w:sectPr>
      </w:pPr>
    </w:p>
    <w:bookmarkStart w:id="127" w:name="page128"/>
    <w:bookmarkEnd w:id="127"/>
    <w:p>
      <w:pPr>
        <w:spacing w:after="0" w:line="368" w:lineRule="exact"/>
        <w:rPr>
          <w:sz w:val="20"/>
          <w:szCs w:val="20"/>
          <w:color w:val="auto"/>
        </w:rPr>
      </w:pPr>
    </w:p>
    <w:p>
      <w:pPr>
        <w:jc w:val="right"/>
        <w:ind w:right="4260"/>
        <w:spacing w:after="0"/>
        <w:rPr>
          <w:sz w:val="20"/>
          <w:szCs w:val="20"/>
          <w:color w:val="auto"/>
        </w:rPr>
      </w:pPr>
      <w:r>
        <w:rPr>
          <w:rFonts w:ascii="Arial" w:cs="Arial" w:eastAsia="Arial" w:hAnsi="Arial"/>
          <w:sz w:val="21"/>
          <w:szCs w:val="21"/>
          <w:color w:val="auto"/>
        </w:rPr>
        <w:t>RFR.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RFR Loan</w:t>
      </w:r>
      <w:r>
        <w:rPr>
          <w:rFonts w:ascii="Arial" w:cs="Arial" w:eastAsia="Arial" w:hAnsi="Arial"/>
          <w:sz w:val="21"/>
          <w:szCs w:val="21"/>
          <w:color w:val="auto"/>
        </w:rPr>
        <w:t>” means a Loan that bears interest at a rate based on the Adjusted Daily Simple</w:t>
      </w:r>
    </w:p>
    <w:p>
      <w:pPr>
        <w:spacing w:after="0" w:line="380" w:lineRule="exact"/>
        <w:rPr>
          <w:sz w:val="20"/>
          <w:szCs w:val="20"/>
          <w:color w:val="auto"/>
        </w:rPr>
      </w:pPr>
    </w:p>
    <w:p>
      <w:pPr>
        <w:ind w:left="180" w:right="40"/>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S&amp;P</w:t>
      </w:r>
      <w:r>
        <w:rPr>
          <w:rFonts w:ascii="Arial" w:cs="Arial" w:eastAsia="Arial" w:hAnsi="Arial"/>
          <w:sz w:val="21"/>
          <w:szCs w:val="21"/>
          <w:color w:val="auto"/>
        </w:rPr>
        <w:t>” means Standard &amp; Poor’s Rating Services, a Standard &amp; Poor’s Financial Services</w:t>
      </w:r>
    </w:p>
    <w:p>
      <w:pPr>
        <w:sectPr>
          <w:pgSz w:w="11900" w:h="16838" w:orient="portrait"/>
          <w:cols w:equalWidth="0" w:num="2">
            <w:col w:w="4780" w:space="720"/>
            <w:col w:w="5500"/>
          </w:cols>
          <w:pgMar w:left="400" w:top="1440" w:right="499" w:bottom="1440" w:gutter="0" w:footer="0" w:header="0"/>
        </w:sectPr>
      </w:pPr>
    </w:p>
    <w:bookmarkStart w:id="128" w:name="page129"/>
    <w:bookmarkEnd w:id="128"/>
    <w:p>
      <w:pPr>
        <w:ind w:left="60"/>
        <w:spacing w:after="0"/>
        <w:rPr>
          <w:sz w:val="20"/>
          <w:szCs w:val="20"/>
          <w:color w:val="auto"/>
        </w:rPr>
      </w:pPr>
      <w:r>
        <w:rPr>
          <w:rFonts w:ascii="Arial" w:cs="Arial" w:eastAsia="Arial" w:hAnsi="Arial"/>
          <w:sz w:val="21"/>
          <w:szCs w:val="21"/>
          <w:color w:val="auto"/>
        </w:rPr>
        <w:t>LLC business.</w:t>
      </w:r>
    </w:p>
    <w:p>
      <w:pPr>
        <w:spacing w:after="0" w:line="228"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Sale and Leaseback Transaction</w:t>
      </w:r>
      <w:r>
        <w:rPr>
          <w:rFonts w:ascii="Arial" w:cs="Arial" w:eastAsia="Arial" w:hAnsi="Arial"/>
          <w:sz w:val="21"/>
          <w:szCs w:val="21"/>
          <w:color w:val="auto"/>
        </w:rPr>
        <w:t>” means any sale or other transfer of any property or asset by any Person with the intent to lease such property or asset as lessee.</w:t>
      </w:r>
    </w:p>
    <w:p>
      <w:pPr>
        <w:spacing w:after="0" w:line="179"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Sanctioned Country</w:t>
      </w:r>
      <w:r>
        <w:rPr>
          <w:rFonts w:ascii="Arial" w:cs="Arial" w:eastAsia="Arial" w:hAnsi="Arial"/>
          <w:sz w:val="21"/>
          <w:szCs w:val="21"/>
          <w:color w:val="auto"/>
        </w:rPr>
        <w:t>” means, at any time, a country, region or territory which is itself the subject or target of any Sanctions (at the time of this Agreement, the so-called Donetsk People’s Republic, the so-called Luhansk People’s Republic, the Crimea Region of Ukraine, Cuba, Iran, North Korea and Syria).</w:t>
      </w:r>
    </w:p>
    <w:p>
      <w:pPr>
        <w:spacing w:after="0" w:line="198" w:lineRule="exact"/>
        <w:rPr>
          <w:sz w:val="20"/>
          <w:szCs w:val="20"/>
          <w:color w:val="auto"/>
        </w:rPr>
      </w:pPr>
    </w:p>
    <w:p>
      <w:pPr>
        <w:jc w:val="both"/>
        <w:ind w:left="60" w:firstLine="642"/>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Sanctioned Person</w:t>
      </w:r>
      <w:r>
        <w:rPr>
          <w:rFonts w:ascii="Arial" w:cs="Arial" w:eastAsia="Arial" w:hAnsi="Arial"/>
          <w:sz w:val="20"/>
          <w:szCs w:val="20"/>
          <w:color w:val="auto"/>
        </w:rPr>
        <w:t>” means, at any time, (a) any Person listed in any Sanctions-related list of designated Persons maintained by OFAC, the U.S. Department of State,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96"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Sanctions</w:t>
      </w:r>
      <w:r>
        <w:rPr>
          <w:rFonts w:ascii="Arial" w:cs="Arial" w:eastAsia="Arial" w:hAnsi="Arial"/>
          <w:sz w:val="21"/>
          <w:szCs w:val="21"/>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Her Majesty’s Treasury of the United Kingdom or other relevant sanctions authority.</w:t>
      </w:r>
    </w:p>
    <w:p>
      <w:pPr>
        <w:spacing w:after="0" w:line="10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w:t>
      </w:r>
      <w:r>
        <w:rPr>
          <w:rFonts w:ascii="Arial" w:cs="Arial" w:eastAsia="Arial" w:hAnsi="Arial"/>
          <w:sz w:val="19"/>
          <w:szCs w:val="19"/>
          <w:color w:val="auto"/>
        </w:rPr>
        <w:t>” means the Securities and Exchange Commission of the United States of America. “</w:t>
      </w:r>
      <w:r>
        <w:rPr>
          <w:rFonts w:ascii="Arial" w:cs="Arial" w:eastAsia="Arial" w:hAnsi="Arial"/>
          <w:sz w:val="19"/>
          <w:szCs w:val="19"/>
          <w:b w:val="1"/>
          <w:bCs w:val="1"/>
          <w:i w:val="1"/>
          <w:iCs w:val="1"/>
          <w:color w:val="auto"/>
        </w:rPr>
        <w:t>Secured Debt</w:t>
      </w:r>
      <w:r>
        <w:rPr>
          <w:rFonts w:ascii="Arial" w:cs="Arial" w:eastAsia="Arial" w:hAnsi="Arial"/>
          <w:sz w:val="19"/>
          <w:szCs w:val="19"/>
          <w:color w:val="auto"/>
        </w:rPr>
        <w:t>” means, as of</w:t>
      </w:r>
    </w:p>
    <w:p>
      <w:pPr>
        <w:spacing w:after="0" w:line="318" w:lineRule="exact"/>
        <w:rPr>
          <w:sz w:val="20"/>
          <w:szCs w:val="20"/>
          <w:color w:val="auto"/>
        </w:rPr>
      </w:pPr>
    </w:p>
    <w:p>
      <w:pPr>
        <w:ind w:left="700"/>
        <w:spacing w:after="0"/>
        <w:rPr>
          <w:sz w:val="20"/>
          <w:szCs w:val="20"/>
          <w:color w:val="auto"/>
        </w:rPr>
      </w:pPr>
      <w:r>
        <w:rPr>
          <w:rFonts w:ascii="Arial" w:cs="Arial" w:eastAsia="Arial" w:hAnsi="Arial"/>
          <w:sz w:val="21"/>
          <w:szCs w:val="21"/>
          <w:color w:val="auto"/>
        </w:rPr>
        <w:t>any date of determination thereof, all outstanding</w:t>
      </w:r>
    </w:p>
    <w:p>
      <w:pPr>
        <w:spacing w:after="0" w:line="134" w:lineRule="exact"/>
        <w:rPr>
          <w:sz w:val="20"/>
          <w:szCs w:val="20"/>
          <w:color w:val="auto"/>
        </w:rPr>
      </w:pPr>
    </w:p>
    <w:p>
      <w:pPr>
        <w:jc w:val="both"/>
        <w:ind w:left="60"/>
        <w:spacing w:after="0" w:line="219" w:lineRule="auto"/>
        <w:rPr>
          <w:sz w:val="20"/>
          <w:szCs w:val="20"/>
          <w:color w:val="auto"/>
        </w:rPr>
      </w:pPr>
      <w:r>
        <w:rPr>
          <w:rFonts w:ascii="Arial" w:cs="Arial" w:eastAsia="Arial" w:hAnsi="Arial"/>
          <w:sz w:val="21"/>
          <w:szCs w:val="21"/>
          <w:color w:val="auto"/>
        </w:rPr>
        <w:t>Indebtedness for borrowed money and other interest-bearing Indebtedness, including current and long term Indebtedness, that, as of such date, is secured by Liens on property or assets of the Borrower or any of its Subsidiaries, but excluding (i) the capital lease between the Borrower and</w:t>
      </w:r>
    </w:p>
    <w:p>
      <w:pPr>
        <w:ind w:left="60"/>
        <w:spacing w:after="0" w:line="213" w:lineRule="auto"/>
        <w:rPr>
          <w:sz w:val="20"/>
          <w:szCs w:val="20"/>
          <w:color w:val="auto"/>
        </w:rPr>
      </w:pPr>
      <w:r>
        <w:rPr>
          <w:rFonts w:ascii="Arial" w:cs="Arial" w:eastAsia="Arial" w:hAnsi="Arial"/>
          <w:sz w:val="21"/>
          <w:szCs w:val="21"/>
          <w:color w:val="auto"/>
        </w:rPr>
        <w:t>S.J. Vahaviolos Partners L.L.C. relating to the Borrower’s occupancy of the premises located at</w:t>
      </w:r>
    </w:p>
    <w:p>
      <w:pPr>
        <w:spacing w:after="0" w:line="1" w:lineRule="exact"/>
        <w:rPr>
          <w:sz w:val="20"/>
          <w:szCs w:val="20"/>
          <w:color w:val="auto"/>
        </w:rPr>
      </w:pPr>
    </w:p>
    <w:p>
      <w:pPr>
        <w:jc w:val="both"/>
        <w:ind w:left="60" w:right="20"/>
        <w:spacing w:after="0" w:line="233" w:lineRule="auto"/>
        <w:rPr>
          <w:sz w:val="20"/>
          <w:szCs w:val="20"/>
          <w:color w:val="auto"/>
        </w:rPr>
      </w:pPr>
      <w:r>
        <w:rPr>
          <w:rFonts w:ascii="Arial" w:cs="Arial" w:eastAsia="Arial" w:hAnsi="Arial"/>
          <w:sz w:val="21"/>
          <w:szCs w:val="21"/>
          <w:color w:val="auto"/>
        </w:rPr>
        <w:t>195 Clarksville Road, Princeton Junction, New Jersey and (ii) Attributable Receivables Indebtedness under any Permitted Receivables Facility.</w:t>
      </w:r>
    </w:p>
    <w:p>
      <w:pPr>
        <w:spacing w:after="0" w:line="183" w:lineRule="exact"/>
        <w:rPr>
          <w:sz w:val="20"/>
          <w:szCs w:val="20"/>
          <w:color w:val="auto"/>
        </w:rPr>
      </w:pPr>
    </w:p>
    <w:p>
      <w:pPr>
        <w:jc w:val="both"/>
        <w:ind w:left="60" w:right="2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Secured Leverage Ratio</w:t>
      </w:r>
      <w:r>
        <w:rPr>
          <w:rFonts w:ascii="Arial" w:cs="Arial" w:eastAsia="Arial" w:hAnsi="Arial"/>
          <w:sz w:val="21"/>
          <w:szCs w:val="21"/>
          <w:color w:val="auto"/>
        </w:rPr>
        <w:t>” means, as of any date of determination, the ratio of (a) Secured Debt as of said date of determination -</w:t>
      </w:r>
      <w:r>
        <w:rPr>
          <w:rFonts w:ascii="Arial" w:cs="Arial" w:eastAsia="Arial" w:hAnsi="Arial"/>
          <w:sz w:val="21"/>
          <w:szCs w:val="21"/>
          <w:i w:val="1"/>
          <w:iCs w:val="1"/>
          <w:color w:val="auto"/>
        </w:rPr>
        <w:t>to-</w:t>
      </w:r>
      <w:r>
        <w:rPr>
          <w:rFonts w:ascii="Arial" w:cs="Arial" w:eastAsia="Arial" w:hAnsi="Arial"/>
          <w:sz w:val="21"/>
          <w:szCs w:val="21"/>
          <w:color w:val="auto"/>
        </w:rPr>
        <w:t xml:space="preserve"> (b) EBITDA for the period of four consecutive fiscal quarters immediately preceding said date of determination, taken together as one accounting period.</w:t>
      </w:r>
    </w:p>
    <w:p>
      <w:pPr>
        <w:spacing w:after="0" w:line="265"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Secured Obligations</w:t>
      </w:r>
      <w:r>
        <w:rPr>
          <w:rFonts w:ascii="Arial" w:cs="Arial" w:eastAsia="Arial" w:hAnsi="Arial"/>
          <w:sz w:val="21"/>
          <w:szCs w:val="21"/>
          <w:color w:val="auto"/>
        </w:rPr>
        <w:t xml:space="preserve">” means all Obligations, together with all Swap Obligations and Banking Services Obligations owing to one or more Lenders or their respective Affiliates;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definition of “Secured Obligations” shall not create or include any guarantee by any Loan Party of (or grant of security interest by any Loan Party to support, as applicable) any</w:t>
      </w: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040"/>
          </w:cols>
          <w:pgMar w:left="400" w:top="748" w:right="459" w:bottom="1440" w:gutter="0" w:footer="0" w:header="0"/>
        </w:sectPr>
      </w:pPr>
    </w:p>
    <w:bookmarkStart w:id="129" w:name="page130"/>
    <w:bookmarkEnd w:id="129"/>
    <w:p>
      <w:pPr>
        <w:ind w:left="60"/>
        <w:spacing w:after="0"/>
        <w:rPr>
          <w:sz w:val="20"/>
          <w:szCs w:val="20"/>
          <w:color w:val="auto"/>
        </w:rPr>
      </w:pPr>
      <w:r>
        <w:rPr>
          <w:rFonts w:ascii="Arial" w:cs="Arial" w:eastAsia="Arial" w:hAnsi="Arial"/>
          <w:sz w:val="21"/>
          <w:szCs w:val="21"/>
          <w:color w:val="auto"/>
        </w:rPr>
        <w:t>Excluded Swap Obligations of such Loan Party for purposes of determining any obligations of any Loan Party.</w:t>
      </w:r>
    </w:p>
    <w:p>
      <w:pPr>
        <w:spacing w:after="0" w:line="214" w:lineRule="exact"/>
        <w:rPr>
          <w:sz w:val="20"/>
          <w:szCs w:val="20"/>
          <w:color w:val="auto"/>
        </w:rPr>
      </w:pPr>
    </w:p>
    <w:p>
      <w:pPr>
        <w:jc w:val="both"/>
        <w:ind w:left="60" w:firstLine="642"/>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Secured Parties</w:t>
      </w:r>
      <w:r>
        <w:rPr>
          <w:rFonts w:ascii="Arial" w:cs="Arial" w:eastAsia="Arial" w:hAnsi="Arial"/>
          <w:sz w:val="20"/>
          <w:szCs w:val="20"/>
          <w:color w:val="auto"/>
        </w:rPr>
        <w:t>” means the holders of the Secured Obligations from time to time and shall include (i) each Lender and the Issuing Bank in respect of its Loans and LC Exposure respectively, (ii) the Administrative Agent, the Issuing Bank and the Lenders in respect of all other present and future obligations and liabilities of the Borrower and each Subsidiary of every type and description arising under or in connection with this Agreement or any other Loan Document,</w:t>
      </w:r>
    </w:p>
    <w:p>
      <w:pPr>
        <w:spacing w:after="0" w:line="2" w:lineRule="exact"/>
        <w:rPr>
          <w:sz w:val="20"/>
          <w:szCs w:val="20"/>
          <w:color w:val="auto"/>
        </w:rPr>
      </w:pPr>
    </w:p>
    <w:p>
      <w:pPr>
        <w:jc w:val="both"/>
        <w:ind w:left="60" w:hanging="8"/>
        <w:spacing w:after="0" w:line="223" w:lineRule="auto"/>
        <w:tabs>
          <w:tab w:leader="none" w:pos="449" w:val="left"/>
        </w:tabs>
        <w:numPr>
          <w:ilvl w:val="0"/>
          <w:numId w:val="52"/>
        </w:numPr>
        <w:rPr>
          <w:rFonts w:ascii="Arial" w:cs="Arial" w:eastAsia="Arial" w:hAnsi="Arial"/>
          <w:sz w:val="21"/>
          <w:szCs w:val="21"/>
          <w:color w:val="auto"/>
        </w:rPr>
      </w:pPr>
      <w:r>
        <w:rPr>
          <w:rFonts w:ascii="Arial" w:cs="Arial" w:eastAsia="Arial" w:hAnsi="Arial"/>
          <w:sz w:val="21"/>
          <w:szCs w:val="21"/>
          <w:color w:val="auto"/>
        </w:rPr>
        <w:t>each Lender and Affiliate of such Lender in respect of Swap Agreements and Banking Services Agreements entered into with such Person by the Borrower or any Subsidiary, (iv) each indemnified party under Section 9.03 in respect of the obligations and liabilities of the Borrower to such Person hereunder and under the other Loan Documents, and (v) their respective successors and (in the case of a Lender, permitted) transferees and assigns.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Securities Act</w:t>
      </w:r>
      <w:r>
        <w:rPr>
          <w:rFonts w:ascii="Arial" w:cs="Arial" w:eastAsia="Arial" w:hAnsi="Arial"/>
          <w:sz w:val="21"/>
          <w:szCs w:val="21"/>
          <w:color w:val="auto"/>
        </w:rPr>
        <w:t>” means the United States Securities Act of 1933.</w:t>
      </w:r>
    </w:p>
    <w:p>
      <w:pPr>
        <w:spacing w:after="0" w:line="228"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Securities Laws</w:t>
      </w:r>
      <w:r>
        <w:rPr>
          <w:rFonts w:ascii="Arial" w:cs="Arial" w:eastAsia="Arial" w:hAnsi="Arial"/>
          <w:sz w:val="21"/>
          <w:szCs w:val="21"/>
          <w:color w:val="auto"/>
        </w:rPr>
        <w:t>” means the Securities Act, the Securities Exchange Act of 1934, Sarbanes-Oxley and the applicable accounting and auditing principles, rules, standards and practices promulgated, approved or incorporated by the SEC or the PCAOB.</w:t>
      </w:r>
    </w:p>
    <w:p>
      <w:pPr>
        <w:spacing w:after="0" w:line="184"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Security Agreement</w:t>
      </w:r>
      <w:r>
        <w:rPr>
          <w:rFonts w:ascii="Arial" w:cs="Arial" w:eastAsia="Arial" w:hAnsi="Arial"/>
          <w:sz w:val="21"/>
          <w:szCs w:val="21"/>
          <w:color w:val="auto"/>
        </w:rPr>
        <w:t>” means that certain Security and Pledge Agreement (including any and all supplements thereto), dated as of the date hereof, between the Loan Parties and the Administrative Agent, for the benefit of the Administrative Agent and the other Secured Parties, and any other security agreement or pledge agreement entered into, after the date of this Agreement by any other Loan Party (as required by this Agreement or any other Loan Document), or any other Person, as the same may be amended, restated or otherwise modified from time to time.</w:t>
      </w:r>
    </w:p>
    <w:p>
      <w:pPr>
        <w:spacing w:after="0" w:line="267" w:lineRule="exact"/>
        <w:rPr>
          <w:sz w:val="20"/>
          <w:szCs w:val="20"/>
          <w:color w:val="auto"/>
        </w:rPr>
      </w:pPr>
    </w:p>
    <w:p>
      <w:pPr>
        <w:jc w:val="both"/>
        <w:ind w:left="60" w:firstLine="642"/>
        <w:spacing w:after="0" w:line="21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Senior Secured Debt</w:t>
      </w:r>
      <w:r>
        <w:rPr>
          <w:rFonts w:ascii="Arial" w:cs="Arial" w:eastAsia="Arial" w:hAnsi="Arial"/>
          <w:sz w:val="21"/>
          <w:szCs w:val="21"/>
          <w:color w:val="auto"/>
        </w:rPr>
        <w:t>” means, as of any date of determination thereof, all outstanding Indebtedness for borrowed money and other interest-bearing Indebtedness, including current and long term Indebtedness, that, as of such date, is secured by Liens on property or assets of the Borrower or any of its Subsidiaries, but excluding (i) Subordinated Indebtedness, (ii) the capital lease between the Borrower and S.J. Vahaviolos Partners L.L.C. relating to the Borrower’s occupancy of the premises located at 195 Clarksville Road, Princeton Junction, New Jersey and</w:t>
      </w:r>
    </w:p>
    <w:p>
      <w:pPr>
        <w:spacing w:after="0" w:line="4" w:lineRule="exact"/>
        <w:rPr>
          <w:sz w:val="20"/>
          <w:szCs w:val="20"/>
          <w:color w:val="auto"/>
        </w:rPr>
      </w:pPr>
    </w:p>
    <w:p>
      <w:pPr>
        <w:ind w:left="60"/>
        <w:spacing w:after="0"/>
        <w:rPr>
          <w:sz w:val="20"/>
          <w:szCs w:val="20"/>
          <w:color w:val="auto"/>
        </w:rPr>
      </w:pPr>
      <w:r>
        <w:rPr>
          <w:rFonts w:ascii="Arial" w:cs="Arial" w:eastAsia="Arial" w:hAnsi="Arial"/>
          <w:sz w:val="21"/>
          <w:szCs w:val="21"/>
          <w:color w:val="auto"/>
        </w:rPr>
        <w:t>(iii) and (b) Attributable Receivables Indebtedness under any Permitted Receivables Facility.</w:t>
      </w:r>
    </w:p>
    <w:p>
      <w:pPr>
        <w:spacing w:after="0" w:line="210"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Senior Secured Leverage Ratio</w:t>
      </w:r>
      <w:r>
        <w:rPr>
          <w:rFonts w:ascii="Arial" w:cs="Arial" w:eastAsia="Arial" w:hAnsi="Arial"/>
          <w:sz w:val="21"/>
          <w:szCs w:val="21"/>
          <w:color w:val="auto"/>
        </w:rPr>
        <w:t>” means, as of any date of determination, the ratio of (a) Senior Secured Debt as of said date of determination -</w:t>
      </w:r>
      <w:r>
        <w:rPr>
          <w:rFonts w:ascii="Arial" w:cs="Arial" w:eastAsia="Arial" w:hAnsi="Arial"/>
          <w:sz w:val="21"/>
          <w:szCs w:val="21"/>
          <w:i w:val="1"/>
          <w:iCs w:val="1"/>
          <w:color w:val="auto"/>
        </w:rPr>
        <w:t>to-</w:t>
      </w:r>
      <w:r>
        <w:rPr>
          <w:rFonts w:ascii="Arial" w:cs="Arial" w:eastAsia="Arial" w:hAnsi="Arial"/>
          <w:sz w:val="21"/>
          <w:szCs w:val="21"/>
          <w:color w:val="auto"/>
        </w:rPr>
        <w:t xml:space="preserve"> (b) EBITDA for the period of four consecutive fiscal quarters immediately preceding said date of determination, taken together as one accounting period.</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w:t>
      </w:r>
      <w:r>
        <w:rPr>
          <w:rFonts w:ascii="Arial" w:cs="Arial" w:eastAsia="Arial" w:hAnsi="Arial"/>
          <w:sz w:val="20"/>
          <w:szCs w:val="20"/>
          <w:color w:val="auto"/>
        </w:rPr>
        <w:t>” means a rate equal to the secured overnight financing rate as administered by the SOFR Administrator.</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 Administrator</w:t>
      </w:r>
      <w:r>
        <w:rPr>
          <w:rFonts w:ascii="Arial" w:cs="Arial" w:eastAsia="Arial" w:hAnsi="Arial"/>
          <w:sz w:val="20"/>
          <w:szCs w:val="20"/>
          <w:color w:val="auto"/>
        </w:rPr>
        <w:t>” means the NYFRB (or a successor administrator of the secured overnight financing rate).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040"/>
          </w:cols>
          <w:pgMar w:left="400" w:top="1392" w:right="459" w:bottom="1440" w:gutter="0" w:footer="0" w:header="0"/>
        </w:sectPr>
      </w:pPr>
    </w:p>
    <w:bookmarkStart w:id="130" w:name="page131"/>
    <w:bookmarkEnd w:id="130"/>
    <w:p>
      <w:pPr>
        <w:spacing w:after="0" w:line="193" w:lineRule="exact"/>
        <w:rPr>
          <w:sz w:val="20"/>
          <w:szCs w:val="20"/>
          <w:color w:val="auto"/>
        </w:rPr>
      </w:pPr>
    </w:p>
    <w:p>
      <w:pPr>
        <w:jc w:val="both"/>
        <w:ind w:left="60" w:firstLine="642"/>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 Administrator’s Website</w:t>
      </w:r>
      <w:r>
        <w:rPr>
          <w:rFonts w:ascii="Arial" w:cs="Arial" w:eastAsia="Arial" w:hAnsi="Arial"/>
          <w:sz w:val="20"/>
          <w:szCs w:val="20"/>
          <w:color w:val="auto"/>
        </w:rPr>
        <w:t>” means the NYFRB’s Website, currently at http://www.newyorkfed.org, or any successor source for the secured overnight financing rate identified as such by the SOFR Administrator from time to time.</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SOFR Determination Date</w:t>
      </w:r>
      <w:r>
        <w:rPr>
          <w:rFonts w:ascii="Arial" w:cs="Arial" w:eastAsia="Arial" w:hAnsi="Arial"/>
          <w:sz w:val="21"/>
          <w:szCs w:val="21"/>
          <w:color w:val="auto"/>
        </w:rPr>
        <w:t>” has the meaning specified in the definition of “Daily Simple SOFR”.</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SOFR Rate Day</w:t>
      </w:r>
      <w:r>
        <w:rPr>
          <w:rFonts w:ascii="Arial" w:cs="Arial" w:eastAsia="Arial" w:hAnsi="Arial"/>
          <w:sz w:val="21"/>
          <w:szCs w:val="21"/>
          <w:color w:val="auto"/>
        </w:rPr>
        <w:t>” has the meaning specified in the definition of “Daily Simple SOFR”. “</w:t>
      </w:r>
      <w:r>
        <w:rPr>
          <w:rFonts w:ascii="Arial" w:cs="Arial" w:eastAsia="Arial" w:hAnsi="Arial"/>
          <w:sz w:val="21"/>
          <w:szCs w:val="21"/>
          <w:b w:val="1"/>
          <w:bCs w:val="1"/>
          <w:i w:val="1"/>
          <w:iCs w:val="1"/>
          <w:color w:val="auto"/>
        </w:rPr>
        <w:t>Solvent</w:t>
      </w:r>
      <w:r>
        <w:rPr>
          <w:rFonts w:ascii="Arial" w:cs="Arial" w:eastAsia="Arial" w:hAnsi="Arial"/>
          <w:sz w:val="21"/>
          <w:szCs w:val="21"/>
          <w:color w:val="auto"/>
        </w:rPr>
        <w:t>” or “</w:t>
      </w:r>
      <w:r>
        <w:rPr>
          <w:rFonts w:ascii="Arial" w:cs="Arial" w:eastAsia="Arial" w:hAnsi="Arial"/>
          <w:sz w:val="21"/>
          <w:szCs w:val="21"/>
          <w:b w:val="1"/>
          <w:bCs w:val="1"/>
          <w:i w:val="1"/>
          <w:iCs w:val="1"/>
          <w:color w:val="auto"/>
        </w:rPr>
        <w:t>Solvency</w:t>
      </w:r>
      <w:r>
        <w:rPr>
          <w:rFonts w:ascii="Arial" w:cs="Arial" w:eastAsia="Arial" w:hAnsi="Arial"/>
          <w:sz w:val="21"/>
          <w:szCs w:val="21"/>
          <w:color w:val="auto"/>
        </w:rPr>
        <w:t>”</w:t>
      </w:r>
    </w:p>
    <w:p>
      <w:pPr>
        <w:spacing w:after="0" w:line="281" w:lineRule="exact"/>
        <w:rPr>
          <w:sz w:val="20"/>
          <w:szCs w:val="20"/>
          <w:color w:val="auto"/>
        </w:rPr>
      </w:pPr>
    </w:p>
    <w:p>
      <w:pPr>
        <w:ind w:left="700"/>
        <w:spacing w:after="0"/>
        <w:rPr>
          <w:sz w:val="20"/>
          <w:szCs w:val="20"/>
          <w:color w:val="auto"/>
        </w:rPr>
      </w:pPr>
      <w:r>
        <w:rPr>
          <w:rFonts w:ascii="Arial" w:cs="Arial" w:eastAsia="Arial" w:hAnsi="Arial"/>
          <w:sz w:val="21"/>
          <w:szCs w:val="21"/>
          <w:color w:val="auto"/>
        </w:rPr>
        <w:t>means, with respect to any Person on any date of determination,</w:t>
      </w:r>
    </w:p>
    <w:p>
      <w:pPr>
        <w:spacing w:after="0" w:line="134" w:lineRule="exact"/>
        <w:rPr>
          <w:sz w:val="20"/>
          <w:szCs w:val="20"/>
          <w:color w:val="auto"/>
        </w:rPr>
      </w:pPr>
    </w:p>
    <w:p>
      <w:pPr>
        <w:jc w:val="both"/>
        <w:ind w:left="60"/>
        <w:spacing w:after="0" w:line="218" w:lineRule="auto"/>
        <w:rPr>
          <w:sz w:val="20"/>
          <w:szCs w:val="20"/>
          <w:color w:val="auto"/>
        </w:rPr>
      </w:pPr>
      <w:r>
        <w:rPr>
          <w:rFonts w:ascii="Arial" w:cs="Arial" w:eastAsia="Arial" w:hAnsi="Arial"/>
          <w:sz w:val="21"/>
          <w:szCs w:val="21"/>
          <w:color w:val="auto"/>
        </w:rPr>
        <w:t>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93" w:lineRule="exact"/>
        <w:rPr>
          <w:sz w:val="20"/>
          <w:szCs w:val="20"/>
          <w:color w:val="auto"/>
        </w:rPr>
      </w:pPr>
    </w:p>
    <w:p>
      <w:pPr>
        <w:jc w:val="both"/>
        <w:ind w:left="60" w:firstLine="642"/>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Specified Ancillary Obligations</w:t>
      </w:r>
      <w:r>
        <w:rPr>
          <w:rFonts w:ascii="Arial" w:cs="Arial" w:eastAsia="Arial" w:hAnsi="Arial"/>
          <w:sz w:val="21"/>
          <w:szCs w:val="21"/>
          <w:color w:val="auto"/>
        </w:rPr>
        <w:t>” means all obligations and liabilities (including interest and fees accruing during the pendency of any bankruptcy, insolvency,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under any Swap Agreement or any Banking Services Agreement.</w:t>
      </w:r>
    </w:p>
    <w:p>
      <w:pPr>
        <w:spacing w:after="0" w:line="201"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Specified Swap Obligation</w:t>
      </w:r>
      <w:r>
        <w:rPr>
          <w:rFonts w:ascii="Arial" w:cs="Arial" w:eastAsia="Arial" w:hAnsi="Arial"/>
          <w:sz w:val="21"/>
          <w:szCs w:val="21"/>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84"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Standard Securitization Undertakings</w:t>
      </w:r>
      <w:r>
        <w:rPr>
          <w:rFonts w:ascii="Arial" w:cs="Arial" w:eastAsia="Arial" w:hAnsi="Arial"/>
          <w:sz w:val="21"/>
          <w:szCs w:val="21"/>
          <w:color w:val="auto"/>
        </w:rPr>
        <w:t>” means representations, warranties, covenants and indemnities entered into by the Borrower or any Subsidiary thereof in connection with the Permitted Receivables Facility which are reasonably customary in an accounts receivable financing transaction.</w:t>
      </w:r>
    </w:p>
    <w:p>
      <w:pPr>
        <w:spacing w:after="0" w:line="198"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Statutory Reserve Rate</w:t>
      </w:r>
      <w:r>
        <w:rPr>
          <w:rFonts w:ascii="Arial" w:cs="Arial" w:eastAsia="Arial" w:hAnsi="Arial"/>
          <w:sz w:val="21"/>
          <w:szCs w:val="21"/>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EURIBOR Rate or Adjusted TIBOR Rate, as applicable, for eurocurrency funding (currently referred to as “Eurocurrency liabilities”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040"/>
          </w:cols>
          <w:pgMar w:left="400" w:top="1440" w:right="459" w:bottom="1440" w:gutter="0" w:footer="0" w:header="0"/>
        </w:sectPr>
      </w:pPr>
    </w:p>
    <w:bookmarkStart w:id="131" w:name="page132"/>
    <w:bookmarkEnd w:id="131"/>
    <w:p>
      <w:pPr>
        <w:spacing w:after="0" w:line="193" w:lineRule="exact"/>
        <w:rPr>
          <w:sz w:val="20"/>
          <w:szCs w:val="20"/>
          <w:color w:val="auto"/>
        </w:rPr>
      </w:pPr>
    </w:p>
    <w:p>
      <w:pPr>
        <w:jc w:val="both"/>
        <w:ind w:left="60"/>
        <w:spacing w:after="0" w:line="219" w:lineRule="auto"/>
        <w:rPr>
          <w:sz w:val="20"/>
          <w:szCs w:val="20"/>
          <w:color w:val="auto"/>
        </w:rPr>
      </w:pPr>
      <w:r>
        <w:rPr>
          <w:rFonts w:ascii="Arial" w:cs="Arial" w:eastAsia="Arial" w:hAnsi="Arial"/>
          <w:sz w:val="21"/>
          <w:szCs w:val="21"/>
          <w:color w:val="auto"/>
        </w:rPr>
        <w:t>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w:t>
      </w:r>
    </w:p>
    <w:p>
      <w:pPr>
        <w:jc w:val="both"/>
        <w:ind w:left="60"/>
        <w:spacing w:after="0" w:line="221" w:lineRule="auto"/>
        <w:rPr>
          <w:sz w:val="20"/>
          <w:szCs w:val="20"/>
          <w:color w:val="auto"/>
        </w:rPr>
      </w:pPr>
      <w:r>
        <w:rPr>
          <w:rFonts w:ascii="Arial" w:cs="Arial" w:eastAsia="Arial" w:hAnsi="Arial"/>
          <w:sz w:val="21"/>
          <w:szCs w:val="21"/>
          <w:color w:val="auto"/>
        </w:rPr>
        <w:t>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4"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Subordination Agreement</w:t>
      </w:r>
      <w:r>
        <w:rPr>
          <w:rFonts w:ascii="Arial" w:cs="Arial" w:eastAsia="Arial" w:hAnsi="Arial"/>
          <w:sz w:val="21"/>
          <w:szCs w:val="21"/>
          <w:color w:val="auto"/>
        </w:rPr>
        <w:t>” and “</w:t>
      </w:r>
      <w:r>
        <w:rPr>
          <w:rFonts w:ascii="Arial" w:cs="Arial" w:eastAsia="Arial" w:hAnsi="Arial"/>
          <w:sz w:val="21"/>
          <w:szCs w:val="21"/>
          <w:b w:val="1"/>
          <w:bCs w:val="1"/>
          <w:i w:val="1"/>
          <w:iCs w:val="1"/>
          <w:color w:val="auto"/>
        </w:rPr>
        <w:t>Subordination Agreements</w:t>
      </w:r>
      <w:r>
        <w:rPr>
          <w:rFonts w:ascii="Arial" w:cs="Arial" w:eastAsia="Arial" w:hAnsi="Arial"/>
          <w:sz w:val="21"/>
          <w:szCs w:val="21"/>
          <w:color w:val="auto"/>
        </w:rPr>
        <w:t>” means any subordination agreement in form and substance reasonably satisfactory to the Administrative Agent entered into by the Borrower or any Subsidiary in connection with Subordinated Indebtedness, as any such subordination agreement may be from time to time amended, modified, extended, renewed, substituted, and/or supplemented.</w:t>
      </w:r>
    </w:p>
    <w:p>
      <w:pPr>
        <w:spacing w:after="0" w:line="186" w:lineRule="exact"/>
        <w:rPr>
          <w:sz w:val="20"/>
          <w:szCs w:val="20"/>
          <w:color w:val="auto"/>
        </w:rPr>
      </w:pPr>
    </w:p>
    <w:p>
      <w:pPr>
        <w:jc w:val="both"/>
        <w:ind w:left="60" w:firstLine="642"/>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Subordinated Indebtedness</w:t>
      </w:r>
      <w:r>
        <w:rPr>
          <w:rFonts w:ascii="Arial" w:cs="Arial" w:eastAsia="Arial" w:hAnsi="Arial"/>
          <w:sz w:val="20"/>
          <w:szCs w:val="20"/>
          <w:color w:val="auto"/>
        </w:rPr>
        <w:t>” means a collective reference to any Indebtedness entered into by the Borrower or any Subsidiary the payment of which is subordinated to payment of the obligations under the Loan Documents, which Indebtedness is subject to a Subordination Agreement in favor of the Administrative Agent, for the benefit of the Secured Parties, as any such Indebtedness may be from time to time amended, modified, extended, renewed, substituted, and/or supplemented in accordance with the terms hereof, thereof and the applicable Subordination Agreement.</w:t>
      </w:r>
    </w:p>
    <w:p>
      <w:pPr>
        <w:spacing w:after="0" w:line="196"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with respect to any Person (the “</w:t>
      </w:r>
      <w:r>
        <w:rPr>
          <w:rFonts w:ascii="Arial" w:cs="Arial" w:eastAsia="Arial" w:hAnsi="Arial"/>
          <w:sz w:val="20"/>
          <w:szCs w:val="20"/>
          <w:b w:val="1"/>
          <w:bCs w:val="1"/>
          <w:i w:val="1"/>
          <w:iCs w:val="1"/>
          <w:color w:val="auto"/>
        </w:rPr>
        <w:t>parent</w:t>
      </w:r>
      <w:r>
        <w:rPr>
          <w:rFonts w:ascii="Arial" w:cs="Arial" w:eastAsia="Arial" w:hAnsi="Arial"/>
          <w:sz w:val="20"/>
          <w:szCs w:val="20"/>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means any subsidiary of the Borrower.</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 Guarantor</w:t>
      </w:r>
      <w:r>
        <w:rPr>
          <w:rFonts w:ascii="Arial" w:cs="Arial" w:eastAsia="Arial" w:hAnsi="Arial"/>
          <w:sz w:val="19"/>
          <w:szCs w:val="19"/>
          <w:color w:val="auto"/>
        </w:rPr>
        <w:t>” and “</w:t>
      </w:r>
      <w:r>
        <w:rPr>
          <w:rFonts w:ascii="Arial" w:cs="Arial" w:eastAsia="Arial" w:hAnsi="Arial"/>
          <w:sz w:val="19"/>
          <w:szCs w:val="19"/>
          <w:b w:val="1"/>
          <w:bCs w:val="1"/>
          <w:i w:val="1"/>
          <w:iCs w:val="1"/>
          <w:color w:val="auto"/>
        </w:rPr>
        <w:t>Subsidiary Guarantors</w:t>
      </w:r>
      <w:r>
        <w:rPr>
          <w:rFonts w:ascii="Arial" w:cs="Arial" w:eastAsia="Arial" w:hAnsi="Arial"/>
          <w:sz w:val="19"/>
          <w:szCs w:val="19"/>
          <w:color w:val="auto"/>
        </w:rPr>
        <w:t>” means, individually and collectively, as the context may require,</w:t>
      </w:r>
    </w:p>
    <w:p>
      <w:pPr>
        <w:spacing w:after="0" w:line="14" w:lineRule="exact"/>
        <w:rPr>
          <w:sz w:val="20"/>
          <w:szCs w:val="20"/>
          <w:color w:val="auto"/>
        </w:rPr>
      </w:pPr>
    </w:p>
    <w:p>
      <w:pPr>
        <w:jc w:val="both"/>
        <w:ind w:left="60" w:hanging="8"/>
        <w:spacing w:after="0" w:line="226" w:lineRule="auto"/>
        <w:tabs>
          <w:tab w:leader="none" w:pos="362" w:val="left"/>
        </w:tabs>
        <w:numPr>
          <w:ilvl w:val="0"/>
          <w:numId w:val="53"/>
        </w:numPr>
        <w:rPr>
          <w:rFonts w:ascii="Arial" w:cs="Arial" w:eastAsia="Arial" w:hAnsi="Arial"/>
          <w:sz w:val="21"/>
          <w:szCs w:val="21"/>
          <w:color w:val="auto"/>
        </w:rPr>
      </w:pPr>
      <w:r>
        <w:rPr>
          <w:rFonts w:ascii="Arial" w:cs="Arial" w:eastAsia="Arial" w:hAnsi="Arial"/>
          <w:sz w:val="21"/>
          <w:szCs w:val="21"/>
          <w:color w:val="auto"/>
        </w:rPr>
        <w:t>Mistras International Holdings Inc., a Delaware corporation, (b) West Penn Non-Destructive Testing, LLC, a Pennsylvania limited liability company, and (c) any additional guarantors added pursuant to the terms, conditions, and provisions of Section 5.13 hereof, all on a joint and several basis.</w:t>
      </w:r>
    </w:p>
    <w:p>
      <w:pPr>
        <w:spacing w:after="0" w:line="198" w:lineRule="exact"/>
        <w:rPr>
          <w:sz w:val="20"/>
          <w:szCs w:val="20"/>
          <w:color w:val="auto"/>
        </w:rPr>
      </w:pPr>
    </w:p>
    <w:p>
      <w:pPr>
        <w:jc w:val="both"/>
        <w:ind w:left="60" w:firstLine="642"/>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 Guaranty</w:t>
      </w:r>
      <w:r>
        <w:rPr>
          <w:rFonts w:ascii="Arial" w:cs="Arial" w:eastAsia="Arial" w:hAnsi="Arial"/>
          <w:sz w:val="19"/>
          <w:szCs w:val="19"/>
          <w:color w:val="auto"/>
        </w:rPr>
        <w:t>” means the Guaranty Agreement dated of even date herewith executed and delivered by the Subsidiary Guarantors, on a joint and several basis, in favor of Administrative Agent, for the benefit of the Secured Parties, as said Guaranty Agreement may be from time to time amended, modified, extended, renewed, substituted, and/or supplemented.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040"/>
          </w:cols>
          <w:pgMar w:left="400" w:top="1440" w:right="459" w:bottom="1440" w:gutter="0" w:footer="0" w:header="0"/>
        </w:sectPr>
      </w:pPr>
    </w:p>
    <w:bookmarkStart w:id="132" w:name="page133"/>
    <w:bookmarkEnd w:id="132"/>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Supported QFC</w:t>
      </w:r>
      <w:r>
        <w:rPr>
          <w:rFonts w:ascii="Arial" w:cs="Arial" w:eastAsia="Arial" w:hAnsi="Arial"/>
          <w:sz w:val="21"/>
          <w:szCs w:val="21"/>
          <w:color w:val="auto"/>
        </w:rPr>
        <w:t>” has the meaning assigned to it in Section 9.18.</w:t>
      </w:r>
    </w:p>
    <w:p>
      <w:pPr>
        <w:spacing w:after="0" w:line="214" w:lineRule="exact"/>
        <w:rPr>
          <w:sz w:val="20"/>
          <w:szCs w:val="20"/>
          <w:color w:val="auto"/>
        </w:rPr>
      </w:pPr>
    </w:p>
    <w:p>
      <w:pPr>
        <w:jc w:val="both"/>
        <w:ind w:left="60" w:firstLine="642"/>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Swap Agreement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shall be hereinafter referred to as a “</w:t>
      </w:r>
      <w:r>
        <w:rPr>
          <w:rFonts w:ascii="Arial" w:cs="Arial" w:eastAsia="Arial" w:hAnsi="Arial"/>
          <w:sz w:val="19"/>
          <w:szCs w:val="19"/>
          <w:b w:val="1"/>
          <w:bCs w:val="1"/>
          <w:i w:val="1"/>
          <w:iCs w:val="1"/>
          <w:color w:val="auto"/>
        </w:rPr>
        <w:t>Master Agreement</w:t>
      </w:r>
      <w:r>
        <w:rPr>
          <w:rFonts w:ascii="Arial" w:cs="Arial" w:eastAsia="Arial" w:hAnsi="Arial"/>
          <w:sz w:val="19"/>
          <w:szCs w:val="19"/>
          <w:color w:val="auto"/>
        </w:rPr>
        <w:t>”), including any such obligations or liabilities under any Master Agreement.</w:t>
      </w:r>
    </w:p>
    <w:p>
      <w:pPr>
        <w:spacing w:after="0" w:line="187"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Swap Obligations</w:t>
      </w:r>
      <w:r>
        <w:rPr>
          <w:rFonts w:ascii="Arial" w:cs="Arial" w:eastAsia="Arial" w:hAnsi="Arial"/>
          <w:sz w:val="21"/>
          <w:szCs w:val="21"/>
          <w:color w:val="auto"/>
        </w:rPr>
        <w:t>” means any and all obligations of the Borrower or any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200" w:lineRule="exact"/>
        <w:rPr>
          <w:sz w:val="20"/>
          <w:szCs w:val="20"/>
          <w:color w:val="auto"/>
        </w:rPr>
      </w:pPr>
    </w:p>
    <w:p>
      <w:pPr>
        <w:jc w:val="both"/>
        <w:ind w:left="60" w:firstLine="642"/>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Swap Termination Value</w:t>
      </w:r>
      <w:r>
        <w:rPr>
          <w:rFonts w:ascii="Arial" w:cs="Arial" w:eastAsia="Arial" w:hAnsi="Arial"/>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20"/>
          <w:szCs w:val="20"/>
          <w:u w:val="single" w:color="auto"/>
          <w:color w:val="auto"/>
        </w:rPr>
        <w:t>clause (a)</w:t>
      </w:r>
      <w:r>
        <w:rPr>
          <w:rFonts w:ascii="Arial" w:cs="Arial" w:eastAsia="Arial" w:hAnsi="Arial"/>
          <w:sz w:val="20"/>
          <w:szCs w:val="20"/>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3" w:lineRule="exact"/>
        <w:rPr>
          <w:sz w:val="20"/>
          <w:szCs w:val="20"/>
          <w:color w:val="auto"/>
        </w:rPr>
      </w:pPr>
    </w:p>
    <w:p>
      <w:pPr>
        <w:jc w:val="both"/>
        <w:ind w:left="60" w:firstLine="642"/>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Swingline Exposure</w:t>
      </w:r>
      <w:r>
        <w:rPr>
          <w:rFonts w:ascii="Arial" w:cs="Arial" w:eastAsia="Arial" w:hAnsi="Arial"/>
          <w:sz w:val="21"/>
          <w:szCs w:val="21"/>
          <w:color w:val="auto"/>
        </w:rPr>
        <w:t>”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such Lender in its capacity as a Swingline Lender that are outstanding at such time to the extent that the other Lenders shall not have funded their participations in such Swingline Loans), adjusted to give effect to any reallocation under Section 2.20 of the Swingline Exposure of Defaulting Lenders in effect at such time, and (b) in the case of any Lender that is a Swingline Lender, the aggregate principal amount of all Swingline Loans made by such Lender as a Swingline Lender outstanding at such time, less the amount of participations funded by the other Lenders in such Swingline Loans.</w:t>
      </w:r>
    </w:p>
    <w:p>
      <w:pPr>
        <w:spacing w:after="0" w:line="188"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Swingline Lenders</w:t>
      </w:r>
      <w:r>
        <w:rPr>
          <w:rFonts w:ascii="Arial" w:cs="Arial" w:eastAsia="Arial" w:hAnsi="Arial"/>
          <w:sz w:val="21"/>
          <w:szCs w:val="21"/>
          <w:color w:val="auto"/>
        </w:rPr>
        <w:t>” means JPMorgan Chase Bank, N.A. (or any of its designated branch offices or affiliates) in its capacity as a lender of Swingline Loans hereunder.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040"/>
          </w:cols>
          <w:pgMar w:left="400" w:top="1440" w:right="459" w:bottom="1440" w:gutter="0" w:footer="0" w:header="0"/>
        </w:sectPr>
      </w:pPr>
    </w:p>
    <w:bookmarkStart w:id="133" w:name="page134"/>
    <w:bookmarkEnd w:id="133"/>
    <w:p>
      <w:pPr>
        <w:spacing w:after="0" w:line="19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Swingline Loan</w:t>
      </w:r>
      <w:r>
        <w:rPr>
          <w:rFonts w:ascii="Arial" w:cs="Arial" w:eastAsia="Arial" w:hAnsi="Arial"/>
          <w:sz w:val="19"/>
          <w:szCs w:val="19"/>
          <w:color w:val="auto"/>
        </w:rPr>
        <w:t>” means a Loan made pursuant to Section 2.05. All Swingline Loans shall be denominated in Dollars.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Syndication Agent</w:t>
      </w:r>
      <w:r>
        <w:rPr>
          <w:rFonts w:ascii="Arial" w:cs="Arial" w:eastAsia="Arial" w:hAnsi="Arial"/>
          <w:sz w:val="21"/>
          <w:szCs w:val="21"/>
          <w:color w:val="auto"/>
        </w:rPr>
        <w:t>” means Bank of America, N.A.</w:t>
      </w:r>
    </w:p>
    <w:p>
      <w:pPr>
        <w:spacing w:after="0" w:line="228"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Synthetic Lease Obligation</w:t>
      </w:r>
      <w:r>
        <w:rPr>
          <w:rFonts w:ascii="Arial" w:cs="Arial" w:eastAsia="Arial" w:hAnsi="Arial"/>
          <w:sz w:val="21"/>
          <w:szCs w:val="21"/>
          <w:color w:val="auto"/>
        </w:rPr>
        <w:t>” means the monetary obligation of a Person under (a) a so- called synthetic, off-balance sheet or tax retention lease, or (b) an agreement for the use or possession of property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86"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TARGET2</w:t>
      </w:r>
      <w:r>
        <w:rPr>
          <w:rFonts w:ascii="Arial" w:cs="Arial" w:eastAsia="Arial" w:hAnsi="Arial"/>
          <w:sz w:val="21"/>
          <w:szCs w:val="21"/>
          <w:color w:val="auto"/>
        </w:rPr>
        <w:t>” means the Trans-European Automated Real-time Gross Settlement Express Transfer payment system which utilizes a single shared platform and which was launched on November 19, 2007.</w:t>
      </w:r>
    </w:p>
    <w:p>
      <w:pPr>
        <w:spacing w:after="0" w:line="193" w:lineRule="exact"/>
        <w:rPr>
          <w:sz w:val="20"/>
          <w:szCs w:val="20"/>
          <w:color w:val="auto"/>
        </w:rPr>
      </w:pPr>
    </w:p>
    <w:p>
      <w:pPr>
        <w:jc w:val="both"/>
        <w:ind w:left="60" w:firstLine="69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TARGET Day</w:t>
      </w:r>
      <w:r>
        <w:rPr>
          <w:rFonts w:ascii="Arial" w:cs="Arial" w:eastAsia="Arial" w:hAnsi="Arial"/>
          <w:sz w:val="21"/>
          <w:szCs w:val="21"/>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98" w:lineRule="exact"/>
        <w:rPr>
          <w:sz w:val="20"/>
          <w:szCs w:val="20"/>
          <w:color w:val="auto"/>
        </w:rPr>
      </w:pPr>
    </w:p>
    <w:p>
      <w:pPr>
        <w:jc w:val="both"/>
        <w:ind w:left="60" w:firstLine="6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Taxes</w:t>
      </w:r>
      <w:r>
        <w:rPr>
          <w:rFonts w:ascii="Arial" w:cs="Arial" w:eastAsia="Arial" w:hAnsi="Arial"/>
          <w:sz w:val="20"/>
          <w:szCs w:val="20"/>
          <w:color w:val="auto"/>
        </w:rPr>
        <w:t>” 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91"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 Benchmark</w:t>
      </w:r>
      <w:r>
        <w:rPr>
          <w:rFonts w:ascii="Arial" w:cs="Arial" w:eastAsia="Arial" w:hAnsi="Arial"/>
          <w:sz w:val="21"/>
          <w:szCs w:val="21"/>
          <w:color w:val="auto"/>
        </w:rPr>
        <w:t>” when used in reference to any Loan or Borrowing, refers to whether such Loan, or the Loans comprising such Borrowing, are bearing interest at a rate determined by reference to the Adjusted Term SOFR Rate, the CDOR Rate, the Adjusted EURIBOR Rate or the Adjusted TIBOR Rate.</w:t>
      </w:r>
    </w:p>
    <w:p>
      <w:pPr>
        <w:spacing w:after="0" w:line="184"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 Lender</w:t>
      </w:r>
      <w:r>
        <w:rPr>
          <w:rFonts w:ascii="Arial" w:cs="Arial" w:eastAsia="Arial" w:hAnsi="Arial"/>
          <w:sz w:val="21"/>
          <w:szCs w:val="21"/>
          <w:color w:val="auto"/>
        </w:rPr>
        <w:t>” means, as of any date of determination, each Lender having a Term Loan Commitment or that holds Term Loans.</w:t>
      </w:r>
    </w:p>
    <w:p>
      <w:pPr>
        <w:spacing w:after="0" w:line="193"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 Loan Borrowing</w:t>
      </w:r>
      <w:r>
        <w:rPr>
          <w:rFonts w:ascii="Arial" w:cs="Arial" w:eastAsia="Arial" w:hAnsi="Arial"/>
          <w:sz w:val="21"/>
          <w:szCs w:val="21"/>
          <w:color w:val="auto"/>
        </w:rPr>
        <w:t>” means Term Loans of the same Type, made, converted or continued on the same date and, in the case of Term Benchmark Loans, as to which a single Interest Period is in effect.</w:t>
      </w:r>
    </w:p>
    <w:p>
      <w:pPr>
        <w:spacing w:after="0" w:line="126" w:lineRule="exact"/>
        <w:rPr>
          <w:sz w:val="20"/>
          <w:szCs w:val="20"/>
          <w:color w:val="auto"/>
        </w:rPr>
      </w:pPr>
    </w:p>
    <w:p>
      <w:pPr>
        <w:jc w:val="both"/>
        <w:ind w:left="60" w:firstLine="696"/>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 Loan Commitment</w:t>
      </w:r>
      <w:r>
        <w:rPr>
          <w:rFonts w:ascii="Arial" w:cs="Arial" w:eastAsia="Arial" w:hAnsi="Arial"/>
          <w:sz w:val="21"/>
          <w:szCs w:val="21"/>
          <w:color w:val="auto"/>
        </w:rPr>
        <w:t>” means (a) as to any Term Lender, the amount under the column “Term Loan Commitment” set forth on Schedule 2.01A opposite such Lender’s name, or in the most recent Assignment Agreement or other documentation or record (as such term is defined in Section 9-102(a)(70) of the UCC) as provided in Section 9.04, executed by such Term Lender, and giving effect to any reduction or increase in such amount from time to time pursuant to assignments by or to such Lender pursuant to Section 9.04, and (b) as to all Term Lenders, the aggregate commitment of all Term Lenders to make Term Loans, which aggregate commitment shall be $125,000,000 on the date of this Agreement. After advancing the Term Loan, each reference to a Term Lender’s Term Loan Commitment shall refer to that Term Lender’s Applicable Percentage of the Term Loans.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040"/>
          </w:cols>
          <w:pgMar w:left="400" w:top="1440" w:right="459" w:bottom="1440" w:gutter="0" w:footer="0" w:header="0"/>
        </w:sectPr>
      </w:pPr>
    </w:p>
    <w:bookmarkStart w:id="134" w:name="page135"/>
    <w:bookmarkEnd w:id="134"/>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 Loans</w:t>
      </w:r>
      <w:r>
        <w:rPr>
          <w:rFonts w:ascii="Arial" w:cs="Arial" w:eastAsia="Arial" w:hAnsi="Arial"/>
          <w:sz w:val="21"/>
          <w:szCs w:val="21"/>
          <w:color w:val="auto"/>
        </w:rPr>
        <w:t>” means the term loans made by the Term Lenders to the Borrower pursuant to Section 2.01(b).</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 SOFR Determination Day</w:t>
      </w:r>
      <w:r>
        <w:rPr>
          <w:rFonts w:ascii="Arial" w:cs="Arial" w:eastAsia="Arial" w:hAnsi="Arial"/>
          <w:sz w:val="19"/>
          <w:szCs w:val="19"/>
          <w:color w:val="auto"/>
        </w:rPr>
        <w:t>” has the meaning assigned to it under the definition of Term SOFR Reference Rate.</w:t>
      </w:r>
    </w:p>
    <w:p>
      <w:pPr>
        <w:spacing w:after="0" w:line="251"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Term SOFR Rate</w:t>
      </w:r>
      <w:r>
        <w:rPr>
          <w:rFonts w:ascii="Arial" w:cs="Arial" w:eastAsia="Arial" w:hAnsi="Arial"/>
          <w:sz w:val="21"/>
          <w:szCs w:val="21"/>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99" w:lineRule="exact"/>
        <w:rPr>
          <w:sz w:val="20"/>
          <w:szCs w:val="20"/>
          <w:color w:val="auto"/>
        </w:rPr>
      </w:pPr>
    </w:p>
    <w:p>
      <w:pPr>
        <w:jc w:val="both"/>
        <w:ind w:left="60" w:firstLine="642"/>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SOFR Reference Rate</w:t>
      </w:r>
      <w:r>
        <w:rPr>
          <w:rFonts w:ascii="Arial" w:cs="Arial" w:eastAsia="Arial" w:hAnsi="Arial"/>
          <w:sz w:val="20"/>
          <w:szCs w:val="20"/>
          <w:color w:val="auto"/>
        </w:rPr>
        <w:t>” means, for any day and time (such day, the “</w:t>
      </w:r>
      <w:r>
        <w:rPr>
          <w:rFonts w:ascii="Arial" w:cs="Arial" w:eastAsia="Arial" w:hAnsi="Arial"/>
          <w:sz w:val="20"/>
          <w:szCs w:val="20"/>
          <w:b w:val="1"/>
          <w:bCs w:val="1"/>
          <w:i w:val="1"/>
          <w:iCs w:val="1"/>
          <w:color w:val="auto"/>
        </w:rPr>
        <w:t>Term SOFR Determination Day</w:t>
      </w:r>
      <w:r>
        <w:rPr>
          <w:rFonts w:ascii="Arial" w:cs="Arial" w:eastAsia="Arial" w:hAnsi="Arial"/>
          <w:sz w:val="20"/>
          <w:szCs w:val="20"/>
          <w:color w:val="auto"/>
        </w:rPr>
        <w:t>”), with respect to any Term Benchmark Borrowing denominated in Dollars and for any tenor comparable to the applicable Interest Period, the rate per annum published by the CME Term SOFR Administrator and identified by the Administrative Agent as the forward- 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Threshold Amount</w:t>
      </w:r>
      <w:r>
        <w:rPr>
          <w:rFonts w:ascii="Arial" w:cs="Arial" w:eastAsia="Arial" w:hAnsi="Arial"/>
          <w:sz w:val="21"/>
          <w:szCs w:val="21"/>
          <w:color w:val="auto"/>
        </w:rPr>
        <w:t>” means $3,500,000.</w:t>
      </w:r>
    </w:p>
    <w:p>
      <w:pPr>
        <w:spacing w:after="0" w:line="228"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TIBOR Rate</w:t>
      </w:r>
      <w:r>
        <w:rPr>
          <w:rFonts w:ascii="Arial" w:cs="Arial" w:eastAsia="Arial" w:hAnsi="Arial"/>
          <w:sz w:val="21"/>
          <w:szCs w:val="21"/>
          <w:color w:val="auto"/>
        </w:rPr>
        <w:t>” means, with respect to any Term Benchmark Borrowing denominated in Yen and for any Interest Period, the TIBOR Screen Rate two Business Days prior to the commencement of such Interest Period.</w:t>
      </w:r>
    </w:p>
    <w:p>
      <w:pPr>
        <w:spacing w:after="0" w:line="193" w:lineRule="exact"/>
        <w:rPr>
          <w:sz w:val="20"/>
          <w:szCs w:val="20"/>
          <w:color w:val="auto"/>
        </w:rPr>
      </w:pPr>
    </w:p>
    <w:p>
      <w:pPr>
        <w:jc w:val="both"/>
        <w:ind w:left="60" w:firstLine="642"/>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TIBOR Screen Rate</w:t>
      </w:r>
      <w:r>
        <w:rPr>
          <w:rFonts w:ascii="Arial" w:cs="Arial" w:eastAsia="Arial" w:hAnsi="Arial"/>
          <w:sz w:val="19"/>
          <w:szCs w:val="19"/>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two Business Days prior to the commencement of such Interest Period.</w:t>
      </w:r>
    </w:p>
    <w:p>
      <w:pPr>
        <w:spacing w:after="0" w:line="179" w:lineRule="exact"/>
        <w:rPr>
          <w:sz w:val="20"/>
          <w:szCs w:val="20"/>
          <w:color w:val="auto"/>
        </w:rPr>
      </w:pPr>
    </w:p>
    <w:p>
      <w:pPr>
        <w:jc w:val="both"/>
        <w:ind w:left="60" w:firstLine="64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Consolidated Debt</w:t>
      </w:r>
      <w:r>
        <w:rPr>
          <w:rFonts w:ascii="Arial" w:cs="Arial" w:eastAsia="Arial" w:hAnsi="Arial"/>
          <w:sz w:val="19"/>
          <w:szCs w:val="19"/>
          <w:color w:val="auto"/>
        </w:rPr>
        <w:t xml:space="preserve">” means, as of any date of determination thereof, all outstanding Indebtedness for borrowed money and other interest-bearing Indebtedness, in each case, whether senior, junior, or otherwise subordinate, including, without limitation, current and long term Indebtedness, any Subordinated Indebtedness and junior Secured Indebtedness, specifically </w:t>
      </w:r>
      <w:r>
        <w:rPr>
          <w:rFonts w:ascii="Arial" w:cs="Arial" w:eastAsia="Arial" w:hAnsi="Arial"/>
          <w:sz w:val="19"/>
          <w:szCs w:val="19"/>
          <w:u w:val="single" w:color="auto"/>
          <w:color w:val="auto"/>
        </w:rPr>
        <w:t>excluding</w:t>
      </w:r>
      <w:r>
        <w:rPr>
          <w:rFonts w:ascii="Arial" w:cs="Arial" w:eastAsia="Arial" w:hAnsi="Arial"/>
          <w:sz w:val="19"/>
          <w:szCs w:val="19"/>
          <w:color w:val="auto"/>
        </w:rPr>
        <w:t>, however, (i) the capital lease between the Borrower and S.J. Vahaviolos Partners L.L.C.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040"/>
          </w:cols>
          <w:pgMar w:left="400" w:top="1440" w:right="459" w:bottom="1440" w:gutter="0" w:footer="0" w:header="0"/>
        </w:sectPr>
      </w:pPr>
    </w:p>
    <w:bookmarkStart w:id="135" w:name="page136"/>
    <w:bookmarkEnd w:id="135"/>
    <w:p>
      <w:pPr>
        <w:spacing w:after="0" w:line="193" w:lineRule="exact"/>
        <w:rPr>
          <w:sz w:val="20"/>
          <w:szCs w:val="20"/>
          <w:color w:val="auto"/>
        </w:rPr>
      </w:pPr>
    </w:p>
    <w:p>
      <w:pPr>
        <w:jc w:val="both"/>
        <w:ind w:left="60" w:right="20"/>
        <w:spacing w:after="0" w:line="244" w:lineRule="auto"/>
        <w:rPr>
          <w:sz w:val="20"/>
          <w:szCs w:val="20"/>
          <w:color w:val="auto"/>
        </w:rPr>
      </w:pPr>
      <w:r>
        <w:rPr>
          <w:rFonts w:ascii="Arial" w:cs="Arial" w:eastAsia="Arial" w:hAnsi="Arial"/>
          <w:sz w:val="21"/>
          <w:szCs w:val="21"/>
          <w:color w:val="auto"/>
        </w:rPr>
        <w:t>relating to the Borrower’s use and occupancy of the premises located at 195 Clarksville Road, Princeton Junction, New Jersey and (ii) Attributable Receivables Indebtedness under any Permitted Receivables Facility.</w:t>
      </w:r>
    </w:p>
    <w:p>
      <w:pPr>
        <w:spacing w:after="0" w:line="179"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Total Consolidated Debt Leverage Ratio</w:t>
      </w:r>
      <w:r>
        <w:rPr>
          <w:rFonts w:ascii="Arial" w:cs="Arial" w:eastAsia="Arial" w:hAnsi="Arial"/>
          <w:sz w:val="21"/>
          <w:szCs w:val="21"/>
          <w:color w:val="auto"/>
        </w:rPr>
        <w:t>” means, as of any date of determination, the ratio of (a) Total Consolidated Debt as of said date of determination, to (b) EBITDA for the period of four consecutive fiscal quarters immediately preceding said date of determination, taken together as one accounting period.</w:t>
      </w:r>
    </w:p>
    <w:p>
      <w:pPr>
        <w:spacing w:after="0" w:line="184"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Total Credit Exposure</w:t>
      </w:r>
      <w:r>
        <w:rPr>
          <w:rFonts w:ascii="Arial" w:cs="Arial" w:eastAsia="Arial" w:hAnsi="Arial"/>
          <w:sz w:val="21"/>
          <w:szCs w:val="21"/>
          <w:color w:val="auto"/>
        </w:rPr>
        <w:t>” means the sum of the Total Revolving Credit Exposure and the aggregate principal amount of all Term Loans outstanding at such time.</w:t>
      </w:r>
    </w:p>
    <w:p>
      <w:pPr>
        <w:spacing w:after="0" w:line="193"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Total Revolving Credit Exposure</w:t>
      </w:r>
      <w:r>
        <w:rPr>
          <w:rFonts w:ascii="Arial" w:cs="Arial" w:eastAsia="Arial" w:hAnsi="Arial"/>
          <w:sz w:val="21"/>
          <w:szCs w:val="21"/>
          <w:color w:val="auto"/>
        </w:rPr>
        <w:t>” means, at any time, the sum of (a) the outstanding principal amount of the Revolving Loans and Swingline Loans at such time and (b) the total LC Exposure at such time.</w:t>
      </w:r>
    </w:p>
    <w:p>
      <w:pPr>
        <w:spacing w:after="0" w:line="193" w:lineRule="exact"/>
        <w:rPr>
          <w:sz w:val="20"/>
          <w:szCs w:val="20"/>
          <w:color w:val="auto"/>
        </w:rPr>
      </w:pPr>
    </w:p>
    <w:p>
      <w:pPr>
        <w:jc w:val="both"/>
        <w:ind w:left="60" w:firstLine="642"/>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TTM EBITDA</w:t>
      </w:r>
      <w:r>
        <w:rPr>
          <w:rFonts w:ascii="Arial" w:cs="Arial" w:eastAsia="Arial" w:hAnsi="Arial"/>
          <w:sz w:val="19"/>
          <w:szCs w:val="19"/>
          <w:color w:val="auto"/>
        </w:rPr>
        <w:t>” means an amount equal to the “</w:t>
      </w:r>
      <w:r>
        <w:rPr>
          <w:rFonts w:ascii="Arial" w:cs="Arial" w:eastAsia="Arial" w:hAnsi="Arial"/>
          <w:sz w:val="19"/>
          <w:szCs w:val="19"/>
          <w:b w:val="1"/>
          <w:bCs w:val="1"/>
          <w:i w:val="1"/>
          <w:iCs w:val="1"/>
          <w:color w:val="auto"/>
        </w:rPr>
        <w:t>Designated Percentage</w:t>
      </w:r>
      <w:r>
        <w:rPr>
          <w:rFonts w:ascii="Arial" w:cs="Arial" w:eastAsia="Arial" w:hAnsi="Arial"/>
          <w:sz w:val="19"/>
          <w:szCs w:val="19"/>
          <w:color w:val="auto"/>
        </w:rPr>
        <w:t>” (as such term is defined below) of the actual historical EBITDA of any Person acquired by the Borrower or one of its Subsidiaries in accordance with the terms, conditions, and provisions of this Agreement, as such EBITDA is calculated as agreed between the Borrower and the Administrative Agent, based on the Administrative Agent’s review of the acquired Person’s financial statements for the twelve</w:t>
      </w:r>
    </w:p>
    <w:p>
      <w:pPr>
        <w:spacing w:after="0" w:line="2" w:lineRule="exact"/>
        <w:rPr>
          <w:sz w:val="20"/>
          <w:szCs w:val="20"/>
          <w:color w:val="auto"/>
        </w:rPr>
      </w:pPr>
    </w:p>
    <w:p>
      <w:pPr>
        <w:jc w:val="both"/>
        <w:ind w:left="60" w:hanging="8"/>
        <w:spacing w:after="0" w:line="218" w:lineRule="auto"/>
        <w:tabs>
          <w:tab w:leader="none" w:pos="472" w:val="left"/>
        </w:tabs>
        <w:numPr>
          <w:ilvl w:val="0"/>
          <w:numId w:val="54"/>
        </w:numPr>
        <w:rPr>
          <w:rFonts w:ascii="Arial" w:cs="Arial" w:eastAsia="Arial" w:hAnsi="Arial"/>
          <w:sz w:val="21"/>
          <w:szCs w:val="21"/>
          <w:color w:val="auto"/>
        </w:rPr>
      </w:pPr>
      <w:r>
        <w:rPr>
          <w:rFonts w:ascii="Arial" w:cs="Arial" w:eastAsia="Arial" w:hAnsi="Arial"/>
          <w:sz w:val="21"/>
          <w:szCs w:val="21"/>
          <w:color w:val="auto"/>
        </w:rPr>
        <w:t>month period immediately preceding the last day of the last fiscal quarter of the acquired Person occurring prior to the date of acquisition or such Person’s Federal tax returns covering all or any portion of said period. For the purposes of this definition, the term “</w:t>
      </w:r>
      <w:r>
        <w:rPr>
          <w:rFonts w:ascii="Arial" w:cs="Arial" w:eastAsia="Arial" w:hAnsi="Arial"/>
          <w:sz w:val="21"/>
          <w:szCs w:val="21"/>
          <w:b w:val="1"/>
          <w:bCs w:val="1"/>
          <w:i w:val="1"/>
          <w:iCs w:val="1"/>
          <w:color w:val="auto"/>
        </w:rPr>
        <w:t>Designated Percentage</w:t>
      </w:r>
      <w:r>
        <w:rPr>
          <w:rFonts w:ascii="Arial" w:cs="Arial" w:eastAsia="Arial" w:hAnsi="Arial"/>
          <w:sz w:val="21"/>
          <w:szCs w:val="21"/>
          <w:color w:val="auto"/>
        </w:rPr>
        <w:t>” shall mean (a) in the event the acquired Person’s financial statements are “audited” statements, one hundred percent (100%), (b) in the event the acquired Person’s financial statements are “reviewed” statements, seventy-five percent (75%), (c) in the event the acquired Person’s Federal tax returns are reviewed by the Administrative Agent, seventy-five percent (75%), and (d) in the event the acquired Person’s financial statements are “compiled” statements, fifty percent (50%).</w:t>
      </w:r>
    </w:p>
    <w:p>
      <w:pPr>
        <w:spacing w:after="0" w:line="270" w:lineRule="exact"/>
        <w:rPr>
          <w:sz w:val="20"/>
          <w:szCs w:val="20"/>
          <w:color w:val="auto"/>
        </w:rPr>
      </w:pPr>
    </w:p>
    <w:p>
      <w:pPr>
        <w:jc w:val="both"/>
        <w:ind w:left="60" w:firstLine="642"/>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Trademark and Patent Security Agreement</w:t>
      </w:r>
      <w:r>
        <w:rPr>
          <w:rFonts w:ascii="Arial" w:cs="Arial" w:eastAsia="Arial" w:hAnsi="Arial"/>
          <w:sz w:val="21"/>
          <w:szCs w:val="21"/>
          <w:color w:val="auto"/>
        </w:rPr>
        <w:t>” means each Trademark and Patent Security Agreement (including any and all supplements thereto) between the Loan Parties signatory thereto and the Administrative Agent, for the benefit of the Administrative Agent and the other Secured Parties, or other substantially similar agreement entered into, on or after the date of this Agreement by any Loan Party (as required by this Agreement or any other Loan Document), or any other Person, in each case in form and substance reasonably acceptable to the Administrative Agent and as the same may be amended, restated or otherwise modified from time to time.</w:t>
      </w:r>
    </w:p>
    <w:p>
      <w:pPr>
        <w:spacing w:after="0" w:line="188" w:lineRule="exact"/>
        <w:rPr>
          <w:sz w:val="20"/>
          <w:szCs w:val="20"/>
          <w:color w:val="auto"/>
        </w:rPr>
      </w:pPr>
    </w:p>
    <w:p>
      <w:pPr>
        <w:jc w:val="both"/>
        <w:ind w:left="60" w:right="2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Transactions</w:t>
      </w:r>
      <w:r>
        <w:rPr>
          <w:rFonts w:ascii="Arial" w:cs="Arial" w:eastAsia="Arial" w:hAnsi="Arial"/>
          <w:sz w:val="21"/>
          <w:szCs w:val="21"/>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184"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Type</w:t>
      </w:r>
      <w:r>
        <w:rPr>
          <w:rFonts w:ascii="Arial" w:cs="Arial" w:eastAsia="Arial" w:hAnsi="Arial"/>
          <w:sz w:val="21"/>
          <w:szCs w:val="21"/>
          <w:color w:val="auto"/>
        </w:rPr>
        <w:t>”, when used in reference to any Loan or Borrowing, refers to whether the rate of interest on such Loan, or on the Loans comprising such Borrowing, is determined by reference to the Adjusted Term SOFR Rate, the Adjusted EURIBOR Rate, the CDOR Rate, the Adjusted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040"/>
          </w:cols>
          <w:pgMar w:left="400" w:top="1440" w:right="459" w:bottom="1440" w:gutter="0" w:footer="0" w:header="0"/>
        </w:sectPr>
      </w:pPr>
    </w:p>
    <w:bookmarkStart w:id="136" w:name="page137"/>
    <w:bookmarkEnd w:id="136"/>
    <w:p>
      <w:pPr>
        <w:spacing w:after="0" w:line="193" w:lineRule="exact"/>
        <w:rPr>
          <w:sz w:val="20"/>
          <w:szCs w:val="20"/>
          <w:color w:val="auto"/>
        </w:rPr>
      </w:pPr>
    </w:p>
    <w:p>
      <w:pPr>
        <w:ind w:left="60"/>
        <w:spacing w:after="0"/>
        <w:rPr>
          <w:sz w:val="20"/>
          <w:szCs w:val="20"/>
          <w:color w:val="auto"/>
        </w:rPr>
      </w:pPr>
      <w:r>
        <w:rPr>
          <w:rFonts w:ascii="Arial" w:cs="Arial" w:eastAsia="Arial" w:hAnsi="Arial"/>
          <w:sz w:val="21"/>
          <w:szCs w:val="21"/>
          <w:color w:val="auto"/>
        </w:rPr>
        <w:t>TIBOR Rate, the Alternate Base Rate, the Adjusted Daily Simple RFR or the Central Bank/Prime Rate.</w:t>
      </w:r>
    </w:p>
    <w:p>
      <w:pPr>
        <w:spacing w:after="0" w:line="295"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UCC</w:t>
      </w:r>
      <w:r>
        <w:rPr>
          <w:rFonts w:ascii="Arial" w:cs="Arial" w:eastAsia="Arial" w:hAnsi="Arial"/>
          <w:sz w:val="21"/>
          <w:szCs w:val="21"/>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9"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UK Financial Institutions</w:t>
      </w:r>
      <w:r>
        <w:rPr>
          <w:rFonts w:ascii="Arial" w:cs="Arial" w:eastAsia="Arial" w:hAnsi="Arial"/>
          <w:sz w:val="21"/>
          <w:szCs w:val="21"/>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7"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UK Resolution Authority</w:t>
      </w:r>
      <w:r>
        <w:rPr>
          <w:rFonts w:ascii="Arial" w:cs="Arial" w:eastAsia="Arial" w:hAnsi="Arial"/>
          <w:sz w:val="21"/>
          <w:szCs w:val="21"/>
          <w:color w:val="auto"/>
        </w:rPr>
        <w:t>” means the Bank of England or any other public administrative authority having responsibility for the resolution of any UK Financial Institution.</w:t>
      </w:r>
    </w:p>
    <w:p>
      <w:pPr>
        <w:spacing w:after="0" w:line="139"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Unadjusted Benchmark Replacement</w:t>
      </w:r>
      <w:r>
        <w:rPr>
          <w:rFonts w:ascii="Arial" w:cs="Arial" w:eastAsia="Arial" w:hAnsi="Arial"/>
          <w:sz w:val="21"/>
          <w:szCs w:val="21"/>
          <w:color w:val="auto"/>
        </w:rPr>
        <w:t>” means the applicable Benchmark Replacement excluding the related Benchmark Replacement Adjustment.</w:t>
      </w:r>
    </w:p>
    <w:p>
      <w:pPr>
        <w:spacing w:after="0" w:line="126"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Unfunded Commitment</w:t>
      </w:r>
      <w:r>
        <w:rPr>
          <w:rFonts w:ascii="Arial" w:cs="Arial" w:eastAsia="Arial" w:hAnsi="Arial"/>
          <w:sz w:val="21"/>
          <w:szCs w:val="21"/>
          <w:color w:val="auto"/>
        </w:rPr>
        <w:t>” means, with respect to each Lender, the Revolving Commitment of such Lender less its Revolving Credit Exposure,</w:t>
      </w:r>
    </w:p>
    <w:p>
      <w:pPr>
        <w:spacing w:after="0" w:line="193" w:lineRule="exact"/>
        <w:rPr>
          <w:sz w:val="20"/>
          <w:szCs w:val="20"/>
          <w:color w:val="auto"/>
        </w:rPr>
      </w:pPr>
    </w:p>
    <w:p>
      <w:pPr>
        <w:jc w:val="both"/>
        <w:ind w:left="60" w:firstLine="642"/>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Unliquidated Obligations</w:t>
      </w:r>
      <w:r>
        <w:rPr>
          <w:rFonts w:ascii="Arial" w:cs="Arial" w:eastAsia="Arial" w:hAnsi="Arial"/>
          <w:sz w:val="19"/>
          <w:szCs w:val="19"/>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84" w:lineRule="exact"/>
        <w:rPr>
          <w:sz w:val="20"/>
          <w:szCs w:val="20"/>
          <w:color w:val="auto"/>
        </w:rPr>
      </w:pPr>
    </w:p>
    <w:p>
      <w:pPr>
        <w:jc w:val="both"/>
        <w:ind w:left="60" w:firstLine="642"/>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Government Securities Business Day</w:t>
      </w:r>
      <w:r>
        <w:rPr>
          <w:rFonts w:ascii="Arial" w:cs="Arial" w:eastAsia="Arial" w:hAnsi="Arial"/>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U.S. Person</w:t>
      </w:r>
      <w:r>
        <w:rPr>
          <w:rFonts w:ascii="Arial" w:cs="Arial" w:eastAsia="Arial" w:hAnsi="Arial"/>
          <w:sz w:val="21"/>
          <w:szCs w:val="21"/>
          <w:color w:val="auto"/>
        </w:rPr>
        <w:t>” means a “United States person” within the meaning of Section 7701(a)(30) of the Code.</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U.S. Special Resolution Regime</w:t>
      </w:r>
      <w:r>
        <w:rPr>
          <w:rFonts w:ascii="Arial" w:cs="Arial" w:eastAsia="Arial" w:hAnsi="Arial"/>
          <w:sz w:val="21"/>
          <w:szCs w:val="21"/>
          <w:color w:val="auto"/>
        </w:rPr>
        <w:t>” has the meaning assigned to it in Section 9.18.</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U.S. Tax Compliance Certificate</w:t>
      </w:r>
      <w:r>
        <w:rPr>
          <w:rFonts w:ascii="Arial" w:cs="Arial" w:eastAsia="Arial" w:hAnsi="Arial"/>
          <w:sz w:val="21"/>
          <w:szCs w:val="21"/>
          <w:color w:val="auto"/>
        </w:rPr>
        <w:t>” has the meaning assigned to such term in Section 2.17(f)(ii)(B)(3).</w:t>
      </w:r>
    </w:p>
    <w:p>
      <w:pPr>
        <w:spacing w:after="0" w:line="214"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Wholly-Owned Subsidiary</w:t>
      </w:r>
      <w:r>
        <w:rPr>
          <w:rFonts w:ascii="Arial" w:cs="Arial" w:eastAsia="Arial" w:hAnsi="Arial"/>
          <w:sz w:val="21"/>
          <w:szCs w:val="21"/>
          <w:color w:val="auto"/>
        </w:rPr>
        <w:t>” of the Borrower means a Subsidiary of which the Borrower owns, directly or indirectly through another Subsidiary, ninety-five percent (95%) or more of the issued and outstanding capital stock or other equity interests.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040"/>
          </w:cols>
          <w:pgMar w:left="400" w:top="1440" w:right="459" w:bottom="1440" w:gutter="0" w:footer="0" w:header="0"/>
        </w:sectPr>
      </w:pPr>
    </w:p>
    <w:bookmarkStart w:id="137" w:name="page138"/>
    <w:bookmarkEnd w:id="137"/>
    <w:p>
      <w:pPr>
        <w:spacing w:after="0" w:line="193"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Withdrawal Liability</w:t>
      </w:r>
      <w:r>
        <w:rPr>
          <w:rFonts w:ascii="Arial" w:cs="Arial" w:eastAsia="Arial" w:hAnsi="Arial"/>
          <w:sz w:val="21"/>
          <w:szCs w:val="21"/>
          <w:color w:val="auto"/>
        </w:rPr>
        <w:t>” means liability to a Multiemployer Plan as a result of a complete or partial withdrawal from such Multiemployer Plan, as such terms are defined in Part I of Subtitle E of Title IV of ERISA.</w:t>
      </w:r>
    </w:p>
    <w:p>
      <w:pPr>
        <w:spacing w:after="0" w:line="179" w:lineRule="exact"/>
        <w:rPr>
          <w:sz w:val="20"/>
          <w:szCs w:val="20"/>
          <w:color w:val="auto"/>
        </w:rPr>
      </w:pPr>
    </w:p>
    <w:p>
      <w:pPr>
        <w:jc w:val="both"/>
        <w:ind w:left="60" w:firstLine="642"/>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Write-Down and Conversion Powers</w:t>
      </w:r>
      <w:r>
        <w:rPr>
          <w:rFonts w:ascii="Arial" w:cs="Arial" w:eastAsia="Arial" w:hAnsi="Arial"/>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Yen</w:t>
      </w:r>
      <w:r>
        <w:rPr>
          <w:rFonts w:ascii="Arial" w:cs="Arial" w:eastAsia="Arial" w:hAnsi="Arial"/>
          <w:sz w:val="21"/>
          <w:szCs w:val="21"/>
          <w:color w:val="auto"/>
        </w:rPr>
        <w:t>” or “</w:t>
      </w:r>
      <w:r>
        <w:rPr>
          <w:rFonts w:ascii="Arial" w:cs="Arial" w:eastAsia="Arial" w:hAnsi="Arial"/>
          <w:sz w:val="21"/>
          <w:szCs w:val="21"/>
          <w:b w:val="1"/>
          <w:bCs w:val="1"/>
          <w:i w:val="1"/>
          <w:iCs w:val="1"/>
          <w:color w:val="auto"/>
        </w:rPr>
        <w:t>¥</w:t>
      </w:r>
      <w:r>
        <w:rPr>
          <w:rFonts w:ascii="Arial" w:cs="Arial" w:eastAsia="Arial" w:hAnsi="Arial"/>
          <w:sz w:val="21"/>
          <w:szCs w:val="21"/>
          <w:color w:val="auto"/>
        </w:rPr>
        <w:t>” means the lawful currency of Japan.</w:t>
      </w:r>
    </w:p>
    <w:p>
      <w:pPr>
        <w:spacing w:after="0" w:line="228" w:lineRule="exact"/>
        <w:rPr>
          <w:sz w:val="20"/>
          <w:szCs w:val="20"/>
          <w:color w:val="auto"/>
        </w:rPr>
      </w:pPr>
    </w:p>
    <w:p>
      <w:pPr>
        <w:jc w:val="both"/>
        <w:ind w:left="60" w:firstLine="642"/>
        <w:spacing w:after="0" w:line="250"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Classification of Loans and Borrowings</w:t>
      </w:r>
      <w:r>
        <w:rPr>
          <w:rFonts w:ascii="Arial" w:cs="Arial" w:eastAsia="Arial" w:hAnsi="Arial"/>
          <w:sz w:val="19"/>
          <w:szCs w:val="19"/>
          <w:color w:val="auto"/>
        </w:rPr>
        <w:t>. For purposes of this Agreement, Loans may be classified and referred to by Class (e.g., a “</w:t>
      </w:r>
      <w:r>
        <w:rPr>
          <w:rFonts w:ascii="Arial" w:cs="Arial" w:eastAsia="Arial" w:hAnsi="Arial"/>
          <w:sz w:val="19"/>
          <w:szCs w:val="19"/>
          <w:b w:val="1"/>
          <w:bCs w:val="1"/>
          <w:i w:val="1"/>
          <w:iCs w:val="1"/>
          <w:color w:val="auto"/>
        </w:rPr>
        <w:t>Revolving Loan</w:t>
      </w:r>
      <w:r>
        <w:rPr>
          <w:rFonts w:ascii="Arial" w:cs="Arial" w:eastAsia="Arial" w:hAnsi="Arial"/>
          <w:sz w:val="19"/>
          <w:szCs w:val="19"/>
          <w:color w:val="auto"/>
        </w:rPr>
        <w:t>”) or by Type (e.g., a “</w:t>
      </w:r>
      <w:r>
        <w:rPr>
          <w:rFonts w:ascii="Arial" w:cs="Arial" w:eastAsia="Arial" w:hAnsi="Arial"/>
          <w:sz w:val="19"/>
          <w:szCs w:val="19"/>
          <w:b w:val="1"/>
          <w:bCs w:val="1"/>
          <w:i w:val="1"/>
          <w:iCs w:val="1"/>
          <w:color w:val="auto"/>
        </w:rPr>
        <w:t>Term Benchmark Loan</w:t>
      </w:r>
      <w:r>
        <w:rPr>
          <w:rFonts w:ascii="Arial" w:cs="Arial" w:eastAsia="Arial" w:hAnsi="Arial"/>
          <w:sz w:val="19"/>
          <w:szCs w:val="19"/>
          <w:color w:val="auto"/>
        </w:rPr>
        <w:t>” or an “</w:t>
      </w:r>
      <w:r>
        <w:rPr>
          <w:rFonts w:ascii="Arial" w:cs="Arial" w:eastAsia="Arial" w:hAnsi="Arial"/>
          <w:sz w:val="19"/>
          <w:szCs w:val="19"/>
          <w:b w:val="1"/>
          <w:bCs w:val="1"/>
          <w:i w:val="1"/>
          <w:iCs w:val="1"/>
          <w:color w:val="auto"/>
        </w:rPr>
        <w:t>RFR Loan</w:t>
      </w:r>
      <w:r>
        <w:rPr>
          <w:rFonts w:ascii="Arial" w:cs="Arial" w:eastAsia="Arial" w:hAnsi="Arial"/>
          <w:sz w:val="19"/>
          <w:szCs w:val="19"/>
          <w:color w:val="auto"/>
        </w:rPr>
        <w:t>”) or by Class and Type (e.g., a “</w:t>
      </w:r>
      <w:r>
        <w:rPr>
          <w:rFonts w:ascii="Arial" w:cs="Arial" w:eastAsia="Arial" w:hAnsi="Arial"/>
          <w:sz w:val="19"/>
          <w:szCs w:val="19"/>
          <w:b w:val="1"/>
          <w:bCs w:val="1"/>
          <w:i w:val="1"/>
          <w:iCs w:val="1"/>
          <w:color w:val="auto"/>
        </w:rPr>
        <w:t>Term Benchmark Revolving Loan</w:t>
      </w:r>
      <w:r>
        <w:rPr>
          <w:rFonts w:ascii="Arial" w:cs="Arial" w:eastAsia="Arial" w:hAnsi="Arial"/>
          <w:sz w:val="19"/>
          <w:szCs w:val="19"/>
          <w:color w:val="auto"/>
        </w:rPr>
        <w:t>” or an “</w:t>
      </w:r>
      <w:r>
        <w:rPr>
          <w:rFonts w:ascii="Arial" w:cs="Arial" w:eastAsia="Arial" w:hAnsi="Arial"/>
          <w:sz w:val="19"/>
          <w:szCs w:val="19"/>
          <w:b w:val="1"/>
          <w:bCs w:val="1"/>
          <w:i w:val="1"/>
          <w:iCs w:val="1"/>
          <w:color w:val="auto"/>
        </w:rPr>
        <w:t>RFR Revolving Loan</w:t>
      </w:r>
      <w:r>
        <w:rPr>
          <w:rFonts w:ascii="Arial" w:cs="Arial" w:eastAsia="Arial" w:hAnsi="Arial"/>
          <w:sz w:val="19"/>
          <w:szCs w:val="19"/>
          <w:color w:val="auto"/>
        </w:rPr>
        <w:t>”). Borrowings also may be classified and referred to by Class (e.g., a “</w:t>
      </w:r>
      <w:r>
        <w:rPr>
          <w:rFonts w:ascii="Arial" w:cs="Arial" w:eastAsia="Arial" w:hAnsi="Arial"/>
          <w:sz w:val="19"/>
          <w:szCs w:val="19"/>
          <w:b w:val="1"/>
          <w:bCs w:val="1"/>
          <w:i w:val="1"/>
          <w:iCs w:val="1"/>
          <w:color w:val="auto"/>
        </w:rPr>
        <w:t>Revolving Borrowing</w:t>
      </w:r>
      <w:r>
        <w:rPr>
          <w:rFonts w:ascii="Arial" w:cs="Arial" w:eastAsia="Arial" w:hAnsi="Arial"/>
          <w:sz w:val="19"/>
          <w:szCs w:val="19"/>
          <w:color w:val="auto"/>
        </w:rPr>
        <w:t>”) or by Type (e.g., a “</w:t>
      </w:r>
      <w:r>
        <w:rPr>
          <w:rFonts w:ascii="Arial" w:cs="Arial" w:eastAsia="Arial" w:hAnsi="Arial"/>
          <w:sz w:val="19"/>
          <w:szCs w:val="19"/>
          <w:b w:val="1"/>
          <w:bCs w:val="1"/>
          <w:i w:val="1"/>
          <w:iCs w:val="1"/>
          <w:color w:val="auto"/>
        </w:rPr>
        <w:t>Term Benchmark Borrowing</w:t>
      </w:r>
      <w:r>
        <w:rPr>
          <w:rFonts w:ascii="Arial" w:cs="Arial" w:eastAsia="Arial" w:hAnsi="Arial"/>
          <w:sz w:val="19"/>
          <w:szCs w:val="19"/>
          <w:color w:val="auto"/>
        </w:rPr>
        <w:t>” or an “</w:t>
      </w:r>
      <w:r>
        <w:rPr>
          <w:rFonts w:ascii="Arial" w:cs="Arial" w:eastAsia="Arial" w:hAnsi="Arial"/>
          <w:sz w:val="19"/>
          <w:szCs w:val="19"/>
          <w:b w:val="1"/>
          <w:bCs w:val="1"/>
          <w:i w:val="1"/>
          <w:iCs w:val="1"/>
          <w:color w:val="auto"/>
        </w:rPr>
        <w:t>RFR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Borrowing</w:t>
      </w:r>
      <w:r>
        <w:rPr>
          <w:rFonts w:ascii="Arial" w:cs="Arial" w:eastAsia="Arial" w:hAnsi="Arial"/>
          <w:sz w:val="19"/>
          <w:szCs w:val="19"/>
          <w:color w:val="auto"/>
        </w:rPr>
        <w:t>”) or by Class and Type (e.g., a “</w:t>
      </w:r>
      <w:r>
        <w:rPr>
          <w:rFonts w:ascii="Arial" w:cs="Arial" w:eastAsia="Arial" w:hAnsi="Arial"/>
          <w:sz w:val="19"/>
          <w:szCs w:val="19"/>
          <w:b w:val="1"/>
          <w:bCs w:val="1"/>
          <w:i w:val="1"/>
          <w:iCs w:val="1"/>
          <w:color w:val="auto"/>
        </w:rPr>
        <w:t>Term Benchmark Revolving Borrowing</w:t>
      </w:r>
      <w:r>
        <w:rPr>
          <w:rFonts w:ascii="Arial" w:cs="Arial" w:eastAsia="Arial" w:hAnsi="Arial"/>
          <w:sz w:val="19"/>
          <w:szCs w:val="19"/>
          <w:color w:val="auto"/>
        </w:rPr>
        <w:t>” or an “</w:t>
      </w:r>
      <w:r>
        <w:rPr>
          <w:rFonts w:ascii="Arial" w:cs="Arial" w:eastAsia="Arial" w:hAnsi="Arial"/>
          <w:sz w:val="19"/>
          <w:szCs w:val="19"/>
          <w:b w:val="1"/>
          <w:bCs w:val="1"/>
          <w:i w:val="1"/>
          <w:iCs w:val="1"/>
          <w:color w:val="auto"/>
        </w:rPr>
        <w:t>RFR Revolving Borrowing</w:t>
      </w:r>
      <w:r>
        <w:rPr>
          <w:rFonts w:ascii="Arial" w:cs="Arial" w:eastAsia="Arial" w:hAnsi="Arial"/>
          <w:sz w:val="19"/>
          <w:szCs w:val="19"/>
          <w:color w:val="auto"/>
        </w:rPr>
        <w:t>”).</w:t>
      </w:r>
    </w:p>
    <w:p>
      <w:pPr>
        <w:spacing w:after="0" w:line="176"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Terms Generally</w:t>
      </w:r>
      <w:r>
        <w:rPr>
          <w:rFonts w:ascii="Arial" w:cs="Arial" w:eastAsia="Arial" w:hAnsi="Arial"/>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040"/>
          </w:cols>
          <w:pgMar w:left="400" w:top="1440" w:right="459" w:bottom="1440" w:gutter="0" w:footer="0" w:header="0"/>
        </w:sectPr>
      </w:pPr>
    </w:p>
    <w:bookmarkStart w:id="138" w:name="page139"/>
    <w:bookmarkEnd w:id="138"/>
    <w:p>
      <w:pPr>
        <w:spacing w:after="0" w:line="193" w:lineRule="exact"/>
        <w:rPr>
          <w:sz w:val="20"/>
          <w:szCs w:val="20"/>
          <w:color w:val="auto"/>
        </w:rPr>
      </w:pPr>
    </w:p>
    <w:p>
      <w:pPr>
        <w:jc w:val="both"/>
        <w:ind w:left="60" w:right="20"/>
        <w:spacing w:after="0" w:line="268" w:lineRule="auto"/>
        <w:rPr>
          <w:sz w:val="20"/>
          <w:szCs w:val="20"/>
          <w:color w:val="auto"/>
        </w:rPr>
      </w:pPr>
      <w:r>
        <w:rPr>
          <w:rFonts w:ascii="Arial" w:cs="Arial" w:eastAsia="Arial" w:hAnsi="Arial"/>
          <w:sz w:val="20"/>
          <w:szCs w:val="20"/>
          <w:color w:val="auto"/>
        </w:rPr>
        <w:t>from time to time and (f) the words “asset” and “property” shall be construed to have the same meaning and effect and to refer to any and all tangible and intangible assets and properties, including cash, securities, accounts and contract rights.</w:t>
      </w:r>
    </w:p>
    <w:p>
      <w:pPr>
        <w:spacing w:after="0" w:line="157"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Accounting Terms; GAAP; Pro Forma Calculations; Limited Condition Transactions</w:t>
      </w:r>
      <w:r>
        <w:rPr>
          <w:rFonts w:ascii="Arial" w:cs="Arial" w:eastAsia="Arial" w:hAnsi="Arial"/>
          <w:sz w:val="20"/>
          <w:szCs w:val="20"/>
          <w:color w:val="auto"/>
        </w:rPr>
        <w:t xml:space="preserve">. (a) Except as otherwise expressly provided herein, all terms of an accounting or financial nature shall be construed in accordance with GAAP, as in effect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(ii) any treatment of Indebtedness in respect of convertible debt instruments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90" w:lineRule="exact"/>
        <w:rPr>
          <w:sz w:val="20"/>
          <w:szCs w:val="20"/>
          <w:color w:val="auto"/>
        </w:rPr>
      </w:pPr>
    </w:p>
    <w:p>
      <w:pPr>
        <w:jc w:val="both"/>
        <w:ind w:left="60" w:firstLine="635"/>
        <w:spacing w:after="0"/>
        <w:tabs>
          <w:tab w:leader="none" w:pos="1297" w:val="left"/>
        </w:tabs>
        <w:numPr>
          <w:ilvl w:val="0"/>
          <w:numId w:val="55"/>
        </w:numPr>
        <w:rPr>
          <w:rFonts w:ascii="Arial" w:cs="Arial" w:eastAsia="Arial" w:hAnsi="Arial"/>
          <w:sz w:val="19"/>
          <w:szCs w:val="19"/>
          <w:color w:val="auto"/>
        </w:rPr>
      </w:pPr>
      <w:r>
        <w:rPr>
          <w:rFonts w:ascii="Arial" w:cs="Arial" w:eastAsia="Arial" w:hAnsi="Arial"/>
          <w:sz w:val="19"/>
          <w:szCs w:val="19"/>
          <w:color w:val="auto"/>
        </w:rPr>
        <w:t>All pro forma computations required or permitted to be made hereunder giving effect to any Acquisition or Disposition,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040"/>
          </w:cols>
          <w:pgMar w:left="400" w:top="1440" w:right="459" w:bottom="1440" w:gutter="0" w:footer="0" w:header="0"/>
        </w:sectPr>
      </w:pPr>
    </w:p>
    <w:bookmarkStart w:id="139" w:name="page140"/>
    <w:bookmarkEnd w:id="139"/>
    <w:p>
      <w:pPr>
        <w:spacing w:after="0" w:line="193" w:lineRule="exact"/>
        <w:rPr>
          <w:sz w:val="20"/>
          <w:szCs w:val="20"/>
          <w:color w:val="auto"/>
        </w:rPr>
      </w:pPr>
    </w:p>
    <w:p>
      <w:pPr>
        <w:jc w:val="both"/>
        <w:ind w:left="60" w:right="120" w:firstLine="635"/>
        <w:spacing w:after="0" w:line="220" w:lineRule="auto"/>
        <w:tabs>
          <w:tab w:leader="none" w:pos="1286" w:val="left"/>
        </w:tabs>
        <w:numPr>
          <w:ilvl w:val="0"/>
          <w:numId w:val="56"/>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Section 1.04(a) or in the definition of “</w:t>
      </w:r>
      <w:r>
        <w:rPr>
          <w:rFonts w:ascii="Arial" w:cs="Arial" w:eastAsia="Arial" w:hAnsi="Arial"/>
          <w:sz w:val="21"/>
          <w:szCs w:val="21"/>
          <w:b w:val="1"/>
          <w:bCs w:val="1"/>
          <w:i w:val="1"/>
          <w:iCs w:val="1"/>
          <w:color w:val="auto"/>
        </w:rPr>
        <w:t>Capital Lease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Obligations</w:t>
      </w:r>
      <w:r>
        <w:rPr>
          <w:rFonts w:ascii="Arial" w:cs="Arial" w:eastAsia="Arial" w:hAnsi="Arial"/>
          <w:sz w:val="21"/>
          <w:szCs w:val="21"/>
          <w:color w:val="auto"/>
        </w:rPr>
        <w:t>,” any change in accounting for leases pursuant to GAAP resulting from the adoption of Financial Accounting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Standards Board Accounting Standards Update No. 2016-02, Leases (Topic 842) (“</w:t>
      </w:r>
      <w:r>
        <w:rPr>
          <w:rFonts w:ascii="Arial" w:cs="Arial" w:eastAsia="Arial" w:hAnsi="Arial"/>
          <w:sz w:val="21"/>
          <w:szCs w:val="21"/>
          <w:b w:val="1"/>
          <w:bCs w:val="1"/>
          <w:i w:val="1"/>
          <w:iCs w:val="1"/>
          <w:color w:val="auto"/>
        </w:rPr>
        <w:t>FAS 842</w:t>
      </w:r>
      <w:r>
        <w:rPr>
          <w:rFonts w:ascii="Arial" w:cs="Arial" w:eastAsia="Arial" w:hAnsi="Arial"/>
          <w:sz w:val="21"/>
          <w:szCs w:val="21"/>
          <w:color w:val="auto"/>
        </w:rPr>
        <w:t>”),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(including with respect to assets and liabilities associated with such lease) and deliverables under this Agreement or any other Loan Document shall be made or delivered, as applicable, in accordance therewith.</w:t>
      </w:r>
    </w:p>
    <w:p>
      <w:pPr>
        <w:spacing w:after="0" w:line="186" w:lineRule="exact"/>
        <w:rPr>
          <w:rFonts w:ascii="Arial" w:cs="Arial" w:eastAsia="Arial" w:hAnsi="Arial"/>
          <w:sz w:val="21"/>
          <w:szCs w:val="21"/>
          <w:color w:val="auto"/>
        </w:rPr>
      </w:pPr>
    </w:p>
    <w:p>
      <w:pPr>
        <w:ind w:left="1160" w:hanging="465"/>
        <w:spacing w:after="0"/>
        <w:tabs>
          <w:tab w:leader="none" w:pos="11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 connection with any action being taken in connection with a Limited Condition Transaction, for purposes of:</w:t>
      </w:r>
    </w:p>
    <w:p>
      <w:pPr>
        <w:spacing w:after="0" w:line="239" w:lineRule="exact"/>
        <w:rPr>
          <w:rFonts w:ascii="Arial" w:cs="Arial" w:eastAsia="Arial" w:hAnsi="Arial"/>
          <w:sz w:val="20"/>
          <w:szCs w:val="20"/>
          <w:color w:val="auto"/>
        </w:rPr>
      </w:pPr>
    </w:p>
    <w:p>
      <w:pPr>
        <w:jc w:val="both"/>
        <w:ind w:left="1340" w:hanging="1"/>
        <w:spacing w:after="0" w:line="232" w:lineRule="auto"/>
        <w:tabs>
          <w:tab w:leader="none" w:pos="1763" w:val="left"/>
        </w:tabs>
        <w:numPr>
          <w:ilvl w:val="1"/>
          <w:numId w:val="56"/>
        </w:numPr>
        <w:rPr>
          <w:rFonts w:ascii="Arial" w:cs="Arial" w:eastAsia="Arial" w:hAnsi="Arial"/>
          <w:sz w:val="21"/>
          <w:szCs w:val="21"/>
          <w:color w:val="auto"/>
        </w:rPr>
      </w:pPr>
      <w:r>
        <w:rPr>
          <w:rFonts w:ascii="Arial" w:cs="Arial" w:eastAsia="Arial" w:hAnsi="Arial"/>
          <w:sz w:val="21"/>
          <w:szCs w:val="21"/>
          <w:color w:val="auto"/>
        </w:rPr>
        <w:t>determining compliance with any provision of this Agreement which requires the calculation of any financial ratio or test, including the Total Consolidated Debt Leverage Ratio, the Senior Leverage Ratio or the Senior Secured Leverage Ratio;</w:t>
      </w:r>
    </w:p>
    <w:p>
      <w:pPr>
        <w:spacing w:after="0" w:line="197" w:lineRule="exact"/>
        <w:rPr>
          <w:rFonts w:ascii="Arial" w:cs="Arial" w:eastAsia="Arial" w:hAnsi="Arial"/>
          <w:sz w:val="21"/>
          <w:szCs w:val="21"/>
          <w:color w:val="auto"/>
        </w:rPr>
      </w:pPr>
    </w:p>
    <w:p>
      <w:pPr>
        <w:ind w:left="1340" w:right="120" w:hanging="1"/>
        <w:spacing w:after="0" w:line="244" w:lineRule="auto"/>
        <w:tabs>
          <w:tab w:leader="none" w:pos="1819" w:val="left"/>
        </w:tabs>
        <w:numPr>
          <w:ilvl w:val="1"/>
          <w:numId w:val="56"/>
        </w:numPr>
        <w:rPr>
          <w:rFonts w:ascii="Arial" w:cs="Arial" w:eastAsia="Arial" w:hAnsi="Arial"/>
          <w:sz w:val="21"/>
          <w:szCs w:val="21"/>
          <w:color w:val="auto"/>
        </w:rPr>
      </w:pPr>
      <w:r>
        <w:rPr>
          <w:rFonts w:ascii="Arial" w:cs="Arial" w:eastAsia="Arial" w:hAnsi="Arial"/>
          <w:sz w:val="21"/>
          <w:szCs w:val="21"/>
          <w:color w:val="auto"/>
        </w:rPr>
        <w:t>testing availability under baskets set forth in this Agreement (including baskets measuredas a percentage of Consolidated operating income, EBITDA or Consolidated Total Assets); or</w:t>
      </w:r>
    </w:p>
    <w:p>
      <w:pPr>
        <w:spacing w:after="0" w:line="179" w:lineRule="exact"/>
        <w:rPr>
          <w:rFonts w:ascii="Arial" w:cs="Arial" w:eastAsia="Arial" w:hAnsi="Arial"/>
          <w:sz w:val="21"/>
          <w:szCs w:val="21"/>
          <w:color w:val="auto"/>
        </w:rPr>
      </w:pPr>
    </w:p>
    <w:p>
      <w:pPr>
        <w:ind w:left="1340" w:right="140" w:hanging="1"/>
        <w:spacing w:after="0" w:line="244" w:lineRule="auto"/>
        <w:tabs>
          <w:tab w:leader="none" w:pos="1948" w:val="left"/>
        </w:tabs>
        <w:numPr>
          <w:ilvl w:val="1"/>
          <w:numId w:val="56"/>
        </w:numPr>
        <w:rPr>
          <w:rFonts w:ascii="Arial" w:cs="Arial" w:eastAsia="Arial" w:hAnsi="Arial"/>
          <w:sz w:val="21"/>
          <w:szCs w:val="21"/>
          <w:color w:val="auto"/>
        </w:rPr>
      </w:pPr>
      <w:r>
        <w:rPr>
          <w:rFonts w:ascii="Arial" w:cs="Arial" w:eastAsia="Arial" w:hAnsi="Arial"/>
          <w:sz w:val="21"/>
          <w:szCs w:val="21"/>
          <w:color w:val="auto"/>
        </w:rPr>
        <w:t>determining the accuracy of any representation or warranty or the existence of any Default or Event of Default</w:t>
      </w:r>
    </w:p>
    <w:p>
      <w:pPr>
        <w:spacing w:after="0" w:line="193" w:lineRule="exact"/>
        <w:rPr>
          <w:sz w:val="20"/>
          <w:szCs w:val="20"/>
          <w:color w:val="auto"/>
        </w:rPr>
      </w:pPr>
    </w:p>
    <w:p>
      <w:pPr>
        <w:jc w:val="both"/>
        <w:ind w:left="60" w:right="120"/>
        <w:spacing w:after="0" w:line="228" w:lineRule="auto"/>
        <w:rPr>
          <w:sz w:val="20"/>
          <w:szCs w:val="20"/>
          <w:color w:val="auto"/>
        </w:rPr>
      </w:pPr>
      <w:r>
        <w:rPr>
          <w:rFonts w:ascii="Arial" w:cs="Arial" w:eastAsia="Arial" w:hAnsi="Arial"/>
          <w:sz w:val="20"/>
          <w:szCs w:val="20"/>
          <w:color w:val="auto"/>
        </w:rPr>
        <w:t>in each case, at the option of the Borrower (the Borrower’s election to exercise such option in connection with any Limited Condition Transaction, an “</w:t>
      </w:r>
      <w:r>
        <w:rPr>
          <w:rFonts w:ascii="Arial" w:cs="Arial" w:eastAsia="Arial" w:hAnsi="Arial"/>
          <w:sz w:val="20"/>
          <w:szCs w:val="20"/>
          <w:b w:val="1"/>
          <w:bCs w:val="1"/>
          <w:i w:val="1"/>
          <w:iCs w:val="1"/>
          <w:color w:val="auto"/>
        </w:rPr>
        <w:t>LCT Election</w:t>
      </w:r>
      <w:r>
        <w:rPr>
          <w:rFonts w:ascii="Arial" w:cs="Arial" w:eastAsia="Arial" w:hAnsi="Arial"/>
          <w:sz w:val="20"/>
          <w:szCs w:val="20"/>
          <w:color w:val="auto"/>
        </w:rPr>
        <w:t>”), the date of determination of whether any such action is permitted hereunder shall be deemed to be the date the definitive agreement for such Limited Condition Transaction is entered into (the “</w:t>
      </w:r>
      <w:r>
        <w:rPr>
          <w:rFonts w:ascii="Arial" w:cs="Arial" w:eastAsia="Arial" w:hAnsi="Arial"/>
          <w:sz w:val="20"/>
          <w:szCs w:val="20"/>
          <w:b w:val="1"/>
          <w:bCs w:val="1"/>
          <w:i w:val="1"/>
          <w:iCs w:val="1"/>
          <w:color w:val="auto"/>
        </w:rPr>
        <w:t>LCT Test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and if, after giving pro forma effect to the Limited Condition Transaction, the Borrower or any of its Subsidiaries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would have been permitted to take such action on the relevant LCT Test Date in compliance with such ratio, test or basket or other provision, such ratio, test or basket shall be deemed to have been complied with; </w:t>
      </w:r>
      <w:r>
        <w:rPr>
          <w:rFonts w:ascii="Arial" w:cs="Arial" w:eastAsia="Arial" w:hAnsi="Arial"/>
          <w:sz w:val="20"/>
          <w:szCs w:val="20"/>
          <w:u w:val="single" w:color="auto"/>
          <w:color w:val="auto"/>
        </w:rPr>
        <w:t>provided</w:t>
      </w:r>
      <w:r>
        <w:rPr>
          <w:rFonts w:ascii="Arial" w:cs="Arial" w:eastAsia="Arial" w:hAnsi="Arial"/>
          <w:sz w:val="20"/>
          <w:szCs w:val="20"/>
          <w:color w:val="auto"/>
        </w:rPr>
        <w:t>, that as of the effective date of any Limited Condition Transaction, no Event of Default under clause (a), (f) or (g) of Section 7.01 shall be permitted to be in existence immediately before or immediately after giving effect (including on a pro forma basis) to such Limited Condition Transaction. For the avoidance of doubt, if the Borrower has made an LCT Election and any of the ratios, tests or baskets or other provision for which compliance was determined or tested as of the LCT Test Date would have failed to have been satisfied as a result of fluctuations in any such ratio, test or basket or other provision, including due to fluctuations in EBITDA, Consolidated operating income or Consolidated Total Assets, at or prior to the consummation of the relevant transaction or action, such baskets, tests or ratios will not be deemed to have failed to have been satisfied as a result of such fluctuations (other than as described in the proviso to the immediately preceding sentence).</w:t>
      </w:r>
    </w:p>
    <w:p>
      <w:pPr>
        <w:spacing w:after="0" w:line="199" w:lineRule="exact"/>
        <w:rPr>
          <w:sz w:val="20"/>
          <w:szCs w:val="20"/>
          <w:color w:val="auto"/>
        </w:rPr>
      </w:pPr>
    </w:p>
    <w:p>
      <w:pPr>
        <w:ind w:left="60" w:right="640" w:firstLine="642"/>
        <w:spacing w:after="0" w:line="244"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u w:val="single" w:color="auto"/>
          <w:color w:val="auto"/>
        </w:rPr>
        <w:t>Interest Rates; Benchmark Notification</w:t>
      </w:r>
      <w:r>
        <w:rPr>
          <w:rFonts w:ascii="Arial" w:cs="Arial" w:eastAsia="Arial" w:hAnsi="Arial"/>
          <w:sz w:val="21"/>
          <w:szCs w:val="21"/>
          <w:color w:val="auto"/>
        </w:rPr>
        <w:t>. The interest rate on a Loan denominated in Dollars or a Foreign Currency may be derived from an interest rate benchmark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160"/>
          </w:cols>
          <w:pgMar w:left="400" w:top="1440" w:right="339" w:bottom="1440" w:gutter="0" w:footer="0" w:header="0"/>
        </w:sectPr>
      </w:pPr>
    </w:p>
    <w:bookmarkStart w:id="140" w:name="page141"/>
    <w:bookmarkEnd w:id="140"/>
    <w:p>
      <w:pPr>
        <w:spacing w:after="0" w:line="193" w:lineRule="exact"/>
        <w:rPr>
          <w:sz w:val="20"/>
          <w:szCs w:val="20"/>
          <w:color w:val="auto"/>
        </w:rPr>
      </w:pPr>
    </w:p>
    <w:p>
      <w:pPr>
        <w:jc w:val="both"/>
        <w:ind w:left="60"/>
        <w:spacing w:after="0" w:line="239" w:lineRule="auto"/>
        <w:rPr>
          <w:sz w:val="20"/>
          <w:szCs w:val="20"/>
          <w:color w:val="auto"/>
        </w:rPr>
      </w:pPr>
      <w:r>
        <w:rPr>
          <w:rFonts w:ascii="Arial" w:cs="Arial" w:eastAsia="Arial" w:hAnsi="Arial"/>
          <w:sz w:val="19"/>
          <w:szCs w:val="19"/>
          <w:color w:val="auto"/>
        </w:rPr>
        <w:t>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2" w:lineRule="exact"/>
        <w:rPr>
          <w:sz w:val="20"/>
          <w:szCs w:val="20"/>
          <w:color w:val="auto"/>
        </w:rPr>
      </w:pPr>
    </w:p>
    <w:p>
      <w:pPr>
        <w:jc w:val="both"/>
        <w:ind w:left="60" w:firstLine="642"/>
        <w:spacing w:after="0" w:line="222"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Letter of Credit Amounts</w:t>
      </w:r>
      <w:r>
        <w:rPr>
          <w:rFonts w:ascii="Arial" w:cs="Arial" w:eastAsia="Arial" w:hAnsi="Arial"/>
          <w:sz w:val="21"/>
          <w:szCs w:val="21"/>
          <w:color w:val="auto"/>
        </w:rPr>
        <w:t xml:space="preserve">. Unless otherwise specified herein, the amount of a Letter of Credit at any time shall be deemed to be the Dollar Equivalent of the stated amount of such Letter of Credit available to be drawn at such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any Letter of Credit that, by its terms, provides for one or more automatic increases in the available amount thereof, the amount of such Letter of Credit shall be deemed to be the Dollar Equivalent of the maximum amount of such Letter of Credit after giving effect to all such increases, whether or not such maximum amount is available to be drawn at such time.</w:t>
      </w:r>
    </w:p>
    <w:p>
      <w:pPr>
        <w:spacing w:after="0" w:line="188" w:lineRule="exact"/>
        <w:rPr>
          <w:sz w:val="20"/>
          <w:szCs w:val="20"/>
          <w:color w:val="auto"/>
        </w:rPr>
      </w:pPr>
    </w:p>
    <w:p>
      <w:pPr>
        <w:jc w:val="both"/>
        <w:ind w:left="60" w:firstLine="642"/>
        <w:spacing w:after="0" w:line="222"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u w:val="single" w:color="auto"/>
          <w:color w:val="auto"/>
        </w:rPr>
        <w:t>Divisions</w:t>
      </w:r>
      <w:r>
        <w:rPr>
          <w:rFonts w:ascii="Arial" w:cs="Arial" w:eastAsia="Arial" w:hAnsi="Arial"/>
          <w:sz w:val="21"/>
          <w:szCs w:val="21"/>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8" w:lineRule="exact"/>
        <w:rPr>
          <w:sz w:val="20"/>
          <w:szCs w:val="20"/>
          <w:color w:val="auto"/>
        </w:rPr>
      </w:pPr>
    </w:p>
    <w:p>
      <w:pPr>
        <w:jc w:val="both"/>
        <w:ind w:left="60" w:firstLine="642"/>
        <w:spacing w:after="0" w:line="245"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Status of Obligations</w:t>
      </w:r>
      <w:r>
        <w:rPr>
          <w:rFonts w:ascii="Arial" w:cs="Arial" w:eastAsia="Arial" w:hAnsi="Arial"/>
          <w:sz w:val="19"/>
          <w:szCs w:val="19"/>
          <w:color w:val="auto"/>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040"/>
          </w:cols>
          <w:pgMar w:left="400" w:top="1440" w:right="459" w:bottom="1440" w:gutter="0" w:footer="0" w:header="0"/>
        </w:sectPr>
      </w:pPr>
    </w:p>
    <w:bookmarkStart w:id="141" w:name="page142"/>
    <w:bookmarkEnd w:id="141"/>
    <w:p>
      <w:pPr>
        <w:spacing w:after="0" w:line="193" w:lineRule="exact"/>
        <w:rPr>
          <w:sz w:val="20"/>
          <w:szCs w:val="20"/>
          <w:color w:val="auto"/>
        </w:rPr>
      </w:pPr>
    </w:p>
    <w:p>
      <w:pPr>
        <w:jc w:val="both"/>
        <w:ind w:left="60" w:right="20"/>
        <w:spacing w:after="0" w:line="227" w:lineRule="auto"/>
        <w:rPr>
          <w:sz w:val="20"/>
          <w:szCs w:val="20"/>
          <w:color w:val="auto"/>
        </w:rPr>
      </w:pPr>
      <w:r>
        <w:rPr>
          <w:rFonts w:ascii="Arial" w:cs="Arial" w:eastAsia="Arial" w:hAnsi="Arial"/>
          <w:sz w:val="21"/>
          <w:szCs w:val="21"/>
          <w:color w:val="auto"/>
        </w:rPr>
        <w:t>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86" w:lineRule="exact"/>
        <w:rPr>
          <w:sz w:val="20"/>
          <w:szCs w:val="20"/>
          <w:color w:val="auto"/>
        </w:rPr>
      </w:pPr>
    </w:p>
    <w:p>
      <w:pPr>
        <w:jc w:val="both"/>
        <w:ind w:left="60" w:firstLine="642"/>
        <w:spacing w:after="0" w:line="245"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Exchange Rates; Currency Equivalents</w:t>
      </w:r>
      <w:r>
        <w:rPr>
          <w:rFonts w:ascii="Arial" w:cs="Arial" w:eastAsia="Arial" w:hAnsi="Arial"/>
          <w:sz w:val="19"/>
          <w:szCs w:val="19"/>
          <w:color w:val="auto"/>
        </w:rPr>
        <w:t>. (a) The Administrative Agent or an Issuing Bank, as applicable, shall determine the Dollar Equivalent amounts of Term Benchmark Borrowings or RFR Borrowing or Letter of Credit extensions denominated in Foreign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Agreed Currency (other than Dollars) for purposes of the Loan Documents shall be such Dollar Equivalent amount as so determined by the Administrative Agent or an Issuing Bank, as applicable.</w:t>
      </w:r>
    </w:p>
    <w:p>
      <w:pPr>
        <w:spacing w:after="0" w:line="181" w:lineRule="exact"/>
        <w:rPr>
          <w:sz w:val="20"/>
          <w:szCs w:val="20"/>
          <w:color w:val="auto"/>
        </w:rPr>
      </w:pPr>
    </w:p>
    <w:p>
      <w:pPr>
        <w:jc w:val="both"/>
        <w:ind w:left="60" w:firstLine="828"/>
        <w:spacing w:after="0" w:line="222" w:lineRule="auto"/>
        <w:tabs>
          <w:tab w:leader="none" w:pos="1213" w:val="left"/>
        </w:tabs>
        <w:numPr>
          <w:ilvl w:val="0"/>
          <w:numId w:val="57"/>
        </w:numPr>
        <w:rPr>
          <w:rFonts w:ascii="Arial" w:cs="Arial" w:eastAsia="Arial" w:hAnsi="Arial"/>
          <w:sz w:val="21"/>
          <w:szCs w:val="21"/>
          <w:color w:val="auto"/>
        </w:rPr>
      </w:pPr>
      <w:r>
        <w:rPr>
          <w:rFonts w:ascii="Arial" w:cs="Arial" w:eastAsia="Arial" w:hAnsi="Arial"/>
          <w:sz w:val="21"/>
          <w:szCs w:val="21"/>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amount shall be the Dollar Equivalent of such amount (rounded to the nearest unit of such Foreign Currency, with 0.5 of a unit being rounded upward), as determined by the Administrative Agent or an Issuing Bank, as the case may be.</w:t>
      </w:r>
    </w:p>
    <w:p>
      <w:pPr>
        <w:spacing w:after="0" w:line="201"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ARTICLE II</w:t>
      </w:r>
    </w:p>
    <w:p>
      <w:pPr>
        <w:spacing w:after="0" w:line="214" w:lineRule="exact"/>
        <w:rPr>
          <w:sz w:val="20"/>
          <w:szCs w:val="20"/>
          <w:color w:val="auto"/>
        </w:rPr>
      </w:pPr>
    </w:p>
    <w:p>
      <w:pPr>
        <w:ind w:left="5040"/>
        <w:spacing w:after="0"/>
        <w:rPr>
          <w:sz w:val="20"/>
          <w:szCs w:val="20"/>
          <w:color w:val="auto"/>
        </w:rPr>
      </w:pPr>
      <w:r>
        <w:rPr>
          <w:rFonts w:ascii="Arial" w:cs="Arial" w:eastAsia="Arial" w:hAnsi="Arial"/>
          <w:sz w:val="21"/>
          <w:szCs w:val="21"/>
          <w:u w:val="single" w:color="auto"/>
          <w:color w:val="auto"/>
        </w:rPr>
        <w:t>The Credits</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u w:val="single" w:color="auto"/>
          <w:color w:val="auto"/>
        </w:rPr>
        <w:t>Commitments</w:t>
      </w:r>
      <w:r>
        <w:rPr>
          <w:rFonts w:ascii="Arial" w:cs="Arial" w:eastAsia="Arial" w:hAnsi="Arial"/>
          <w:sz w:val="21"/>
          <w:szCs w:val="21"/>
          <w:color w:val="auto"/>
        </w:rPr>
        <w:t>. Subject to the terms and conditions set forth herein,</w:t>
      </w:r>
    </w:p>
    <w:p>
      <w:pPr>
        <w:jc w:val="both"/>
        <w:ind w:left="60" w:hanging="8"/>
        <w:spacing w:after="0" w:line="216" w:lineRule="auto"/>
        <w:tabs>
          <w:tab w:leader="none" w:pos="517" w:val="left"/>
        </w:tabs>
        <w:numPr>
          <w:ilvl w:val="0"/>
          <w:numId w:val="58"/>
        </w:numPr>
        <w:rPr>
          <w:rFonts w:ascii="Arial" w:cs="Arial" w:eastAsia="Arial" w:hAnsi="Arial"/>
          <w:sz w:val="21"/>
          <w:szCs w:val="21"/>
          <w:color w:val="auto"/>
        </w:rPr>
      </w:pPr>
      <w:r>
        <w:rPr>
          <w:rFonts w:ascii="Arial" w:cs="Arial" w:eastAsia="Arial" w:hAnsi="Arial"/>
          <w:sz w:val="21"/>
          <w:szCs w:val="21"/>
          <w:color w:val="auto"/>
        </w:rPr>
        <w:t>each Revolving Lender (severally and not jointly) agrees to make Revolving Loans to the Borrower in Dollars or in one or more Foreign Currencies from time to time during the Availability Period in an aggregate principal amount that will not result (after giving effect to any application of proceeds of such Borrowing pursuant to Section 2.10) in (i) the Dollar Equivalent of such Lender’s Revolving Credit Exposure exceeding such Lender’s Revolving Commitment or (ii) the Dollar Equivalent of the total outstanding Revolving Loans and LC Exposure, in each case denominated in Foreign Currencies, exceeding the Foreign Currency Sublimit, and (b) each Term Lender with a Term Loan Commitment (severally and not jointly) agrees to make a Term Loan to the Borrower in Dollars on the Effective Date, in an amount equal to such Lender’s Term Loan Commitment by making immediately available funds available to the Administrative Agent’s designated account, not later than the time specified by the Administrative Agent. Within the foregoing limits and subject to the terms and conditions set forth herein, the Borrower may borrow, prepay and reborrow Revolving Loans. Amounts repaid or prepaid in respect of Term Loans may not be reborrowed.</w:t>
      </w:r>
    </w:p>
    <w:p>
      <w:pPr>
        <w:spacing w:after="0" w:line="192"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u w:val="single" w:color="auto"/>
          <w:color w:val="auto"/>
        </w:rPr>
        <w:t>Loans and Borrowings</w:t>
      </w:r>
      <w:r>
        <w:rPr>
          <w:rFonts w:ascii="Arial" w:cs="Arial" w:eastAsia="Arial" w:hAnsi="Arial"/>
          <w:sz w:val="21"/>
          <w:szCs w:val="21"/>
          <w:color w:val="auto"/>
        </w:rPr>
        <w:t>. (a) Each Loan (other than a Swingline Loan) shall be made as part of a Borrowing consisting of Loans of the same Class and Type made by the applicable Lenders ratably in accordance with their respective Commitments of the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040"/>
          </w:cols>
          <w:pgMar w:left="400" w:top="1440" w:right="459" w:bottom="1440" w:gutter="0" w:footer="0" w:header="0"/>
        </w:sectPr>
      </w:pPr>
    </w:p>
    <w:bookmarkStart w:id="142" w:name="page143"/>
    <w:bookmarkEnd w:id="142"/>
    <w:p>
      <w:pPr>
        <w:spacing w:after="0" w:line="193" w:lineRule="exact"/>
        <w:rPr>
          <w:sz w:val="20"/>
          <w:szCs w:val="20"/>
          <w:color w:val="auto"/>
        </w:rPr>
      </w:pPr>
    </w:p>
    <w:p>
      <w:pPr>
        <w:jc w:val="both"/>
        <w:ind w:left="60" w:right="120"/>
        <w:spacing w:after="0" w:line="227" w:lineRule="auto"/>
        <w:rPr>
          <w:sz w:val="20"/>
          <w:szCs w:val="20"/>
          <w:color w:val="auto"/>
        </w:rPr>
      </w:pPr>
      <w:r>
        <w:rPr>
          <w:rFonts w:ascii="Arial" w:cs="Arial" w:eastAsia="Arial" w:hAnsi="Arial"/>
          <w:sz w:val="21"/>
          <w:szCs w:val="21"/>
          <w:color w:val="auto"/>
        </w:rPr>
        <w:t xml:space="preserve">applicable Class. The failure of any Lender to make any Loan required to be made by it shall not relieve any other Lender of its obligations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Commitments of the Lenders are several and no Lender shall be responsible for any other Lender’s failure to make Loans as required. Any Swingline Loan shall be made in accordance with the procedures set forth in Section 2.05. The Term Loans shall amortize as set forth in Section 2.10.</w:t>
      </w:r>
    </w:p>
    <w:p>
      <w:pPr>
        <w:spacing w:after="0" w:line="186" w:lineRule="exact"/>
        <w:rPr>
          <w:sz w:val="20"/>
          <w:szCs w:val="20"/>
          <w:color w:val="auto"/>
        </w:rPr>
      </w:pPr>
    </w:p>
    <w:p>
      <w:pPr>
        <w:jc w:val="both"/>
        <w:ind w:left="60" w:firstLine="635"/>
        <w:spacing w:after="0" w:line="243" w:lineRule="auto"/>
        <w:tabs>
          <w:tab w:leader="none" w:pos="1230"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Subject to Section 2.14, each Borrowing shall be comprised (A) in the case of Borrowings in Dollars, entirely of ABR Loans, Term Benchmark Loans or RFR Loans and (B) in the case of Borrowings in any other Agreed Currency, entirely of Term Benchmark Loans or RFR Loans, as applicable, in each case of the same Agreed Currency, as the Borrower may request in accordance 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Borrowings made on the Effective Date must be made as ABR Borrowings but may be converted into Term Benchmark Borrowings in accordance with Section 2.08 and each ABR Loan shall only be made in Dollars. Each Swingline Loan shall be an ABR Loan. Each Lender at its option may make any Term Benchmark Loan by causing any domestic or foreign branch or Affiliate of such Lender to make such Loan (and in the case of an Affiliate, the provisions of Sections 2.14, 2.15, 2.16 and 2.17 shall apply to such Affiliate to the same extent as to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Borrower to repay such Loan in accordance with the terms of this Agreement.</w:t>
      </w:r>
    </w:p>
    <w:p>
      <w:pPr>
        <w:spacing w:after="0" w:line="180" w:lineRule="exact"/>
        <w:rPr>
          <w:rFonts w:ascii="Arial" w:cs="Arial" w:eastAsia="Arial" w:hAnsi="Arial"/>
          <w:sz w:val="19"/>
          <w:szCs w:val="19"/>
          <w:color w:val="auto"/>
        </w:rPr>
      </w:pPr>
    </w:p>
    <w:p>
      <w:pPr>
        <w:jc w:val="both"/>
        <w:ind w:left="60" w:right="120" w:firstLine="635"/>
        <w:spacing w:after="0" w:line="243" w:lineRule="auto"/>
        <w:tabs>
          <w:tab w:leader="none" w:pos="1221"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Term Benchmark Revolving Borrowing, such Borrowing shall be in an aggregate amount that is an integral multiple of the Dollar Equivalent of $1,000,000 and not less than the Dollar Equivalent of $500,000. At the time that each ABR Revolving Borrowing and/or RFR Borrowing is made, such Borrowing shall be in an aggregate amount that is an integral multiple of the Dollar Equivalent of $1,000,000 and not less than the Dollar Equivalent of $500,000;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ABR Revolving Borrowing may be in an aggregate amount that is equal to the entire unused balance of the total Revolving Commitments or that is required to finance the reimbursement of an LC Disbursement as contemplated by Section 2.06(e). Each Swingline Loan shall be in an amount that is an integral multiple of $1,000,000 and not less than $500,000. Borrowings of more than one Type and Class may be outstanding at the same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not at any time be more than a total of fifteen (15) Term Benchmark Revolving Borrowings or RFR Borrowings outstanding.</w:t>
      </w:r>
    </w:p>
    <w:p>
      <w:pPr>
        <w:spacing w:after="0" w:line="194" w:lineRule="exact"/>
        <w:rPr>
          <w:rFonts w:ascii="Arial" w:cs="Arial" w:eastAsia="Arial" w:hAnsi="Arial"/>
          <w:sz w:val="19"/>
          <w:szCs w:val="19"/>
          <w:color w:val="auto"/>
        </w:rPr>
      </w:pPr>
    </w:p>
    <w:p>
      <w:pPr>
        <w:ind w:left="60" w:right="140" w:firstLine="635"/>
        <w:spacing w:after="0" w:line="295" w:lineRule="auto"/>
        <w:tabs>
          <w:tab w:leader="none" w:pos="1177" w:val="left"/>
        </w:tabs>
        <w:numPr>
          <w:ilvl w:val="0"/>
          <w:numId w:val="59"/>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47" w:lineRule="exact"/>
        <w:rPr>
          <w:sz w:val="20"/>
          <w:szCs w:val="20"/>
          <w:color w:val="auto"/>
        </w:rPr>
      </w:pPr>
    </w:p>
    <w:p>
      <w:pPr>
        <w:jc w:val="both"/>
        <w:ind w:left="60" w:right="120" w:firstLine="642"/>
        <w:spacing w:after="0" w:line="219"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u w:val="single" w:color="auto"/>
          <w:color w:val="auto"/>
        </w:rPr>
        <w:t>Requests for Borrowings</w:t>
      </w:r>
      <w:r>
        <w:rPr>
          <w:rFonts w:ascii="Arial" w:cs="Arial" w:eastAsia="Arial" w:hAnsi="Arial"/>
          <w:sz w:val="21"/>
          <w:szCs w:val="21"/>
          <w:color w:val="auto"/>
        </w:rPr>
        <w:t xml:space="preserve">. To request a Borrowing, the Borrower shall notify the Administrative Agent of such request by submitting a Borrowing Request (a)(i)(x) in the case of a Term Benchmark Borrowing denominated in Dollars, not later than 11:00 a.m., New York City time, three U.S. Government Securities Business Days before the date of the proposed Borrowing or (y) in the case of an RFR Borrowing denominated in Dollars, not later than 11:00 a.m. New York City time, five U.S. Government Securities Business Days before the date of the proposed Borrowing, and (ii) in the case of a Term Benchmark Borrowing denominated in a Foreign Currency, not later than 11:00 a.m., New York City time, three Business Days before the date of the proposed Borrowing, or (b) in the case of an ABR Borrowing, not later than 11:00 a.m., New York City time, one (1) Business Day before the date of the proposed Borrowing;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notice of an ABR Revolving Borrowing to finance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160"/>
          </w:cols>
          <w:pgMar w:left="400" w:top="1440" w:right="339" w:bottom="1440" w:gutter="0" w:footer="0" w:header="0"/>
        </w:sectPr>
      </w:pPr>
    </w:p>
    <w:bookmarkStart w:id="143" w:name="page144"/>
    <w:bookmarkEnd w:id="143"/>
    <w:p>
      <w:pPr>
        <w:spacing w:after="0" w:line="193" w:lineRule="exact"/>
        <w:rPr>
          <w:sz w:val="20"/>
          <w:szCs w:val="20"/>
          <w:color w:val="auto"/>
        </w:rPr>
      </w:pPr>
    </w:p>
    <w:p>
      <w:pPr>
        <w:jc w:val="both"/>
        <w:ind w:left="60"/>
        <w:spacing w:after="0" w:line="227" w:lineRule="auto"/>
        <w:rPr>
          <w:sz w:val="20"/>
          <w:szCs w:val="20"/>
          <w:color w:val="auto"/>
        </w:rPr>
      </w:pPr>
      <w:r>
        <w:rPr>
          <w:rFonts w:ascii="Arial" w:cs="Arial" w:eastAsia="Arial" w:hAnsi="Arial"/>
          <w:sz w:val="21"/>
          <w:szCs w:val="21"/>
          <w:color w:val="auto"/>
        </w:rPr>
        <w:t>reimbursement of an LC Disbursement as contemplated by Section 2.06(e) may be given not later than 10:00 a.m., New York City time, on the date of the proposed Borrowing. Each such Borrowing Request shall be irrevocable and shall be signed by a Responsible Officer of the Borrower. Each such Borrowing Request shall specify the following information in compliance with Section 2.02:</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040"/>
          </w:cols>
          <w:pgMar w:left="400" w:top="1440" w:right="459" w:bottom="1440" w:gutter="0" w:footer="0" w:header="0"/>
        </w:sectPr>
      </w:pPr>
    </w:p>
    <w:bookmarkStart w:id="144" w:name="page145"/>
    <w:bookmarkEnd w:id="144"/>
    <w:p>
      <w:pPr>
        <w:ind w:left="700"/>
        <w:spacing w:after="0"/>
        <w:rPr>
          <w:sz w:val="20"/>
          <w:szCs w:val="20"/>
          <w:color w:val="auto"/>
        </w:rPr>
      </w:pPr>
      <w:r>
        <w:rPr>
          <w:rFonts w:ascii="Arial" w:cs="Arial" w:eastAsia="Arial" w:hAnsi="Arial"/>
          <w:sz w:val="21"/>
          <w:szCs w:val="21"/>
          <w:color w:val="auto"/>
        </w:rPr>
        <w:t>Borrowing;</w:t>
      </w:r>
    </w:p>
    <w:p>
      <w:pPr>
        <w:ind w:left="5520" w:hanging="684"/>
        <w:spacing w:after="0" w:line="180" w:lineRule="auto"/>
        <w:tabs>
          <w:tab w:leader="none" w:pos="5520" w:val="left"/>
        </w:tabs>
        <w:numPr>
          <w:ilvl w:val="0"/>
          <w:numId w:val="60"/>
        </w:numPr>
        <w:rPr>
          <w:rFonts w:ascii="Arial" w:cs="Arial" w:eastAsia="Arial" w:hAnsi="Arial"/>
          <w:sz w:val="30"/>
          <w:szCs w:val="30"/>
          <w:color w:val="auto"/>
          <w:vertAlign w:val="subscript"/>
        </w:rPr>
      </w:pPr>
      <w:r>
        <w:rPr>
          <w:rFonts w:ascii="Arial" w:cs="Arial" w:eastAsia="Arial" w:hAnsi="Arial"/>
          <w:sz w:val="17"/>
          <w:szCs w:val="17"/>
          <w:color w:val="auto"/>
        </w:rPr>
        <w:t>the Agreed Currency and aggregate amount of the requested</w:t>
      </w:r>
    </w:p>
    <w:p>
      <w:pPr>
        <w:spacing w:after="0" w:line="371" w:lineRule="exact"/>
        <w:rPr>
          <w:rFonts w:ascii="Arial" w:cs="Arial" w:eastAsia="Arial" w:hAnsi="Arial"/>
          <w:sz w:val="30"/>
          <w:szCs w:val="30"/>
          <w:color w:val="auto"/>
          <w:vertAlign w:val="subscript"/>
        </w:rPr>
      </w:pPr>
    </w:p>
    <w:p>
      <w:pPr>
        <w:ind w:left="6420" w:right="180" w:hanging="637"/>
        <w:spacing w:after="0" w:line="244" w:lineRule="auto"/>
        <w:tabs>
          <w:tab w:leader="none" w:pos="6252" w:val="left"/>
        </w:tabs>
        <w:numPr>
          <w:ilvl w:val="1"/>
          <w:numId w:val="60"/>
        </w:numPr>
        <w:rPr>
          <w:rFonts w:ascii="Arial" w:cs="Arial" w:eastAsia="Arial" w:hAnsi="Arial"/>
          <w:sz w:val="21"/>
          <w:szCs w:val="21"/>
          <w:color w:val="auto"/>
        </w:rPr>
      </w:pPr>
      <w:r>
        <w:rPr>
          <w:rFonts w:ascii="Arial" w:cs="Arial" w:eastAsia="Arial" w:hAnsi="Arial"/>
          <w:sz w:val="21"/>
          <w:szCs w:val="21"/>
          <w:color w:val="auto"/>
        </w:rPr>
        <w:t>the date of such Borrowing, which shall be a Business Day;</w:t>
      </w:r>
    </w:p>
    <w:p>
      <w:pPr>
        <w:spacing w:after="0" w:line="192" w:lineRule="exact"/>
        <w:rPr>
          <w:rFonts w:ascii="Arial" w:cs="Arial" w:eastAsia="Arial" w:hAnsi="Arial"/>
          <w:sz w:val="21"/>
          <w:szCs w:val="21"/>
          <w:color w:val="auto"/>
        </w:rPr>
      </w:pPr>
    </w:p>
    <w:p>
      <w:pPr>
        <w:ind w:left="6420" w:hanging="637"/>
        <w:spacing w:after="0" w:line="222" w:lineRule="auto"/>
        <w:tabs>
          <w:tab w:leader="none" w:pos="6312" w:val="left"/>
        </w:tabs>
        <w:numPr>
          <w:ilvl w:val="1"/>
          <w:numId w:val="60"/>
        </w:numPr>
        <w:rPr>
          <w:rFonts w:ascii="Arial" w:cs="Arial" w:eastAsia="Arial" w:hAnsi="Arial"/>
          <w:sz w:val="21"/>
          <w:szCs w:val="21"/>
          <w:color w:val="auto"/>
        </w:rPr>
      </w:pPr>
      <w:r>
        <w:rPr>
          <w:rFonts w:ascii="Arial" w:cs="Arial" w:eastAsia="Arial" w:hAnsi="Arial"/>
          <w:sz w:val="21"/>
          <w:szCs w:val="21"/>
          <w:color w:val="auto"/>
        </w:rPr>
        <w:t>whether such Borrowing is to be an ABR Borrowing or a Term</w:t>
      </w:r>
    </w:p>
    <w:p>
      <w:pPr>
        <w:ind w:left="700" w:right="300"/>
        <w:spacing w:after="0" w:line="233" w:lineRule="auto"/>
        <w:rPr>
          <w:sz w:val="20"/>
          <w:szCs w:val="20"/>
          <w:color w:val="auto"/>
        </w:rPr>
      </w:pPr>
      <w:r>
        <w:rPr>
          <w:rFonts w:ascii="Arial" w:cs="Arial" w:eastAsia="Arial" w:hAnsi="Arial"/>
          <w:sz w:val="21"/>
          <w:szCs w:val="21"/>
          <w:color w:val="auto"/>
        </w:rPr>
        <w:t>Benchmark Borrowing or an RFR Borrowing and whether such Borrowing is a Revolving Borrowing or a Term Loan Borrowing;</w:t>
      </w:r>
    </w:p>
    <w:p>
      <w:pPr>
        <w:spacing w:after="0" w:line="197" w:lineRule="exact"/>
        <w:rPr>
          <w:sz w:val="20"/>
          <w:szCs w:val="20"/>
          <w:color w:val="auto"/>
        </w:rPr>
      </w:pPr>
    </w:p>
    <w:p>
      <w:pPr>
        <w:ind w:left="700" w:right="40" w:firstLine="1283"/>
        <w:spacing w:after="0" w:line="244" w:lineRule="auto"/>
        <w:tabs>
          <w:tab w:leader="none" w:pos="2587" w:val="left"/>
        </w:tabs>
        <w:numPr>
          <w:ilvl w:val="0"/>
          <w:numId w:val="61"/>
        </w:numPr>
        <w:rPr>
          <w:rFonts w:ascii="Arial" w:cs="Arial" w:eastAsia="Arial" w:hAnsi="Arial"/>
          <w:sz w:val="21"/>
          <w:szCs w:val="21"/>
          <w:color w:val="auto"/>
        </w:rPr>
      </w:pPr>
      <w:r>
        <w:rPr>
          <w:rFonts w:ascii="Arial" w:cs="Arial" w:eastAsia="Arial" w:hAnsi="Arial"/>
          <w:sz w:val="21"/>
          <w:szCs w:val="21"/>
          <w:color w:val="auto"/>
        </w:rPr>
        <w:t>in the case of a Term Benchmark Borrowing, the initial Interest Period to be applicable thereto, which shall be a period contemplated by the definition of the term “Interest Period”; and</w:t>
      </w:r>
    </w:p>
    <w:p>
      <w:pPr>
        <w:spacing w:after="0" w:line="179" w:lineRule="exact"/>
        <w:rPr>
          <w:rFonts w:ascii="Arial" w:cs="Arial" w:eastAsia="Arial" w:hAnsi="Arial"/>
          <w:sz w:val="21"/>
          <w:szCs w:val="21"/>
          <w:color w:val="auto"/>
        </w:rPr>
      </w:pPr>
    </w:p>
    <w:p>
      <w:pPr>
        <w:ind w:left="700" w:right="60" w:firstLine="1283"/>
        <w:spacing w:after="0" w:line="244" w:lineRule="auto"/>
        <w:tabs>
          <w:tab w:leader="none" w:pos="2476"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location and number of the Borrower’s account to which funds are to be disbursed, which shall comply with the requirements of Section 2.07.</w:t>
      </w:r>
    </w:p>
    <w:p>
      <w:pPr>
        <w:spacing w:after="0" w:line="193" w:lineRule="exact"/>
        <w:rPr>
          <w:sz w:val="20"/>
          <w:szCs w:val="20"/>
          <w:color w:val="auto"/>
        </w:rPr>
      </w:pPr>
    </w:p>
    <w:p>
      <w:pPr>
        <w:jc w:val="both"/>
        <w:ind w:left="60" w:right="40"/>
        <w:spacing w:after="0" w:line="229" w:lineRule="auto"/>
        <w:rPr>
          <w:sz w:val="20"/>
          <w:szCs w:val="20"/>
          <w:color w:val="auto"/>
        </w:rPr>
      </w:pPr>
      <w:r>
        <w:rPr>
          <w:rFonts w:ascii="Arial" w:cs="Arial" w:eastAsia="Arial" w:hAnsi="Arial"/>
          <w:sz w:val="20"/>
          <w:szCs w:val="20"/>
          <w:color w:val="auto"/>
        </w:rPr>
        <w:t>If no election as to the currency of a Borrowing is specified, then the requested Borrowing shall be made in Dollars. If no election as to the Type of Borrowing is specified, then the requested Borrowing shall be an ABR Borrowing made in Dollars. If no Interest Period is specified with respect to any requested Term Benchmark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Notwithstanding the foregoing, in no event shall the Borrower be permitted to request pursuant to this Section 2.03, a CBR Loan or, prior to a Benchmark Transition Event and Benchmark Replacement Date with respect to the Term SOFR Rate, a Daily Simple SOFR Loan (it being understood and agreed that a Central Bank/Prime Rate and Daily Simple SOFR shall only apply to the extent provided in Sections 2.08(e) (solely with respect to the Central Bank/Prime Rate), 2.14(a) and 2.14(f)).</w:t>
      </w:r>
    </w:p>
    <w:p>
      <w:pPr>
        <w:spacing w:after="0" w:line="177"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2.04.</w:t>
      </w:r>
      <w:r>
        <w:rPr>
          <w:sz w:val="20"/>
          <w:szCs w:val="20"/>
          <w:color w:val="auto"/>
        </w:rPr>
        <w:tab/>
      </w:r>
      <w:r>
        <w:rPr>
          <w:rFonts w:ascii="Arial" w:cs="Arial" w:eastAsia="Arial" w:hAnsi="Arial"/>
          <w:sz w:val="23"/>
          <w:szCs w:val="23"/>
          <w:b w:val="1"/>
          <w:bCs w:val="1"/>
          <w:u w:val="single" w:color="auto"/>
          <w:color w:val="auto"/>
        </w:rPr>
        <w:t>[</w:t>
      </w:r>
      <w:r>
        <w:rPr>
          <w:rFonts w:ascii="Arial" w:cs="Arial" w:eastAsia="Arial" w:hAnsi="Arial"/>
          <w:sz w:val="19"/>
          <w:szCs w:val="19"/>
          <w:u w:val="single" w:color="auto"/>
          <w:color w:val="auto"/>
        </w:rPr>
        <w:t>Reserved.</w:t>
      </w:r>
      <w:r>
        <w:rPr>
          <w:rFonts w:ascii="Arial" w:cs="Arial" w:eastAsia="Arial" w:hAnsi="Arial"/>
          <w:sz w:val="23"/>
          <w:szCs w:val="23"/>
          <w:b w:val="1"/>
          <w:bCs w:val="1"/>
          <w:u w:val="single" w:color="auto"/>
          <w:color w:val="auto"/>
        </w:rPr>
        <w:t>]</w:t>
      </w:r>
    </w:p>
    <w:p>
      <w:pPr>
        <w:spacing w:after="0" w:line="220" w:lineRule="exact"/>
        <w:rPr>
          <w:sz w:val="20"/>
          <w:szCs w:val="20"/>
          <w:color w:val="auto"/>
        </w:rPr>
      </w:pPr>
    </w:p>
    <w:p>
      <w:pPr>
        <w:jc w:val="both"/>
        <w:ind w:left="60" w:right="40" w:firstLine="642"/>
        <w:spacing w:after="0" w:line="232" w:lineRule="auto"/>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Swingline Loans</w:t>
      </w:r>
      <w:r>
        <w:rPr>
          <w:rFonts w:ascii="Arial" w:cs="Arial" w:eastAsia="Arial" w:hAnsi="Arial"/>
          <w:sz w:val="20"/>
          <w:szCs w:val="20"/>
          <w:color w:val="auto"/>
        </w:rPr>
        <w:t xml:space="preserve"> (a) Subject to the terms and conditions set forth herein, from time to time during the Availability Period, each Swingline Lender severally may, but shall have no obligation to, make Swingline Loans in Dollars to the Borrower in an aggregate principal amount at any time outstanding that will not result in (i) the aggregate principal amount of outstanding Swingline Loans exceeding $20,000,000 or (ii) the Dollar Equivalent of the Swingline Lender’s Revolving Credit Exposure exceeding its Revolving Commitment;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080"/>
          </w:cols>
          <w:pgMar w:left="400" w:top="1003" w:right="419" w:bottom="1440" w:gutter="0" w:footer="0" w:header="0"/>
        </w:sectPr>
      </w:pPr>
    </w:p>
    <w:bookmarkStart w:id="145" w:name="page146"/>
    <w:bookmarkEnd w:id="145"/>
    <w:p>
      <w:pPr>
        <w:jc w:val="both"/>
        <w:ind w:left="60" w:firstLine="635"/>
        <w:spacing w:after="0" w:line="244" w:lineRule="auto"/>
        <w:tabs>
          <w:tab w:leader="none" w:pos="1175" w:val="left"/>
        </w:tabs>
        <w:numPr>
          <w:ilvl w:val="0"/>
          <w:numId w:val="62"/>
        </w:numPr>
        <w:rPr>
          <w:rFonts w:ascii="Arial" w:cs="Arial" w:eastAsia="Arial" w:hAnsi="Arial"/>
          <w:sz w:val="19"/>
          <w:szCs w:val="19"/>
          <w:color w:val="auto"/>
        </w:rPr>
      </w:pPr>
      <w:r>
        <w:rPr>
          <w:rFonts w:ascii="Arial" w:cs="Arial" w:eastAsia="Arial" w:hAnsi="Arial"/>
          <w:sz w:val="19"/>
          <w:szCs w:val="19"/>
          <w:color w:val="auto"/>
        </w:rPr>
        <w:t>To request a Swingline Loan, the Borrower shall submit a written notice to the Administrative Agent by telecopy or electronic mail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Lenders of any such notice received from the Borrower. The Swingline Lender shall make each Swingline Loan available to the Borrower by means of a credit to an account of the Borrower with the Administrative Agent designated for such purpose (or, in the case of a Swingline Loan made to finance the reimbursement of an LC Disbursement as provided in Section 2.06(e), by remittance to the Issuing Bank) by 3:00 p.m., New York City time, on the requested date of such Swingline Loan.</w:t>
      </w:r>
    </w:p>
    <w:p>
      <w:pPr>
        <w:spacing w:after="0" w:line="180" w:lineRule="exact"/>
        <w:rPr>
          <w:rFonts w:ascii="Arial" w:cs="Arial" w:eastAsia="Arial" w:hAnsi="Arial"/>
          <w:sz w:val="19"/>
          <w:szCs w:val="19"/>
          <w:color w:val="auto"/>
        </w:rPr>
      </w:pPr>
    </w:p>
    <w:p>
      <w:pPr>
        <w:jc w:val="both"/>
        <w:ind w:left="60" w:right="120" w:firstLine="635"/>
        <w:spacing w:after="0" w:line="238" w:lineRule="auto"/>
        <w:tabs>
          <w:tab w:leader="none" w:pos="1186"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The Swingline Lender may by written notice given to the Administrative Agent require the Revolving Lenders to acquire participations in all or a portion of its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Applicable Percentage of such Swingline Loans. Each Revolving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shall mean no later than 10:00 a.m. New York City time on the immediately succeeding Business Day), to pay to the Administrative Agent, for the account of the Swingline Lender, such Lender’s Applicable Percentage of such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160"/>
          </w:cols>
          <w:pgMar w:left="400" w:top="1392" w:right="339" w:bottom="1440" w:gutter="0" w:footer="0" w:header="0"/>
        </w:sectPr>
      </w:pPr>
    </w:p>
    <w:bookmarkStart w:id="146" w:name="page147"/>
    <w:bookmarkEnd w:id="146"/>
    <w:p>
      <w:pPr>
        <w:spacing w:after="0" w:line="194" w:lineRule="exact"/>
        <w:rPr>
          <w:sz w:val="20"/>
          <w:szCs w:val="20"/>
          <w:color w:val="auto"/>
        </w:rPr>
      </w:pPr>
    </w:p>
    <w:p>
      <w:pPr>
        <w:jc w:val="both"/>
        <w:ind w:left="60" w:firstLine="635"/>
        <w:spacing w:after="0" w:line="229" w:lineRule="auto"/>
        <w:tabs>
          <w:tab w:leader="none" w:pos="1206"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86" w:lineRule="exact"/>
        <w:rPr>
          <w:rFonts w:ascii="Arial" w:cs="Arial" w:eastAsia="Arial" w:hAnsi="Arial"/>
          <w:sz w:val="20"/>
          <w:szCs w:val="20"/>
          <w:color w:val="auto"/>
        </w:rPr>
      </w:pPr>
    </w:p>
    <w:p>
      <w:pPr>
        <w:jc w:val="both"/>
        <w:ind w:left="60" w:right="120" w:firstLine="635"/>
        <w:spacing w:after="0" w:line="232" w:lineRule="auto"/>
        <w:tabs>
          <w:tab w:leader="none" w:pos="1195" w:val="left"/>
        </w:tabs>
        <w:numPr>
          <w:ilvl w:val="0"/>
          <w:numId w:val="63"/>
        </w:numPr>
        <w:rPr>
          <w:rFonts w:ascii="Arial" w:cs="Arial" w:eastAsia="Arial" w:hAnsi="Arial"/>
          <w:sz w:val="21"/>
          <w:szCs w:val="21"/>
          <w:color w:val="auto"/>
        </w:rPr>
      </w:pPr>
      <w:r>
        <w:rPr>
          <w:rFonts w:ascii="Arial" w:cs="Arial" w:eastAsia="Arial" w:hAnsi="Arial"/>
          <w:sz w:val="21"/>
          <w:szCs w:val="21"/>
          <w:color w:val="auto"/>
        </w:rPr>
        <w:t>Subject to the appointment and acceptance of a successor Swingline Lender, the Swingline Lender may resign as Swingline Lender at any time upon thirty days’ prior written notice to the Administrative Agent, the Borrower and the Lenders, in which case, the Swingline Lender shall be replaced in accordance with Section 2.05(d) above.</w:t>
      </w:r>
    </w:p>
    <w:p>
      <w:pPr>
        <w:spacing w:after="0" w:line="198" w:lineRule="exact"/>
        <w:rPr>
          <w:sz w:val="20"/>
          <w:szCs w:val="20"/>
          <w:color w:val="auto"/>
        </w:rPr>
      </w:pPr>
    </w:p>
    <w:p>
      <w:pPr>
        <w:jc w:val="both"/>
        <w:ind w:left="60" w:right="120" w:firstLine="642"/>
        <w:spacing w:after="0" w:line="220"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u w:val="single" w:color="auto"/>
          <w:color w:val="auto"/>
        </w:rPr>
        <w:t>Letters of Credit</w:t>
      </w:r>
      <w:r>
        <w:rPr>
          <w:rFonts w:ascii="Arial" w:cs="Arial" w:eastAsia="Arial" w:hAnsi="Arial"/>
          <w:sz w:val="21"/>
          <w:szCs w:val="21"/>
          <w:color w:val="auto"/>
        </w:rPr>
        <w:t xml:space="preserve"> (a) </w:t>
      </w:r>
      <w:r>
        <w:rPr>
          <w:rFonts w:ascii="Arial" w:cs="Arial" w:eastAsia="Arial" w:hAnsi="Arial"/>
          <w:sz w:val="21"/>
          <w:szCs w:val="21"/>
          <w:u w:val="single" w:color="auto"/>
          <w:color w:val="auto"/>
        </w:rPr>
        <w:t>General</w:t>
      </w:r>
      <w:r>
        <w:rPr>
          <w:rFonts w:ascii="Arial" w:cs="Arial" w:eastAsia="Arial" w:hAnsi="Arial"/>
          <w:sz w:val="21"/>
          <w:szCs w:val="21"/>
          <w:color w:val="auto"/>
        </w:rPr>
        <w:t xml:space="preserve">. Subject to the terms and conditions set forth herein, the Borrower may request any Issuing Bank to issue Letters of Credit denominated in Agreed Currencies as the applicant thereof for the support of its or its Subsidiaries’ obligations, in a form reasonably acceptable to such Issuing Bank, at any time and from time to time during the Availability Period; </w:t>
      </w:r>
      <w:r>
        <w:rPr>
          <w:rFonts w:ascii="Arial" w:cs="Arial" w:eastAsia="Arial" w:hAnsi="Arial"/>
          <w:sz w:val="21"/>
          <w:szCs w:val="21"/>
          <w:u w:val="single" w:color="auto"/>
          <w:color w:val="auto"/>
        </w:rPr>
        <w:t>provided</w:t>
      </w:r>
      <w:r>
        <w:rPr>
          <w:rFonts w:ascii="Arial" w:cs="Arial" w:eastAsia="Arial" w:hAnsi="Arial"/>
          <w:sz w:val="21"/>
          <w:szCs w:val="21"/>
          <w:color w:val="auto"/>
        </w:rPr>
        <w:t>, that Bank of America, N.A. shall not be required to issue any new Letter of Credit pursuant to this Section 2.06 (but shall continue to act as Issuing Bank in respect of the Existing Letters of Credit until the stated maturity thereof as of the Effective Date, as listed on Schedule 2.06 hereto) unless and until the BANA Commitment Start Date has occurred. Each Existing Letter of Credit shall be deemed to constitute a Letter of Credit issued hereunder on the Effective Date.</w:t>
      </w:r>
    </w:p>
    <w:p>
      <w:pPr>
        <w:spacing w:after="0" w:line="200" w:lineRule="exact"/>
        <w:rPr>
          <w:sz w:val="20"/>
          <w:szCs w:val="20"/>
          <w:color w:val="auto"/>
        </w:rPr>
      </w:pPr>
    </w:p>
    <w:p>
      <w:pPr>
        <w:jc w:val="both"/>
        <w:ind w:left="60" w:right="120"/>
        <w:spacing w:after="0" w:line="215" w:lineRule="auto"/>
        <w:rPr>
          <w:sz w:val="20"/>
          <w:szCs w:val="20"/>
          <w:color w:val="auto"/>
        </w:rPr>
      </w:pPr>
      <w:r>
        <w:rPr>
          <w:rFonts w:ascii="Arial" w:cs="Arial" w:eastAsia="Arial" w:hAnsi="Arial"/>
          <w:sz w:val="21"/>
          <w:szCs w:val="21"/>
          <w:color w:val="auto"/>
        </w:rPr>
        <w:t>If (i) any letter of credit has been previously issued by an Issuing Bank, (ii) the reimbursement obligations of the account party (the “</w:t>
      </w:r>
      <w:r>
        <w:rPr>
          <w:rFonts w:ascii="Arial" w:cs="Arial" w:eastAsia="Arial" w:hAnsi="Arial"/>
          <w:sz w:val="21"/>
          <w:szCs w:val="21"/>
          <w:b w:val="1"/>
          <w:bCs w:val="1"/>
          <w:i w:val="1"/>
          <w:iCs w:val="1"/>
          <w:color w:val="auto"/>
        </w:rPr>
        <w:t>Original Letter of Credit Account Party</w:t>
      </w:r>
      <w:r>
        <w:rPr>
          <w:rFonts w:ascii="Arial" w:cs="Arial" w:eastAsia="Arial" w:hAnsi="Arial"/>
          <w:sz w:val="21"/>
          <w:szCs w:val="21"/>
          <w:color w:val="auto"/>
        </w:rPr>
        <w:t>”) relating to such letter of credit have been or are assumed in writing by the Borrower pursuant to a Permitted Acquisition or other transaction, in each case, permitted under this Agreement, (iii) after giving effect to the inclusion of such letter of credit as a Letter of Credit hereunder, the provisions of Section 2.06(b) shall not be contravened, (iv) such letter of credit satisfies all of the requirements of a Letter of Credit hereunder, and (v) the conditions of Sections 4.01 and 4.02 are satisfied, then upon the written request (which request shall include a statement that the foregoing requirements</w:t>
      </w:r>
    </w:p>
    <w:p>
      <w:pPr>
        <w:spacing w:after="0" w:line="5" w:lineRule="exact"/>
        <w:rPr>
          <w:sz w:val="20"/>
          <w:szCs w:val="20"/>
          <w:color w:val="auto"/>
        </w:rPr>
      </w:pPr>
    </w:p>
    <w:p>
      <w:pPr>
        <w:jc w:val="both"/>
        <w:ind w:left="60" w:right="120" w:hanging="8"/>
        <w:spacing w:after="0" w:line="218" w:lineRule="auto"/>
        <w:tabs>
          <w:tab w:leader="none" w:pos="503"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through (v), inclusive, have been satisfied) of the Borrower to such Issuing Bank (consented to in writing by such Issuing Bank) and the submission by the Borrower to the Administrative Agent of a copy of such request bearing such consent, such letter of credit shall be (from the date of such consent of such Issuing Bank) deemed a Letter of Credit for all purposes of this Agreement and the other Loan Documents and considered issued hereunder pursuant to the terms hereof (the terms hereof and of the other Loan Documents shall govern and prevail in the case of any conflict with the provisions of the agreement(s) pursuant to which such letter of credit had been issued (such agreement(s), the “</w:t>
      </w:r>
      <w:r>
        <w:rPr>
          <w:rFonts w:ascii="Arial" w:cs="Arial" w:eastAsia="Arial" w:hAnsi="Arial"/>
          <w:sz w:val="21"/>
          <w:szCs w:val="21"/>
          <w:b w:val="1"/>
          <w:bCs w:val="1"/>
          <w:i w:val="1"/>
          <w:iCs w:val="1"/>
          <w:color w:val="auto"/>
        </w:rPr>
        <w:t>Original Letter of Credit Agreements</w:t>
      </w:r>
      <w:r>
        <w:rPr>
          <w:rFonts w:ascii="Arial" w:cs="Arial" w:eastAsia="Arial" w:hAnsi="Arial"/>
          <w:sz w:val="21"/>
          <w:szCs w:val="21"/>
          <w:color w:val="auto"/>
        </w:rPr>
        <w:t>”), and such Issuing Bank shall be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160"/>
          </w:cols>
          <w:pgMar w:left="400" w:top="1440" w:right="339" w:bottom="1440" w:gutter="0" w:footer="0" w:header="0"/>
        </w:sectPr>
      </w:pPr>
    </w:p>
    <w:bookmarkStart w:id="147" w:name="page148"/>
    <w:bookmarkEnd w:id="147"/>
    <w:p>
      <w:pPr>
        <w:spacing w:after="0" w:line="194" w:lineRule="exact"/>
        <w:rPr>
          <w:sz w:val="20"/>
          <w:szCs w:val="20"/>
          <w:color w:val="auto"/>
        </w:rPr>
      </w:pPr>
    </w:p>
    <w:p>
      <w:pPr>
        <w:jc w:val="both"/>
        <w:ind w:left="60"/>
        <w:spacing w:after="0" w:line="227" w:lineRule="auto"/>
        <w:rPr>
          <w:sz w:val="20"/>
          <w:szCs w:val="20"/>
          <w:color w:val="auto"/>
        </w:rPr>
      </w:pPr>
      <w:r>
        <w:rPr>
          <w:rFonts w:ascii="Arial" w:cs="Arial" w:eastAsia="Arial" w:hAnsi="Arial"/>
          <w:sz w:val="21"/>
          <w:szCs w:val="21"/>
          <w:color w:val="auto"/>
        </w:rPr>
        <w:t>deemed to have released the Original Letter of Credit Account Party and the Borrower, as applicable, from the Original Letter of Credit Agreements to the extent of such conflict). Notwithstanding that any such assumed letter of credit is in support of any obligations of, or is for the account of, a Subsidiary, the Borrower agrees that it shall be obligated to reimburse the applicable Issuing Bank hereunder for any and all drawings under such letter of credit.</w:t>
      </w:r>
    </w:p>
    <w:p>
      <w:pPr>
        <w:spacing w:after="0" w:line="186" w:lineRule="exact"/>
        <w:rPr>
          <w:sz w:val="20"/>
          <w:szCs w:val="20"/>
          <w:color w:val="auto"/>
        </w:rPr>
      </w:pPr>
    </w:p>
    <w:p>
      <w:pPr>
        <w:jc w:val="both"/>
        <w:ind w:left="60" w:firstLine="635"/>
        <w:spacing w:after="0" w:line="226" w:lineRule="auto"/>
        <w:tabs>
          <w:tab w:leader="none" w:pos="1221"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Notice of Issuance, Amendment, Renewal, Extension; Certain Conditions</w:t>
      </w:r>
      <w:r>
        <w:rPr>
          <w:rFonts w:ascii="Arial" w:cs="Arial" w:eastAsia="Arial" w:hAnsi="Arial"/>
          <w:sz w:val="20"/>
          <w:szCs w:val="20"/>
          <w:color w:val="auto"/>
        </w:rPr>
        <w:t>. To request the issuance of a Letter of Credit (or the amendment, renewal or extension of an outstanding Letter of Credit, it being acknowledged and agreed that the Existing Letters of Credit shall not be permitted to be extended or renewed), the Borrower shall hand deliver or telecopy (or transmit by electronic communication, if arrangements for doing so have been approved by the respective Issuing Bank) to an Issuing Bank selected by it and to the Administrative Agent (reasonably in advance of the requested date of issuance, amendment, renewal or extension, but in any event no less than three (3) Business Days) a notice requesting the issuance of a Letter of Credit, or identifying the Letter of Credit to be amended, renewed or extended, and specifying the date of issuance, amendment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respective Issuing Bank and using such Issuing Bank’s standard form (each, a “</w:t>
      </w:r>
      <w:r>
        <w:rPr>
          <w:rFonts w:ascii="Arial" w:cs="Arial" w:eastAsia="Arial" w:hAnsi="Arial"/>
          <w:sz w:val="20"/>
          <w:szCs w:val="20"/>
          <w:b w:val="1"/>
          <w:bCs w:val="1"/>
          <w:i w:val="1"/>
          <w:iCs w:val="1"/>
          <w:color w:val="auto"/>
        </w:rPr>
        <w:t>Letter of Credit Agreement</w:t>
      </w:r>
      <w:r>
        <w:rPr>
          <w:rFonts w:ascii="Arial" w:cs="Arial" w:eastAsia="Arial" w:hAnsi="Arial"/>
          <w:sz w:val="20"/>
          <w:szCs w:val="20"/>
          <w:color w:val="auto"/>
        </w:rPr>
        <w:t xml:space="preserve">”). In the event of any conflict between the terms and conditions of this Agreement and the terms and conditions of any Letter of Credit Agreement, the terms and conditions of this Agreement shall control. A Letter of Credit shall be issued, amended, renewed or extended only if (and upon issuance, amendment, renewal or extension of each Letter of Credit the Borrower shall be deemed to represent and warrant that), after giving effect to such issuance, amendment, renewal or extension (i) (x) the Dollar Equivalent of the aggregate undrawn amount of all outstanding Letters of Credit issued by any Issuing Bank at such time plus (y) the aggregate Dollar Equivalent of all LC Disbursements made by such Issuing Bank that have not yet been reimbursed by or on behalf of the Borrower at such time shall not exceed its Letter of Credit Commitment, (ii) the Dollar Equivalent of the LC Exposure shall not exceed the total Letter of Credit Commitments, (iii) no Lender’s Dollar Equivalent of Revolving Credit Exposure shall exceed its Revolving Commitment and (iv) the Dollar Equivalent of the total outstanding Revolving Loans and LC Exposure, in each case denominated in Foreign Currencies, shall not exceed the Foreign Currency Sublimit. The Borrower may, at any time and from time to time, reduce the Letter of Credit Commitment of any Issuing Bank with the consent of such Issuing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reduce the Letter of Credit Commitment of any Issuing Bank if, after giving effect of such reduction, the conditions set forth in clauses (i) through (iv) above shall not be satisfied.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21"/>
          <w:szCs w:val="21"/>
          <w:color w:val="auto"/>
        </w:rPr>
        <w:t>An Issuing Bank shall not be under any obligation to issue any Letter of Credit if:</w:t>
      </w:r>
    </w:p>
    <w:p>
      <w:pPr>
        <w:spacing w:after="0" w:line="228" w:lineRule="exact"/>
        <w:rPr>
          <w:sz w:val="20"/>
          <w:szCs w:val="20"/>
          <w:color w:val="auto"/>
        </w:rPr>
      </w:pPr>
    </w:p>
    <w:p>
      <w:pPr>
        <w:jc w:val="both"/>
        <w:ind w:left="700" w:firstLine="1283"/>
        <w:spacing w:after="0" w:line="232" w:lineRule="auto"/>
        <w:tabs>
          <w:tab w:leader="none" w:pos="2407" w:val="left"/>
        </w:tabs>
        <w:numPr>
          <w:ilvl w:val="0"/>
          <w:numId w:val="66"/>
        </w:numPr>
        <w:rPr>
          <w:rFonts w:ascii="Arial" w:cs="Arial" w:eastAsia="Arial" w:hAnsi="Arial"/>
          <w:sz w:val="21"/>
          <w:szCs w:val="21"/>
          <w:color w:val="auto"/>
        </w:rPr>
      </w:pPr>
      <w:r>
        <w:rPr>
          <w:rFonts w:ascii="Arial" w:cs="Arial" w:eastAsia="Arial" w:hAnsi="Arial"/>
          <w:sz w:val="21"/>
          <w:szCs w:val="21"/>
          <w:color w:val="auto"/>
        </w:rPr>
        <w:t>any order, judgment or decree of any Governmental Authority or arbitrator shall by its terms purport to enjoin or restrain such Issuing Bank from issuing such Letter of Credit, or request that such Issuing Bank refrain from issuing such Letter of</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040"/>
          </w:cols>
          <w:pgMar w:left="400" w:top="1440" w:right="459" w:bottom="1440" w:gutter="0" w:footer="0" w:header="0"/>
        </w:sectPr>
      </w:pPr>
    </w:p>
    <w:bookmarkStart w:id="148" w:name="page149"/>
    <w:bookmarkEnd w:id="148"/>
    <w:p>
      <w:pPr>
        <w:spacing w:after="0" w:line="193" w:lineRule="exact"/>
        <w:rPr>
          <w:sz w:val="20"/>
          <w:szCs w:val="20"/>
          <w:color w:val="auto"/>
        </w:rPr>
      </w:pPr>
    </w:p>
    <w:p>
      <w:pPr>
        <w:jc w:val="both"/>
        <w:ind w:left="700" w:right="120"/>
        <w:spacing w:after="0" w:line="222" w:lineRule="auto"/>
        <w:rPr>
          <w:sz w:val="20"/>
          <w:szCs w:val="20"/>
          <w:color w:val="auto"/>
        </w:rPr>
      </w:pPr>
      <w:r>
        <w:rPr>
          <w:rFonts w:ascii="Arial" w:cs="Arial" w:eastAsia="Arial" w:hAnsi="Arial"/>
          <w:sz w:val="21"/>
          <w:szCs w:val="21"/>
          <w:color w:val="auto"/>
        </w:rPr>
        <w:t>Credit, or any law applicable to such Issuing Bank shall prohibit the issuance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spacing w:after="0" w:line="188" w:lineRule="exact"/>
        <w:rPr>
          <w:sz w:val="20"/>
          <w:szCs w:val="20"/>
          <w:color w:val="auto"/>
        </w:rPr>
      </w:pPr>
    </w:p>
    <w:p>
      <w:pPr>
        <w:ind w:left="700" w:right="700" w:firstLine="1283"/>
        <w:spacing w:after="0" w:line="244" w:lineRule="auto"/>
        <w:tabs>
          <w:tab w:leader="none" w:pos="2463" w:val="left"/>
        </w:tabs>
        <w:numPr>
          <w:ilvl w:val="1"/>
          <w:numId w:val="67"/>
        </w:numPr>
        <w:rPr>
          <w:rFonts w:ascii="Arial" w:cs="Arial" w:eastAsia="Arial" w:hAnsi="Arial"/>
          <w:sz w:val="21"/>
          <w:szCs w:val="21"/>
          <w:color w:val="auto"/>
        </w:rPr>
      </w:pPr>
      <w:r>
        <w:rPr>
          <w:rFonts w:ascii="Arial" w:cs="Arial" w:eastAsia="Arial" w:hAnsi="Arial"/>
          <w:sz w:val="21"/>
          <w:szCs w:val="21"/>
          <w:color w:val="auto"/>
        </w:rPr>
        <w:t>the issuance of such Letter of Credit would violate one or more policies of such Issuing Bank applicable to letters of credit generally.</w:t>
      </w:r>
    </w:p>
    <w:p>
      <w:pPr>
        <w:spacing w:after="0" w:line="192" w:lineRule="exact"/>
        <w:rPr>
          <w:rFonts w:ascii="Arial" w:cs="Arial" w:eastAsia="Arial" w:hAnsi="Arial"/>
          <w:sz w:val="21"/>
          <w:szCs w:val="21"/>
          <w:color w:val="auto"/>
        </w:rPr>
      </w:pPr>
    </w:p>
    <w:p>
      <w:pPr>
        <w:jc w:val="both"/>
        <w:ind w:left="60" w:firstLine="635"/>
        <w:spacing w:after="0" w:line="239" w:lineRule="auto"/>
        <w:tabs>
          <w:tab w:leader="none" w:pos="1262"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Expiration Date</w:t>
      </w:r>
      <w:r>
        <w:rPr>
          <w:rFonts w:ascii="Arial" w:cs="Arial" w:eastAsia="Arial" w:hAnsi="Arial"/>
          <w:sz w:val="20"/>
          <w:szCs w:val="20"/>
          <w:color w:val="auto"/>
        </w:rPr>
        <w:t>. Each Letter of Credit shall expire (or be subject to termination by notice from the applicable Issuing Bank to the beneficiary thereof) at or prior to the close of business on the earlier of (i) the date one year after the date of the issuance of such Letter of Credit (or, in the case of any renewal or extension of the expiration date thereof, one year after such renewal or extension) and (ii) the date that is five (5) Business Days prior to the Maturity Date.</w:t>
      </w:r>
    </w:p>
    <w:p>
      <w:pPr>
        <w:spacing w:after="0" w:line="183" w:lineRule="exact"/>
        <w:rPr>
          <w:rFonts w:ascii="Arial" w:cs="Arial" w:eastAsia="Arial" w:hAnsi="Arial"/>
          <w:sz w:val="20"/>
          <w:szCs w:val="20"/>
          <w:color w:val="auto"/>
        </w:rPr>
      </w:pPr>
    </w:p>
    <w:p>
      <w:pPr>
        <w:jc w:val="both"/>
        <w:ind w:left="60" w:firstLine="635"/>
        <w:spacing w:after="0" w:line="228" w:lineRule="auto"/>
        <w:tabs>
          <w:tab w:leader="none" w:pos="1167"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 By the issuance of a Letter of Credit (or an amendment to a Letter of Credit increasing the amount or extending the term thereof) and without any further action on the part of the applicable Issuing Bank or the Revolving Lenders, such Issuing Bank hereby grants to each Revolving Lender, and each Revolving Lender hereby acquires from such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respective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including after the Maturity Date. Each such payment shall be made without any offset, abatement, withholding or reduction whatsoever.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w:t>
      </w:r>
    </w:p>
    <w:p>
      <w:pPr>
        <w:spacing w:after="0" w:line="202" w:lineRule="exact"/>
        <w:rPr>
          <w:rFonts w:ascii="Arial" w:cs="Arial" w:eastAsia="Arial" w:hAnsi="Arial"/>
          <w:sz w:val="20"/>
          <w:szCs w:val="20"/>
          <w:color w:val="auto"/>
        </w:rPr>
      </w:pPr>
    </w:p>
    <w:p>
      <w:pPr>
        <w:jc w:val="both"/>
        <w:ind w:left="60" w:right="120" w:firstLine="635"/>
        <w:spacing w:after="0" w:line="218" w:lineRule="auto"/>
        <w:tabs>
          <w:tab w:leader="none" w:pos="1155"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Reimbursement</w:t>
      </w:r>
      <w:r>
        <w:rPr>
          <w:rFonts w:ascii="Arial" w:cs="Arial" w:eastAsia="Arial" w:hAnsi="Arial"/>
          <w:sz w:val="21"/>
          <w:szCs w:val="21"/>
          <w:color w:val="auto"/>
        </w:rPr>
        <w:t xml:space="preserve">. If an Issuing Bank shall make any LC Disbursement in respect of a Letter of Credit, the Borrower shall reimburse such LC Disbursement by paying to the Administrative Agent an amount in the currency of such LC Disbursement equal to such LC Disbursement not later than 12:00 noon, New York City time, on the date that such LC Disbursement is made, if the Borrower shall have received notice of such LC Disbursement prior to 10:00 a.m., New York City time, on such date, or, if such notice has not been received by the Borrower prior to such time on such date, then not later than 12:00 noon, New York City time, on the Business Day immediately following the day that the Borrower receives such notice, if such notice is not received prior to such time on the day of receipt;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(x) if such LC Disbursement is denominated in Dollars and is not less than $1,000,000, the Borrower may, subject to the conditions to borrowing set forth herein, request in accordance with Section 2.03 or 2.05 that such payment be financed with an ABR Revolving Borrowing or Swingline Loan in 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160"/>
          </w:cols>
          <w:pgMar w:left="400" w:top="1440" w:right="339" w:bottom="1440" w:gutter="0" w:footer="0" w:header="0"/>
        </w:sectPr>
      </w:pPr>
    </w:p>
    <w:bookmarkStart w:id="149" w:name="page150"/>
    <w:bookmarkEnd w:id="149"/>
    <w:p>
      <w:pPr>
        <w:spacing w:after="0" w:line="193" w:lineRule="exact"/>
        <w:rPr>
          <w:sz w:val="20"/>
          <w:szCs w:val="20"/>
          <w:color w:val="auto"/>
        </w:rPr>
      </w:pPr>
    </w:p>
    <w:p>
      <w:pPr>
        <w:jc w:val="both"/>
        <w:ind w:left="60" w:right="120"/>
        <w:spacing w:after="0" w:line="226" w:lineRule="auto"/>
        <w:rPr>
          <w:sz w:val="20"/>
          <w:szCs w:val="20"/>
          <w:color w:val="auto"/>
        </w:rPr>
      </w:pPr>
      <w:r>
        <w:rPr>
          <w:rFonts w:ascii="Arial" w:cs="Arial" w:eastAsia="Arial" w:hAnsi="Arial"/>
          <w:sz w:val="20"/>
          <w:szCs w:val="20"/>
          <w:color w:val="auto"/>
        </w:rPr>
        <w:t xml:space="preserve">equivalent amount or (y) if such LC Disbursement is denominated in a Foreign Currency and the Dollar Equivalent thereof is not less than $1,000,000, the Borrower may, subject to the conditions to borrowings set forth herein, request in accordance with Section 2.03 that such payment be converted into an equivalent amount of an ABR Revolving Borrowing denominated in Dollars in an amount equal to the Dollar Equivalent of such Foreign Currency and, in each case, to the extent so financed, the Borrower’s obligation to make such payment shall be discharged and replaced by the resulting ABR Revolving Borrowing or Swingline Loan, as applicable. If the Borrower fails to make such payment when due, the Administrative Agent shall notify each Revolving Lender of the applicable LC Disbursement, the payment then due from the Borrower in respect thereof and such Lender’s Applicable Percentage thereof. Promptly following receipt of such notice, each Revolving Lender shall pay to the Administrative Agent its Applicable Percentage of the payment then due from the Borrower, in the same manner as provided in Section 2.07 with respect to Loans made by such Lender (and Section 2.07 shall apply, </w:t>
      </w:r>
      <w:r>
        <w:rPr>
          <w:rFonts w:ascii="Arial" w:cs="Arial" w:eastAsia="Arial" w:hAnsi="Arial"/>
          <w:sz w:val="20"/>
          <w:szCs w:val="20"/>
          <w:i w:val="1"/>
          <w:iCs w:val="1"/>
          <w:color w:val="auto"/>
        </w:rPr>
        <w:t>mutatis mutandis</w:t>
      </w:r>
      <w:r>
        <w:rPr>
          <w:rFonts w:ascii="Arial" w:cs="Arial" w:eastAsia="Arial" w:hAnsi="Arial"/>
          <w:sz w:val="20"/>
          <w:szCs w:val="20"/>
          <w:color w:val="auto"/>
        </w:rPr>
        <w:t>, to the payment obligations of the Revolving Lenders), and the Administrative Agent shall promptly pay to the respective Issuing Bank the amounts so received by it from the Revolving Lenders. Promptly following receipt by the Administrative Agent of any payment from the Borrower pursuant to this paragraph, the Administrative Agent shall distribute such payment to the respective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an Issuing Bank for any LC Disbursement (other than the funding of ABR Revolving Loans or a Swingline Loan as contemplated above) shall not constitute a Loan and shall not relieve the Borrower of its obligation to reimburse such LC Disbursement. If the Borrower’s reimbursement of, or obligation to reimburse, any amounts in any Foreign Currency would subject the Administrative Agent, the Issuing Bank or any Lender to any stamp duty, ad valorem charge or similar tax that would not be payable if such reimbursement were made or required to be made in Dollars, the Borrower shall, at its option, either (x) pay the amount of any such tax requested by the Administrative Agent, the Issuing Bank or the relevant Lender or (y) reimburse each LC Disbursement made in such Foreign Currency in Dollars, in an amount equal to the Dollar Equivalent thereof, calculated using the applicable Exchange Rates, on the date such LC Disbursement is made, of such LC Disbursement.</w:t>
      </w:r>
    </w:p>
    <w:p>
      <w:pPr>
        <w:spacing w:after="0" w:line="191" w:lineRule="exact"/>
        <w:rPr>
          <w:sz w:val="20"/>
          <w:szCs w:val="20"/>
          <w:color w:val="auto"/>
        </w:rPr>
      </w:pPr>
    </w:p>
    <w:p>
      <w:pPr>
        <w:jc w:val="both"/>
        <w:ind w:left="60" w:firstLine="635"/>
        <w:spacing w:after="0" w:line="228" w:lineRule="auto"/>
        <w:tabs>
          <w:tab w:leader="none" w:pos="1198" w:val="left"/>
        </w:tabs>
        <w:numPr>
          <w:ilvl w:val="1"/>
          <w:numId w:val="69"/>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w:t>
      </w:r>
    </w:p>
    <w:p>
      <w:pPr>
        <w:spacing w:after="0" w:line="2" w:lineRule="exact"/>
        <w:rPr>
          <w:rFonts w:ascii="Arial" w:cs="Arial" w:eastAsia="Arial" w:hAnsi="Arial"/>
          <w:sz w:val="20"/>
          <w:szCs w:val="20"/>
          <w:color w:val="auto"/>
        </w:rPr>
      </w:pPr>
    </w:p>
    <w:p>
      <w:pPr>
        <w:ind w:left="60" w:right="120" w:hanging="8"/>
        <w:spacing w:after="0" w:line="213" w:lineRule="auto"/>
        <w:tabs>
          <w:tab w:leader="none" w:pos="537" w:val="left"/>
        </w:tabs>
        <w:numPr>
          <w:ilvl w:val="0"/>
          <w:numId w:val="70"/>
        </w:numPr>
        <w:rPr>
          <w:rFonts w:ascii="Arial" w:cs="Arial" w:eastAsia="Arial" w:hAnsi="Arial"/>
          <w:sz w:val="21"/>
          <w:szCs w:val="21"/>
          <w:color w:val="auto"/>
        </w:rPr>
      </w:pPr>
      <w:r>
        <w:rPr>
          <w:rFonts w:ascii="Arial" w:cs="Arial" w:eastAsia="Arial" w:hAnsi="Arial"/>
          <w:sz w:val="21"/>
          <w:szCs w:val="21"/>
          <w:color w:val="auto"/>
        </w:rPr>
        <w:t>any draft or other document presented under a Letter of Credit proving to be forged, fraudulent or invalid in any respect or any statement therein being untrue or inaccurate in any respect,</w:t>
      </w:r>
    </w:p>
    <w:p>
      <w:pPr>
        <w:jc w:val="both"/>
        <w:ind w:left="60" w:right="120" w:hanging="8"/>
        <w:spacing w:after="0" w:line="242" w:lineRule="auto"/>
        <w:tabs>
          <w:tab w:leader="none" w:pos="654" w:val="left"/>
        </w:tabs>
        <w:numPr>
          <w:ilvl w:val="0"/>
          <w:numId w:val="70"/>
        </w:numPr>
        <w:rPr>
          <w:rFonts w:ascii="Arial" w:cs="Arial" w:eastAsia="Arial" w:hAnsi="Arial"/>
          <w:sz w:val="19"/>
          <w:szCs w:val="19"/>
          <w:color w:val="auto"/>
        </w:rPr>
      </w:pPr>
      <w:r>
        <w:rPr>
          <w:rFonts w:ascii="Arial" w:cs="Arial" w:eastAsia="Arial" w:hAnsi="Arial"/>
          <w:sz w:val="19"/>
          <w:szCs w:val="19"/>
          <w:color w:val="auto"/>
        </w:rPr>
        <w:t>payment by the respective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Foreign Currency to the Borrower or any Subsidiary or in the relevant currency markets generally. Neither the Administrative Agent, the Revolving Lenders nor any Issuing Bank, nor any of their respective Related Parties, shall have any liability or responsibility by reason of or in connection with the issuance or transfer of 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160"/>
          </w:cols>
          <w:pgMar w:left="400" w:top="1440" w:right="339" w:bottom="1440" w:gutter="0" w:footer="0" w:header="0"/>
        </w:sectPr>
      </w:pPr>
    </w:p>
    <w:bookmarkStart w:id="150" w:name="page151"/>
    <w:bookmarkEnd w:id="150"/>
    <w:p>
      <w:pPr>
        <w:spacing w:after="0" w:line="193" w:lineRule="exact"/>
        <w:rPr>
          <w:sz w:val="20"/>
          <w:szCs w:val="20"/>
          <w:color w:val="auto"/>
        </w:rPr>
      </w:pPr>
    </w:p>
    <w:p>
      <w:pPr>
        <w:jc w:val="both"/>
        <w:ind w:left="60" w:right="120"/>
        <w:spacing w:after="0" w:line="239" w:lineRule="auto"/>
        <w:rPr>
          <w:sz w:val="20"/>
          <w:szCs w:val="20"/>
          <w:color w:val="auto"/>
        </w:rPr>
      </w:pPr>
      <w:r>
        <w:rPr>
          <w:rFonts w:ascii="Arial" w:cs="Arial" w:eastAsia="Arial" w:hAnsi="Arial"/>
          <w:sz w:val="19"/>
          <w:szCs w:val="19"/>
          <w:color w:val="auto"/>
        </w:rPr>
        <w:t xml:space="preserve">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2" w:lineRule="exact"/>
        <w:rPr>
          <w:sz w:val="20"/>
          <w:szCs w:val="20"/>
          <w:color w:val="auto"/>
        </w:rPr>
      </w:pPr>
    </w:p>
    <w:p>
      <w:pPr>
        <w:jc w:val="both"/>
        <w:ind w:left="60" w:firstLine="635"/>
        <w:spacing w:after="0" w:line="232" w:lineRule="auto"/>
        <w:tabs>
          <w:tab w:leader="none" w:pos="1221"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Disbursement Procedures</w:t>
      </w:r>
      <w:r>
        <w:rPr>
          <w:rFonts w:ascii="Arial" w:cs="Arial" w:eastAsia="Arial" w:hAnsi="Arial"/>
          <w:sz w:val="20"/>
          <w:szCs w:val="20"/>
          <w:color w:val="auto"/>
        </w:rPr>
        <w:t xml:space="preserve">.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Borrower by telephone (confirmed by telecopy or electronic mail) of such demand for payment if such Issuing Bank has made or will make an LC Disbursement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notice need not be given prior to payment by the Issuing Bank and any failure to give or delay in giving such notice shall not relieve the Borrower of its obligation to reimburse such Issuing Bank and the Revolving Lenders with respect to any such LC Disbursement.</w:t>
      </w:r>
    </w:p>
    <w:p>
      <w:pPr>
        <w:spacing w:after="0" w:line="186" w:lineRule="exact"/>
        <w:rPr>
          <w:rFonts w:ascii="Arial" w:cs="Arial" w:eastAsia="Arial" w:hAnsi="Arial"/>
          <w:sz w:val="20"/>
          <w:szCs w:val="20"/>
          <w:color w:val="auto"/>
        </w:rPr>
      </w:pPr>
    </w:p>
    <w:p>
      <w:pPr>
        <w:jc w:val="both"/>
        <w:ind w:left="60" w:right="120" w:firstLine="635"/>
        <w:spacing w:after="0" w:line="243" w:lineRule="auto"/>
        <w:tabs>
          <w:tab w:leader="none" w:pos="123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the Issuing Bank for any Letter of Credit shall make any LC Disbursement, then, unless the Borrower shall reimburse such LC Disbursement in full in the applicable currency on the date such LC Disbursement is made, the unpaid amount thereof shall bear interest, for each day from and including the date such LC Disbursement is made to but excluding the date that the reimbursement is due and payable at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then applicable to ABR Revolving Loans and such interest shall be due and payable on the date when such reimbursement is payable;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reimburse such LC Disbursement when due pursuant to paragraph (e) of this Section, then Section 2.13(d) shall apply. Interest accrued pursuant to this paragraph shall be for the account of such Issuing Bank, except that interest accrued on and after the date of payment by any Revolving Lender pursuant to paragraph (e) of this Section to reimburse such Issuing Bank for such LC Disbursement shall be for the account of such Lender to the extent of such payment.</w:t>
      </w:r>
    </w:p>
    <w:p>
      <w:pPr>
        <w:spacing w:after="0" w:line="180" w:lineRule="exact"/>
        <w:rPr>
          <w:rFonts w:ascii="Arial" w:cs="Arial" w:eastAsia="Arial" w:hAnsi="Arial"/>
          <w:sz w:val="19"/>
          <w:szCs w:val="19"/>
          <w:color w:val="auto"/>
        </w:rPr>
      </w:pPr>
    </w:p>
    <w:p>
      <w:pPr>
        <w:ind w:left="60" w:right="120" w:firstLine="635"/>
        <w:spacing w:after="0" w:line="244" w:lineRule="auto"/>
        <w:tabs>
          <w:tab w:leader="none" w:pos="1200"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Replacement and Resignation of an Issuing Bank</w:t>
      </w:r>
      <w:r>
        <w:rPr>
          <w:rFonts w:ascii="Arial" w:cs="Arial" w:eastAsia="Arial" w:hAnsi="Arial"/>
          <w:sz w:val="21"/>
          <w:szCs w:val="21"/>
          <w:color w:val="auto"/>
        </w:rPr>
        <w:t>. (i) An Issuing Bank may be replaced at any time by written agreement among the Borrower, the Administrative Agent, the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color w:val="auto"/>
        </w:rPr>
        <w:t>61</w:t>
      </w:r>
    </w:p>
    <w:p>
      <w:pPr>
        <w:sectPr>
          <w:pgSz w:w="11900" w:h="16838" w:orient="portrait"/>
          <w:cols w:equalWidth="0" w:num="1">
            <w:col w:w="11160"/>
          </w:cols>
          <w:pgMar w:left="400" w:top="1440" w:right="339" w:bottom="1440" w:gutter="0" w:footer="0" w:header="0"/>
        </w:sectPr>
      </w:pPr>
    </w:p>
    <w:bookmarkStart w:id="151" w:name="page152"/>
    <w:bookmarkEnd w:id="151"/>
    <w:p>
      <w:pPr>
        <w:spacing w:after="0" w:line="193" w:lineRule="exact"/>
        <w:rPr>
          <w:sz w:val="20"/>
          <w:szCs w:val="20"/>
          <w:color w:val="auto"/>
        </w:rPr>
      </w:pPr>
    </w:p>
    <w:p>
      <w:pPr>
        <w:jc w:val="both"/>
        <w:ind w:left="60"/>
        <w:spacing w:after="0" w:line="216" w:lineRule="auto"/>
        <w:rPr>
          <w:sz w:val="20"/>
          <w:szCs w:val="20"/>
          <w:color w:val="auto"/>
        </w:rPr>
      </w:pPr>
      <w:r>
        <w:rPr>
          <w:rFonts w:ascii="Arial" w:cs="Arial" w:eastAsia="Arial" w:hAnsi="Arial"/>
          <w:sz w:val="21"/>
          <w:szCs w:val="21"/>
          <w:color w:val="auto"/>
        </w:rPr>
        <w:t>replaced Issuing Bank and the successor Issuing Bank. The Administrative Agent shall notify the Revolving Lenders of any such replacement of an Issuing Bank. At the time any such replacement shall become effective, the Borrower shall pay all unpaid fees accrued for the account of the replaced Issuing Bank pursuant to Section 2.12(b). From and after the effective date of any such replacement, (x) the successor Issuing Bank shall have all the rights and obligations of an Issuing Bank under this Agreement with respect to Letters of Credit to be issued by it thereafter and</w:t>
      </w:r>
    </w:p>
    <w:p>
      <w:pPr>
        <w:spacing w:after="0" w:line="4" w:lineRule="exact"/>
        <w:rPr>
          <w:sz w:val="20"/>
          <w:szCs w:val="20"/>
          <w:color w:val="auto"/>
        </w:rPr>
      </w:pPr>
    </w:p>
    <w:p>
      <w:pPr>
        <w:jc w:val="both"/>
        <w:ind w:left="60" w:hanging="8"/>
        <w:spacing w:after="0" w:line="219" w:lineRule="auto"/>
        <w:tabs>
          <w:tab w:leader="none" w:pos="556" w:val="left"/>
        </w:tabs>
        <w:numPr>
          <w:ilvl w:val="0"/>
          <w:numId w:val="72"/>
        </w:numPr>
        <w:rPr>
          <w:rFonts w:ascii="Arial" w:cs="Arial" w:eastAsia="Arial" w:hAnsi="Arial"/>
          <w:sz w:val="21"/>
          <w:szCs w:val="21"/>
          <w:color w:val="auto"/>
        </w:rPr>
      </w:pPr>
      <w:r>
        <w:rPr>
          <w:rFonts w:ascii="Arial" w:cs="Arial" w:eastAsia="Arial" w:hAnsi="Arial"/>
          <w:sz w:val="21"/>
          <w:szCs w:val="21"/>
          <w:color w:val="auto"/>
        </w:rPr>
        <w:t>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88" w:lineRule="exact"/>
        <w:rPr>
          <w:rFonts w:ascii="Arial" w:cs="Arial" w:eastAsia="Arial" w:hAnsi="Arial"/>
          <w:sz w:val="21"/>
          <w:szCs w:val="21"/>
          <w:color w:val="auto"/>
        </w:rPr>
      </w:pPr>
    </w:p>
    <w:p>
      <w:pPr>
        <w:jc w:val="both"/>
        <w:ind w:left="700" w:firstLine="1283"/>
        <w:spacing w:after="0" w:line="227" w:lineRule="auto"/>
        <w:tabs>
          <w:tab w:leader="none" w:pos="2517" w:val="left"/>
        </w:tabs>
        <w:numPr>
          <w:ilvl w:val="2"/>
          <w:numId w:val="72"/>
        </w:numPr>
        <w:rPr>
          <w:rFonts w:ascii="Arial" w:cs="Arial" w:eastAsia="Arial" w:hAnsi="Arial"/>
          <w:sz w:val="21"/>
          <w:szCs w:val="21"/>
          <w:color w:val="auto"/>
        </w:rPr>
      </w:pPr>
      <w:r>
        <w:rPr>
          <w:rFonts w:ascii="Arial" w:cs="Arial" w:eastAsia="Arial" w:hAnsi="Arial"/>
          <w:sz w:val="21"/>
          <w:szCs w:val="21"/>
          <w:color w:val="auto"/>
        </w:rPr>
        <w:t>Subject to the appointment and acceptance of a successor Issuing Bank, any Issuing Bank may resign as an Issuing Bank at any time upon thirty days’ prior written notice to the Administrative Agent, the Borrower and the Lenders, in which case, such resigning Issuing Bank shall be replaced in accordance with Section 2.06(i)(i) above.</w:t>
      </w:r>
    </w:p>
    <w:p>
      <w:pPr>
        <w:spacing w:after="0" w:line="199" w:lineRule="exact"/>
        <w:rPr>
          <w:rFonts w:ascii="Arial" w:cs="Arial" w:eastAsia="Arial" w:hAnsi="Arial"/>
          <w:sz w:val="21"/>
          <w:szCs w:val="21"/>
          <w:color w:val="auto"/>
        </w:rPr>
      </w:pPr>
    </w:p>
    <w:p>
      <w:pPr>
        <w:jc w:val="both"/>
        <w:ind w:left="60" w:firstLine="635"/>
        <w:spacing w:after="0"/>
        <w:tabs>
          <w:tab w:leader="none" w:pos="1267"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If any Event of Default shall occur and be continuing, on the Business Day that the Borrower receives notice from the Administrative Agent or the Required Lenders (or, if the maturity of the Loans has been accelerated, Revolving Lenders with LC Exposure representing greater than 50% of the total LC Exposure) demanding the deposit of cash collateral pursuant to this paragraph, the Borrower shall deposit in an account or accounts with the Administrative Agent, in the name of the Administrative Agent and for the benefit of the Revolving Lenders (the “</w:t>
      </w:r>
      <w:r>
        <w:rPr>
          <w:rFonts w:ascii="Arial" w:cs="Arial" w:eastAsia="Arial" w:hAnsi="Arial"/>
          <w:sz w:val="19"/>
          <w:szCs w:val="19"/>
          <w:b w:val="1"/>
          <w:bCs w:val="1"/>
          <w:i w:val="1"/>
          <w:iCs w:val="1"/>
          <w:color w:val="auto"/>
        </w:rPr>
        <w:t>Collateral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Account</w:t>
      </w:r>
      <w:r>
        <w:rPr>
          <w:rFonts w:ascii="Arial" w:cs="Arial" w:eastAsia="Arial" w:hAnsi="Arial"/>
          <w:sz w:val="19"/>
          <w:szCs w:val="19"/>
          <w:color w:val="auto"/>
        </w:rPr>
        <w:t>”), an amount in cash equal to 105% of the Dollar Equivalent amount of the LC Exposure in the applicable currencies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as of such date plus any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Section 7.01(f). The Borrower also shall deposit cash collateral pursuant to this paragraph as and to the extent required by Section 2.11(c). Such deposit shall be held by the Administrative Agent as collateral for the payment and performance of the obligations of the Borrower under this Agreement. In addition, and without limiting the foregoing or paragraph (c) of this Section, if any LC Exposure remain outstanding after the expiration date specified in said paragraph (c), the Borrower shall immediately deposit into the Collateral Account an amount in cash equal to 105% of such LC Exposure as of such date plus any accrued and unpaid interest thereon.</w:t>
      </w:r>
    </w:p>
    <w:p>
      <w:pPr>
        <w:spacing w:after="0" w:line="185" w:lineRule="exact"/>
        <w:rPr>
          <w:sz w:val="20"/>
          <w:szCs w:val="20"/>
          <w:color w:val="auto"/>
        </w:rPr>
      </w:pPr>
    </w:p>
    <w:p>
      <w:pPr>
        <w:jc w:val="both"/>
        <w:ind w:left="60" w:firstLine="642"/>
        <w:spacing w:after="0" w:line="247" w:lineRule="auto"/>
        <w:rPr>
          <w:sz w:val="20"/>
          <w:szCs w:val="20"/>
          <w:color w:val="auto"/>
        </w:rPr>
      </w:pPr>
      <w:r>
        <w:rPr>
          <w:rFonts w:ascii="Arial" w:cs="Arial" w:eastAsia="Arial" w:hAnsi="Arial"/>
          <w:sz w:val="19"/>
          <w:szCs w:val="19"/>
          <w:color w:val="auto"/>
        </w:rPr>
        <w:t>The Administrative Agent shall have exclusive dominion and control, including the exclusive right of withdrawal, over such account and the Borrower hereby grants the Administrative Agent a security interest in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each Issuing Bank for LC Disbursements for which it has not been reimbursed, together with related fees, costs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color w:val="auto"/>
        </w:rPr>
        <w:t>62</w:t>
      </w:r>
    </w:p>
    <w:p>
      <w:pPr>
        <w:sectPr>
          <w:pgSz w:w="11900" w:h="16838" w:orient="portrait"/>
          <w:cols w:equalWidth="0" w:num="1">
            <w:col w:w="11040"/>
          </w:cols>
          <w:pgMar w:left="400" w:top="1440" w:right="459" w:bottom="1440" w:gutter="0" w:footer="0" w:header="0"/>
        </w:sectPr>
      </w:pPr>
    </w:p>
    <w:bookmarkStart w:id="152" w:name="page153"/>
    <w:bookmarkEnd w:id="152"/>
    <w:p>
      <w:pPr>
        <w:spacing w:after="0" w:line="194" w:lineRule="exact"/>
        <w:rPr>
          <w:sz w:val="20"/>
          <w:szCs w:val="20"/>
          <w:color w:val="auto"/>
        </w:rPr>
      </w:pPr>
    </w:p>
    <w:p>
      <w:pPr>
        <w:jc w:val="both"/>
        <w:ind w:left="60"/>
        <w:spacing w:after="0" w:line="234" w:lineRule="auto"/>
        <w:rPr>
          <w:sz w:val="20"/>
          <w:szCs w:val="20"/>
          <w:color w:val="auto"/>
        </w:rPr>
      </w:pPr>
      <w:r>
        <w:rPr>
          <w:rFonts w:ascii="Arial" w:cs="Arial" w:eastAsia="Arial" w:hAnsi="Arial"/>
          <w:sz w:val="20"/>
          <w:szCs w:val="20"/>
          <w:color w:val="auto"/>
        </w:rPr>
        <w:t>and customary processing charges,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greater than 50% of the total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183" w:lineRule="exact"/>
        <w:rPr>
          <w:sz w:val="20"/>
          <w:szCs w:val="20"/>
          <w:color w:val="auto"/>
        </w:rPr>
      </w:pPr>
    </w:p>
    <w:p>
      <w:pPr>
        <w:jc w:val="both"/>
        <w:ind w:left="60" w:firstLine="635"/>
        <w:spacing w:after="0" w:line="242" w:lineRule="auto"/>
        <w:tabs>
          <w:tab w:leader="none" w:pos="118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Letters of Credit Issued for Account of Subsidiaries</w:t>
      </w:r>
      <w:r>
        <w:rPr>
          <w:rFonts w:ascii="Arial" w:cs="Arial" w:eastAsia="Arial" w:hAnsi="Arial"/>
          <w:sz w:val="19"/>
          <w:szCs w:val="19"/>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183" w:lineRule="exact"/>
        <w:rPr>
          <w:rFonts w:ascii="Arial" w:cs="Arial" w:eastAsia="Arial" w:hAnsi="Arial"/>
          <w:sz w:val="19"/>
          <w:szCs w:val="19"/>
          <w:color w:val="auto"/>
        </w:rPr>
      </w:pPr>
    </w:p>
    <w:p>
      <w:pPr>
        <w:jc w:val="both"/>
        <w:ind w:left="60" w:firstLine="635"/>
        <w:spacing w:after="0" w:line="228" w:lineRule="auto"/>
        <w:tabs>
          <w:tab w:leader="none" w:pos="1119"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Issuing Bank Agreements</w:t>
      </w:r>
      <w:r>
        <w:rPr>
          <w:rFonts w:ascii="Arial" w:cs="Arial" w:eastAsia="Arial" w:hAnsi="Arial"/>
          <w:sz w:val="20"/>
          <w:szCs w:val="20"/>
          <w:color w:val="auto"/>
        </w:rPr>
        <w:t>. Unless otherwise requested by the Administrative Agent, each Issuing Bank shall report in writing to the Administrative Agent (i) promptly following the end of each calendar month, the aggregate amount of Letters of Credit issued by it and outstanding at the end of such month, (ii) on or prior to each Business Day on which such Issuing Bank expects to issue, amend, renew or extend any Letter of Credit, the date of such issuance, amendment, renewal or extension, and the aggregate face amount of the Letter of Credit to be issued, amended, renewed or extended by it and 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 (iii) on each Business Day on which such Issuing Bank makes any payment under any Letter of Credit, the date of such payment under such Letter of Credit and the amount of such payment, (iv) on any Business Day on which the Borrower fails to reimburse any payment under any Letter of Credit required to be reimbursed to such Issuing Bank on such day, the date of such failure and the amount of such payment and (v) on any other Business Day, such other information as the Administrative Agent shall reasonably request.</w:t>
      </w:r>
    </w:p>
    <w:p>
      <w:pPr>
        <w:spacing w:after="0" w:line="189"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u w:val="single" w:color="auto"/>
          <w:color w:val="auto"/>
        </w:rPr>
        <w:t>Funding of Borrowings</w:t>
      </w:r>
      <w:r>
        <w:rPr>
          <w:rFonts w:ascii="Arial" w:cs="Arial" w:eastAsia="Arial" w:hAnsi="Arial"/>
          <w:sz w:val="21"/>
          <w:szCs w:val="21"/>
          <w:color w:val="auto"/>
        </w:rPr>
        <w:t>. (a) Each Lender shall make each Loan to be made by it hereunder on the proposed date thereof solely by wire transfer of immediately available funds (i) in the case of Loans denominated in Dollars, by 12:00 noon, New York City time, to the account of the Administrative Agent most recently designated by it for such purpose by notice to the Lenders and (ii) in the case of each Loan denominated in a Foreign Currency, by 12:00 noon, Local Time, in the city of the Administrative Agent’s Eurocurrency Payment Office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color w:val="auto"/>
        </w:rPr>
        <w:t>63</w:t>
      </w:r>
    </w:p>
    <w:p>
      <w:pPr>
        <w:sectPr>
          <w:pgSz w:w="11900" w:h="16838" w:orient="portrait"/>
          <w:cols w:equalWidth="0" w:num="1">
            <w:col w:w="11040"/>
          </w:cols>
          <w:pgMar w:left="400" w:top="1440" w:right="459" w:bottom="1440" w:gutter="0" w:footer="0" w:header="0"/>
        </w:sectPr>
      </w:pPr>
    </w:p>
    <w:bookmarkStart w:id="153" w:name="page154"/>
    <w:bookmarkEnd w:id="153"/>
    <w:p>
      <w:pPr>
        <w:spacing w:after="0" w:line="194" w:lineRule="exact"/>
        <w:rPr>
          <w:sz w:val="20"/>
          <w:szCs w:val="20"/>
          <w:color w:val="auto"/>
        </w:rPr>
      </w:pPr>
    </w:p>
    <w:p>
      <w:pPr>
        <w:jc w:val="both"/>
        <w:ind w:left="60"/>
        <w:spacing w:after="0"/>
        <w:rPr>
          <w:sz w:val="20"/>
          <w:szCs w:val="20"/>
          <w:color w:val="auto"/>
        </w:rPr>
      </w:pPr>
      <w:r>
        <w:rPr>
          <w:rFonts w:ascii="Arial" w:cs="Arial" w:eastAsia="Arial" w:hAnsi="Arial"/>
          <w:sz w:val="19"/>
          <w:szCs w:val="19"/>
          <w:color w:val="auto"/>
        </w:rPr>
        <w:t xml:space="preserve">for such currency and at such Eurocurrency Payment Office for such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Term Loans shall be made as provided in Section 2.01(b) and (ii) Swingline Loans shall be made as provided in Section 2.05. Except in respect of the provisions of this Agreement covering the reimbursement of Letters of Credit, the Administrative Agent will make such Loans available to the Borrower by promptly crediting the funds so received in the aforesaid account of the Administrative Agent to</w:t>
      </w:r>
    </w:p>
    <w:p>
      <w:pPr>
        <w:spacing w:after="0" w:line="2" w:lineRule="exact"/>
        <w:rPr>
          <w:sz w:val="20"/>
          <w:szCs w:val="20"/>
          <w:color w:val="auto"/>
        </w:rPr>
      </w:pPr>
    </w:p>
    <w:p>
      <w:pPr>
        <w:jc w:val="both"/>
        <w:ind w:left="60" w:hanging="8"/>
        <w:spacing w:after="0" w:line="232" w:lineRule="auto"/>
        <w:tabs>
          <w:tab w:leader="none" w:pos="372"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an account of the Borrower maintained with the Administrative Agent in New York City or Chicago and designated by the Borrower in the applicable Borrowing Request, in the case of Loans Denominated in Dollars and (y) an account of the Borrower in the relevant jurisdiction and designated by the Borrower in the applicable Borrowing Request, in the case of Loans denominated in a Foreign Currency;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ABR Revolving Loans made to finance the reimbursement of an LC Disbursement as provided in Section 2.06(e) shall be remitted by the Administrative Agent to the Issuing Bank.</w:t>
      </w:r>
    </w:p>
    <w:p>
      <w:pPr>
        <w:spacing w:after="0" w:line="184" w:lineRule="exact"/>
        <w:rPr>
          <w:rFonts w:ascii="Arial" w:cs="Arial" w:eastAsia="Arial" w:hAnsi="Arial"/>
          <w:sz w:val="20"/>
          <w:szCs w:val="20"/>
          <w:color w:val="auto"/>
        </w:rPr>
      </w:pPr>
    </w:p>
    <w:p>
      <w:pPr>
        <w:jc w:val="both"/>
        <w:ind w:left="60" w:firstLine="635"/>
        <w:spacing w:after="0" w:line="242" w:lineRule="auto"/>
        <w:tabs>
          <w:tab w:leader="none" w:pos="1046" w:val="left"/>
        </w:tabs>
        <w:numPr>
          <w:ilvl w:val="1"/>
          <w:numId w:val="74"/>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w:t>
      </w:r>
    </w:p>
    <w:p>
      <w:pPr>
        <w:jc w:val="both"/>
        <w:ind w:left="60" w:hanging="8"/>
        <w:spacing w:after="0" w:line="228" w:lineRule="auto"/>
        <w:tabs>
          <w:tab w:leader="none" w:pos="354" w:val="left"/>
        </w:tabs>
        <w:numPr>
          <w:ilvl w:val="0"/>
          <w:numId w:val="75"/>
        </w:numPr>
        <w:rPr>
          <w:rFonts w:ascii="Arial" w:cs="Arial" w:eastAsia="Arial" w:hAnsi="Arial"/>
          <w:sz w:val="20"/>
          <w:szCs w:val="20"/>
          <w:color w:val="auto"/>
        </w:rPr>
      </w:pPr>
      <w:r>
        <w:rPr>
          <w:rFonts w:ascii="Arial" w:cs="Arial" w:eastAsia="Arial" w:hAnsi="Arial"/>
          <w:sz w:val="20"/>
          <w:szCs w:val="20"/>
          <w:color w:val="auto"/>
        </w:rPr>
        <w:t>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w:t>
      </w:r>
    </w:p>
    <w:p>
      <w:pPr>
        <w:spacing w:after="0" w:line="201" w:lineRule="exact"/>
        <w:rPr>
          <w:sz w:val="20"/>
          <w:szCs w:val="20"/>
          <w:color w:val="auto"/>
        </w:rPr>
      </w:pPr>
    </w:p>
    <w:p>
      <w:pPr>
        <w:jc w:val="both"/>
        <w:ind w:left="60" w:firstLine="642"/>
        <w:spacing w:after="0" w:line="231" w:lineRule="auto"/>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u w:val="single" w:color="auto"/>
          <w:color w:val="auto"/>
        </w:rPr>
        <w:t>Interest Elections</w:t>
      </w:r>
      <w:r>
        <w:rPr>
          <w:rFonts w:ascii="Arial" w:cs="Arial" w:eastAsia="Arial" w:hAnsi="Arial"/>
          <w:sz w:val="20"/>
          <w:szCs w:val="20"/>
          <w:color w:val="auto"/>
        </w:rPr>
        <w:t>. (a) Each Borrowing initially shall be of the Type and Agreed Currency specified in the applicable Borrowing Request and, in the case of a Term Benchmark Revolving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200" w:lineRule="exact"/>
        <w:rPr>
          <w:sz w:val="20"/>
          <w:szCs w:val="20"/>
          <w:color w:val="auto"/>
        </w:rPr>
      </w:pPr>
    </w:p>
    <w:p>
      <w:pPr>
        <w:jc w:val="both"/>
        <w:ind w:left="60" w:firstLine="635"/>
        <w:spacing w:after="0" w:line="224" w:lineRule="auto"/>
        <w:tabs>
          <w:tab w:leader="none" w:pos="1194" w:val="left"/>
        </w:tabs>
        <w:numPr>
          <w:ilvl w:val="0"/>
          <w:numId w:val="76"/>
        </w:numPr>
        <w:rPr>
          <w:rFonts w:ascii="Arial" w:cs="Arial" w:eastAsia="Arial" w:hAnsi="Arial"/>
          <w:sz w:val="21"/>
          <w:szCs w:val="21"/>
          <w:color w:val="auto"/>
        </w:rPr>
      </w:pPr>
      <w:r>
        <w:rPr>
          <w:rFonts w:ascii="Arial" w:cs="Arial" w:eastAsia="Arial" w:hAnsi="Arial"/>
          <w:sz w:val="21"/>
          <w:szCs w:val="21"/>
          <w:color w:val="auto"/>
        </w:rPr>
        <w:t>To make an election pursuant to this Section, the Borrower shall notify the Administrative Agent of such election by the time that a Borrowing Request would be required under Section 2.03 if the Borrower were requesting a Borrowing of the Type resulting from such election to be made on the effective date of such election. Each such Interest Election Request shall be irrevocable and shall be signed by a Responsible Officer of the Borrower. Notwithstanding any contrary provision herein, this Section shall not be construed to permit the Borrower to (i)</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color w:val="auto"/>
        </w:rPr>
        <w:t>64</w:t>
      </w:r>
    </w:p>
    <w:p>
      <w:pPr>
        <w:sectPr>
          <w:pgSz w:w="11900" w:h="16838" w:orient="portrait"/>
          <w:cols w:equalWidth="0" w:num="1">
            <w:col w:w="11040"/>
          </w:cols>
          <w:pgMar w:left="400" w:top="1440" w:right="459" w:bottom="1440" w:gutter="0" w:footer="0" w:header="0"/>
        </w:sectPr>
      </w:pPr>
    </w:p>
    <w:bookmarkStart w:id="154" w:name="page155"/>
    <w:bookmarkEnd w:id="154"/>
    <w:p>
      <w:pPr>
        <w:spacing w:after="0" w:line="194" w:lineRule="exact"/>
        <w:rPr>
          <w:sz w:val="20"/>
          <w:szCs w:val="20"/>
          <w:color w:val="auto"/>
        </w:rPr>
      </w:pPr>
    </w:p>
    <w:p>
      <w:pPr>
        <w:jc w:val="both"/>
        <w:ind w:left="60"/>
        <w:spacing w:after="0" w:line="232" w:lineRule="auto"/>
        <w:rPr>
          <w:sz w:val="20"/>
          <w:szCs w:val="20"/>
          <w:color w:val="auto"/>
        </w:rPr>
      </w:pPr>
      <w:r>
        <w:rPr>
          <w:rFonts w:ascii="Arial" w:cs="Arial" w:eastAsia="Arial" w:hAnsi="Arial"/>
          <w:sz w:val="21"/>
          <w:szCs w:val="21"/>
          <w:color w:val="auto"/>
        </w:rPr>
        <w:t>change the currency of any Borrowing, (ii) elect an Interest Period for Term Benchmark Loans that does not comply with Section 2.02(d) or (iii) convert any Borrowing to a Borrowing of a Type not available under the Class of Commitments pursuant to which such Borrowing was made.</w:t>
      </w:r>
    </w:p>
    <w:p>
      <w:pPr>
        <w:spacing w:after="0" w:line="184" w:lineRule="exact"/>
        <w:rPr>
          <w:sz w:val="20"/>
          <w:szCs w:val="20"/>
          <w:color w:val="auto"/>
        </w:rPr>
      </w:pPr>
    </w:p>
    <w:p>
      <w:pPr>
        <w:ind w:left="1140" w:hanging="445"/>
        <w:spacing w:after="0"/>
        <w:tabs>
          <w:tab w:leader="none" w:pos="1140" w:val="left"/>
        </w:tabs>
        <w:numPr>
          <w:ilvl w:val="0"/>
          <w:numId w:val="77"/>
        </w:numPr>
        <w:rPr>
          <w:rFonts w:ascii="Arial" w:cs="Arial" w:eastAsia="Arial" w:hAnsi="Arial"/>
          <w:sz w:val="21"/>
          <w:szCs w:val="21"/>
          <w:color w:val="auto"/>
        </w:rPr>
      </w:pPr>
      <w:r>
        <w:rPr>
          <w:rFonts w:ascii="Arial" w:cs="Arial" w:eastAsia="Arial" w:hAnsi="Arial"/>
          <w:sz w:val="21"/>
          <w:szCs w:val="21"/>
          <w:color w:val="auto"/>
        </w:rPr>
        <w:t>Each Interest Election Request shall specify the following information in compliance with Section 2.02:</w:t>
      </w:r>
    </w:p>
    <w:p>
      <w:pPr>
        <w:spacing w:after="0" w:line="227" w:lineRule="exact"/>
        <w:rPr>
          <w:rFonts w:ascii="Arial" w:cs="Arial" w:eastAsia="Arial" w:hAnsi="Arial"/>
          <w:sz w:val="21"/>
          <w:szCs w:val="21"/>
          <w:color w:val="auto"/>
        </w:rPr>
      </w:pPr>
    </w:p>
    <w:p>
      <w:pPr>
        <w:jc w:val="both"/>
        <w:ind w:left="700" w:firstLine="1283"/>
        <w:spacing w:after="0" w:line="242" w:lineRule="auto"/>
        <w:tabs>
          <w:tab w:leader="none" w:pos="2571" w:val="left"/>
        </w:tabs>
        <w:numPr>
          <w:ilvl w:val="2"/>
          <w:numId w:val="77"/>
        </w:numPr>
        <w:rPr>
          <w:rFonts w:ascii="Arial" w:cs="Arial" w:eastAsia="Arial" w:hAnsi="Arial"/>
          <w:sz w:val="19"/>
          <w:szCs w:val="19"/>
          <w:color w:val="auto"/>
        </w:rPr>
      </w:pPr>
      <w:r>
        <w:rPr>
          <w:rFonts w:ascii="Arial" w:cs="Arial" w:eastAsia="Arial" w:hAnsi="Arial"/>
          <w:sz w:val="19"/>
          <w:szCs w:val="19"/>
          <w:color w:val="auto"/>
        </w:rPr>
        <w:t>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w:t>
      </w:r>
    </w:p>
    <w:p>
      <w:pPr>
        <w:ind w:left="1220" w:hanging="524"/>
        <w:spacing w:after="0"/>
        <w:tabs>
          <w:tab w:leader="none" w:pos="1220" w:val="left"/>
        </w:tabs>
        <w:numPr>
          <w:ilvl w:val="1"/>
          <w:numId w:val="77"/>
        </w:numPr>
        <w:rPr>
          <w:rFonts w:ascii="Arial" w:cs="Arial" w:eastAsia="Arial" w:hAnsi="Arial"/>
          <w:sz w:val="21"/>
          <w:szCs w:val="21"/>
          <w:color w:val="auto"/>
        </w:rPr>
      </w:pPr>
      <w:r>
        <w:rPr>
          <w:rFonts w:ascii="Arial" w:cs="Arial" w:eastAsia="Arial" w:hAnsi="Arial"/>
          <w:sz w:val="21"/>
          <w:szCs w:val="21"/>
          <w:color w:val="auto"/>
        </w:rPr>
        <w:t>below shall be specified for each resulting Borrowing);</w:t>
      </w:r>
    </w:p>
    <w:p>
      <w:pPr>
        <w:spacing w:after="0" w:line="209" w:lineRule="exact"/>
        <w:rPr>
          <w:rFonts w:ascii="Arial" w:cs="Arial" w:eastAsia="Arial" w:hAnsi="Arial"/>
          <w:sz w:val="21"/>
          <w:szCs w:val="21"/>
          <w:color w:val="auto"/>
        </w:rPr>
      </w:pPr>
    </w:p>
    <w:p>
      <w:pPr>
        <w:ind w:left="2480" w:hanging="497"/>
        <w:spacing w:after="0"/>
        <w:tabs>
          <w:tab w:leader="none" w:pos="2480" w:val="left"/>
        </w:tabs>
        <w:numPr>
          <w:ilvl w:val="2"/>
          <w:numId w:val="78"/>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w:t>
      </w:r>
    </w:p>
    <w:p>
      <w:pPr>
        <w:spacing w:after="0" w:line="13" w:lineRule="exact"/>
        <w:rPr>
          <w:rFonts w:ascii="Arial" w:cs="Arial" w:eastAsia="Arial" w:hAnsi="Arial"/>
          <w:sz w:val="19"/>
          <w:szCs w:val="19"/>
          <w:color w:val="auto"/>
        </w:rPr>
      </w:pPr>
    </w:p>
    <w:p>
      <w:pPr>
        <w:ind w:left="700"/>
        <w:spacing w:after="0"/>
        <w:rPr>
          <w:rFonts w:ascii="Arial" w:cs="Arial" w:eastAsia="Arial" w:hAnsi="Arial"/>
          <w:sz w:val="19"/>
          <w:szCs w:val="19"/>
          <w:color w:val="auto"/>
        </w:rPr>
      </w:pPr>
      <w:r>
        <w:rPr>
          <w:rFonts w:ascii="Arial" w:cs="Arial" w:eastAsia="Arial" w:hAnsi="Arial"/>
          <w:sz w:val="21"/>
          <w:szCs w:val="21"/>
          <w:color w:val="auto"/>
        </w:rPr>
        <w:t>Business Day;</w:t>
      </w:r>
    </w:p>
    <w:p>
      <w:pPr>
        <w:spacing w:after="0" w:line="196" w:lineRule="exact"/>
        <w:rPr>
          <w:rFonts w:ascii="Arial" w:cs="Arial" w:eastAsia="Arial" w:hAnsi="Arial"/>
          <w:sz w:val="19"/>
          <w:szCs w:val="19"/>
          <w:color w:val="auto"/>
        </w:rPr>
      </w:pPr>
    </w:p>
    <w:p>
      <w:pPr>
        <w:ind w:left="700" w:right="20" w:firstLine="1283"/>
        <w:spacing w:after="0" w:line="244" w:lineRule="auto"/>
        <w:tabs>
          <w:tab w:leader="none" w:pos="2755" w:val="left"/>
        </w:tabs>
        <w:numPr>
          <w:ilvl w:val="2"/>
          <w:numId w:val="78"/>
        </w:numPr>
        <w:rPr>
          <w:rFonts w:ascii="Arial" w:cs="Arial" w:eastAsia="Arial" w:hAnsi="Arial"/>
          <w:sz w:val="21"/>
          <w:szCs w:val="21"/>
          <w:color w:val="auto"/>
        </w:rPr>
      </w:pPr>
      <w:r>
        <w:rPr>
          <w:rFonts w:ascii="Arial" w:cs="Arial" w:eastAsia="Arial" w:hAnsi="Arial"/>
          <w:sz w:val="21"/>
          <w:szCs w:val="21"/>
          <w:color w:val="auto"/>
        </w:rPr>
        <w:t>whether the resulting Borrowing is to be an ABR Borrowing in the case of Borrowings denominated in Dollars, or a Term Benchmark Borrowing or an RFR Borrowing; and</w:t>
      </w:r>
    </w:p>
    <w:p>
      <w:pPr>
        <w:spacing w:after="0" w:line="192" w:lineRule="exact"/>
        <w:rPr>
          <w:rFonts w:ascii="Arial" w:cs="Arial" w:eastAsia="Arial" w:hAnsi="Arial"/>
          <w:sz w:val="21"/>
          <w:szCs w:val="21"/>
          <w:color w:val="auto"/>
        </w:rPr>
      </w:pPr>
    </w:p>
    <w:p>
      <w:pPr>
        <w:jc w:val="both"/>
        <w:ind w:left="700" w:firstLine="1283"/>
        <w:spacing w:after="0" w:line="232" w:lineRule="auto"/>
        <w:tabs>
          <w:tab w:leader="none" w:pos="2672" w:val="left"/>
        </w:tabs>
        <w:numPr>
          <w:ilvl w:val="2"/>
          <w:numId w:val="78"/>
        </w:numPr>
        <w:rPr>
          <w:rFonts w:ascii="Arial" w:cs="Arial" w:eastAsia="Arial" w:hAnsi="Arial"/>
          <w:sz w:val="21"/>
          <w:szCs w:val="21"/>
          <w:color w:val="auto"/>
        </w:rPr>
      </w:pPr>
      <w:r>
        <w:rPr>
          <w:rFonts w:ascii="Arial" w:cs="Arial" w:eastAsia="Arial" w:hAnsi="Arial"/>
          <w:sz w:val="21"/>
          <w:szCs w:val="21"/>
          <w:color w:val="auto"/>
        </w:rPr>
        <w:t>if the resulting Borrowing is a Term Benchmark Borrowing, the Interest Period and Agreed Currency to be applicable thereto after giving effect to such election, which Interest Period shall be a period contemplated by the definition of the term “</w:t>
      </w:r>
      <w:r>
        <w:rPr>
          <w:rFonts w:ascii="Arial" w:cs="Arial" w:eastAsia="Arial" w:hAnsi="Arial"/>
          <w:sz w:val="21"/>
          <w:szCs w:val="21"/>
          <w:b w:val="1"/>
          <w:bCs w:val="1"/>
          <w:i w:val="1"/>
          <w:iCs w:val="1"/>
          <w:color w:val="auto"/>
        </w:rPr>
        <w:t>Interest Period</w:t>
      </w:r>
      <w:r>
        <w:rPr>
          <w:rFonts w:ascii="Arial" w:cs="Arial" w:eastAsia="Arial" w:hAnsi="Arial"/>
          <w:sz w:val="21"/>
          <w:szCs w:val="21"/>
          <w:color w:val="auto"/>
        </w:rPr>
        <w:t>”.</w:t>
      </w:r>
    </w:p>
    <w:p>
      <w:pPr>
        <w:spacing w:after="0" w:line="198" w:lineRule="exact"/>
        <w:rPr>
          <w:sz w:val="20"/>
          <w:szCs w:val="20"/>
          <w:color w:val="auto"/>
        </w:rPr>
      </w:pPr>
    </w:p>
    <w:p>
      <w:pPr>
        <w:jc w:val="both"/>
        <w:ind w:left="60"/>
        <w:spacing w:after="0" w:line="234" w:lineRule="auto"/>
        <w:rPr>
          <w:sz w:val="20"/>
          <w:szCs w:val="20"/>
          <w:color w:val="auto"/>
        </w:rPr>
      </w:pPr>
      <w:r>
        <w:rPr>
          <w:rFonts w:ascii="Arial" w:cs="Arial" w:eastAsia="Arial" w:hAnsi="Arial"/>
          <w:sz w:val="20"/>
          <w:szCs w:val="20"/>
          <w:color w:val="auto"/>
        </w:rPr>
        <w:t>If any such Interest Election Request requests a Term Benchmark Borrowing but does not specify an Interest Period, then the Borrower shall be deemed to have selected an Interest Period of one month’s duration. Notwithstanding the foregoing, in no event shall the Borrower be permitted to request pursuant to this Section 2.08(c) a CBR Loan or, prior to a Benchmark Transition Event and Benchmark Replacement Date with respect to the Term SOFR Rate, a Daily Simple SOFR Loan (it being understood and agreed that a Central Bank/Prime Rate and Daily Simple SOFR shall only apply to the extent provided in Sections 2.08(e) (solely with respect to the Central Bank/Prime Rate), 2.14(a) and 2.14(f).</w:t>
      </w:r>
    </w:p>
    <w:p>
      <w:pPr>
        <w:spacing w:after="0" w:line="183" w:lineRule="exact"/>
        <w:rPr>
          <w:sz w:val="20"/>
          <w:szCs w:val="20"/>
          <w:color w:val="auto"/>
        </w:rPr>
      </w:pPr>
    </w:p>
    <w:p>
      <w:pPr>
        <w:ind w:left="60" w:right="20" w:firstLine="635"/>
        <w:spacing w:after="0" w:line="244" w:lineRule="auto"/>
        <w:tabs>
          <w:tab w:leader="none" w:pos="1201" w:val="left"/>
        </w:tabs>
        <w:numPr>
          <w:ilvl w:val="0"/>
          <w:numId w:val="79"/>
        </w:numPr>
        <w:rPr>
          <w:rFonts w:ascii="Arial" w:cs="Arial" w:eastAsia="Arial" w:hAnsi="Arial"/>
          <w:sz w:val="21"/>
          <w:szCs w:val="21"/>
          <w:color w:val="auto"/>
        </w:rPr>
      </w:pPr>
      <w:r>
        <w:rPr>
          <w:rFonts w:ascii="Arial" w:cs="Arial" w:eastAsia="Arial" w:hAnsi="Arial"/>
          <w:sz w:val="21"/>
          <w:szCs w:val="21"/>
          <w:color w:val="auto"/>
        </w:rPr>
        <w:t>Promptly following receipt of an Interest Election Request, the Administrative Agent shall advise each Lender of the details thereof and of such Lender’s portion of each resulting Borrowing.</w:t>
      </w:r>
    </w:p>
    <w:p>
      <w:pPr>
        <w:spacing w:after="0" w:line="192" w:lineRule="exact"/>
        <w:rPr>
          <w:rFonts w:ascii="Arial" w:cs="Arial" w:eastAsia="Arial" w:hAnsi="Arial"/>
          <w:sz w:val="21"/>
          <w:szCs w:val="21"/>
          <w:color w:val="auto"/>
        </w:rPr>
      </w:pPr>
    </w:p>
    <w:p>
      <w:pPr>
        <w:jc w:val="both"/>
        <w:ind w:left="60" w:firstLine="635"/>
        <w:spacing w:after="0" w:line="231" w:lineRule="auto"/>
        <w:tabs>
          <w:tab w:leader="none" w:pos="1219" w:val="left"/>
        </w:tabs>
        <w:numPr>
          <w:ilvl w:val="0"/>
          <w:numId w:val="79"/>
        </w:numPr>
        <w:rPr>
          <w:rFonts w:ascii="Arial" w:cs="Arial" w:eastAsia="Arial" w:hAnsi="Arial"/>
          <w:sz w:val="20"/>
          <w:szCs w:val="20"/>
          <w:color w:val="auto"/>
        </w:rPr>
      </w:pPr>
      <w:r>
        <w:rPr>
          <w:rFonts w:ascii="Arial" w:cs="Arial" w:eastAsia="Arial" w:hAnsi="Arial"/>
          <w:sz w:val="20"/>
          <w:szCs w:val="20"/>
          <w:color w:val="auto"/>
        </w:rPr>
        <w:t>If the Borrower fails to deliver a timely Interest Election Request with respect to a Term Benchmark Revolving Borrowing in Dollars prior to the end of the Interest Period applicable thereto, then, unless such Borrowing is repaid as provided herein, at the end of such Interest Period such Borrowing shall be deemed to have an Interest Period that is one month. If the Borrower fails to deliver a timely and complete Interest Election Request with respect to a Term Benchmark Borrowing in a Foreign Currency prior to the end of the Interest Period therefor, then, unless such Term Benchmark Borrowing is repaid as provided herein, the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color w:val="auto"/>
        </w:rPr>
        <w:t>65</w:t>
      </w:r>
    </w:p>
    <w:p>
      <w:pPr>
        <w:sectPr>
          <w:pgSz w:w="11900" w:h="16838" w:orient="portrait"/>
          <w:cols w:equalWidth="0" w:num="1">
            <w:col w:w="11040"/>
          </w:cols>
          <w:pgMar w:left="400" w:top="1440" w:right="459" w:bottom="1440" w:gutter="0" w:footer="0" w:header="0"/>
        </w:sectPr>
      </w:pPr>
    </w:p>
    <w:bookmarkStart w:id="155" w:name="page156"/>
    <w:bookmarkEnd w:id="155"/>
    <w:p>
      <w:pPr>
        <w:spacing w:after="0" w:line="194" w:lineRule="exact"/>
        <w:rPr>
          <w:sz w:val="20"/>
          <w:szCs w:val="20"/>
          <w:color w:val="auto"/>
        </w:rPr>
      </w:pPr>
    </w:p>
    <w:p>
      <w:pPr>
        <w:jc w:val="both"/>
        <w:ind w:left="60"/>
        <w:spacing w:after="0" w:line="219" w:lineRule="auto"/>
        <w:rPr>
          <w:sz w:val="20"/>
          <w:szCs w:val="20"/>
          <w:color w:val="auto"/>
        </w:rPr>
      </w:pPr>
      <w:r>
        <w:rPr>
          <w:rFonts w:ascii="Arial" w:cs="Arial" w:eastAsia="Arial" w:hAnsi="Arial"/>
          <w:sz w:val="21"/>
          <w:szCs w:val="21"/>
          <w:color w:val="auto"/>
        </w:rPr>
        <w:t>has occurred and is continuing and the Administrative Agent, at the request of the Required Lenders, so notifies the Borrower, then, so long as an Event of Default is continuing (i) no outstanding Borrowing may be converted to or continued as a Term Benchmark Borrowing and</w:t>
      </w:r>
    </w:p>
    <w:p>
      <w:pPr>
        <w:jc w:val="both"/>
        <w:ind w:left="60" w:hanging="8"/>
        <w:spacing w:after="0" w:line="239" w:lineRule="auto"/>
        <w:tabs>
          <w:tab w:leader="none" w:pos="549"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unless repaid, (x) each Term Benchmark Borrowing and each RFR Borrowing, in each case denominated in Dollars, shall be converted to an ABR Borrowing at the end of the Interest Period applicable thereto and (y) each Term Benchmark Borrowing and each RFR Borrowing, in each case denominated in a Foreign Currency shall bear interest at the Central Bank/Prime Rate for the applicable Agreed Currency plus the CBR Spread; provided that, if the Administrative Agent determines (which determination shall be conclusive and binding absent manifest error) that the Central Bank/Prime Rate for the applicable Agreed Currency cannot be determined, any outstanding affected Term Benchmark Loans denominated in any Agreed Currency other than Dollars shall either be (1) converted to an ABR Borrowing denominated in Dollars (in an amount equal to the Dollar Equivalent of such Foreign Currency) at the end of the Interest Period, as applicable, therefor or (2) prepaid at the end of the applicable Interest Period, as applicable, in full;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 election is made by the Borrower by the earlier of (A) the date that is three Business Days after receipt by the Borrower of such notice and (B) the last day of the current Interest Period for the applicable Term Benchmark Loan, the Borrower shall be deemed to have elected clause (1) above.</w:t>
      </w:r>
    </w:p>
    <w:p>
      <w:pPr>
        <w:spacing w:after="0" w:line="189"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 xml:space="preserve">SECTION 2.09. </w:t>
      </w:r>
      <w:r>
        <w:rPr>
          <w:rFonts w:ascii="Arial" w:cs="Arial" w:eastAsia="Arial" w:hAnsi="Arial"/>
          <w:sz w:val="21"/>
          <w:szCs w:val="21"/>
          <w:u w:val="single" w:color="auto"/>
          <w:color w:val="auto"/>
        </w:rPr>
        <w:t>Termination and Reduction of Commitments</w:t>
      </w:r>
      <w:r>
        <w:rPr>
          <w:rFonts w:ascii="Arial" w:cs="Arial" w:eastAsia="Arial" w:hAnsi="Arial"/>
          <w:sz w:val="21"/>
          <w:szCs w:val="21"/>
          <w:color w:val="auto"/>
        </w:rPr>
        <w:t>. (a) Unless previously terminated, (i) the Term Loan Commitments shall terminate at 3:00 p.m. (New York City time) on the Effective Date and (ii) all other Commitments shall terminate on the Maturity Date.</w:t>
      </w:r>
    </w:p>
    <w:p>
      <w:pPr>
        <w:spacing w:after="0" w:line="184" w:lineRule="exact"/>
        <w:rPr>
          <w:sz w:val="20"/>
          <w:szCs w:val="20"/>
          <w:color w:val="auto"/>
        </w:rPr>
      </w:pPr>
    </w:p>
    <w:p>
      <w:pPr>
        <w:ind w:left="1160" w:hanging="465"/>
        <w:spacing w:after="0"/>
        <w:tabs>
          <w:tab w:leader="none" w:pos="1160"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The Borrower may at any time terminate, or from time to time reduce, the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3" w:lineRule="exact"/>
        <w:rPr>
          <w:rFonts w:ascii="Arial" w:cs="Arial" w:eastAsia="Arial" w:hAnsi="Arial"/>
          <w:sz w:val="19"/>
          <w:szCs w:val="19"/>
          <w:color w:val="auto"/>
        </w:rPr>
      </w:pPr>
    </w:p>
    <w:p>
      <w:pPr>
        <w:jc w:val="both"/>
        <w:ind w:left="60" w:hanging="8"/>
        <w:spacing w:after="0" w:line="223" w:lineRule="auto"/>
        <w:tabs>
          <w:tab w:leader="none" w:pos="333" w:val="left"/>
        </w:tabs>
        <w:numPr>
          <w:ilvl w:val="0"/>
          <w:numId w:val="82"/>
        </w:numPr>
        <w:rPr>
          <w:rFonts w:ascii="Arial" w:cs="Arial" w:eastAsia="Arial" w:hAnsi="Arial"/>
          <w:sz w:val="21"/>
          <w:szCs w:val="21"/>
          <w:color w:val="auto"/>
        </w:rPr>
      </w:pPr>
      <w:r>
        <w:rPr>
          <w:rFonts w:ascii="Arial" w:cs="Arial" w:eastAsia="Arial" w:hAnsi="Arial"/>
          <w:sz w:val="21"/>
          <w:szCs w:val="21"/>
          <w:color w:val="auto"/>
        </w:rPr>
        <w:t>each reduction of the Revolving Commitments shall be in an amount that is an integral multiple of $100,000 and not less than $1,000,000 and (ii) the Borrower shall not terminate or reduce the Revolving Commitments if, after giving effect to any concurrent prepayment of the Loans in accordance with Section 2.11, the Dollar Equivalent amount of any Lender’s Revolving Credit Exposure would exceed its Revolving Commitment.</w:t>
      </w:r>
    </w:p>
    <w:p>
      <w:pPr>
        <w:spacing w:after="0" w:line="197" w:lineRule="exact"/>
        <w:rPr>
          <w:rFonts w:ascii="Arial" w:cs="Arial" w:eastAsia="Arial" w:hAnsi="Arial"/>
          <w:sz w:val="21"/>
          <w:szCs w:val="21"/>
          <w:color w:val="auto"/>
        </w:rPr>
      </w:pPr>
    </w:p>
    <w:p>
      <w:pPr>
        <w:jc w:val="both"/>
        <w:ind w:left="60" w:firstLine="635"/>
        <w:spacing w:after="0" w:line="230" w:lineRule="auto"/>
        <w:tabs>
          <w:tab w:leader="none" w:pos="1157" w:val="left"/>
        </w:tabs>
        <w:numPr>
          <w:ilvl w:val="1"/>
          <w:numId w:val="82"/>
        </w:numPr>
        <w:rPr>
          <w:rFonts w:ascii="Arial" w:cs="Arial" w:eastAsia="Arial" w:hAnsi="Arial"/>
          <w:sz w:val="20"/>
          <w:szCs w:val="20"/>
          <w:color w:val="auto"/>
        </w:rPr>
      </w:pPr>
      <w:r>
        <w:rPr>
          <w:rFonts w:ascii="Arial" w:cs="Arial" w:eastAsia="Arial" w:hAnsi="Arial"/>
          <w:sz w:val="20"/>
          <w:szCs w:val="20"/>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notice of termination of the Commitments delivered by the Borrower may state that such notice is conditioned upon the effectiveness of other credit facilities or other transactions specified therein,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88" w:lineRule="exact"/>
        <w:rPr>
          <w:sz w:val="20"/>
          <w:szCs w:val="20"/>
          <w:color w:val="auto"/>
        </w:rPr>
      </w:pPr>
    </w:p>
    <w:p>
      <w:pPr>
        <w:jc w:val="both"/>
        <w:ind w:left="60" w:firstLine="642"/>
        <w:spacing w:after="0" w:line="246" w:lineRule="auto"/>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u w:val="single" w:color="auto"/>
          <w:color w:val="auto"/>
        </w:rPr>
        <w:t>Repayment and Amortization of Loans; Evidence of Debt</w:t>
      </w:r>
      <w:r>
        <w:rPr>
          <w:rFonts w:ascii="Arial" w:cs="Arial" w:eastAsia="Arial" w:hAnsi="Arial"/>
          <w:sz w:val="20"/>
          <w:szCs w:val="20"/>
          <w:color w:val="auto"/>
        </w:rPr>
        <w:t>. (a) The Borrower hereby unconditionally promises to pay (i) to the Administrative Agent for the account of each Revolving Lender the then unpaid principal amount of each Revolving Loan on the Maturity Date in the currency of such Loan, and (ii) to the Administrative Agent for the account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color w:val="auto"/>
        </w:rPr>
        <w:t>66</w:t>
      </w:r>
    </w:p>
    <w:p>
      <w:pPr>
        <w:sectPr>
          <w:pgSz w:w="11900" w:h="16838" w:orient="portrait"/>
          <w:cols w:equalWidth="0" w:num="1">
            <w:col w:w="11040"/>
          </w:cols>
          <w:pgMar w:left="400" w:top="1440" w:right="459" w:bottom="1440" w:gutter="0" w:footer="0" w:header="0"/>
        </w:sectPr>
      </w:pPr>
    </w:p>
    <w:bookmarkStart w:id="156" w:name="page157"/>
    <w:bookmarkEnd w:id="156"/>
    <w:p>
      <w:pPr>
        <w:spacing w:after="0" w:line="193" w:lineRule="exact"/>
        <w:rPr>
          <w:sz w:val="20"/>
          <w:szCs w:val="20"/>
          <w:color w:val="auto"/>
        </w:rPr>
      </w:pPr>
    </w:p>
    <w:p>
      <w:pPr>
        <w:jc w:val="both"/>
        <w:ind w:left="60"/>
        <w:spacing w:after="0" w:line="222" w:lineRule="auto"/>
        <w:rPr>
          <w:sz w:val="20"/>
          <w:szCs w:val="20"/>
          <w:color w:val="auto"/>
        </w:rPr>
      </w:pPr>
      <w:r>
        <w:rPr>
          <w:rFonts w:ascii="Arial" w:cs="Arial" w:eastAsia="Arial" w:hAnsi="Arial"/>
          <w:sz w:val="21"/>
          <w:szCs w:val="21"/>
          <w:color w:val="auto"/>
        </w:rPr>
        <w:t xml:space="preserve">of the Swingline Lenders the then unpaid principal amount of each Swingline Loan on the earlier of the Maturity Date and the fifth Business Days after such Swingline Loan is made;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on each date that a Revolving Borrowing is made, the Borrower shall repay all Swingline Loans then outstanding and the proceeds of any such Borrowing shall be applied by the Administrative Agent to repay any Swingline Loans outstanding. The Borrower shall repay Term Loans on each date set forth below in the aggregate principal amount set forth opposite such date (as adjusted from time to time pursuant to Section 2.11(a) and Section 2.11(f)):</w:t>
      </w:r>
    </w:p>
    <w:p>
      <w:pPr>
        <w:spacing w:after="0" w:line="230" w:lineRule="exact"/>
        <w:rPr>
          <w:sz w:val="20"/>
          <w:szCs w:val="20"/>
          <w:color w:val="auto"/>
        </w:rPr>
      </w:pPr>
    </w:p>
    <w:tbl>
      <w:tblPr>
        <w:tblLayout w:type="fixed"/>
        <w:tblInd w:w="710" w:type="dxa"/>
        <w:tblCellMar>
          <w:top w:w="0" w:type="dxa"/>
          <w:left w:w="0" w:type="dxa"/>
          <w:bottom w:w="0" w:type="dxa"/>
          <w:right w:w="0" w:type="dxa"/>
        </w:tblCellMar>
      </w:tblPr>
      <w:tr>
        <w:trPr>
          <w:trHeight w:val="220"/>
        </w:trPr>
        <w:tc>
          <w:tcPr>
            <w:tcW w:w="4700" w:type="dxa"/>
            <w:vAlign w:val="bottom"/>
            <w:tcBorders>
              <w:top w:val="single" w:sz="8" w:color="auto"/>
              <w:left w:val="single" w:sz="8" w:color="auto"/>
              <w:right w:val="single" w:sz="8" w:color="auto"/>
            </w:tcBorders>
          </w:tcPr>
          <w:p>
            <w:pPr>
              <w:jc w:val="center"/>
              <w:ind w:right="673"/>
              <w:spacing w:after="0" w:line="220" w:lineRule="exact"/>
              <w:rPr>
                <w:sz w:val="20"/>
                <w:szCs w:val="20"/>
                <w:color w:val="auto"/>
              </w:rPr>
            </w:pPr>
            <w:r>
              <w:rPr>
                <w:rFonts w:ascii="Arial" w:cs="Arial" w:eastAsia="Arial" w:hAnsi="Arial"/>
                <w:sz w:val="21"/>
                <w:szCs w:val="21"/>
                <w:color w:val="auto"/>
                <w:w w:val="91"/>
              </w:rPr>
              <w:t>Fiscal Quarters Ending</w:t>
            </w:r>
          </w:p>
        </w:tc>
        <w:tc>
          <w:tcPr>
            <w:tcW w:w="4700" w:type="dxa"/>
            <w:vAlign w:val="bottom"/>
            <w:tcBorders>
              <w:top w:val="single" w:sz="8" w:color="auto"/>
              <w:right w:val="single" w:sz="8" w:color="auto"/>
            </w:tcBorders>
          </w:tcPr>
          <w:p>
            <w:pPr>
              <w:jc w:val="right"/>
              <w:ind w:right="413"/>
              <w:spacing w:after="0" w:line="220" w:lineRule="exact"/>
              <w:rPr>
                <w:sz w:val="20"/>
                <w:szCs w:val="20"/>
                <w:color w:val="auto"/>
              </w:rPr>
            </w:pPr>
            <w:r>
              <w:rPr>
                <w:rFonts w:ascii="Arial" w:cs="Arial" w:eastAsia="Arial" w:hAnsi="Arial"/>
                <w:sz w:val="21"/>
                <w:szCs w:val="21"/>
                <w:color w:val="auto"/>
                <w:w w:val="99"/>
              </w:rPr>
              <w:t>Principal Amount of Term Loans to be repaid</w:t>
            </w:r>
          </w:p>
        </w:tc>
      </w:tr>
      <w:tr>
        <w:trPr>
          <w:trHeight w:val="275"/>
        </w:trPr>
        <w:tc>
          <w:tcPr>
            <w:tcW w:w="4700" w:type="dxa"/>
            <w:vAlign w:val="bottom"/>
            <w:tcBorders>
              <w:left w:val="single" w:sz="8" w:color="auto"/>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jc w:val="right"/>
              <w:ind w:right="2153"/>
              <w:spacing w:after="0"/>
              <w:rPr>
                <w:sz w:val="20"/>
                <w:szCs w:val="20"/>
                <w:color w:val="auto"/>
              </w:rPr>
            </w:pPr>
            <w:r>
              <w:rPr>
                <w:rFonts w:ascii="Arial" w:cs="Arial" w:eastAsia="Arial" w:hAnsi="Arial"/>
                <w:sz w:val="21"/>
                <w:szCs w:val="21"/>
                <w:color w:val="auto"/>
              </w:rPr>
              <w:t>Per Fiscal Quarter</w:t>
            </w:r>
          </w:p>
        </w:tc>
      </w:tr>
      <w:tr>
        <w:trPr>
          <w:trHeight w:val="228"/>
        </w:trPr>
        <w:tc>
          <w:tcPr>
            <w:tcW w:w="4700" w:type="dxa"/>
            <w:vAlign w:val="bottom"/>
            <w:tcBorders>
              <w:left w:val="single" w:sz="8" w:color="auto"/>
              <w:right w:val="single" w:sz="8" w:color="auto"/>
            </w:tcBorders>
          </w:tcPr>
          <w:p>
            <w:pPr>
              <w:jc w:val="center"/>
              <w:spacing w:after="0" w:line="228" w:lineRule="exact"/>
              <w:rPr>
                <w:sz w:val="20"/>
                <w:szCs w:val="20"/>
                <w:color w:val="auto"/>
              </w:rPr>
            </w:pPr>
            <w:r>
              <w:rPr>
                <w:rFonts w:ascii="Arial" w:cs="Arial" w:eastAsia="Arial" w:hAnsi="Arial"/>
                <w:sz w:val="21"/>
                <w:szCs w:val="21"/>
                <w:color w:val="auto"/>
                <w:w w:val="91"/>
              </w:rPr>
              <w:t>September 30, 2022 through and</w:t>
            </w:r>
          </w:p>
        </w:tc>
        <w:tc>
          <w:tcPr>
            <w:tcW w:w="4700" w:type="dxa"/>
            <w:vAlign w:val="bottom"/>
            <w:tcBorders>
              <w:right w:val="single" w:sz="8" w:color="auto"/>
            </w:tcBorders>
          </w:tcPr>
          <w:p>
            <w:pPr>
              <w:jc w:val="right"/>
              <w:ind w:right="1773"/>
              <w:spacing w:after="0" w:line="228" w:lineRule="exact"/>
              <w:rPr>
                <w:sz w:val="20"/>
                <w:szCs w:val="20"/>
                <w:color w:val="auto"/>
              </w:rPr>
            </w:pPr>
            <w:r>
              <w:rPr>
                <w:rFonts w:ascii="Arial" w:cs="Arial" w:eastAsia="Arial" w:hAnsi="Arial"/>
                <w:sz w:val="21"/>
                <w:szCs w:val="21"/>
                <w:color w:val="auto"/>
              </w:rPr>
              <w:t>$1,562,500</w:t>
            </w:r>
          </w:p>
        </w:tc>
      </w:tr>
      <w:tr>
        <w:trPr>
          <w:trHeight w:val="275"/>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including June 30, 2024</w:t>
            </w:r>
          </w:p>
        </w:tc>
        <w:tc>
          <w:tcPr>
            <w:tcW w:w="4700" w:type="dxa"/>
            <w:vAlign w:val="bottom"/>
            <w:tcBorders>
              <w:bottom w:val="single" w:sz="8" w:color="auto"/>
              <w:right w:val="single" w:sz="8" w:color="auto"/>
            </w:tcBorders>
          </w:tcPr>
          <w:p>
            <w:pPr>
              <w:spacing w:after="0"/>
              <w:rPr>
                <w:sz w:val="23"/>
                <w:szCs w:val="23"/>
                <w:color w:val="auto"/>
              </w:rPr>
            </w:pPr>
          </w:p>
        </w:tc>
      </w:tr>
      <w:tr>
        <w:trPr>
          <w:trHeight w:val="228"/>
        </w:trPr>
        <w:tc>
          <w:tcPr>
            <w:tcW w:w="4700" w:type="dxa"/>
            <w:vAlign w:val="bottom"/>
            <w:tcBorders>
              <w:left w:val="single" w:sz="8" w:color="auto"/>
              <w:right w:val="single" w:sz="8" w:color="auto"/>
            </w:tcBorders>
          </w:tcPr>
          <w:p>
            <w:pPr>
              <w:jc w:val="center"/>
              <w:spacing w:after="0" w:line="228" w:lineRule="exact"/>
              <w:rPr>
                <w:sz w:val="20"/>
                <w:szCs w:val="20"/>
                <w:color w:val="auto"/>
              </w:rPr>
            </w:pPr>
            <w:r>
              <w:rPr>
                <w:rFonts w:ascii="Arial" w:cs="Arial" w:eastAsia="Arial" w:hAnsi="Arial"/>
                <w:sz w:val="21"/>
                <w:szCs w:val="21"/>
                <w:color w:val="auto"/>
                <w:w w:val="91"/>
              </w:rPr>
              <w:t>September 30, 2024 through and</w:t>
            </w:r>
          </w:p>
        </w:tc>
        <w:tc>
          <w:tcPr>
            <w:tcW w:w="4700" w:type="dxa"/>
            <w:vAlign w:val="bottom"/>
            <w:tcBorders>
              <w:right w:val="single" w:sz="8" w:color="auto"/>
            </w:tcBorders>
          </w:tcPr>
          <w:p>
            <w:pPr>
              <w:jc w:val="right"/>
              <w:ind w:right="1773"/>
              <w:spacing w:after="0" w:line="228" w:lineRule="exact"/>
              <w:rPr>
                <w:sz w:val="20"/>
                <w:szCs w:val="20"/>
                <w:color w:val="auto"/>
              </w:rPr>
            </w:pPr>
            <w:r>
              <w:rPr>
                <w:rFonts w:ascii="Arial" w:cs="Arial" w:eastAsia="Arial" w:hAnsi="Arial"/>
                <w:sz w:val="21"/>
                <w:szCs w:val="21"/>
                <w:color w:val="auto"/>
              </w:rPr>
              <w:t>$2,343,750</w:t>
            </w:r>
          </w:p>
        </w:tc>
      </w:tr>
      <w:tr>
        <w:trPr>
          <w:trHeight w:val="275"/>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including June 30, 2025</w:t>
            </w:r>
          </w:p>
        </w:tc>
        <w:tc>
          <w:tcPr>
            <w:tcW w:w="4700" w:type="dxa"/>
            <w:vAlign w:val="bottom"/>
            <w:tcBorders>
              <w:bottom w:val="single" w:sz="8" w:color="auto"/>
              <w:right w:val="single" w:sz="8" w:color="auto"/>
            </w:tcBorders>
          </w:tcPr>
          <w:p>
            <w:pPr>
              <w:spacing w:after="0"/>
              <w:rPr>
                <w:sz w:val="23"/>
                <w:szCs w:val="23"/>
                <w:color w:val="auto"/>
              </w:rPr>
            </w:pPr>
          </w:p>
        </w:tc>
      </w:tr>
      <w:tr>
        <w:trPr>
          <w:trHeight w:val="201"/>
        </w:trPr>
        <w:tc>
          <w:tcPr>
            <w:tcW w:w="4700" w:type="dxa"/>
            <w:vAlign w:val="bottom"/>
            <w:tcBorders>
              <w:left w:val="single" w:sz="8" w:color="auto"/>
              <w:right w:val="single" w:sz="8" w:color="auto"/>
            </w:tcBorders>
          </w:tcPr>
          <w:p>
            <w:pPr>
              <w:jc w:val="center"/>
              <w:ind w:right="673"/>
              <w:spacing w:after="0" w:line="202" w:lineRule="exact"/>
              <w:rPr>
                <w:sz w:val="20"/>
                <w:szCs w:val="20"/>
                <w:color w:val="auto"/>
              </w:rPr>
            </w:pPr>
            <w:r>
              <w:rPr>
                <w:rFonts w:ascii="Arial" w:cs="Arial" w:eastAsia="Arial" w:hAnsi="Arial"/>
                <w:sz w:val="21"/>
                <w:szCs w:val="21"/>
                <w:color w:val="auto"/>
                <w:w w:val="90"/>
              </w:rPr>
              <w:t>September 30, 2025 through and</w:t>
            </w:r>
          </w:p>
        </w:tc>
        <w:tc>
          <w:tcPr>
            <w:tcW w:w="4700" w:type="dxa"/>
            <w:vAlign w:val="bottom"/>
            <w:tcBorders>
              <w:right w:val="single" w:sz="8" w:color="auto"/>
            </w:tcBorders>
          </w:tcPr>
          <w:p>
            <w:pPr>
              <w:jc w:val="right"/>
              <w:ind w:right="1773"/>
              <w:spacing w:after="0" w:line="202" w:lineRule="exact"/>
              <w:rPr>
                <w:sz w:val="20"/>
                <w:szCs w:val="20"/>
                <w:color w:val="auto"/>
              </w:rPr>
            </w:pPr>
            <w:r>
              <w:rPr>
                <w:rFonts w:ascii="Arial" w:cs="Arial" w:eastAsia="Arial" w:hAnsi="Arial"/>
                <w:sz w:val="21"/>
                <w:szCs w:val="21"/>
                <w:color w:val="auto"/>
              </w:rPr>
              <w:t>$3,125,000</w:t>
            </w:r>
          </w:p>
        </w:tc>
      </w:tr>
      <w:tr>
        <w:trPr>
          <w:trHeight w:val="275"/>
        </w:trPr>
        <w:tc>
          <w:tcPr>
            <w:tcW w:w="4700" w:type="dxa"/>
            <w:vAlign w:val="bottom"/>
            <w:tcBorders>
              <w:left w:val="single" w:sz="8" w:color="auto"/>
              <w:bottom w:val="single" w:sz="8" w:color="auto"/>
              <w:right w:val="single" w:sz="8" w:color="auto"/>
            </w:tcBorders>
          </w:tcPr>
          <w:p>
            <w:pPr>
              <w:jc w:val="center"/>
              <w:ind w:right="673"/>
              <w:spacing w:after="0"/>
              <w:rPr>
                <w:sz w:val="20"/>
                <w:szCs w:val="20"/>
                <w:color w:val="auto"/>
              </w:rPr>
            </w:pPr>
            <w:r>
              <w:rPr>
                <w:rFonts w:ascii="Arial" w:cs="Arial" w:eastAsia="Arial" w:hAnsi="Arial"/>
                <w:sz w:val="21"/>
                <w:szCs w:val="21"/>
                <w:color w:val="auto"/>
                <w:w w:val="96"/>
              </w:rPr>
              <w:t>including the Maturity Date</w:t>
            </w:r>
          </w:p>
        </w:tc>
        <w:tc>
          <w:tcPr>
            <w:tcW w:w="4700" w:type="dxa"/>
            <w:vAlign w:val="bottom"/>
            <w:tcBorders>
              <w:bottom w:val="single" w:sz="8" w:color="auto"/>
              <w:right w:val="single" w:sz="8" w:color="auto"/>
            </w:tcBorders>
          </w:tcPr>
          <w:p>
            <w:pPr>
              <w:spacing w:after="0"/>
              <w:rPr>
                <w:sz w:val="23"/>
                <w:szCs w:val="23"/>
                <w:color w:val="auto"/>
              </w:rPr>
            </w:pPr>
          </w:p>
        </w:tc>
      </w:tr>
    </w:tbl>
    <w:p>
      <w:pPr>
        <w:spacing w:after="0" w:line="300" w:lineRule="exact"/>
        <w:rPr>
          <w:sz w:val="20"/>
          <w:szCs w:val="20"/>
          <w:color w:val="auto"/>
        </w:rPr>
      </w:pPr>
    </w:p>
    <w:p>
      <w:pPr>
        <w:ind w:left="60" w:right="660" w:firstLine="642"/>
        <w:spacing w:after="0" w:line="244" w:lineRule="auto"/>
        <w:rPr>
          <w:sz w:val="20"/>
          <w:szCs w:val="20"/>
          <w:color w:val="auto"/>
        </w:rPr>
      </w:pPr>
      <w:r>
        <w:rPr>
          <w:rFonts w:ascii="Arial" w:cs="Arial" w:eastAsia="Arial" w:hAnsi="Arial"/>
          <w:sz w:val="21"/>
          <w:szCs w:val="21"/>
          <w:color w:val="auto"/>
        </w:rPr>
        <w:t>To the extent not previously repaid, all unpaid Term Loans shall be paid in full in Dollars by the Borrower on the Maturity Date.</w:t>
      </w:r>
    </w:p>
    <w:p>
      <w:pPr>
        <w:spacing w:after="0" w:line="179" w:lineRule="exact"/>
        <w:rPr>
          <w:sz w:val="20"/>
          <w:szCs w:val="20"/>
          <w:color w:val="auto"/>
        </w:rPr>
      </w:pPr>
    </w:p>
    <w:p>
      <w:pPr>
        <w:jc w:val="both"/>
        <w:ind w:left="60" w:firstLine="635"/>
        <w:spacing w:after="0" w:line="232" w:lineRule="auto"/>
        <w:tabs>
          <w:tab w:leader="none" w:pos="1384" w:val="left"/>
        </w:tabs>
        <w:numPr>
          <w:ilvl w:val="0"/>
          <w:numId w:val="83"/>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97" w:lineRule="exact"/>
        <w:rPr>
          <w:rFonts w:ascii="Arial" w:cs="Arial" w:eastAsia="Arial" w:hAnsi="Arial"/>
          <w:sz w:val="21"/>
          <w:szCs w:val="21"/>
          <w:color w:val="auto"/>
        </w:rPr>
      </w:pPr>
    </w:p>
    <w:p>
      <w:pPr>
        <w:jc w:val="both"/>
        <w:ind w:left="60" w:firstLine="635"/>
        <w:spacing w:after="0" w:line="224" w:lineRule="auto"/>
        <w:tabs>
          <w:tab w:leader="none" w:pos="1261"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200" w:lineRule="exact"/>
        <w:rPr>
          <w:rFonts w:ascii="Arial" w:cs="Arial" w:eastAsia="Arial" w:hAnsi="Arial"/>
          <w:sz w:val="21"/>
          <w:szCs w:val="21"/>
          <w:color w:val="auto"/>
        </w:rPr>
      </w:pPr>
    </w:p>
    <w:p>
      <w:pPr>
        <w:jc w:val="both"/>
        <w:ind w:left="60" w:firstLine="635"/>
        <w:spacing w:after="0" w:line="227" w:lineRule="auto"/>
        <w:tabs>
          <w:tab w:leader="none" w:pos="1207"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The entries made in the accounts maintained pursuant to paragraph (b) or (c) of this Section shall be </w:t>
      </w:r>
      <w:r>
        <w:rPr>
          <w:rFonts w:ascii="Arial" w:cs="Arial" w:eastAsia="Arial" w:hAnsi="Arial"/>
          <w:sz w:val="21"/>
          <w:szCs w:val="21"/>
          <w:i w:val="1"/>
          <w:iCs w:val="1"/>
          <w:color w:val="auto"/>
        </w:rPr>
        <w:t>prima facie</w:t>
      </w:r>
      <w:r>
        <w:rPr>
          <w:rFonts w:ascii="Arial" w:cs="Arial" w:eastAsia="Arial" w:hAnsi="Arial"/>
          <w:sz w:val="21"/>
          <w:szCs w:val="21"/>
          <w:color w:val="auto"/>
        </w:rPr>
        <w:t xml:space="preserve"> evidence of the existence and amounts of the obligations recorded therein;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99" w:lineRule="exact"/>
        <w:rPr>
          <w:rFonts w:ascii="Arial" w:cs="Arial" w:eastAsia="Arial" w:hAnsi="Arial"/>
          <w:sz w:val="21"/>
          <w:szCs w:val="21"/>
          <w:color w:val="auto"/>
        </w:rPr>
      </w:pPr>
    </w:p>
    <w:p>
      <w:pPr>
        <w:jc w:val="both"/>
        <w:ind w:left="60" w:firstLine="635"/>
        <w:spacing w:after="0" w:line="227" w:lineRule="auto"/>
        <w:tabs>
          <w:tab w:leader="none" w:pos="1199" w:val="left"/>
        </w:tabs>
        <w:numPr>
          <w:ilvl w:val="0"/>
          <w:numId w:val="83"/>
        </w:numPr>
        <w:rPr>
          <w:rFonts w:ascii="Arial" w:cs="Arial" w:eastAsia="Arial" w:hAnsi="Arial"/>
          <w:sz w:val="21"/>
          <w:szCs w:val="21"/>
          <w:color w:val="auto"/>
        </w:rPr>
      </w:pPr>
      <w:r>
        <w:rPr>
          <w:rFonts w:ascii="Arial" w:cs="Arial" w:eastAsia="Arial" w:hAnsi="Arial"/>
          <w:sz w:val="21"/>
          <w:szCs w:val="21"/>
          <w:color w:val="auto"/>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67</w:t>
      </w:r>
    </w:p>
    <w:p>
      <w:pPr>
        <w:sectPr>
          <w:pgSz w:w="11900" w:h="16838" w:orient="portrait"/>
          <w:cols w:equalWidth="0" w:num="1">
            <w:col w:w="11040"/>
          </w:cols>
          <w:pgMar w:left="400" w:top="1440" w:right="459" w:bottom="1440" w:gutter="0" w:footer="0" w:header="0"/>
        </w:sectPr>
      </w:pPr>
    </w:p>
    <w:bookmarkStart w:id="157" w:name="page158"/>
    <w:bookmarkEnd w:id="157"/>
    <w:p>
      <w:pPr>
        <w:spacing w:after="0" w:line="194" w:lineRule="exact"/>
        <w:rPr>
          <w:sz w:val="20"/>
          <w:szCs w:val="20"/>
          <w:color w:val="auto"/>
        </w:rPr>
      </w:pPr>
    </w:p>
    <w:p>
      <w:pPr>
        <w:ind w:left="60" w:right="340"/>
        <w:spacing w:after="0" w:line="244" w:lineRule="auto"/>
        <w:rPr>
          <w:sz w:val="20"/>
          <w:szCs w:val="20"/>
          <w:color w:val="auto"/>
        </w:rPr>
      </w:pPr>
      <w:r>
        <w:rPr>
          <w:rFonts w:ascii="Arial" w:cs="Arial" w:eastAsia="Arial" w:hAnsi="Arial"/>
          <w:sz w:val="21"/>
          <w:szCs w:val="21"/>
          <w:color w:val="auto"/>
        </w:rPr>
        <w:t>promissory note and interest thereon shall at all times (including after assignment pursuant to Section 9.04) be represented by one or more promissory notes in such form.</w:t>
      </w:r>
    </w:p>
    <w:p>
      <w:pPr>
        <w:spacing w:after="0" w:line="179" w:lineRule="exact"/>
        <w:rPr>
          <w:sz w:val="20"/>
          <w:szCs w:val="20"/>
          <w:color w:val="auto"/>
        </w:rPr>
      </w:pPr>
    </w:p>
    <w:p>
      <w:pPr>
        <w:ind w:left="60" w:right="140" w:firstLine="642"/>
        <w:spacing w:after="0" w:line="244" w:lineRule="auto"/>
        <w:rPr>
          <w:sz w:val="20"/>
          <w:szCs w:val="20"/>
          <w:color w:val="auto"/>
        </w:rPr>
      </w:pPr>
      <w:r>
        <w:rPr>
          <w:rFonts w:ascii="Arial" w:cs="Arial" w:eastAsia="Arial" w:hAnsi="Arial"/>
          <w:sz w:val="21"/>
          <w:szCs w:val="21"/>
          <w:color w:val="auto"/>
        </w:rPr>
        <w:t xml:space="preserve">SECTION 2.11. </w:t>
      </w:r>
      <w:r>
        <w:rPr>
          <w:rFonts w:ascii="Arial" w:cs="Arial" w:eastAsia="Arial" w:hAnsi="Arial"/>
          <w:sz w:val="21"/>
          <w:szCs w:val="21"/>
          <w:u w:val="single" w:color="auto"/>
          <w:color w:val="auto"/>
        </w:rPr>
        <w:t>Prepayment of Loans</w:t>
      </w:r>
      <w:r>
        <w:rPr>
          <w:rFonts w:ascii="Arial" w:cs="Arial" w:eastAsia="Arial" w:hAnsi="Arial"/>
          <w:sz w:val="21"/>
          <w:szCs w:val="21"/>
          <w:color w:val="auto"/>
        </w:rPr>
        <w:t>. (a) The Borrower shall have the right at any time and from time to time to prepay any Borrowing in whole or in part, subject to prior notice in accordance with paragraph (b) of this Section.</w:t>
      </w:r>
    </w:p>
    <w:p>
      <w:pPr>
        <w:spacing w:after="0" w:line="193" w:lineRule="exact"/>
        <w:rPr>
          <w:sz w:val="20"/>
          <w:szCs w:val="20"/>
          <w:color w:val="auto"/>
        </w:rPr>
      </w:pPr>
    </w:p>
    <w:p>
      <w:pPr>
        <w:jc w:val="both"/>
        <w:ind w:left="60" w:right="120" w:firstLine="635"/>
        <w:spacing w:after="0" w:line="226" w:lineRule="auto"/>
        <w:tabs>
          <w:tab w:leader="none" w:pos="1276"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The Borrower shall notify the Administrative Agent (and, in the case of prepayment of Swingline Loans, the Swingline Lenders) by telephone (confirmed by telecopy or electronic mail) of any prepayment hereunder (i) (w) in the case of prepayment of (1) a Term Benchmark Borrowing denominated in Dollars, not later than 11:00 a.m., New York City time, three Business Days before the date of prepayment or (2) an RFR Borrowing denominated in Dollars, not later than 11:00 a.m. New York City time, five Business Days before the date of prepayment, and (x) in the case of prepayment of a Term Benchmark Borrowing denominated in any a Foreign Currency, not later than 12:00 p.m., New York City time, three Business Days before the date of prepayment, (ii) in the case of prepayment of an ABR Borrowing, not later than 11:00 a.m., New York City time, one Business Day before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Revolving Borrowing shall be applied ratably to the Revolving Loans included in the prepaid Revolving Borrowing, each voluntary prepayment of a Term Loan Borrowing shall be applied ratably to the Term Loans included in the prepaid Term Loan Borrowing in such order of application as directed by the Borrower, and each mandatory prepayment of a Term Loan Borrowing shall be applied in accordance with Section 2.11(f) Prepayments shall be accompanied by accrued interest to the extent required by Section 2.13 and any break funding payments required by Section 2.16.</w:t>
      </w:r>
    </w:p>
    <w:p>
      <w:pPr>
        <w:spacing w:after="0" w:line="199" w:lineRule="exact"/>
        <w:rPr>
          <w:rFonts w:ascii="Arial" w:cs="Arial" w:eastAsia="Arial" w:hAnsi="Arial"/>
          <w:sz w:val="20"/>
          <w:szCs w:val="20"/>
          <w:color w:val="auto"/>
        </w:rPr>
      </w:pPr>
    </w:p>
    <w:p>
      <w:pPr>
        <w:jc w:val="both"/>
        <w:ind w:left="60" w:firstLine="635"/>
        <w:spacing w:after="0" w:line="242" w:lineRule="auto"/>
        <w:tabs>
          <w:tab w:leader="none" w:pos="1276"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the Administrative Agent notifies the Borrower at any time that, (i) other than as a result of fluctuations in currency exchange rates, (A) the sum of the aggregate principal Dollar Equivalent of all of the Revolving Credit Exposures (calculated, with respect to those Credit Events denominated in Foreign Currencies, as of the most recent Revaluation Date with respect to each such Credit Event) exceeds the aggregate Revolving Commitments or (B) the sum of the aggregate principal Dollar Equivalent of all of the outstanding Revolving Credit Exposures denominated in Foreign Currencies (the “</w:t>
      </w:r>
      <w:r>
        <w:rPr>
          <w:rFonts w:ascii="Arial" w:cs="Arial" w:eastAsia="Arial" w:hAnsi="Arial"/>
          <w:sz w:val="19"/>
          <w:szCs w:val="19"/>
          <w:b w:val="1"/>
          <w:bCs w:val="1"/>
          <w:i w:val="1"/>
          <w:iCs w:val="1"/>
          <w:color w:val="auto"/>
        </w:rPr>
        <w:t>Foreign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Currency Exposure</w:t>
      </w:r>
      <w:r>
        <w:rPr>
          <w:rFonts w:ascii="Arial" w:cs="Arial" w:eastAsia="Arial" w:hAnsi="Arial"/>
          <w:sz w:val="19"/>
          <w:szCs w:val="19"/>
          <w:color w:val="auto"/>
        </w:rPr>
        <w:t>”) (so calculated), as of the most recent Revaluation Date with respect to each such Credit Event, exceeds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Foreign Currency Sublimit or (ii) solely as a result of fluctuations in currency exchange rates, (A) the sum of the aggregate principal Dollar Equivalent of all of the Revolving Credit Exposures (so calculated) exceeds 105% of the aggregate Revolving Commitments or (B) the Foreign Currency Exposure, as of the most recent Revaluation Date with respect to each such Credit Event, exceeds 105% of the Foreign Currency Sublimit, the Borrower shall in each case immediately repay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68</w:t>
      </w:r>
    </w:p>
    <w:p>
      <w:pPr>
        <w:sectPr>
          <w:pgSz w:w="11900" w:h="16838" w:orient="portrait"/>
          <w:cols w:equalWidth="0" w:num="1">
            <w:col w:w="11160"/>
          </w:cols>
          <w:pgMar w:left="400" w:top="1440" w:right="339" w:bottom="1440" w:gutter="0" w:footer="0" w:header="0"/>
        </w:sectPr>
      </w:pPr>
    </w:p>
    <w:bookmarkStart w:id="158" w:name="page159"/>
    <w:bookmarkEnd w:id="158"/>
    <w:p>
      <w:pPr>
        <w:spacing w:after="0" w:line="194" w:lineRule="exact"/>
        <w:rPr>
          <w:sz w:val="20"/>
          <w:szCs w:val="20"/>
          <w:color w:val="auto"/>
        </w:rPr>
      </w:pPr>
    </w:p>
    <w:p>
      <w:pPr>
        <w:jc w:val="both"/>
        <w:ind w:left="60" w:right="120"/>
        <w:spacing w:after="0" w:line="227" w:lineRule="auto"/>
        <w:rPr>
          <w:sz w:val="20"/>
          <w:szCs w:val="20"/>
          <w:color w:val="auto"/>
        </w:rPr>
      </w:pPr>
      <w:r>
        <w:rPr>
          <w:rFonts w:ascii="Arial" w:cs="Arial" w:eastAsia="Arial" w:hAnsi="Arial"/>
          <w:sz w:val="21"/>
          <w:szCs w:val="21"/>
          <w:color w:val="auto"/>
        </w:rPr>
        <w:t>Revolving Borrowings or cash collateralize LC Exposure in an account with the Administrative Agent pursuant to Section 2.06(j), as applicable, in an aggregate principal amount sufficient to cause (x) the aggregate Dollar Equivalent of all Revolving Credit Exposures (so calculated) to be less than or equal to the aggregate Revolving Commitments and (y) the Foreign Currency Exposure to be less than or equal to the Foreign Currency Sublimit, as applicable.</w:t>
      </w:r>
    </w:p>
    <w:p>
      <w:pPr>
        <w:spacing w:after="0" w:line="186" w:lineRule="exact"/>
        <w:rPr>
          <w:sz w:val="20"/>
          <w:szCs w:val="20"/>
          <w:color w:val="auto"/>
        </w:rPr>
      </w:pPr>
    </w:p>
    <w:p>
      <w:pPr>
        <w:jc w:val="both"/>
        <w:ind w:left="60" w:firstLine="1278"/>
        <w:spacing w:after="0" w:line="225" w:lineRule="auto"/>
        <w:tabs>
          <w:tab w:leader="none" w:pos="1819"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In the event and on each occasion that any Net Proceeds are received by or on behalf of the Borrower or any of its Subsidiaries in respect of any Prepayment Event, the Borrower shall, immediately after such Net Proceeds are received, prepay the Obligations as set forth in Section 2.11(f) below in an aggregate amount equal to the Repayment Percentage of such Net Proceeds;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Borrower shall deliver to the Administrative Agent a certificate of a Financial Officer to the effect that the Borrower or its relevant Subsidiaries intend to apply the Net Proceeds from such event (or a portion thereof specified in such certificate), within 18 months after receipt of such Net Proceeds, to acquire (or replace or rebuild) real property, equipment or other tangible assets (excluding inventory) to be used in the business of the Borrower and/or its Subsidiaries, and certifying that no Default has occurred and is continuing, then no prepayment shall be required pursuant to this paragraph in respect of the Net Proceeds specified in such certificate;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to the extent of any such Net Proceeds therefrom that have not been so applied by the end of such 18 month period, at which time a prepayment shall be required in an amount equal to the Repayment Percentage of such Net Proceeds that have not been so applied. As used herein, “</w:t>
      </w:r>
      <w:r>
        <w:rPr>
          <w:rFonts w:ascii="Arial" w:cs="Arial" w:eastAsia="Arial" w:hAnsi="Arial"/>
          <w:sz w:val="20"/>
          <w:szCs w:val="20"/>
          <w:b w:val="1"/>
          <w:bCs w:val="1"/>
          <w:i w:val="1"/>
          <w:iCs w:val="1"/>
          <w:color w:val="auto"/>
        </w:rPr>
        <w:t>Repayment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Percentage</w:t>
      </w:r>
      <w:r>
        <w:rPr>
          <w:rFonts w:ascii="Arial" w:cs="Arial" w:eastAsia="Arial" w:hAnsi="Arial"/>
          <w:sz w:val="20"/>
          <w:szCs w:val="20"/>
          <w:color w:val="auto"/>
        </w:rPr>
        <w:t>” means (x) 100% if the Senior Secured Leverage Ratio (as of the most recent date of delivery of Financials)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greater than or equal to</w:t>
      </w:r>
    </w:p>
    <w:p>
      <w:pPr>
        <w:spacing w:after="0" w:line="3" w:lineRule="exact"/>
        <w:rPr>
          <w:rFonts w:ascii="Arial" w:cs="Arial" w:eastAsia="Arial" w:hAnsi="Arial"/>
          <w:sz w:val="20"/>
          <w:szCs w:val="20"/>
          <w:color w:val="auto"/>
        </w:rPr>
      </w:pPr>
    </w:p>
    <w:p>
      <w:pPr>
        <w:ind w:left="60" w:right="120"/>
        <w:spacing w:after="0" w:line="233" w:lineRule="auto"/>
        <w:rPr>
          <w:rFonts w:ascii="Arial" w:cs="Arial" w:eastAsia="Arial" w:hAnsi="Arial"/>
          <w:sz w:val="20"/>
          <w:szCs w:val="20"/>
          <w:color w:val="auto"/>
        </w:rPr>
      </w:pPr>
      <w:r>
        <w:rPr>
          <w:rFonts w:ascii="Arial" w:cs="Arial" w:eastAsia="Arial" w:hAnsi="Arial"/>
          <w:sz w:val="21"/>
          <w:szCs w:val="21"/>
          <w:color w:val="auto"/>
        </w:rPr>
        <w:t>3.50 to 1.00 or if a Default has occurred and is continuing, and (y) 0% if no Default has occurred and is continuing and the Senior Secured Leverage Ratio (as of the most recent date of delivery of Financials) is less than 3.50 to 1.00.</w:t>
      </w:r>
    </w:p>
    <w:p>
      <w:pPr>
        <w:spacing w:after="0" w:line="168" w:lineRule="exact"/>
        <w:rPr>
          <w:rFonts w:ascii="Arial" w:cs="Arial" w:eastAsia="Arial" w:hAnsi="Arial"/>
          <w:sz w:val="20"/>
          <w:szCs w:val="20"/>
          <w:color w:val="auto"/>
        </w:rPr>
      </w:pPr>
    </w:p>
    <w:p>
      <w:pPr>
        <w:ind w:left="1800" w:hanging="462"/>
        <w:spacing w:after="0"/>
        <w:tabs>
          <w:tab w:leader="none" w:pos="1800" w:val="left"/>
        </w:tabs>
        <w:numPr>
          <w:ilvl w:val="0"/>
          <w:numId w:val="85"/>
        </w:numPr>
        <w:rPr>
          <w:rFonts w:ascii="Arial" w:cs="Arial" w:eastAsia="Arial" w:hAnsi="Arial"/>
          <w:sz w:val="21"/>
          <w:szCs w:val="21"/>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Reserved</w:t>
      </w:r>
      <w:r>
        <w:rPr>
          <w:rFonts w:ascii="Arial" w:cs="Arial" w:eastAsia="Arial" w:hAnsi="Arial"/>
          <w:sz w:val="25"/>
          <w:szCs w:val="25"/>
          <w:b w:val="1"/>
          <w:bCs w:val="1"/>
          <w:u w:val="single" w:color="auto"/>
          <w:color w:val="auto"/>
        </w:rPr>
        <w:t>]</w:t>
      </w:r>
      <w:r>
        <w:rPr>
          <w:rFonts w:ascii="Arial" w:cs="Arial" w:eastAsia="Arial" w:hAnsi="Arial"/>
          <w:sz w:val="21"/>
          <w:szCs w:val="21"/>
          <w:color w:val="auto"/>
        </w:rPr>
        <w:t>.</w:t>
      </w:r>
    </w:p>
    <w:p>
      <w:pPr>
        <w:spacing w:after="0" w:line="277" w:lineRule="exact"/>
        <w:rPr>
          <w:rFonts w:ascii="Arial" w:cs="Arial" w:eastAsia="Arial" w:hAnsi="Arial"/>
          <w:sz w:val="21"/>
          <w:szCs w:val="21"/>
          <w:color w:val="auto"/>
        </w:rPr>
      </w:pPr>
    </w:p>
    <w:p>
      <w:pPr>
        <w:jc w:val="both"/>
        <w:ind w:left="60" w:right="120" w:firstLine="1278"/>
        <w:spacing w:after="0" w:line="232" w:lineRule="auto"/>
        <w:tabs>
          <w:tab w:leader="none" w:pos="1850"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All such amounts pursuant to Sections 2.11(d) shall be applied to prepay the Term Loans in the inverse order of maturity, with any excess remaining to applied to the then outstanding Revolving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prepayment of Revolving Loans pursuant to this Section 2.11(f) shall not reduce the Revolving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1256030</wp:posOffset>
            </wp:positionH>
            <wp:positionV relativeFrom="paragraph">
              <wp:posOffset>-608965</wp:posOffset>
            </wp:positionV>
            <wp:extent cx="1193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178" w:lineRule="exact"/>
        <w:rPr>
          <w:sz w:val="20"/>
          <w:szCs w:val="20"/>
          <w:color w:val="auto"/>
        </w:rPr>
      </w:pPr>
    </w:p>
    <w:p>
      <w:pPr>
        <w:jc w:val="both"/>
        <w:ind w:left="60" w:right="120" w:firstLine="642"/>
        <w:spacing w:after="0" w:line="241"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Fees</w:t>
      </w:r>
      <w:r>
        <w:rPr>
          <w:rFonts w:ascii="Arial" w:cs="Arial" w:eastAsia="Arial" w:hAnsi="Arial"/>
          <w:sz w:val="19"/>
          <w:szCs w:val="19"/>
          <w:color w:val="auto"/>
        </w:rPr>
        <w:t xml:space="preserve">. (a) The Borrower agrees to pay to the Administrative Agent for the account of each Revolving Lender a commitment fee, which shall accrue at the Applicable Rate on the daily amount of the Available Revolving Commitment of such Lender during the period from and including the Effective Date to but excluding the date on which such Revolving Commitment terminates;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Lender continues to have any Revolving Credit Exposure after its Revolving Commitment terminates, then such commitment fee shall continue to accrue on the daily amount of such Lender’s Revolving Credit Exposure from and including the date on which its Revolving Commitment terminates to but excluding the date on which such Lender ceases to have any Revolving Credit Exposure. Commitment fees accrued through and including the last day of March, June, September and December of each year shall be payable in arrears on the fifteenth day following such last day and on the date on which the Revolving Commitments terminate, commencing on the first such date to occur after the date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commitment fees accruing after the date on which the Revolving Commitments terminate shall be payable on demand. All commitment fees shall be computed on the basis of a year of</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color w:val="auto"/>
        </w:rPr>
        <w:t>69</w:t>
      </w:r>
    </w:p>
    <w:p>
      <w:pPr>
        <w:sectPr>
          <w:pgSz w:w="11900" w:h="16838" w:orient="portrait"/>
          <w:cols w:equalWidth="0" w:num="1">
            <w:col w:w="11160"/>
          </w:cols>
          <w:pgMar w:left="400" w:top="1440" w:right="339" w:bottom="1440" w:gutter="0" w:footer="0" w:header="0"/>
        </w:sectPr>
      </w:pPr>
    </w:p>
    <w:bookmarkStart w:id="159" w:name="page160"/>
    <w:bookmarkEnd w:id="159"/>
    <w:p>
      <w:pPr>
        <w:spacing w:after="0" w:line="193" w:lineRule="exact"/>
        <w:rPr>
          <w:sz w:val="20"/>
          <w:szCs w:val="20"/>
          <w:color w:val="auto"/>
        </w:rPr>
      </w:pPr>
    </w:p>
    <w:p>
      <w:pPr>
        <w:ind w:left="60" w:right="140"/>
        <w:spacing w:after="0" w:line="244" w:lineRule="auto"/>
        <w:rPr>
          <w:sz w:val="20"/>
          <w:szCs w:val="20"/>
          <w:color w:val="auto"/>
        </w:rPr>
      </w:pPr>
      <w:r>
        <w:rPr>
          <w:rFonts w:ascii="Arial" w:cs="Arial" w:eastAsia="Arial" w:hAnsi="Arial"/>
          <w:sz w:val="21"/>
          <w:szCs w:val="21"/>
          <w:color w:val="auto"/>
        </w:rPr>
        <w:t>360 days and shall be payable for the actual number of days elapsed (including the first day and the last day of each period but excluding the date on which the Commitments terminate).</w:t>
      </w:r>
    </w:p>
    <w:p>
      <w:pPr>
        <w:spacing w:after="0" w:line="179" w:lineRule="exact"/>
        <w:rPr>
          <w:sz w:val="20"/>
          <w:szCs w:val="20"/>
          <w:color w:val="auto"/>
        </w:rPr>
      </w:pPr>
    </w:p>
    <w:p>
      <w:pPr>
        <w:jc w:val="both"/>
        <w:ind w:left="60" w:firstLine="635"/>
        <w:spacing w:after="0" w:line="238" w:lineRule="auto"/>
        <w:tabs>
          <w:tab w:leader="none" w:pos="1355"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The Borrower agrees to pay (i) to the Administrative Agent for the account of each Revolving Lender a participation fee with respect to its participations in each outstanding Letter of Credit, which shall accrue on the Dollar Equivalent of the daily maximum stated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Revolving Commitment terminates and the date on which such Lender ceases to have any LC Exposure, and (ii) to each Issuing Bank for its own account a fronting fee with respect to each Letter of Credit issued by such Issuing Bank, which shall accrue at the rate of 0.125%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on the Dollar Equivalent of the daily maximum stated amount then available to be drawn under such Letter of Credit, during the period from and including the Effective Date to but excluding the later of the date of termination of the Revolving Commitments and the date on which there ceases to be any LC Exposure with respect to Letters of Credit issued by such Issuing Bank, as well as such Issuing Bank’s standard fees with respect to the issuance, amendment or extension of any Letter of Credit and other processing fees, and other standard costs and charges, of such Issuing bank relating the Letters of Credit as from time to time in effect. Participation fees and fronting fees accrued through and including the last day of March, June, September and December of each year shall be payable on the fifteenth day following such last day,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280" w:lineRule="exact"/>
        <w:rPr>
          <w:rFonts w:ascii="Arial" w:cs="Arial" w:eastAsia="Arial" w:hAnsi="Arial"/>
          <w:sz w:val="19"/>
          <w:szCs w:val="19"/>
          <w:color w:val="auto"/>
        </w:rPr>
      </w:pPr>
    </w:p>
    <w:p>
      <w:pPr>
        <w:ind w:left="60" w:right="20" w:firstLine="635"/>
        <w:spacing w:after="0" w:line="244" w:lineRule="auto"/>
        <w:tabs>
          <w:tab w:leader="none" w:pos="1188"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Borrower agrees to pay to the Administrative Agent, for its own account, fees payable in the amounts and at the times separately agreed upon between the Borrower and the Administrative Agent.</w:t>
      </w:r>
    </w:p>
    <w:p>
      <w:pPr>
        <w:spacing w:after="0" w:line="192" w:lineRule="exact"/>
        <w:rPr>
          <w:rFonts w:ascii="Arial" w:cs="Arial" w:eastAsia="Arial" w:hAnsi="Arial"/>
          <w:sz w:val="21"/>
          <w:szCs w:val="21"/>
          <w:color w:val="auto"/>
        </w:rPr>
      </w:pPr>
    </w:p>
    <w:p>
      <w:pPr>
        <w:jc w:val="both"/>
        <w:ind w:left="60" w:firstLine="635"/>
        <w:spacing w:after="0" w:line="232" w:lineRule="auto"/>
        <w:tabs>
          <w:tab w:leader="none" w:pos="1292" w:val="left"/>
        </w:tabs>
        <w:numPr>
          <w:ilvl w:val="0"/>
          <w:numId w:val="86"/>
        </w:numPr>
        <w:rPr>
          <w:rFonts w:ascii="Arial" w:cs="Arial" w:eastAsia="Arial" w:hAnsi="Arial"/>
          <w:sz w:val="21"/>
          <w:szCs w:val="21"/>
          <w:color w:val="auto"/>
        </w:rPr>
      </w:pPr>
      <w:r>
        <w:rPr>
          <w:rFonts w:ascii="Arial" w:cs="Arial" w:eastAsia="Arial" w:hAnsi="Arial"/>
          <w:sz w:val="21"/>
          <w:szCs w:val="21"/>
          <w:color w:val="auto"/>
        </w:rPr>
        <w:t>All fees payable hereunder shall be paid on the dates due, in Dollars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84" w:lineRule="exact"/>
        <w:rPr>
          <w:sz w:val="20"/>
          <w:szCs w:val="20"/>
          <w:color w:val="auto"/>
        </w:rPr>
      </w:pPr>
    </w:p>
    <w:p>
      <w:pPr>
        <w:ind w:left="60" w:right="20" w:firstLine="642"/>
        <w:spacing w:after="0" w:line="244" w:lineRule="auto"/>
        <w:rPr>
          <w:sz w:val="20"/>
          <w:szCs w:val="20"/>
          <w:color w:val="auto"/>
        </w:rPr>
      </w:pPr>
      <w:r>
        <w:rPr>
          <w:rFonts w:ascii="Arial" w:cs="Arial" w:eastAsia="Arial" w:hAnsi="Arial"/>
          <w:sz w:val="21"/>
          <w:szCs w:val="21"/>
          <w:color w:val="auto"/>
        </w:rPr>
        <w:t xml:space="preserve">SECTION 2.13. </w:t>
      </w:r>
      <w:r>
        <w:rPr>
          <w:rFonts w:ascii="Arial" w:cs="Arial" w:eastAsia="Arial" w:hAnsi="Arial"/>
          <w:sz w:val="21"/>
          <w:szCs w:val="21"/>
          <w:u w:val="single" w:color="auto"/>
          <w:color w:val="auto"/>
        </w:rPr>
        <w:t>Interest</w:t>
      </w:r>
      <w:r>
        <w:rPr>
          <w:rFonts w:ascii="Arial" w:cs="Arial" w:eastAsia="Arial" w:hAnsi="Arial"/>
          <w:sz w:val="21"/>
          <w:szCs w:val="21"/>
          <w:color w:val="auto"/>
        </w:rPr>
        <w:t xml:space="preserve"> . (a) The Loans comprising each ABR Borrowing (including each Swingline Loan) shall bear interest at the Alternate Base Rate plus the Applicable Rate.</w:t>
      </w:r>
    </w:p>
    <w:p>
      <w:pPr>
        <w:spacing w:after="0" w:line="260" w:lineRule="exact"/>
        <w:rPr>
          <w:sz w:val="20"/>
          <w:szCs w:val="20"/>
          <w:color w:val="auto"/>
        </w:rPr>
      </w:pPr>
    </w:p>
    <w:p>
      <w:pPr>
        <w:jc w:val="both"/>
        <w:ind w:left="60" w:firstLine="635"/>
        <w:spacing w:after="0" w:line="232" w:lineRule="auto"/>
        <w:tabs>
          <w:tab w:leader="none" w:pos="1190"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Loans comprising each Term Benchmark Borrowing shall bear interest at the Adjusted Term SOFR Rate, the CDOR Rate, the Adjusted EURIBOR Rate or the Adjusted TIBOR Rate, as applicable, for the Interest Period in effect for such Borrowing plus the Applicable Rate.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70</w:t>
      </w:r>
    </w:p>
    <w:p>
      <w:pPr>
        <w:sectPr>
          <w:pgSz w:w="11900" w:h="16838" w:orient="portrait"/>
          <w:cols w:equalWidth="0" w:num="1">
            <w:col w:w="11040"/>
          </w:cols>
          <w:pgMar w:left="400" w:top="1440" w:right="459" w:bottom="1440" w:gutter="0" w:footer="0" w:header="0"/>
        </w:sectPr>
      </w:pPr>
    </w:p>
    <w:bookmarkStart w:id="160" w:name="page161"/>
    <w:bookmarkEnd w:id="160"/>
    <w:p>
      <w:pPr>
        <w:spacing w:after="0" w:line="193" w:lineRule="exact"/>
        <w:rPr>
          <w:sz w:val="20"/>
          <w:szCs w:val="20"/>
          <w:color w:val="auto"/>
        </w:rPr>
      </w:pPr>
    </w:p>
    <w:p>
      <w:pPr>
        <w:ind w:left="60" w:right="140" w:firstLine="635"/>
        <w:spacing w:after="0" w:line="244" w:lineRule="auto"/>
        <w:tabs>
          <w:tab w:leader="none" w:pos="1162" w:val="left"/>
        </w:tabs>
        <w:numPr>
          <w:ilvl w:val="0"/>
          <w:numId w:val="88"/>
        </w:numPr>
        <w:rPr>
          <w:rFonts w:ascii="Arial" w:cs="Arial" w:eastAsia="Arial" w:hAnsi="Arial"/>
          <w:sz w:val="21"/>
          <w:szCs w:val="21"/>
          <w:color w:val="auto"/>
        </w:rPr>
      </w:pPr>
      <w:r>
        <w:rPr>
          <w:rFonts w:ascii="Arial" w:cs="Arial" w:eastAsia="Arial" w:hAnsi="Arial"/>
          <w:sz w:val="21"/>
          <w:szCs w:val="21"/>
          <w:color w:val="auto"/>
        </w:rPr>
        <w:t>Each RFR Loan shall bear interest at a rate per annum equal to the applicable Adjusted Daily Simple RFR plus the Applicable Rate.</w:t>
      </w:r>
    </w:p>
    <w:p>
      <w:pPr>
        <w:spacing w:after="0" w:line="179" w:lineRule="exact"/>
        <w:rPr>
          <w:rFonts w:ascii="Arial" w:cs="Arial" w:eastAsia="Arial" w:hAnsi="Arial"/>
          <w:sz w:val="21"/>
          <w:szCs w:val="21"/>
          <w:color w:val="auto"/>
        </w:rPr>
      </w:pPr>
    </w:p>
    <w:p>
      <w:pPr>
        <w:jc w:val="both"/>
        <w:ind w:left="60" w:firstLine="635"/>
        <w:spacing w:after="0" w:line="229" w:lineRule="auto"/>
        <w:tabs>
          <w:tab w:leader="none" w:pos="1189"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Notwithstanding the foregoing, (i) during the occurrence and continuance of an Event of Default pursuant to clause (a), (f) or (g) of Section 7.01, all Loans shall bear interest at 2% plus the rate otherwise applicable to such Loans as provided in the preceding paragraphs of this Section and all Letter of Credit participation fees shall accrue at 2% plus the rate otherwise applicable to such fees hereunder, and (ii) if any principal of or interest on any Loan or any fee or other amount payable by the Borrower hereunder is not paid when due, whether at stated maturity, upon acceleration or otherwise, the Administrative Agent or the Required Lenders may, at their option, by notice to the Borrower (which notice may be revoked at the option of the Required Lenders notwithstanding any provision of Section 9.02 requiring the consent of “each Lender directly affected thereby” for reductions in interest rates), declare that such overdue amount shall bear interest, after as well as before judgment, at a rate </w:t>
      </w:r>
      <w:r>
        <w:rPr>
          <w:rFonts w:ascii="Arial" w:cs="Arial" w:eastAsia="Arial" w:hAnsi="Arial"/>
          <w:sz w:val="20"/>
          <w:szCs w:val="20"/>
          <w:i w:val="1"/>
          <w:iCs w:val="1"/>
          <w:color w:val="auto"/>
        </w:rPr>
        <w:t xml:space="preserve">per annum </w:t>
      </w:r>
      <w:r>
        <w:rPr>
          <w:rFonts w:ascii="Arial" w:cs="Arial" w:eastAsia="Arial" w:hAnsi="Arial"/>
          <w:sz w:val="20"/>
          <w:szCs w:val="20"/>
          <w:color w:val="auto"/>
        </w:rPr>
        <w:t>equal to (i) in the case of overdue principal of any Loan, 2% plus the rate otherwise applicable to such Loan as</w:t>
      </w:r>
      <w:r>
        <w:rPr>
          <w:rFonts w:ascii="Arial" w:cs="Arial" w:eastAsia="Arial" w:hAnsi="Arial"/>
          <w:sz w:val="20"/>
          <w:szCs w:val="20"/>
          <w:i w:val="1"/>
          <w:iCs w:val="1"/>
          <w:color w:val="auto"/>
        </w:rPr>
        <w:t xml:space="preserve"> </w:t>
      </w:r>
      <w:r>
        <w:rPr>
          <w:rFonts w:ascii="Arial" w:cs="Arial" w:eastAsia="Arial" w:hAnsi="Arial"/>
          <w:sz w:val="20"/>
          <w:szCs w:val="20"/>
          <w:color w:val="auto"/>
        </w:rPr>
        <w:t>provided in the preceding paragraphs of this Section or (ii) in the case of any other amount, 2% plus the rate applicable to ABR Loans as provided in paragraph (a) of this Section.</w:t>
      </w:r>
    </w:p>
    <w:p>
      <w:pPr>
        <w:spacing w:after="0" w:line="186" w:lineRule="exact"/>
        <w:rPr>
          <w:rFonts w:ascii="Arial" w:cs="Arial" w:eastAsia="Arial" w:hAnsi="Arial"/>
          <w:sz w:val="20"/>
          <w:szCs w:val="20"/>
          <w:color w:val="auto"/>
        </w:rPr>
      </w:pPr>
    </w:p>
    <w:p>
      <w:pPr>
        <w:jc w:val="both"/>
        <w:ind w:left="60" w:right="120" w:firstLine="635"/>
        <w:spacing w:after="0" w:line="245" w:lineRule="auto"/>
        <w:tabs>
          <w:tab w:leader="none" w:pos="1155"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in the same Agreed Currency as the applicable Loan, on each Interest Payment Date for such Loan and, in the case of Revolving Loans, upon termination of the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Revolving Loan prior to the end of the current Interest Period therefor, accrued interest on such Loan shall be payable on the effective date of such conversion.</w:t>
      </w:r>
    </w:p>
    <w:p>
      <w:pPr>
        <w:spacing w:after="0" w:line="194" w:lineRule="exact"/>
        <w:rPr>
          <w:rFonts w:ascii="Arial" w:cs="Arial" w:eastAsia="Arial" w:hAnsi="Arial"/>
          <w:sz w:val="19"/>
          <w:szCs w:val="19"/>
          <w:color w:val="auto"/>
        </w:rPr>
      </w:pPr>
    </w:p>
    <w:p>
      <w:pPr>
        <w:jc w:val="both"/>
        <w:ind w:left="60" w:right="120" w:firstLine="635"/>
        <w:spacing w:after="0" w:line="229" w:lineRule="auto"/>
        <w:tabs>
          <w:tab w:leader="none" w:pos="1143" w:val="left"/>
        </w:tabs>
        <w:numPr>
          <w:ilvl w:val="0"/>
          <w:numId w:val="88"/>
        </w:numPr>
        <w:rPr>
          <w:rFonts w:ascii="Arial" w:cs="Arial" w:eastAsia="Arial" w:hAnsi="Arial"/>
          <w:sz w:val="20"/>
          <w:szCs w:val="20"/>
          <w:color w:val="auto"/>
        </w:rPr>
      </w:pPr>
      <w:r>
        <w:rPr>
          <w:rFonts w:ascii="Arial" w:cs="Arial" w:eastAsia="Arial" w:hAnsi="Arial"/>
          <w:sz w:val="20"/>
          <w:szCs w:val="20"/>
          <w:color w:val="auto"/>
        </w:rPr>
        <w:t>Interest computed by reference to the Alternate Base Rate (except when based on the Prime Rate), the Term SOFR Rate, the EURIBOR Rate or Daily Simple RFR with respect to Dollars hereunder shall be computed on the basis of a year of 360 days. Interest computed by reference to the TIBOR Rate, the CDOR Rate or the Alternate Base Rate only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Adjusted Term SOFR Rate, the CDOR Rate, Term SOFR Rate, or, Adjusted EURIBOR Rate, EURIBOR Rate, Adjusted TIBOR Rate, TIBOR Rate, Adjusted Daily Simple RFR or Daily Simple RFR shall be determined by the Administrative Agent, and such determination shall be conclusive absent manifest error.</w:t>
      </w:r>
    </w:p>
    <w:p>
      <w:pPr>
        <w:spacing w:after="0" w:line="183"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2.14.</w:t>
      </w:r>
      <w:r>
        <w:rPr>
          <w:sz w:val="20"/>
          <w:szCs w:val="20"/>
          <w:color w:val="auto"/>
        </w:rPr>
        <w:tab/>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 (a) Subject to clauses (b) (c), (d), (e) and</w:t>
      </w:r>
    </w:p>
    <w:p>
      <w:pPr>
        <w:ind w:left="480" w:hanging="429"/>
        <w:spacing w:after="0"/>
        <w:tabs>
          <w:tab w:leader="none" w:pos="480" w:val="left"/>
        </w:tabs>
        <w:numPr>
          <w:ilvl w:val="0"/>
          <w:numId w:val="89"/>
        </w:numPr>
        <w:rPr>
          <w:rFonts w:ascii="Arial" w:cs="Arial" w:eastAsia="Arial" w:hAnsi="Arial"/>
          <w:sz w:val="21"/>
          <w:szCs w:val="21"/>
          <w:color w:val="auto"/>
        </w:rPr>
      </w:pPr>
      <w:r>
        <w:rPr>
          <w:rFonts w:ascii="Arial" w:cs="Arial" w:eastAsia="Arial" w:hAnsi="Arial"/>
          <w:sz w:val="21"/>
          <w:szCs w:val="21"/>
          <w:color w:val="auto"/>
        </w:rPr>
        <w:t>of this Section 2.14, if:</w:t>
      </w:r>
    </w:p>
    <w:p>
      <w:pPr>
        <w:spacing w:after="0" w:line="196" w:lineRule="exact"/>
        <w:rPr>
          <w:rFonts w:ascii="Arial" w:cs="Arial" w:eastAsia="Arial" w:hAnsi="Arial"/>
          <w:sz w:val="21"/>
          <w:szCs w:val="21"/>
          <w:color w:val="auto"/>
        </w:rPr>
      </w:pPr>
    </w:p>
    <w:p>
      <w:pPr>
        <w:ind w:left="1340" w:right="360" w:hanging="1"/>
        <w:spacing w:after="0" w:line="244" w:lineRule="auto"/>
        <w:tabs>
          <w:tab w:leader="none" w:pos="1757" w:val="left"/>
        </w:tabs>
        <w:numPr>
          <w:ilvl w:val="1"/>
          <w:numId w:val="89"/>
        </w:numPr>
        <w:rPr>
          <w:rFonts w:ascii="Arial" w:cs="Arial" w:eastAsia="Arial" w:hAnsi="Arial"/>
          <w:sz w:val="21"/>
          <w:szCs w:val="21"/>
          <w:color w:val="auto"/>
        </w:rPr>
      </w:pPr>
      <w:r>
        <w:rPr>
          <w:rFonts w:ascii="Arial" w:cs="Arial" w:eastAsia="Arial" w:hAnsi="Arial"/>
          <w:sz w:val="21"/>
          <w:szCs w:val="21"/>
          <w:color w:val="auto"/>
        </w:rPr>
        <w:t>the Administrative Agent determines (which determination shall be conclusive absent manifest error) (A) prior to the commencement of any Interest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color w:val="auto"/>
        </w:rPr>
        <w:t>71</w:t>
      </w:r>
    </w:p>
    <w:p>
      <w:pPr>
        <w:sectPr>
          <w:pgSz w:w="11900" w:h="16838" w:orient="portrait"/>
          <w:cols w:equalWidth="0" w:num="1">
            <w:col w:w="11160"/>
          </w:cols>
          <w:pgMar w:left="400" w:top="1440" w:right="339" w:bottom="1440" w:gutter="0" w:footer="0" w:header="0"/>
        </w:sectPr>
      </w:pPr>
    </w:p>
    <w:bookmarkStart w:id="161" w:name="page162"/>
    <w:bookmarkEnd w:id="161"/>
    <w:p>
      <w:pPr>
        <w:spacing w:after="0" w:line="193" w:lineRule="exact"/>
        <w:rPr>
          <w:sz w:val="20"/>
          <w:szCs w:val="20"/>
          <w:color w:val="auto"/>
        </w:rPr>
      </w:pPr>
    </w:p>
    <w:p>
      <w:pPr>
        <w:jc w:val="both"/>
        <w:ind w:left="1340" w:right="120"/>
        <w:spacing w:after="0" w:line="250" w:lineRule="auto"/>
        <w:rPr>
          <w:sz w:val="20"/>
          <w:szCs w:val="20"/>
          <w:color w:val="auto"/>
        </w:rPr>
      </w:pPr>
      <w:r>
        <w:rPr>
          <w:rFonts w:ascii="Arial" w:cs="Arial" w:eastAsia="Arial" w:hAnsi="Arial"/>
          <w:sz w:val="19"/>
          <w:szCs w:val="19"/>
          <w:color w:val="auto"/>
        </w:rPr>
        <w:t>Period for a Term Benchmark Borrowing, that adequate and reasonable means do not exist for ascertaining the Adjusted Term SOFR Rate, the CDOR Rate, the Adjusted EURIBOR Rate, or the Adjusted TIBOR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for the applicable Agreed Currency; or</w:t>
      </w:r>
    </w:p>
    <w:p>
      <w:pPr>
        <w:spacing w:after="0" w:line="176" w:lineRule="exact"/>
        <w:rPr>
          <w:sz w:val="20"/>
          <w:szCs w:val="20"/>
          <w:color w:val="auto"/>
        </w:rPr>
      </w:pPr>
    </w:p>
    <w:p>
      <w:pPr>
        <w:jc w:val="both"/>
        <w:ind w:left="1340" w:hanging="1"/>
        <w:spacing w:after="0" w:line="220" w:lineRule="auto"/>
        <w:tabs>
          <w:tab w:leader="none" w:pos="1886"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Administrative Agent is advised by the Required Lenders that (A) prior to the commencement of any Interest Period for a Term Benchmark Borrowing, the Adjusted Term SOFR Rate, the CDOR Rate, the Adjusted EURIBOR Rate or the Adjusted TIBOR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or RFR for the applicable Agreed Currency will not adequately and fairly reflect the cost to such Lenders of making or maintaining their Loans included in such Borrowing for the applicable Agreed Currency;</w:t>
      </w:r>
    </w:p>
    <w:p>
      <w:pPr>
        <w:spacing w:after="0" w:line="186" w:lineRule="exact"/>
        <w:rPr>
          <w:sz w:val="20"/>
          <w:szCs w:val="20"/>
          <w:color w:val="auto"/>
        </w:rPr>
      </w:pPr>
    </w:p>
    <w:p>
      <w:pPr>
        <w:jc w:val="both"/>
        <w:ind w:left="60" w:right="120"/>
        <w:spacing w:after="0" w:line="236" w:lineRule="auto"/>
        <w:rPr>
          <w:sz w:val="20"/>
          <w:szCs w:val="20"/>
          <w:color w:val="auto"/>
        </w:rPr>
      </w:pPr>
      <w:r>
        <w:rPr>
          <w:rFonts w:ascii="Arial" w:cs="Arial" w:eastAsia="Arial" w:hAnsi="Arial"/>
          <w:sz w:val="19"/>
          <w:szCs w:val="19"/>
          <w:color w:val="auto"/>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Interest Election Request that requests the conversion of any Borrowing to, or continuation of any Borrowing as, a Term Benchmark Borrowing and any Borrowing Request that requests a Term Benchmark Revolving Borrowing shall instead be deemed to be an Interest Election Request or a Borrowing Request, as applicable, for (x) an RFR Borrowing denominated in Dollars so long as the Adjusted Daily Simple RFR for Dollar Borrowings is not also the subject of Section 2.14(a)(i) or (ii) above or (y) an ABR Borrowing if the Adjusted Daily Simple RFR for Dollar Borrowings also is the subject of Section 2.14(a)(i) or (ii) above and (2) any Borrowing Request that requests an RFR Borrowing shall instead be deemed to be a Borrowing Request, as applicable, for an ABR Borrowing and (B) for Loans denominated in a Foreign Currency, any Interest Election Request that requests the conversion of any Revolving Borrowing to, or continuation of any Revolving Borrowing as, a Term Benchmark Borrowing and any Borrowing Request that requests a Term Benchmark Revolving Borrowing or an RFR Borrowing, in each case, for the relevant Benchmark shall be ineffective;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 referred to in this Section 2.14(a) with respect to a Relevant Rate applicable to such Term Benchmark Loan or RFR Loan, then until</w:t>
      </w:r>
    </w:p>
    <w:p>
      <w:pPr>
        <w:spacing w:after="0" w:line="11" w:lineRule="exact"/>
        <w:rPr>
          <w:sz w:val="20"/>
          <w:szCs w:val="20"/>
          <w:color w:val="auto"/>
        </w:rPr>
      </w:pPr>
    </w:p>
    <w:p>
      <w:pPr>
        <w:jc w:val="both"/>
        <w:ind w:left="60" w:right="120" w:hanging="8"/>
        <w:spacing w:after="0" w:line="234" w:lineRule="auto"/>
        <w:tabs>
          <w:tab w:leader="none" w:pos="372"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Term Benchmark Loan shall on the last day of the Interest Period applicable to</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72</w:t>
      </w:r>
    </w:p>
    <w:p>
      <w:pPr>
        <w:sectPr>
          <w:pgSz w:w="11900" w:h="16838" w:orient="portrait"/>
          <w:cols w:equalWidth="0" w:num="1">
            <w:col w:w="11160"/>
          </w:cols>
          <w:pgMar w:left="400" w:top="1440" w:right="339" w:bottom="1440" w:gutter="0" w:footer="0" w:header="0"/>
        </w:sectPr>
      </w:pPr>
    </w:p>
    <w:bookmarkStart w:id="162" w:name="page163"/>
    <w:bookmarkEnd w:id="162"/>
    <w:p>
      <w:pPr>
        <w:spacing w:after="0" w:line="194" w:lineRule="exact"/>
        <w:rPr>
          <w:sz w:val="20"/>
          <w:szCs w:val="20"/>
          <w:color w:val="auto"/>
        </w:rPr>
      </w:pPr>
    </w:p>
    <w:p>
      <w:pPr>
        <w:jc w:val="both"/>
        <w:ind w:left="60" w:right="120"/>
        <w:spacing w:after="0" w:line="239" w:lineRule="auto"/>
        <w:rPr>
          <w:sz w:val="20"/>
          <w:szCs w:val="20"/>
          <w:color w:val="auto"/>
        </w:rPr>
      </w:pPr>
      <w:r>
        <w:rPr>
          <w:rFonts w:ascii="Arial" w:cs="Arial" w:eastAsia="Arial" w:hAnsi="Arial"/>
          <w:sz w:val="19"/>
          <w:szCs w:val="19"/>
          <w:color w:val="auto"/>
        </w:rPr>
        <w:t xml:space="preserve">such Loan, be converted by the Administrative Agent to, and shall constitute, (x) an RFR Borrowing denominated in Dollars so long as the Adjusted Daily Simple RFR for Dollar Borrowings is not also the subject of Section 2.14(a)(i) or (ii) above or (y) an ABR Loan if the Adjusted Daily Simple RFR for Dollar Borrowings also is the subject of Section 2.14(a)(i) or (ii) above,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bear interest at the Central Bank/Prime Rate for the applicable Foreign Currency plus the CBR Spread;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if the Administrative Agent determines (which determination shall be conclusive and binding absent manifest error) that the Central Bank/Prime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Bank/Prime Rate for the applicable Foreign Currency plus the CBR Spread; </w:t>
      </w:r>
      <w:r>
        <w:rPr>
          <w:rFonts w:ascii="Arial" w:cs="Arial" w:eastAsia="Arial" w:hAnsi="Arial"/>
          <w:sz w:val="19"/>
          <w:szCs w:val="19"/>
          <w:u w:val="single" w:color="auto"/>
          <w:color w:val="auto"/>
        </w:rPr>
        <w:t>provided that</w:t>
      </w:r>
      <w:r>
        <w:rPr>
          <w:rFonts w:ascii="Arial" w:cs="Arial" w:eastAsia="Arial" w:hAnsi="Arial"/>
          <w:sz w:val="19"/>
          <w:szCs w:val="19"/>
          <w:color w:val="auto"/>
        </w:rPr>
        <w:t>, if the Administrative Agent determines (which determination shall be conclusive and binding absent manifest error) that the Central Bank/Prime Rate for the applicable Foreign Currency cannot be determined, any outstanding affected RFR Loans denominated in any Foreign Currency, at the Borrower’s election, shall either (A) be converted into ABR Loans denominated in Dollars (in an amount equal to the Dollar Equivalent of such Foreign Currency) immediately or (B) be prepaid in full immediately.</w:t>
      </w:r>
    </w:p>
    <w:p>
      <w:pPr>
        <w:spacing w:after="0" w:line="186" w:lineRule="exact"/>
        <w:rPr>
          <w:sz w:val="20"/>
          <w:szCs w:val="20"/>
          <w:color w:val="auto"/>
        </w:rPr>
      </w:pPr>
    </w:p>
    <w:p>
      <w:pPr>
        <w:jc w:val="both"/>
        <w:ind w:left="60" w:firstLine="635"/>
        <w:spacing w:after="0"/>
        <w:tabs>
          <w:tab w:leader="none" w:pos="1195" w:val="left"/>
        </w:tabs>
        <w:numPr>
          <w:ilvl w:val="0"/>
          <w:numId w:val="92"/>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w:t>
      </w:r>
    </w:p>
    <w:p>
      <w:pPr>
        <w:spacing w:after="0" w:line="189" w:lineRule="exact"/>
        <w:rPr>
          <w:rFonts w:ascii="Arial" w:cs="Arial" w:eastAsia="Arial" w:hAnsi="Arial"/>
          <w:sz w:val="19"/>
          <w:szCs w:val="19"/>
          <w:color w:val="auto"/>
        </w:rPr>
      </w:pPr>
    </w:p>
    <w:p>
      <w:pPr>
        <w:jc w:val="both"/>
        <w:ind w:left="60" w:firstLine="635"/>
        <w:spacing w:after="0" w:line="246" w:lineRule="auto"/>
        <w:tabs>
          <w:tab w:leader="none" w:pos="1155" w:val="left"/>
        </w:tabs>
        <w:numPr>
          <w:ilvl w:val="0"/>
          <w:numId w:val="92"/>
        </w:numPr>
        <w:rPr>
          <w:rFonts w:ascii="Arial" w:cs="Arial" w:eastAsia="Arial" w:hAnsi="Arial"/>
          <w:sz w:val="20"/>
          <w:szCs w:val="20"/>
          <w:color w:val="auto"/>
        </w:rPr>
      </w:pPr>
      <w:r>
        <w:rPr>
          <w:rFonts w:ascii="Arial" w:cs="Arial" w:eastAsia="Arial" w:hAnsi="Arial"/>
          <w:sz w:val="20"/>
          <w:szCs w:val="20"/>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color w:val="auto"/>
        </w:rPr>
        <w:t>73</w:t>
      </w:r>
    </w:p>
    <w:p>
      <w:pPr>
        <w:sectPr>
          <w:pgSz w:w="11900" w:h="16838" w:orient="portrait"/>
          <w:cols w:equalWidth="0" w:num="1">
            <w:col w:w="11160"/>
          </w:cols>
          <w:pgMar w:left="400" w:top="1440" w:right="339" w:bottom="1440" w:gutter="0" w:footer="0" w:header="0"/>
        </w:sectPr>
      </w:pPr>
    </w:p>
    <w:bookmarkStart w:id="163" w:name="page164"/>
    <w:bookmarkEnd w:id="163"/>
    <w:p>
      <w:pPr>
        <w:spacing w:after="0" w:line="194" w:lineRule="exact"/>
        <w:rPr>
          <w:sz w:val="20"/>
          <w:szCs w:val="20"/>
          <w:color w:val="auto"/>
        </w:rPr>
      </w:pPr>
    </w:p>
    <w:p>
      <w:pPr>
        <w:ind w:left="60" w:right="480"/>
        <w:spacing w:after="0" w:line="244" w:lineRule="auto"/>
        <w:rPr>
          <w:sz w:val="20"/>
          <w:szCs w:val="20"/>
          <w:color w:val="auto"/>
        </w:rPr>
      </w:pPr>
      <w:r>
        <w:rPr>
          <w:rFonts w:ascii="Arial" w:cs="Arial" w:eastAsia="Arial" w:hAnsi="Arial"/>
          <w:sz w:val="21"/>
          <w:szCs w:val="21"/>
          <w:color w:val="auto"/>
        </w:rPr>
        <w:t>Changes will become effective without any further action or consent of any other party to this Agreement or any other Loan Document.</w:t>
      </w:r>
    </w:p>
    <w:p>
      <w:pPr>
        <w:spacing w:after="0" w:line="179" w:lineRule="exact"/>
        <w:rPr>
          <w:sz w:val="20"/>
          <w:szCs w:val="20"/>
          <w:color w:val="auto"/>
        </w:rPr>
      </w:pPr>
    </w:p>
    <w:p>
      <w:pPr>
        <w:jc w:val="both"/>
        <w:ind w:left="60" w:firstLine="635"/>
        <w:spacing w:after="0" w:line="243" w:lineRule="auto"/>
        <w:tabs>
          <w:tab w:leader="none" w:pos="1176"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80" w:lineRule="exact"/>
        <w:rPr>
          <w:rFonts w:ascii="Arial" w:cs="Arial" w:eastAsia="Arial" w:hAnsi="Arial"/>
          <w:sz w:val="19"/>
          <w:szCs w:val="19"/>
          <w:color w:val="auto"/>
        </w:rPr>
      </w:pPr>
    </w:p>
    <w:p>
      <w:pPr>
        <w:jc w:val="both"/>
        <w:ind w:left="60" w:right="120" w:firstLine="635"/>
        <w:spacing w:after="0" w:line="228" w:lineRule="auto"/>
        <w:tabs>
          <w:tab w:leader="none" w:pos="1313" w:val="left"/>
        </w:tabs>
        <w:numPr>
          <w:ilvl w:val="1"/>
          <w:numId w:val="93"/>
        </w:numPr>
        <w:rPr>
          <w:rFonts w:ascii="Arial" w:cs="Arial" w:eastAsia="Arial" w:hAnsi="Arial"/>
          <w:sz w:val="20"/>
          <w:szCs w:val="20"/>
          <w:color w:val="auto"/>
        </w:rPr>
      </w:pPr>
      <w:r>
        <w:rPr>
          <w:rFonts w:ascii="Arial" w:cs="Arial" w:eastAsia="Arial" w:hAnsi="Arial"/>
          <w:sz w:val="20"/>
          <w:szCs w:val="20"/>
          <w:color w:val="auto"/>
        </w:rPr>
        <w:t>Notwithstanding anything to the contrary herein or in any other Loan Document, at any time (including in connection with the implementation of a Benchmark Replacement), (i) if the then-current Benchmark is a term rate (including the Term SOFR Rate, EURIBOR Rate, CDOR Rate or TIBOR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06" w:lineRule="exact"/>
        <w:rPr>
          <w:rFonts w:ascii="Arial" w:cs="Arial" w:eastAsia="Arial" w:hAnsi="Arial"/>
          <w:sz w:val="20"/>
          <w:szCs w:val="20"/>
          <w:color w:val="auto"/>
        </w:rPr>
      </w:pPr>
    </w:p>
    <w:p>
      <w:pPr>
        <w:jc w:val="both"/>
        <w:ind w:left="60" w:right="120" w:firstLine="635"/>
        <w:spacing w:after="0" w:line="217" w:lineRule="auto"/>
        <w:tabs>
          <w:tab w:leader="none" w:pos="1157" w:val="left"/>
        </w:tabs>
        <w:numPr>
          <w:ilvl w:val="1"/>
          <w:numId w:val="93"/>
        </w:numPr>
        <w:rPr>
          <w:rFonts w:ascii="Arial" w:cs="Arial" w:eastAsia="Arial" w:hAnsi="Arial"/>
          <w:sz w:val="21"/>
          <w:szCs w:val="21"/>
          <w:color w:val="auto"/>
        </w:rPr>
      </w:pPr>
      <w:r>
        <w:rPr>
          <w:rFonts w:ascii="Arial" w:cs="Arial" w:eastAsia="Arial" w:hAnsi="Arial"/>
          <w:sz w:val="21"/>
          <w:szCs w:val="21"/>
          <w:color w:val="auto"/>
        </w:rPr>
        <w:t>Upon the Borrower’s receipt of notice of the commencement of a Benchmark Unavailability Period, the Borrower may revoke any request for a Term Benchmark Borrowing or RFR Borrowing of, conversion to or continuation of Term Benchmark Loans or RFR Loans to be made, converted or continued during any Benchmark Unavailability Period and, failing that, either</w:t>
      </w:r>
    </w:p>
    <w:p>
      <w:pPr>
        <w:spacing w:after="0" w:line="2" w:lineRule="exact"/>
        <w:rPr>
          <w:rFonts w:ascii="Arial" w:cs="Arial" w:eastAsia="Arial" w:hAnsi="Arial"/>
          <w:sz w:val="21"/>
          <w:szCs w:val="21"/>
          <w:color w:val="auto"/>
        </w:rPr>
      </w:pPr>
    </w:p>
    <w:p>
      <w:pPr>
        <w:jc w:val="both"/>
        <w:ind w:left="60" w:right="120" w:hanging="8"/>
        <w:spacing w:after="0" w:line="229" w:lineRule="auto"/>
        <w:tabs>
          <w:tab w:leader="none" w:pos="578"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Borrower will be deemed to have converted any such request for (1) a Term Benchmark Borrowing denominated in Dollars into a request for a Borrowing of or conversion to (A)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request relating to a Term Benchmark Borrowing or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color w:val="auto"/>
        </w:rPr>
        <w:t>74</w:t>
      </w:r>
    </w:p>
    <w:p>
      <w:pPr>
        <w:sectPr>
          <w:pgSz w:w="11900" w:h="16838" w:orient="portrait"/>
          <w:cols w:equalWidth="0" w:num="1">
            <w:col w:w="11160"/>
          </w:cols>
          <w:pgMar w:left="400" w:top="1440" w:right="339" w:bottom="1440" w:gutter="0" w:footer="0" w:header="0"/>
        </w:sectPr>
      </w:pPr>
    </w:p>
    <w:bookmarkStart w:id="164" w:name="page165"/>
    <w:bookmarkEnd w:id="164"/>
    <w:p>
      <w:pPr>
        <w:spacing w:after="0" w:line="194" w:lineRule="exact"/>
        <w:rPr>
          <w:sz w:val="20"/>
          <w:szCs w:val="20"/>
          <w:color w:val="auto"/>
        </w:rPr>
      </w:pPr>
    </w:p>
    <w:p>
      <w:pPr>
        <w:jc w:val="both"/>
        <w:ind w:left="60"/>
        <w:spacing w:after="0" w:line="236" w:lineRule="auto"/>
        <w:rPr>
          <w:sz w:val="20"/>
          <w:szCs w:val="20"/>
          <w:color w:val="auto"/>
        </w:rPr>
      </w:pPr>
      <w:r>
        <w:rPr>
          <w:rFonts w:ascii="Arial" w:cs="Arial" w:eastAsia="Arial" w:hAnsi="Arial"/>
          <w:sz w:val="19"/>
          <w:szCs w:val="19"/>
          <w:color w:val="auto"/>
        </w:rPr>
        <w:t xml:space="preserve">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2.14, (A) for Loans denominated in Dollars, (1) any Term Benchmark Loan shall on the last day of the Interest Period applicable to such Loan, be converted by the Administrative Agent to, and shall constitute, (x) an RFR Borrowing denominated in Dollars so long as the Adjusted Daily Simple RFR for Dollar Borrowings is not the subject of a Benchmark Transition Event or (y) an ABR Loan if the Adjusted Daily Simple RFR for Dollar Borrowings is the subject of a Benchmark Transition Event, on such day and (2) any RFR Loan shall on and from such day, be converted by the Administrative Agent to, and shall constitute an ABR Loan and (B) for Loans denominated in any Foreign Currency, (1) any Term Benchmark Loan shall, on the last day of the Interest Period applicable to such Loan bear interest at the Central Bank/Prime Rate for the applicable Foreign Currency plus the CBR Spread;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the Administrative Agent determines (which determination shall be conclusive and binding absent manifest error) that the Central Bank/Prime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Bank/Prime Rate for the applicable Foreign Currency plus the CBR Spread; </w:t>
      </w:r>
      <w:r>
        <w:rPr>
          <w:rFonts w:ascii="Arial" w:cs="Arial" w:eastAsia="Arial" w:hAnsi="Arial"/>
          <w:sz w:val="19"/>
          <w:szCs w:val="19"/>
          <w:u w:val="single" w:color="auto"/>
          <w:color w:val="auto"/>
        </w:rPr>
        <w:t>provided that</w:t>
      </w:r>
      <w:r>
        <w:rPr>
          <w:rFonts w:ascii="Arial" w:cs="Arial" w:eastAsia="Arial" w:hAnsi="Arial"/>
          <w:sz w:val="19"/>
          <w:szCs w:val="19"/>
          <w:color w:val="auto"/>
        </w:rPr>
        <w:t>, if the Administrative Agent determines (which determination shall be conclusive and binding absent manifest error) that the Central Bank/Prime Rate for the applicable Foreign Currency cannot be determined, any outstanding affected RFR Loans denominated in any Foreign Currency, at the Borrower’s election, shall either</w:t>
      </w:r>
    </w:p>
    <w:p>
      <w:pPr>
        <w:spacing w:after="0" w:line="11" w:lineRule="exact"/>
        <w:rPr>
          <w:sz w:val="20"/>
          <w:szCs w:val="20"/>
          <w:color w:val="auto"/>
        </w:rPr>
      </w:pPr>
    </w:p>
    <w:p>
      <w:pPr>
        <w:ind w:left="60" w:hanging="8"/>
        <w:spacing w:after="0" w:line="233" w:lineRule="auto"/>
        <w:tabs>
          <w:tab w:leader="none" w:pos="450" w:val="left"/>
        </w:tabs>
        <w:numPr>
          <w:ilvl w:val="0"/>
          <w:numId w:val="95"/>
        </w:numPr>
        <w:rPr>
          <w:rFonts w:ascii="Arial" w:cs="Arial" w:eastAsia="Arial" w:hAnsi="Arial"/>
          <w:sz w:val="21"/>
          <w:szCs w:val="21"/>
          <w:color w:val="auto"/>
        </w:rPr>
      </w:pPr>
      <w:r>
        <w:rPr>
          <w:rFonts w:ascii="Arial" w:cs="Arial" w:eastAsia="Arial" w:hAnsi="Arial"/>
          <w:sz w:val="21"/>
          <w:szCs w:val="21"/>
          <w:color w:val="auto"/>
        </w:rPr>
        <w:t>be converted into ABR Loans denominated in Dollars (in an amount equal to the Dollar Equivalent of such Foreign Currency) immediately or (B) be prepaid in full immediately.</w:t>
      </w:r>
    </w:p>
    <w:p>
      <w:pPr>
        <w:spacing w:after="0" w:line="183"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2.15.</w:t>
      </w:r>
      <w:r>
        <w:rPr>
          <w:sz w:val="20"/>
          <w:szCs w:val="20"/>
          <w:color w:val="auto"/>
        </w:rPr>
        <w:tab/>
      </w:r>
      <w:r>
        <w:rPr>
          <w:rFonts w:ascii="Arial" w:cs="Arial" w:eastAsia="Arial" w:hAnsi="Arial"/>
          <w:sz w:val="19"/>
          <w:szCs w:val="19"/>
          <w:u w:val="single" w:color="auto"/>
          <w:color w:val="auto"/>
        </w:rPr>
        <w:t xml:space="preserve">Increased Costs </w:t>
      </w:r>
      <w:r>
        <w:rPr>
          <w:rFonts w:ascii="Arial" w:cs="Arial" w:eastAsia="Arial" w:hAnsi="Arial"/>
          <w:sz w:val="19"/>
          <w:szCs w:val="19"/>
          <w:color w:val="auto"/>
        </w:rPr>
        <w:t>. (a) If any Change in Law shall:</w:t>
      </w:r>
    </w:p>
    <w:p>
      <w:pPr>
        <w:spacing w:after="0" w:line="214" w:lineRule="exact"/>
        <w:rPr>
          <w:sz w:val="20"/>
          <w:szCs w:val="20"/>
          <w:color w:val="auto"/>
        </w:rPr>
      </w:pPr>
    </w:p>
    <w:p>
      <w:pPr>
        <w:jc w:val="both"/>
        <w:ind w:left="700" w:firstLine="1283"/>
        <w:spacing w:after="0" w:line="255" w:lineRule="auto"/>
        <w:tabs>
          <w:tab w:leader="none" w:pos="2501" w:val="left"/>
        </w:tabs>
        <w:numPr>
          <w:ilvl w:val="0"/>
          <w:numId w:val="96"/>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or Issuing Bank (except any such reserve requirement reflected in the Adjusted EURIBOR Rate, the CDOR Rate or the Adjusted TIBOR Rate, as applicable) or Issuing Bank;</w:t>
      </w:r>
    </w:p>
    <w:p>
      <w:pPr>
        <w:spacing w:after="0" w:line="170" w:lineRule="exact"/>
        <w:rPr>
          <w:rFonts w:ascii="Arial" w:cs="Arial" w:eastAsia="Arial" w:hAnsi="Arial"/>
          <w:sz w:val="19"/>
          <w:szCs w:val="19"/>
          <w:color w:val="auto"/>
        </w:rPr>
      </w:pPr>
    </w:p>
    <w:p>
      <w:pPr>
        <w:jc w:val="both"/>
        <w:ind w:left="700" w:firstLine="1283"/>
        <w:spacing w:after="0" w:line="232" w:lineRule="auto"/>
        <w:tabs>
          <w:tab w:leader="none" w:pos="2657" w:val="left"/>
        </w:tabs>
        <w:numPr>
          <w:ilvl w:val="0"/>
          <w:numId w:val="96"/>
        </w:numPr>
        <w:rPr>
          <w:rFonts w:ascii="Arial" w:cs="Arial" w:eastAsia="Arial" w:hAnsi="Arial"/>
          <w:sz w:val="21"/>
          <w:szCs w:val="21"/>
          <w:color w:val="auto"/>
        </w:rPr>
      </w:pPr>
      <w:r>
        <w:rPr>
          <w:rFonts w:ascii="Arial" w:cs="Arial" w:eastAsia="Arial" w:hAnsi="Arial"/>
          <w:sz w:val="21"/>
          <w:szCs w:val="21"/>
          <w:color w:val="auto"/>
        </w:rPr>
        <w:t>impose on any Lender or Issuing Bank or the applicable offshore interbank market for the applicable Agreed Currency any other condition, cost or expense (other than Taxes) affecting this Agreement or Loans made by such Lender or any Letter of Credit or participation therein; or</w:t>
      </w:r>
    </w:p>
    <w:p>
      <w:pPr>
        <w:spacing w:after="0" w:line="197" w:lineRule="exact"/>
        <w:rPr>
          <w:rFonts w:ascii="Arial" w:cs="Arial" w:eastAsia="Arial" w:hAnsi="Arial"/>
          <w:sz w:val="21"/>
          <w:szCs w:val="21"/>
          <w:color w:val="auto"/>
        </w:rPr>
      </w:pPr>
    </w:p>
    <w:p>
      <w:pPr>
        <w:jc w:val="both"/>
        <w:ind w:left="700" w:firstLine="1283"/>
        <w:spacing w:after="0" w:line="232" w:lineRule="auto"/>
        <w:tabs>
          <w:tab w:leader="none" w:pos="2633" w:val="left"/>
        </w:tabs>
        <w:numPr>
          <w:ilvl w:val="0"/>
          <w:numId w:val="96"/>
        </w:numPr>
        <w:rPr>
          <w:rFonts w:ascii="Arial" w:cs="Arial" w:eastAsia="Arial" w:hAnsi="Arial"/>
          <w:sz w:val="21"/>
          <w:szCs w:val="21"/>
          <w:color w:val="auto"/>
        </w:rPr>
      </w:pPr>
      <w:r>
        <w:rPr>
          <w:rFonts w:ascii="Arial" w:cs="Arial" w:eastAsia="Arial" w:hAnsi="Arial"/>
          <w:sz w:val="21"/>
          <w:szCs w:val="21"/>
          <w:color w:val="auto"/>
        </w:rPr>
        <w:t>subject any Recipient to any Taxes (other than (A) Indemnified Taxes, (B) Taxes described in clauses (b) through (d) of the definition of Excluded Taxes and (C) Connection Income Taxes) on its loans, loan principal, letters of credit,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75</w:t>
      </w:r>
    </w:p>
    <w:p>
      <w:pPr>
        <w:sectPr>
          <w:pgSz w:w="11900" w:h="16838" w:orient="portrait"/>
          <w:cols w:equalWidth="0" w:num="1">
            <w:col w:w="11040"/>
          </w:cols>
          <w:pgMar w:left="400" w:top="1440" w:right="459" w:bottom="1440" w:gutter="0" w:footer="0" w:header="0"/>
        </w:sectPr>
      </w:pPr>
    </w:p>
    <w:bookmarkStart w:id="165" w:name="page166"/>
    <w:bookmarkEnd w:id="165"/>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color w:val="auto"/>
        </w:rPr>
        <w:t>commitments, or other obligations, or its deposits, reserves, other liabilities or capital attributable thereto;</w:t>
      </w:r>
    </w:p>
    <w:p>
      <w:pPr>
        <w:spacing w:after="0" w:line="214" w:lineRule="exact"/>
        <w:rPr>
          <w:sz w:val="20"/>
          <w:szCs w:val="20"/>
          <w:color w:val="auto"/>
        </w:rPr>
      </w:pPr>
    </w:p>
    <w:p>
      <w:pPr>
        <w:jc w:val="both"/>
        <w:ind w:left="60"/>
        <w:spacing w:after="0" w:line="232" w:lineRule="auto"/>
        <w:rPr>
          <w:sz w:val="20"/>
          <w:szCs w:val="20"/>
          <w:color w:val="auto"/>
        </w:rPr>
      </w:pPr>
      <w:r>
        <w:rPr>
          <w:rFonts w:ascii="Arial" w:cs="Arial" w:eastAsia="Arial" w:hAnsi="Arial"/>
          <w:sz w:val="20"/>
          <w:szCs w:val="20"/>
          <w:color w:val="auto"/>
        </w:rPr>
        <w:t>and the result of any of the foregoing shall be to increase the cost to such Lender or such other Recipient of making, continuing, converting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spacing w:after="0" w:line="200" w:lineRule="exact"/>
        <w:rPr>
          <w:sz w:val="20"/>
          <w:szCs w:val="20"/>
          <w:color w:val="auto"/>
        </w:rPr>
      </w:pPr>
    </w:p>
    <w:p>
      <w:pPr>
        <w:jc w:val="both"/>
        <w:ind w:left="60" w:firstLine="635"/>
        <w:spacing w:after="0" w:line="230" w:lineRule="auto"/>
        <w:tabs>
          <w:tab w:leader="none" w:pos="12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If any Lender or Issuing Bank determines that any Change in Law regarding capital or liquidity requirements has or would have the effect of reducing the rate of return on such Lender’s or the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Borrower will pay to such Lender or Issuing Bank, as the case may be, such additional amount or amounts as will compensate such Lender or Issuing Bank or such Lender’s or Issuing Bank’s holding company for any such reduction suffered.</w:t>
      </w:r>
    </w:p>
    <w:p>
      <w:pPr>
        <w:spacing w:after="0" w:line="201" w:lineRule="exact"/>
        <w:rPr>
          <w:rFonts w:ascii="Arial" w:cs="Arial" w:eastAsia="Arial" w:hAnsi="Arial"/>
          <w:sz w:val="20"/>
          <w:szCs w:val="20"/>
          <w:color w:val="auto"/>
        </w:rPr>
      </w:pPr>
    </w:p>
    <w:p>
      <w:pPr>
        <w:jc w:val="both"/>
        <w:ind w:left="60" w:firstLine="635"/>
        <w:spacing w:after="0" w:line="239" w:lineRule="auto"/>
        <w:tabs>
          <w:tab w:leader="none" w:pos="1263" w:val="left"/>
        </w:tabs>
        <w:numPr>
          <w:ilvl w:val="0"/>
          <w:numId w:val="97"/>
        </w:numPr>
        <w:rPr>
          <w:rFonts w:ascii="Arial" w:cs="Arial" w:eastAsia="Arial" w:hAnsi="Arial"/>
          <w:sz w:val="20"/>
          <w:szCs w:val="20"/>
          <w:color w:val="auto"/>
        </w:rPr>
      </w:pPr>
      <w:r>
        <w:rPr>
          <w:rFonts w:ascii="Arial" w:cs="Arial" w:eastAsia="Arial" w:hAnsi="Arial"/>
          <w:sz w:val="20"/>
          <w:szCs w:val="20"/>
          <w:color w:val="auto"/>
        </w:rPr>
        <w:t>A certificate of a Lender or Issuing Bank setting forth the amount or amounts necessary to compensate such Lender or Issuing Bank or its holding company, as the case may be, as specified in paragraph (a) or (b) of this Section shall be delivered to the Borrower and shall be conclusive absent manifest error. The Borrower shall pay such Lender or Issuing Bank, as the case may be, the amount shown as due on any such certificate within 10 days after receipt thereof.</w:t>
      </w:r>
    </w:p>
    <w:p>
      <w:pPr>
        <w:spacing w:after="0" w:line="183" w:lineRule="exact"/>
        <w:rPr>
          <w:rFonts w:ascii="Arial" w:cs="Arial" w:eastAsia="Arial" w:hAnsi="Arial"/>
          <w:sz w:val="20"/>
          <w:szCs w:val="20"/>
          <w:color w:val="auto"/>
        </w:rPr>
      </w:pPr>
    </w:p>
    <w:p>
      <w:pPr>
        <w:jc w:val="both"/>
        <w:ind w:left="60" w:firstLine="635"/>
        <w:spacing w:after="0" w:line="245" w:lineRule="auto"/>
        <w:tabs>
          <w:tab w:leader="none" w:pos="1193"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or Issuing Bank pursuant to this Section for any increased costs or reductions incurred more than 270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95" w:lineRule="exact"/>
        <w:rPr>
          <w:sz w:val="20"/>
          <w:szCs w:val="20"/>
          <w:color w:val="auto"/>
        </w:rPr>
      </w:pPr>
    </w:p>
    <w:p>
      <w:pPr>
        <w:jc w:val="both"/>
        <w:ind w:left="60" w:firstLine="642"/>
        <w:spacing w:after="0" w:line="239" w:lineRule="auto"/>
        <w:rPr>
          <w:sz w:val="20"/>
          <w:szCs w:val="20"/>
          <w:color w:val="auto"/>
        </w:rPr>
      </w:pPr>
      <w:r>
        <w:rPr>
          <w:rFonts w:ascii="Arial" w:cs="Arial" w:eastAsia="Arial" w:hAnsi="Arial"/>
          <w:sz w:val="20"/>
          <w:szCs w:val="20"/>
          <w:color w:val="auto"/>
        </w:rPr>
        <w:t xml:space="preserve">SECTION 2.16. </w:t>
      </w:r>
      <w:r>
        <w:rPr>
          <w:rFonts w:ascii="Arial" w:cs="Arial" w:eastAsia="Arial" w:hAnsi="Arial"/>
          <w:sz w:val="20"/>
          <w:szCs w:val="20"/>
          <w:u w:val="single" w:color="auto"/>
          <w:color w:val="auto"/>
        </w:rPr>
        <w:t>Break Funding Payments</w:t>
      </w:r>
      <w:r>
        <w:rPr>
          <w:rFonts w:ascii="Arial" w:cs="Arial" w:eastAsia="Arial" w:hAnsi="Arial"/>
          <w:sz w:val="20"/>
          <w:szCs w:val="20"/>
          <w:color w:val="auto"/>
        </w:rPr>
        <w:t>. (a) With respect to Loans that are not RFR Loans,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76</w:t>
      </w:r>
    </w:p>
    <w:p>
      <w:pPr>
        <w:sectPr>
          <w:pgSz w:w="11900" w:h="16838" w:orient="portrait"/>
          <w:cols w:equalWidth="0" w:num="1">
            <w:col w:w="11040"/>
          </w:cols>
          <w:pgMar w:left="400" w:top="1440" w:right="459" w:bottom="1440" w:gutter="0" w:footer="0" w:header="0"/>
        </w:sectPr>
      </w:pPr>
    </w:p>
    <w:bookmarkStart w:id="166" w:name="page167"/>
    <w:bookmarkEnd w:id="166"/>
    <w:p>
      <w:pPr>
        <w:spacing w:after="0" w:line="194" w:lineRule="exact"/>
        <w:rPr>
          <w:sz w:val="20"/>
          <w:szCs w:val="20"/>
          <w:color w:val="auto"/>
        </w:rPr>
      </w:pPr>
    </w:p>
    <w:p>
      <w:pPr>
        <w:jc w:val="both"/>
        <w:ind w:left="60"/>
        <w:spacing w:after="0" w:line="243" w:lineRule="auto"/>
        <w:rPr>
          <w:sz w:val="20"/>
          <w:szCs w:val="20"/>
          <w:color w:val="auto"/>
        </w:rPr>
      </w:pPr>
      <w:r>
        <w:rPr>
          <w:rFonts w:ascii="Arial" w:cs="Arial" w:eastAsia="Arial" w:hAnsi="Arial"/>
          <w:sz w:val="19"/>
          <w:szCs w:val="19"/>
          <w:color w:val="auto"/>
        </w:rPr>
        <w:t>to borrow, convert, continue or prepay any Term Benchmark Loan on the date specified in any notice delivered pursuant hereto (regardless of whether such notice may be revoked under Section 2.11(b) and is revoked in accordance therewith), (iv) the assignment of any Term Benchmark Loan other than on the last day of the Interest Period applicable thereto as a result of a request by the Borrower pursuant to Section 2.19 or (v) the failure by the Borrower to make any payment of any Loan or drawing under any Letter of Credit (or interest due thereon)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181" w:lineRule="exact"/>
        <w:rPr>
          <w:sz w:val="20"/>
          <w:szCs w:val="20"/>
          <w:color w:val="auto"/>
        </w:rPr>
      </w:pPr>
    </w:p>
    <w:p>
      <w:pPr>
        <w:jc w:val="both"/>
        <w:ind w:left="60" w:firstLine="635"/>
        <w:spacing w:after="0" w:line="241" w:lineRule="auto"/>
        <w:tabs>
          <w:tab w:leader="none" w:pos="1030" w:val="left"/>
        </w:tabs>
        <w:numPr>
          <w:ilvl w:val="0"/>
          <w:numId w:val="98"/>
        </w:numPr>
        <w:rPr>
          <w:rFonts w:ascii="Arial" w:cs="Arial" w:eastAsia="Arial" w:hAnsi="Arial"/>
          <w:sz w:val="19"/>
          <w:szCs w:val="19"/>
          <w:color w:val="auto"/>
        </w:rPr>
      </w:pPr>
      <w:r>
        <w:rPr>
          <w:rFonts w:ascii="Arial" w:cs="Arial" w:eastAsia="Arial" w:hAnsi="Arial"/>
          <w:sz w:val="19"/>
          <w:szCs w:val="19"/>
          <w:color w:val="auto"/>
        </w:rPr>
        <w:t>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2.11(b) and is revoked in accordance therewith), (iii) the assignment of any RFR Loan other than on the Interest Payment Date applicable thereto as a result of a request by the Borrower pursuant to Section 2.19 or (iv) the failure by the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spacing w:after="0" w:line="201" w:lineRule="exact"/>
        <w:rPr>
          <w:sz w:val="20"/>
          <w:szCs w:val="20"/>
          <w:color w:val="auto"/>
        </w:rPr>
      </w:pPr>
    </w:p>
    <w:p>
      <w:pPr>
        <w:jc w:val="both"/>
        <w:ind w:left="60" w:firstLine="642"/>
        <w:spacing w:after="0" w:line="218" w:lineRule="auto"/>
        <w:rPr>
          <w:sz w:val="20"/>
          <w:szCs w:val="20"/>
          <w:color w:val="auto"/>
        </w:rPr>
      </w:pPr>
      <w:r>
        <w:rPr>
          <w:rFonts w:ascii="Arial" w:cs="Arial" w:eastAsia="Arial" w:hAnsi="Arial"/>
          <w:sz w:val="21"/>
          <w:szCs w:val="21"/>
          <w:color w:val="auto"/>
        </w:rPr>
        <w:t xml:space="preserve">SECTION 2.17. </w:t>
      </w:r>
      <w:r>
        <w:rPr>
          <w:rFonts w:ascii="Arial" w:cs="Arial" w:eastAsia="Arial" w:hAnsi="Arial"/>
          <w:sz w:val="21"/>
          <w:szCs w:val="21"/>
          <w:u w:val="single" w:color="auto"/>
          <w:color w:val="auto"/>
        </w:rPr>
        <w:t>Withholding of Taxes; Gross-Up</w:t>
      </w:r>
      <w:r>
        <w:rPr>
          <w:rFonts w:ascii="Arial" w:cs="Arial" w:eastAsia="Arial" w:hAnsi="Arial"/>
          <w:sz w:val="21"/>
          <w:szCs w:val="21"/>
          <w:color w:val="auto"/>
        </w:rPr>
        <w:t xml:space="preserve">. (a) </w:t>
      </w:r>
      <w:r>
        <w:rPr>
          <w:rFonts w:ascii="Arial" w:cs="Arial" w:eastAsia="Arial" w:hAnsi="Arial"/>
          <w:sz w:val="21"/>
          <w:szCs w:val="21"/>
          <w:u w:val="single" w:color="auto"/>
          <w:color w:val="auto"/>
        </w:rPr>
        <w:t>Payments Free of Taxes</w:t>
      </w:r>
      <w:r>
        <w:rPr>
          <w:rFonts w:ascii="Arial" w:cs="Arial" w:eastAsia="Arial" w:hAnsi="Arial"/>
          <w:sz w:val="21"/>
          <w:szCs w:val="21"/>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206" w:lineRule="exact"/>
        <w:rPr>
          <w:sz w:val="20"/>
          <w:szCs w:val="20"/>
          <w:color w:val="auto"/>
        </w:rPr>
      </w:pPr>
    </w:p>
    <w:p>
      <w:pPr>
        <w:ind w:left="60" w:right="20" w:firstLine="635"/>
        <w:spacing w:after="0" w:line="268" w:lineRule="auto"/>
        <w:tabs>
          <w:tab w:leader="none" w:pos="1315"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The Loan Parties shall timely pay to the relevant Governmental Authority in accordance with applicable law, or at the option of the Administrative Agent timely reimburse it for, Other Taxes.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color w:val="auto"/>
        </w:rPr>
        <w:t>77</w:t>
      </w:r>
    </w:p>
    <w:p>
      <w:pPr>
        <w:sectPr>
          <w:pgSz w:w="11900" w:h="16838" w:orient="portrait"/>
          <w:cols w:equalWidth="0" w:num="1">
            <w:col w:w="11040"/>
          </w:cols>
          <w:pgMar w:left="400" w:top="1440" w:right="459" w:bottom="1440" w:gutter="0" w:footer="0" w:header="0"/>
        </w:sectPr>
      </w:pPr>
    </w:p>
    <w:bookmarkStart w:id="167" w:name="page168"/>
    <w:bookmarkEnd w:id="167"/>
    <w:p>
      <w:pPr>
        <w:spacing w:after="0" w:line="194" w:lineRule="exact"/>
        <w:rPr>
          <w:sz w:val="20"/>
          <w:szCs w:val="20"/>
          <w:color w:val="auto"/>
        </w:rPr>
      </w:pPr>
    </w:p>
    <w:p>
      <w:pPr>
        <w:jc w:val="both"/>
        <w:ind w:left="60" w:right="120" w:firstLine="635"/>
        <w:spacing w:after="0" w:line="227" w:lineRule="auto"/>
        <w:tabs>
          <w:tab w:leader="none" w:pos="1195"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Evidence of Payments</w:t>
      </w:r>
      <w:r>
        <w:rPr>
          <w:rFonts w:ascii="Arial" w:cs="Arial" w:eastAsia="Arial" w:hAnsi="Arial"/>
          <w:sz w:val="21"/>
          <w:szCs w:val="21"/>
          <w:color w:val="auto"/>
        </w:rPr>
        <w:t>. As soon as practicable after any payment of Taxes by any Loan Party to a Governmental Authority pursuant to this Section,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5" w:lineRule="exact"/>
        <w:rPr>
          <w:rFonts w:ascii="Arial" w:cs="Arial" w:eastAsia="Arial" w:hAnsi="Arial"/>
          <w:sz w:val="21"/>
          <w:szCs w:val="21"/>
          <w:color w:val="auto"/>
        </w:rPr>
      </w:pPr>
    </w:p>
    <w:p>
      <w:pPr>
        <w:jc w:val="both"/>
        <w:ind w:left="60" w:firstLine="635"/>
        <w:spacing w:after="0" w:line="245" w:lineRule="auto"/>
        <w:tabs>
          <w:tab w:leader="none" w:pos="1194"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Indemnification by the Loan Parties</w:t>
      </w:r>
      <w:r>
        <w:rPr>
          <w:rFonts w:ascii="Arial" w:cs="Arial" w:eastAsia="Arial" w:hAnsi="Arial"/>
          <w:sz w:val="19"/>
          <w:szCs w:val="19"/>
          <w:color w:val="auto"/>
        </w:rPr>
        <w:t>.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1" w:lineRule="exact"/>
        <w:rPr>
          <w:rFonts w:ascii="Arial" w:cs="Arial" w:eastAsia="Arial" w:hAnsi="Arial"/>
          <w:sz w:val="19"/>
          <w:szCs w:val="19"/>
          <w:color w:val="auto"/>
        </w:rPr>
      </w:pPr>
    </w:p>
    <w:p>
      <w:pPr>
        <w:jc w:val="both"/>
        <w:ind w:left="60" w:firstLine="635"/>
        <w:spacing w:after="0" w:line="241" w:lineRule="auto"/>
        <w:tabs>
          <w:tab w:leader="none" w:pos="1209"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200" w:lineRule="exact"/>
        <w:rPr>
          <w:rFonts w:ascii="Arial" w:cs="Arial" w:eastAsia="Arial" w:hAnsi="Arial"/>
          <w:sz w:val="19"/>
          <w:szCs w:val="19"/>
          <w:color w:val="auto"/>
        </w:rPr>
      </w:pPr>
    </w:p>
    <w:p>
      <w:pPr>
        <w:jc w:val="both"/>
        <w:ind w:left="60" w:right="120" w:firstLine="635"/>
        <w:spacing w:after="0" w:line="218" w:lineRule="auto"/>
        <w:tabs>
          <w:tab w:leader="none" w:pos="1238"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Status of Lenders</w:t>
      </w:r>
      <w:r>
        <w:rPr>
          <w:rFonts w:ascii="Arial" w:cs="Arial" w:eastAsia="Arial" w:hAnsi="Arial"/>
          <w:sz w:val="21"/>
          <w:szCs w:val="21"/>
          <w:color w:val="auto"/>
        </w:rPr>
        <w:t>.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color w:val="auto"/>
        </w:rPr>
        <w:t>78</w:t>
      </w:r>
    </w:p>
    <w:p>
      <w:pPr>
        <w:sectPr>
          <w:pgSz w:w="11900" w:h="16838" w:orient="portrait"/>
          <w:cols w:equalWidth="0" w:num="1">
            <w:col w:w="11160"/>
          </w:cols>
          <w:pgMar w:left="400" w:top="1440" w:right="339" w:bottom="1440" w:gutter="0" w:footer="0" w:header="0"/>
        </w:sectPr>
      </w:pPr>
    </w:p>
    <w:bookmarkStart w:id="168" w:name="page169"/>
    <w:bookmarkEnd w:id="168"/>
    <w:p>
      <w:pPr>
        <w:spacing w:after="0" w:line="194" w:lineRule="exact"/>
        <w:rPr>
          <w:sz w:val="20"/>
          <w:szCs w:val="20"/>
          <w:color w:val="auto"/>
        </w:rPr>
      </w:pPr>
    </w:p>
    <w:p>
      <w:pPr>
        <w:ind w:left="60" w:right="120"/>
        <w:spacing w:after="0" w:line="244" w:lineRule="auto"/>
        <w:rPr>
          <w:sz w:val="20"/>
          <w:szCs w:val="20"/>
          <w:color w:val="auto"/>
        </w:rPr>
      </w:pPr>
      <w:r>
        <w:rPr>
          <w:rFonts w:ascii="Arial" w:cs="Arial" w:eastAsia="Arial" w:hAnsi="Arial"/>
          <w:sz w:val="21"/>
          <w:szCs w:val="21"/>
          <w:color w:val="auto"/>
        </w:rPr>
        <w:t>execution or submission would subject such Lender to any material unreimbursed cost or expense or would materially prejudice the legal or commercial position of such Lender.</w:t>
      </w:r>
    </w:p>
    <w:p>
      <w:pPr>
        <w:spacing w:after="0" w:line="179" w:lineRule="exact"/>
        <w:rPr>
          <w:sz w:val="20"/>
          <w:szCs w:val="20"/>
          <w:color w:val="auto"/>
        </w:rPr>
      </w:pPr>
    </w:p>
    <w:p>
      <w:pPr>
        <w:ind w:left="2400" w:hanging="417"/>
        <w:spacing w:after="0"/>
        <w:tabs>
          <w:tab w:leader="none" w:pos="2400" w:val="left"/>
        </w:tabs>
        <w:numPr>
          <w:ilvl w:val="3"/>
          <w:numId w:val="101"/>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239" w:lineRule="exact"/>
        <w:rPr>
          <w:rFonts w:ascii="Arial" w:cs="Arial" w:eastAsia="Arial" w:hAnsi="Arial"/>
          <w:sz w:val="20"/>
          <w:szCs w:val="20"/>
          <w:color w:val="auto"/>
        </w:rPr>
      </w:pPr>
    </w:p>
    <w:p>
      <w:pPr>
        <w:jc w:val="both"/>
        <w:ind w:left="700" w:right="120" w:firstLine="639"/>
        <w:spacing w:after="0" w:line="227" w:lineRule="auto"/>
        <w:tabs>
          <w:tab w:leader="none" w:pos="1874" w:val="left"/>
        </w:tabs>
        <w:numPr>
          <w:ilvl w:val="2"/>
          <w:numId w:val="102"/>
        </w:numPr>
        <w:rPr>
          <w:rFonts w:ascii="Arial" w:cs="Arial" w:eastAsia="Arial" w:hAnsi="Arial"/>
          <w:sz w:val="21"/>
          <w:szCs w:val="21"/>
          <w:color w:val="auto"/>
        </w:rPr>
      </w:pPr>
      <w:r>
        <w:rPr>
          <w:rFonts w:ascii="Arial" w:cs="Arial" w:eastAsia="Arial" w:hAnsi="Arial"/>
          <w:sz w:val="21"/>
          <w:szCs w:val="21"/>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99" w:lineRule="exact"/>
        <w:rPr>
          <w:rFonts w:ascii="Arial" w:cs="Arial" w:eastAsia="Arial" w:hAnsi="Arial"/>
          <w:sz w:val="21"/>
          <w:szCs w:val="21"/>
          <w:color w:val="auto"/>
        </w:rPr>
      </w:pPr>
    </w:p>
    <w:p>
      <w:pPr>
        <w:jc w:val="both"/>
        <w:ind w:left="700" w:right="120" w:firstLine="639"/>
        <w:spacing w:after="0" w:line="239" w:lineRule="auto"/>
        <w:tabs>
          <w:tab w:leader="none" w:pos="1956" w:val="left"/>
        </w:tabs>
        <w:numPr>
          <w:ilvl w:val="2"/>
          <w:numId w:val="102"/>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3" w:lineRule="exact"/>
        <w:rPr>
          <w:rFonts w:ascii="Arial" w:cs="Arial" w:eastAsia="Arial" w:hAnsi="Arial"/>
          <w:sz w:val="20"/>
          <w:szCs w:val="20"/>
          <w:color w:val="auto"/>
        </w:rPr>
      </w:pPr>
    </w:p>
    <w:p>
      <w:pPr>
        <w:ind w:left="1200" w:hanging="505"/>
        <w:spacing w:after="0"/>
        <w:tabs>
          <w:tab w:leader="none" w:pos="120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w:t>
      </w:r>
    </w:p>
    <w:p>
      <w:pPr>
        <w:spacing w:after="0" w:line="13" w:lineRule="exact"/>
        <w:rPr>
          <w:rFonts w:ascii="Arial" w:cs="Arial" w:eastAsia="Arial" w:hAnsi="Arial"/>
          <w:sz w:val="19"/>
          <w:szCs w:val="19"/>
          <w:color w:val="auto"/>
        </w:rPr>
      </w:pPr>
    </w:p>
    <w:p>
      <w:pPr>
        <w:jc w:val="both"/>
        <w:ind w:left="380" w:hanging="6"/>
        <w:spacing w:after="0" w:line="221" w:lineRule="auto"/>
        <w:tabs>
          <w:tab w:leader="none" w:pos="691" w:val="left"/>
        </w:tabs>
        <w:numPr>
          <w:ilvl w:val="0"/>
          <w:numId w:val="104"/>
        </w:numPr>
        <w:rPr>
          <w:rFonts w:ascii="Arial" w:cs="Arial" w:eastAsia="Arial" w:hAnsi="Arial"/>
          <w:sz w:val="21"/>
          <w:szCs w:val="21"/>
          <w:color w:val="auto"/>
        </w:rPr>
      </w:pPr>
      <w:r>
        <w:rPr>
          <w:rFonts w:ascii="Arial" w:cs="Arial" w:eastAsia="Arial" w:hAnsi="Arial"/>
          <w:sz w:val="21"/>
          <w:szCs w:val="21"/>
          <w:color w:val="auto"/>
        </w:rPr>
        <w:t>with respect to payments of interest under any Loan Document, an executed copy of IRS Form W-8BEN-E or IRS Form W-8BEN establishing an exemption from, or reduction of, U.S. federal withholding Tax pursuant to the “interest” article of such tax treaty and (y) with respect to any other applicable payments under any Loan Document, IRS Form W-8BEN-E or IRS Form W-8BEN establishing an exemption from, or reduction of, U.S. federal withholding Tax pursuant to the “business profits” or “other income” article of such tax treaty;</w:t>
      </w:r>
    </w:p>
    <w:p>
      <w:pPr>
        <w:spacing w:after="0" w:line="188" w:lineRule="exact"/>
        <w:rPr>
          <w:rFonts w:ascii="Arial" w:cs="Arial" w:eastAsia="Arial" w:hAnsi="Arial"/>
          <w:sz w:val="21"/>
          <w:szCs w:val="21"/>
          <w:color w:val="auto"/>
        </w:rPr>
      </w:pPr>
    </w:p>
    <w:p>
      <w:pPr>
        <w:ind w:left="1160" w:hanging="465"/>
        <w:spacing w:after="0"/>
        <w:tabs>
          <w:tab w:leader="none" w:pos="116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in the case of a Foreign Lender claiming that its extension of credit will generate</w:t>
      </w:r>
    </w:p>
    <w:p>
      <w:pPr>
        <w:ind w:left="380"/>
        <w:spacing w:after="0"/>
        <w:rPr>
          <w:sz w:val="20"/>
          <w:szCs w:val="20"/>
          <w:color w:val="auto"/>
        </w:rPr>
      </w:pPr>
      <w:r>
        <w:rPr>
          <w:rFonts w:ascii="Arial" w:cs="Arial" w:eastAsia="Arial" w:hAnsi="Arial"/>
          <w:sz w:val="21"/>
          <w:szCs w:val="21"/>
          <w:color w:val="auto"/>
        </w:rPr>
        <w:t>U.S. effectively connected income, an executed copy of IRS Form W-8ECI;</w:t>
      </w:r>
    </w:p>
    <w:p>
      <w:pPr>
        <w:spacing w:after="0" w:line="210" w:lineRule="exact"/>
        <w:rPr>
          <w:sz w:val="20"/>
          <w:szCs w:val="20"/>
          <w:color w:val="auto"/>
        </w:rPr>
      </w:pPr>
    </w:p>
    <w:p>
      <w:pPr>
        <w:jc w:val="both"/>
        <w:ind w:left="380" w:firstLine="315"/>
        <w:spacing w:after="0" w:line="236" w:lineRule="auto"/>
        <w:tabs>
          <w:tab w:leader="none" w:pos="118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the exemption for portfolio interest under Section 881(c) of the Code, (x) a certificate substantially in the form of Exhibit G-1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20"/>
          <w:szCs w:val="20"/>
          <w:b w:val="1"/>
          <w:bCs w:val="1"/>
          <w:i w:val="1"/>
          <w:iCs w:val="1"/>
          <w:color w:val="auto"/>
        </w:rPr>
        <w:t>U.S. Tax Compliance Certificate</w:t>
      </w:r>
      <w:r>
        <w:rPr>
          <w:rFonts w:ascii="Arial" w:cs="Arial" w:eastAsia="Arial" w:hAnsi="Arial"/>
          <w:sz w:val="20"/>
          <w:szCs w:val="20"/>
          <w:color w:val="auto"/>
        </w:rPr>
        <w:t>”) and (y) an executed copy of IRS Form W-8BEN-E or IRS Form W-8BEN; or</w:t>
      </w:r>
    </w:p>
    <w:p>
      <w:pPr>
        <w:spacing w:after="0" w:line="182" w:lineRule="exact"/>
        <w:rPr>
          <w:rFonts w:ascii="Arial" w:cs="Arial" w:eastAsia="Arial" w:hAnsi="Arial"/>
          <w:sz w:val="20"/>
          <w:szCs w:val="20"/>
          <w:color w:val="auto"/>
        </w:rPr>
      </w:pPr>
    </w:p>
    <w:p>
      <w:pPr>
        <w:jc w:val="both"/>
        <w:ind w:left="380" w:right="120" w:firstLine="315"/>
        <w:spacing w:after="0" w:line="234" w:lineRule="auto"/>
        <w:tabs>
          <w:tab w:leader="none" w:pos="119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to the extent a Foreign Lender is not the beneficial owner, an executed copy of IRS Form W-8IMY, accompanied by IRS Form W-8ECI, IRS Form W-8BEN-E, IRS Form W-8BEN, a U.S. Tax Compliance Certificate substantially in the form of Exhibit G-2 or Exhibit G-3,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G-4 on behalf of each such direct and indirect partner;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1"/>
          <w:szCs w:val="21"/>
          <w:color w:val="auto"/>
        </w:rPr>
        <w:t>79</w:t>
      </w:r>
    </w:p>
    <w:p>
      <w:pPr>
        <w:sectPr>
          <w:pgSz w:w="11900" w:h="16838" w:orient="portrait"/>
          <w:cols w:equalWidth="0" w:num="1">
            <w:col w:w="11160"/>
          </w:cols>
          <w:pgMar w:left="400" w:top="1440" w:right="339" w:bottom="1440" w:gutter="0" w:footer="0" w:header="0"/>
        </w:sectPr>
      </w:pPr>
    </w:p>
    <w:bookmarkStart w:id="169" w:name="page170"/>
    <w:bookmarkEnd w:id="169"/>
    <w:p>
      <w:pPr>
        <w:spacing w:after="0" w:line="194" w:lineRule="exact"/>
        <w:rPr>
          <w:sz w:val="20"/>
          <w:szCs w:val="20"/>
          <w:color w:val="auto"/>
        </w:rPr>
      </w:pPr>
    </w:p>
    <w:p>
      <w:pPr>
        <w:jc w:val="both"/>
        <w:ind w:left="700" w:firstLine="639"/>
        <w:spacing w:after="0" w:line="216" w:lineRule="auto"/>
        <w:tabs>
          <w:tab w:leader="none" w:pos="1956" w:val="left"/>
        </w:tabs>
        <w:numPr>
          <w:ilvl w:val="0"/>
          <w:numId w:val="106"/>
        </w:numPr>
        <w:rPr>
          <w:rFonts w:ascii="Arial" w:cs="Arial" w:eastAsia="Arial" w:hAnsi="Arial"/>
          <w:sz w:val="21"/>
          <w:szCs w:val="21"/>
          <w:color w:val="auto"/>
        </w:rPr>
      </w:pPr>
      <w:r>
        <w:rPr>
          <w:rFonts w:ascii="Arial" w:cs="Arial" w:eastAsia="Arial" w:hAnsi="Arial"/>
          <w:sz w:val="21"/>
          <w:szCs w:val="21"/>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w:t>
      </w:r>
    </w:p>
    <w:p>
      <w:pPr>
        <w:spacing w:after="0" w:line="3" w:lineRule="exact"/>
        <w:rPr>
          <w:rFonts w:ascii="Arial" w:cs="Arial" w:eastAsia="Arial" w:hAnsi="Arial"/>
          <w:sz w:val="21"/>
          <w:szCs w:val="21"/>
          <w:color w:val="auto"/>
        </w:rPr>
      </w:pPr>
    </w:p>
    <w:p>
      <w:pPr>
        <w:jc w:val="both"/>
        <w:ind w:left="700"/>
        <w:spacing w:after="0" w:line="226" w:lineRule="auto"/>
        <w:rPr>
          <w:rFonts w:ascii="Arial" w:cs="Arial" w:eastAsia="Arial" w:hAnsi="Arial"/>
          <w:sz w:val="21"/>
          <w:szCs w:val="21"/>
          <w:color w:val="auto"/>
        </w:rPr>
      </w:pPr>
      <w:r>
        <w:rPr>
          <w:rFonts w:ascii="Arial" w:cs="Arial" w:eastAsia="Arial" w:hAnsi="Arial"/>
          <w:sz w:val="21"/>
          <w:szCs w:val="21"/>
          <w:color w:val="auto"/>
        </w:rPr>
        <w:t>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4" w:lineRule="exact"/>
        <w:rPr>
          <w:rFonts w:ascii="Arial" w:cs="Arial" w:eastAsia="Arial" w:hAnsi="Arial"/>
          <w:sz w:val="21"/>
          <w:szCs w:val="21"/>
          <w:color w:val="auto"/>
        </w:rPr>
      </w:pPr>
    </w:p>
    <w:p>
      <w:pPr>
        <w:jc w:val="both"/>
        <w:ind w:left="700" w:firstLine="639"/>
        <w:spacing w:after="0" w:line="229" w:lineRule="auto"/>
        <w:tabs>
          <w:tab w:leader="none" w:pos="1695"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92"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98" w:lineRule="exact"/>
        <w:rPr>
          <w:sz w:val="20"/>
          <w:szCs w:val="20"/>
          <w:color w:val="auto"/>
        </w:rPr>
      </w:pPr>
    </w:p>
    <w:p>
      <w:pPr>
        <w:jc w:val="both"/>
        <w:ind w:left="60" w:firstLine="635"/>
        <w:spacing w:after="0"/>
        <w:tabs>
          <w:tab w:leader="none" w:pos="1234"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80</w:t>
      </w:r>
    </w:p>
    <w:p>
      <w:pPr>
        <w:sectPr>
          <w:pgSz w:w="11900" w:h="16838" w:orient="portrait"/>
          <w:cols w:equalWidth="0" w:num="1">
            <w:col w:w="11040"/>
          </w:cols>
          <w:pgMar w:left="400" w:top="1440" w:right="459" w:bottom="1440" w:gutter="0" w:footer="0" w:header="0"/>
        </w:sectPr>
      </w:pPr>
    </w:p>
    <w:bookmarkStart w:id="170" w:name="page171"/>
    <w:bookmarkEnd w:id="170"/>
    <w:p>
      <w:pPr>
        <w:spacing w:after="0" w:line="194" w:lineRule="exact"/>
        <w:rPr>
          <w:sz w:val="20"/>
          <w:szCs w:val="20"/>
          <w:color w:val="auto"/>
        </w:rPr>
      </w:pPr>
    </w:p>
    <w:p>
      <w:pPr>
        <w:ind w:left="60"/>
        <w:spacing w:after="0"/>
        <w:rPr>
          <w:sz w:val="20"/>
          <w:szCs w:val="20"/>
          <w:color w:val="auto"/>
        </w:rPr>
      </w:pPr>
      <w:r>
        <w:rPr>
          <w:rFonts w:ascii="Arial" w:cs="Arial" w:eastAsia="Arial" w:hAnsi="Arial"/>
          <w:sz w:val="21"/>
          <w:szCs w:val="21"/>
          <w:color w:val="auto"/>
        </w:rPr>
        <w:t>other information relating to its Taxes that it deems confidential) to the indemnifying party or any other Person.</w:t>
      </w:r>
    </w:p>
    <w:p>
      <w:pPr>
        <w:spacing w:after="0" w:line="214" w:lineRule="exact"/>
        <w:rPr>
          <w:sz w:val="20"/>
          <w:szCs w:val="20"/>
          <w:color w:val="auto"/>
        </w:rPr>
      </w:pPr>
    </w:p>
    <w:p>
      <w:pPr>
        <w:jc w:val="both"/>
        <w:ind w:left="60" w:right="120" w:firstLine="635"/>
        <w:spacing w:after="0" w:line="232" w:lineRule="auto"/>
        <w:tabs>
          <w:tab w:leader="none" w:pos="1288"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97" w:lineRule="exact"/>
        <w:rPr>
          <w:rFonts w:ascii="Arial" w:cs="Arial" w:eastAsia="Arial" w:hAnsi="Arial"/>
          <w:sz w:val="21"/>
          <w:szCs w:val="21"/>
          <w:color w:val="auto"/>
        </w:rPr>
      </w:pPr>
    </w:p>
    <w:p>
      <w:pPr>
        <w:ind w:left="60" w:firstLine="635"/>
        <w:spacing w:after="0" w:line="244" w:lineRule="auto"/>
        <w:tabs>
          <w:tab w:leader="none" w:pos="1240"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Defined Terms</w:t>
      </w:r>
      <w:r>
        <w:rPr>
          <w:rFonts w:ascii="Arial" w:cs="Arial" w:eastAsia="Arial" w:hAnsi="Arial"/>
          <w:sz w:val="21"/>
          <w:szCs w:val="21"/>
          <w:color w:val="auto"/>
        </w:rPr>
        <w:t>. For purposes of this Section 2.17, the term “</w:t>
      </w:r>
      <w:r>
        <w:rPr>
          <w:rFonts w:ascii="Arial" w:cs="Arial" w:eastAsia="Arial" w:hAnsi="Arial"/>
          <w:sz w:val="21"/>
          <w:szCs w:val="21"/>
          <w:b w:val="1"/>
          <w:bCs w:val="1"/>
          <w:i w:val="1"/>
          <w:iCs w:val="1"/>
          <w:color w:val="auto"/>
        </w:rPr>
        <w:t>Lender</w:t>
      </w:r>
      <w:r>
        <w:rPr>
          <w:rFonts w:ascii="Arial" w:cs="Arial" w:eastAsia="Arial" w:hAnsi="Arial"/>
          <w:sz w:val="21"/>
          <w:szCs w:val="21"/>
          <w:color w:val="auto"/>
        </w:rPr>
        <w:t>” includes any Issuing Bank and the term “</w:t>
      </w:r>
      <w:r>
        <w:rPr>
          <w:rFonts w:ascii="Arial" w:cs="Arial" w:eastAsia="Arial" w:hAnsi="Arial"/>
          <w:sz w:val="21"/>
          <w:szCs w:val="21"/>
          <w:b w:val="1"/>
          <w:bCs w:val="1"/>
          <w:i w:val="1"/>
          <w:iCs w:val="1"/>
          <w:color w:val="auto"/>
        </w:rPr>
        <w:t>applicable law</w:t>
      </w:r>
      <w:r>
        <w:rPr>
          <w:rFonts w:ascii="Arial" w:cs="Arial" w:eastAsia="Arial" w:hAnsi="Arial"/>
          <w:sz w:val="21"/>
          <w:szCs w:val="21"/>
          <w:color w:val="auto"/>
        </w:rPr>
        <w:t>” includes FATCA.</w:t>
      </w:r>
    </w:p>
    <w:p>
      <w:pPr>
        <w:spacing w:after="0" w:line="179" w:lineRule="exact"/>
        <w:rPr>
          <w:sz w:val="20"/>
          <w:szCs w:val="20"/>
          <w:color w:val="auto"/>
        </w:rPr>
      </w:pPr>
    </w:p>
    <w:p>
      <w:pPr>
        <w:jc w:val="both"/>
        <w:ind w:left="60" w:right="120" w:firstLine="642"/>
        <w:spacing w:after="0"/>
        <w:rPr>
          <w:sz w:val="20"/>
          <w:szCs w:val="20"/>
          <w:color w:val="auto"/>
        </w:rPr>
      </w:pPr>
      <w:r>
        <w:rPr>
          <w:rFonts w:ascii="Arial" w:cs="Arial" w:eastAsia="Arial" w:hAnsi="Arial"/>
          <w:sz w:val="19"/>
          <w:szCs w:val="19"/>
          <w:color w:val="auto"/>
        </w:rPr>
        <w:t xml:space="preserve">SECTION 2.18. </w:t>
      </w:r>
      <w:r>
        <w:rPr>
          <w:rFonts w:ascii="Arial" w:cs="Arial" w:eastAsia="Arial" w:hAnsi="Arial"/>
          <w:sz w:val="19"/>
          <w:szCs w:val="19"/>
          <w:u w:val="single" w:color="auto"/>
          <w:color w:val="auto"/>
        </w:rPr>
        <w:t>Payments Generally; Pro Rata Treatment; Sharing of Setoffs</w:t>
      </w:r>
      <w:r>
        <w:rPr>
          <w:rFonts w:ascii="Arial" w:cs="Arial" w:eastAsia="Arial" w:hAnsi="Arial"/>
          <w:sz w:val="19"/>
          <w:szCs w:val="19"/>
          <w:color w:val="auto"/>
        </w:rPr>
        <w:t>. (a) Except with respect to principal of and interest on Loans denominated in a Foreign Currency, the Borrower shall make each payment or prepayment required to be made by it hereunder (whether of principal, interest, fees or reimbursement of LC Disbursements, or of amounts payable under Section 2.15, 2.16 or 2.17, or otherwise) in Dollars prior to 12:00 noon, New York City time, on the date when due or the date fixed for any prepayment hereunder and all payments with respect to principal and interest on Loans denominated in a Foreign Currency shall be made in such Foreign Currency not later than the Applicable Time specified by the Administrative Agent on the dates specified herein, in each case,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383 Madison Avenue, New York, New York except payments to be made directly to Issuing Banks or Swingline Lenders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Without limiting the generality of the foregoing, the Administrative Agent may require that any payments due under this Agreement be made in the United States. If, for any reason, the Borrower is prohibited by any law from making any required payment hereunder in a Foreign Currency, the Borrower shall make such payment in Dollars in the Dollar Equivalent of the Foreign Currency payment amount.</w:t>
      </w:r>
    </w:p>
    <w:p>
      <w:pPr>
        <w:spacing w:after="0" w:line="397" w:lineRule="exact"/>
        <w:rPr>
          <w:sz w:val="20"/>
          <w:szCs w:val="20"/>
          <w:color w:val="auto"/>
        </w:rPr>
      </w:pPr>
    </w:p>
    <w:p>
      <w:pPr>
        <w:jc w:val="both"/>
        <w:ind w:left="60" w:right="120" w:firstLine="635"/>
        <w:spacing w:after="0" w:line="230" w:lineRule="auto"/>
        <w:tabs>
          <w:tab w:leader="none" w:pos="1172"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At any time that payments are not required to be applied in the manner required by Section 7.03, if at any time (x) insufficient funds are received by and available to the Administrative Agent to pay fully all amounts of principal, unreimbursed LC Disbursements, interest and fees then due hereunder not constituting (i) a specific payment of principal, interest, fees or other sum payable under the Loan Documents (which shall be applied as specified by the Borrower or (ii) a mandatory prepayment (which shall be applied in accordance with Section 2.11) or (y) any funds are received by the Administrative Agent as proceeds of Collateral, such funds shall be applied ratably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 any fees, indemnities, or expense reimbursements (other than those described in the next clause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including amounts then due to the Administrative Agent and each Issuing Bank from the Borrower,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 any fees or expense reimbursements then due to the Lenders from the Borrower, </w:t>
      </w:r>
      <w:r>
        <w:rPr>
          <w:rFonts w:ascii="Arial" w:cs="Arial" w:eastAsia="Arial" w:hAnsi="Arial"/>
          <w:sz w:val="20"/>
          <w:szCs w:val="20"/>
          <w:u w:val="single" w:color="auto"/>
          <w:color w:val="auto"/>
        </w:rPr>
        <w:t>third</w:t>
      </w:r>
      <w:r>
        <w:rPr>
          <w:rFonts w:ascii="Arial" w:cs="Arial" w:eastAsia="Arial" w:hAnsi="Arial"/>
          <w:sz w:val="20"/>
          <w:szCs w:val="20"/>
          <w:color w:val="auto"/>
        </w:rPr>
        <w:t>, to pay interest then due and payable on the Loans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color w:val="auto"/>
        </w:rPr>
        <w:t>81</w:t>
      </w:r>
    </w:p>
    <w:p>
      <w:pPr>
        <w:sectPr>
          <w:pgSz w:w="11900" w:h="16838" w:orient="portrait"/>
          <w:cols w:equalWidth="0" w:num="1">
            <w:col w:w="11160"/>
          </w:cols>
          <w:pgMar w:left="400" w:top="1440" w:right="339" w:bottom="1440" w:gutter="0" w:footer="0" w:header="0"/>
        </w:sectPr>
      </w:pPr>
    </w:p>
    <w:bookmarkStart w:id="171" w:name="page172"/>
    <w:bookmarkEnd w:id="171"/>
    <w:p>
      <w:pPr>
        <w:spacing w:after="0" w:line="194" w:lineRule="exact"/>
        <w:rPr>
          <w:sz w:val="20"/>
          <w:szCs w:val="20"/>
          <w:color w:val="auto"/>
        </w:rPr>
      </w:pPr>
    </w:p>
    <w:p>
      <w:pPr>
        <w:jc w:val="both"/>
        <w:ind w:left="60"/>
        <w:spacing w:after="0" w:line="228" w:lineRule="auto"/>
        <w:rPr>
          <w:sz w:val="20"/>
          <w:szCs w:val="20"/>
          <w:color w:val="auto"/>
        </w:rPr>
      </w:pPr>
      <w:r>
        <w:rPr>
          <w:rFonts w:ascii="Arial" w:cs="Arial" w:eastAsia="Arial" w:hAnsi="Arial"/>
          <w:sz w:val="20"/>
          <w:szCs w:val="20"/>
          <w:color w:val="auto"/>
        </w:rPr>
        <w:t xml:space="preserve">ratably,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prepay principal on the Loans and unreimbursed LC Disbursements and any other amounts owing with respect to Banking Services Obligations and Swap Obligations ratably, </w:t>
      </w:r>
      <w:r>
        <w:rPr>
          <w:rFonts w:ascii="Arial" w:cs="Arial" w:eastAsia="Arial" w:hAnsi="Arial"/>
          <w:sz w:val="20"/>
          <w:szCs w:val="20"/>
          <w:u w:val="single" w:color="auto"/>
          <w:color w:val="auto"/>
        </w:rPr>
        <w:t>fifth</w:t>
      </w:r>
      <w:r>
        <w:rPr>
          <w:rFonts w:ascii="Arial" w:cs="Arial" w:eastAsia="Arial" w:hAnsi="Arial"/>
          <w:sz w:val="20"/>
          <w:szCs w:val="20"/>
          <w:color w:val="auto"/>
        </w:rPr>
        <w:t xml:space="preserve">, to pay an amount to the Administrative Agent equal to one hundred five percent (105%) of the aggregate undrawn face amount of all outstanding Letters of Credit and the aggregate amount of any unpaid LC Disbursements, to be held as cash collateral for such Obligations and </w:t>
      </w:r>
      <w:r>
        <w:rPr>
          <w:rFonts w:ascii="Arial" w:cs="Arial" w:eastAsia="Arial" w:hAnsi="Arial"/>
          <w:sz w:val="20"/>
          <w:szCs w:val="20"/>
          <w:u w:val="single" w:color="auto"/>
          <w:color w:val="auto"/>
        </w:rPr>
        <w:t>sixth</w:t>
      </w:r>
      <w:r>
        <w:rPr>
          <w:rFonts w:ascii="Arial" w:cs="Arial" w:eastAsia="Arial" w:hAnsi="Arial"/>
          <w:sz w:val="20"/>
          <w:szCs w:val="20"/>
          <w:color w:val="auto"/>
        </w:rPr>
        <w:t>,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none of the Administrative Agent or any Lender shall apply any payment which it receives to any Term Benchmark Loan of a Class, except (a) on the expiration date of the Interest Period applicable to any such Term Benchmark Loan or (b) in the event, and only to the extent, that there are no outstanding ABR Loans of the same Class and, in any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89" w:lineRule="exact"/>
        <w:rPr>
          <w:sz w:val="20"/>
          <w:szCs w:val="20"/>
          <w:color w:val="auto"/>
        </w:rPr>
      </w:pPr>
    </w:p>
    <w:p>
      <w:pPr>
        <w:jc w:val="both"/>
        <w:ind w:left="60" w:firstLine="635"/>
        <w:spacing w:after="0" w:line="229" w:lineRule="auto"/>
        <w:tabs>
          <w:tab w:leader="none" w:pos="1143"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the Borrower pursuant to Section 2.03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Sections 2.03 or 2.05, as applicable and (ii) the Administrative Agent to charge any deposit account of the Borrower maintained with the Administrative Agent for each payment of principal, interest and fees as it becomes due hereunder or any other amount due under the Loan Documents.</w:t>
      </w:r>
    </w:p>
    <w:p>
      <w:pPr>
        <w:spacing w:after="0" w:line="186" w:lineRule="exact"/>
        <w:rPr>
          <w:rFonts w:ascii="Arial" w:cs="Arial" w:eastAsia="Arial" w:hAnsi="Arial"/>
          <w:sz w:val="20"/>
          <w:szCs w:val="20"/>
          <w:color w:val="auto"/>
        </w:rPr>
      </w:pPr>
    </w:p>
    <w:p>
      <w:pPr>
        <w:jc w:val="both"/>
        <w:ind w:left="60" w:firstLine="635"/>
        <w:spacing w:after="0" w:line="214" w:lineRule="auto"/>
        <w:tabs>
          <w:tab w:leader="none" w:pos="1269" w:val="left"/>
        </w:tabs>
        <w:numPr>
          <w:ilvl w:val="1"/>
          <w:numId w:val="110"/>
        </w:numPr>
        <w:rPr>
          <w:rFonts w:ascii="Arial" w:cs="Arial" w:eastAsia="Arial" w:hAnsi="Arial"/>
          <w:sz w:val="21"/>
          <w:szCs w:val="21"/>
          <w:color w:val="auto"/>
        </w:rPr>
      </w:pPr>
      <w:r>
        <w:rPr>
          <w:rFonts w:ascii="Arial" w:cs="Arial" w:eastAsia="Arial" w:hAnsi="Arial"/>
          <w:sz w:val="21"/>
          <w:szCs w:val="21"/>
          <w:color w:val="auto"/>
        </w:rPr>
        <w:t xml:space="preserve">If, except as expressly provided herein,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w:t>
      </w:r>
    </w:p>
    <w:p>
      <w:pPr>
        <w:spacing w:after="0" w:line="8" w:lineRule="exact"/>
        <w:rPr>
          <w:rFonts w:ascii="Arial" w:cs="Arial" w:eastAsia="Arial" w:hAnsi="Arial"/>
          <w:sz w:val="21"/>
          <w:szCs w:val="21"/>
          <w:color w:val="auto"/>
        </w:rPr>
      </w:pPr>
    </w:p>
    <w:p>
      <w:pPr>
        <w:ind w:left="60" w:hanging="8"/>
        <w:spacing w:after="0" w:line="233" w:lineRule="auto"/>
        <w:tabs>
          <w:tab w:leader="none" w:pos="39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provisions of this paragraph shall not be construed to apply to any payment made by the Borrower pursuant to and in accordance with the express terms of this Agreement or any payment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color w:val="auto"/>
        </w:rPr>
        <w:t>82</w:t>
      </w:r>
    </w:p>
    <w:p>
      <w:pPr>
        <w:sectPr>
          <w:pgSz w:w="11900" w:h="16838" w:orient="portrait"/>
          <w:cols w:equalWidth="0" w:num="1">
            <w:col w:w="11040"/>
          </w:cols>
          <w:pgMar w:left="400" w:top="1440" w:right="459" w:bottom="1440" w:gutter="0" w:footer="0" w:header="0"/>
        </w:sectPr>
      </w:pPr>
    </w:p>
    <w:bookmarkStart w:id="172" w:name="page173"/>
    <w:bookmarkEnd w:id="172"/>
    <w:p>
      <w:pPr>
        <w:spacing w:after="0" w:line="194" w:lineRule="exact"/>
        <w:rPr>
          <w:sz w:val="20"/>
          <w:szCs w:val="20"/>
          <w:color w:val="auto"/>
        </w:rPr>
      </w:pPr>
    </w:p>
    <w:p>
      <w:pPr>
        <w:jc w:val="both"/>
        <w:ind w:left="60"/>
        <w:spacing w:after="0" w:line="234" w:lineRule="auto"/>
        <w:rPr>
          <w:sz w:val="20"/>
          <w:szCs w:val="20"/>
          <w:color w:val="auto"/>
        </w:rPr>
      </w:pPr>
      <w:r>
        <w:rPr>
          <w:rFonts w:ascii="Arial" w:cs="Arial" w:eastAsia="Arial" w:hAnsi="Arial"/>
          <w:sz w:val="20"/>
          <w:szCs w:val="20"/>
          <w:color w:val="auto"/>
        </w:rPr>
        <w:t>obtained by a Lender as consideration for the assignment of or sale of a participation in any of its Loans or participations in LC Disbursements and Swingline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3" w:lineRule="exact"/>
        <w:rPr>
          <w:sz w:val="20"/>
          <w:szCs w:val="20"/>
          <w:color w:val="auto"/>
        </w:rPr>
      </w:pPr>
    </w:p>
    <w:p>
      <w:pPr>
        <w:jc w:val="both"/>
        <w:ind w:left="60" w:firstLine="635"/>
        <w:spacing w:after="0" w:line="229" w:lineRule="auto"/>
        <w:tabs>
          <w:tab w:leader="none" w:pos="1292" w:val="left"/>
        </w:tabs>
        <w:numPr>
          <w:ilvl w:val="0"/>
          <w:numId w:val="112"/>
        </w:numPr>
        <w:rPr>
          <w:rFonts w:ascii="Arial" w:cs="Arial" w:eastAsia="Arial" w:hAnsi="Arial"/>
          <w:sz w:val="20"/>
          <w:szCs w:val="20"/>
          <w:color w:val="auto"/>
        </w:rPr>
      </w:pPr>
      <w:r>
        <w:rPr>
          <w:rFonts w:ascii="Arial" w:cs="Arial" w:eastAsia="Arial" w:hAnsi="Arial"/>
          <w:sz w:val="20"/>
          <w:szCs w:val="20"/>
          <w:color w:val="auto"/>
        </w:rPr>
        <w:t>Unless the Administrative Agent shall have received, prior to any date on which any payment is due to the Administrative Agent for the account of the Lenders or the Issuing Banks pursuant to the terms hereof or any other Loan Document (including any date that is fixed for prepayment by notice from the Borrower to the Administrative Agent pursuant to Section 2.11(b)), notice from the Borrower that the Borrower will not make such payment or prepayment,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w:t>
      </w:r>
    </w:p>
    <w:p>
      <w:pPr>
        <w:spacing w:after="0" w:line="192" w:lineRule="exact"/>
        <w:rPr>
          <w:sz w:val="20"/>
          <w:szCs w:val="20"/>
          <w:color w:val="auto"/>
        </w:rPr>
      </w:pPr>
    </w:p>
    <w:p>
      <w:pPr>
        <w:jc w:val="both"/>
        <w:ind w:left="60" w:firstLine="642"/>
        <w:spacing w:after="0" w:line="219" w:lineRule="auto"/>
        <w:rPr>
          <w:sz w:val="20"/>
          <w:szCs w:val="20"/>
          <w:color w:val="auto"/>
        </w:rPr>
      </w:pPr>
      <w:r>
        <w:rPr>
          <w:rFonts w:ascii="Arial" w:cs="Arial" w:eastAsia="Arial" w:hAnsi="Arial"/>
          <w:sz w:val="21"/>
          <w:szCs w:val="21"/>
          <w:color w:val="auto"/>
        </w:rPr>
        <w:t xml:space="preserve">SECTION 2.19. </w:t>
      </w:r>
      <w:r>
        <w:rPr>
          <w:rFonts w:ascii="Arial" w:cs="Arial" w:eastAsia="Arial" w:hAnsi="Arial"/>
          <w:sz w:val="21"/>
          <w:szCs w:val="21"/>
          <w:u w:val="single" w:color="auto"/>
          <w:color w:val="auto"/>
        </w:rPr>
        <w:t>Mitigation Obligations; Replacement of Lenders</w:t>
      </w:r>
      <w:r>
        <w:rPr>
          <w:rFonts w:ascii="Arial" w:cs="Arial" w:eastAsia="Arial" w:hAnsi="Arial"/>
          <w:sz w:val="21"/>
          <w:szCs w:val="21"/>
          <w:color w:val="auto"/>
        </w:rPr>
        <w:t>. (a) 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202" w:lineRule="exact"/>
        <w:rPr>
          <w:sz w:val="20"/>
          <w:szCs w:val="20"/>
          <w:color w:val="auto"/>
        </w:rPr>
      </w:pPr>
    </w:p>
    <w:p>
      <w:pPr>
        <w:jc w:val="both"/>
        <w:ind w:left="60" w:firstLine="635"/>
        <w:spacing w:after="0" w:line="218" w:lineRule="auto"/>
        <w:tabs>
          <w:tab w:leader="none" w:pos="1035" w:val="left"/>
        </w:tabs>
        <w:numPr>
          <w:ilvl w:val="0"/>
          <w:numId w:val="113"/>
        </w:numPr>
        <w:rPr>
          <w:rFonts w:ascii="Arial" w:cs="Arial" w:eastAsia="Arial" w:hAnsi="Arial"/>
          <w:sz w:val="21"/>
          <w:szCs w:val="21"/>
          <w:color w:val="auto"/>
        </w:rPr>
      </w:pPr>
      <w:r>
        <w:rPr>
          <w:rFonts w:ascii="Arial" w:cs="Arial" w:eastAsia="Arial" w:hAnsi="Arial"/>
          <w:sz w:val="21"/>
          <w:szCs w:val="21"/>
          <w:color w:val="auto"/>
        </w:rPr>
        <w:t>If any Lender requests compensation under Section 2.15, or if the Borrower is required to pay any Indemnified Taxes or additional amounts to any Lender or any Governmental Authority for the account of any Lender pursuant to Section 2.17, or if any Lender becomes Defaulting Lender, or if any Lender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(with the percentage in such definition being deemed to be 50% for this purpose) has been obtained),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this Agreement and the other Loan Documents to 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color w:val="auto"/>
        </w:rPr>
        <w:t>83</w:t>
      </w:r>
    </w:p>
    <w:p>
      <w:pPr>
        <w:sectPr>
          <w:pgSz w:w="11900" w:h="16838" w:orient="portrait"/>
          <w:cols w:equalWidth="0" w:num="1">
            <w:col w:w="11040"/>
          </w:cols>
          <w:pgMar w:left="400" w:top="1440" w:right="459" w:bottom="1440" w:gutter="0" w:footer="0" w:header="0"/>
        </w:sectPr>
      </w:pPr>
    </w:p>
    <w:bookmarkStart w:id="173" w:name="page174"/>
    <w:bookmarkEnd w:id="173"/>
    <w:p>
      <w:pPr>
        <w:spacing w:after="0" w:line="194" w:lineRule="exact"/>
        <w:rPr>
          <w:sz w:val="20"/>
          <w:szCs w:val="20"/>
          <w:color w:val="auto"/>
        </w:rPr>
      </w:pPr>
    </w:p>
    <w:p>
      <w:pPr>
        <w:jc w:val="both"/>
        <w:ind w:left="60" w:right="120"/>
        <w:spacing w:after="0" w:line="242" w:lineRule="auto"/>
        <w:rPr>
          <w:sz w:val="20"/>
          <w:szCs w:val="20"/>
          <w:color w:val="auto"/>
        </w:rPr>
      </w:pPr>
      <w:r>
        <w:rPr>
          <w:rFonts w:ascii="Arial" w:cs="Arial" w:eastAsia="Arial" w:hAnsi="Arial"/>
          <w:sz w:val="19"/>
          <w:szCs w:val="19"/>
          <w:color w:val="auto"/>
        </w:rPr>
        <w:t xml:space="preserve">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have received the prior written consent of the Administrative Agent (and if a Revolving Commitment is being assigned, the Issuing Banks and Swingline Lenders), which consent shall not unreasonably be withheld,</w:t>
      </w:r>
    </w:p>
    <w:p>
      <w:pPr>
        <w:spacing w:after="0" w:line="1" w:lineRule="exact"/>
        <w:rPr>
          <w:sz w:val="20"/>
          <w:szCs w:val="20"/>
          <w:color w:val="auto"/>
        </w:rPr>
      </w:pPr>
    </w:p>
    <w:p>
      <w:pPr>
        <w:jc w:val="both"/>
        <w:ind w:left="60" w:right="120" w:hanging="8"/>
        <w:spacing w:after="0" w:line="238" w:lineRule="auto"/>
        <w:tabs>
          <w:tab w:leader="none" w:pos="38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 be bound by the terms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documents shall be without recourse to or warranty by the parties thereto.</w:t>
      </w:r>
    </w:p>
    <w:p>
      <w:pPr>
        <w:spacing w:after="0" w:line="191" w:lineRule="exact"/>
        <w:rPr>
          <w:sz w:val="20"/>
          <w:szCs w:val="20"/>
          <w:color w:val="auto"/>
        </w:rPr>
      </w:pPr>
    </w:p>
    <w:p>
      <w:pPr>
        <w:ind w:left="60" w:right="120" w:firstLine="642"/>
        <w:spacing w:after="0" w:line="268" w:lineRule="auto"/>
        <w:rPr>
          <w:sz w:val="20"/>
          <w:szCs w:val="20"/>
          <w:color w:val="auto"/>
        </w:rPr>
      </w:pPr>
      <w:r>
        <w:rPr>
          <w:rFonts w:ascii="Arial" w:cs="Arial" w:eastAsia="Arial" w:hAnsi="Arial"/>
          <w:sz w:val="20"/>
          <w:szCs w:val="20"/>
          <w:color w:val="auto"/>
        </w:rPr>
        <w:t xml:space="preserve">SECTION 2.20. </w:t>
      </w:r>
      <w:r>
        <w:rPr>
          <w:rFonts w:ascii="Arial" w:cs="Arial" w:eastAsia="Arial" w:hAnsi="Arial"/>
          <w:sz w:val="20"/>
          <w:szCs w:val="20"/>
          <w:u w:val="single" w:color="auto"/>
          <w:color w:val="auto"/>
        </w:rPr>
        <w:t>Defaulting Lenders</w:t>
      </w:r>
      <w:r>
        <w:rPr>
          <w:rFonts w:ascii="Arial" w:cs="Arial" w:eastAsia="Arial" w:hAnsi="Arial"/>
          <w:sz w:val="20"/>
          <w:szCs w:val="20"/>
          <w:color w:val="auto"/>
        </w:rPr>
        <w:t>. Notwithstanding any provision of this Agreement to the contrary, if any Lender becomes a Defaulting Lender, then the following provisions shall apply for so long as such Lender is a Defaulting Lender:</w:t>
      </w:r>
    </w:p>
    <w:p>
      <w:pPr>
        <w:spacing w:after="0" w:line="157" w:lineRule="exact"/>
        <w:rPr>
          <w:sz w:val="20"/>
          <w:szCs w:val="20"/>
          <w:color w:val="auto"/>
        </w:rPr>
      </w:pPr>
    </w:p>
    <w:p>
      <w:pPr>
        <w:ind w:left="60" w:right="120" w:firstLine="635"/>
        <w:spacing w:after="0" w:line="244" w:lineRule="auto"/>
        <w:tabs>
          <w:tab w:leader="none" w:pos="126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fees shall cease to accrue on the unfunded portion of the Commitment of such Defaulting Lender pursuant to Section 2.12(a);</w:t>
      </w:r>
    </w:p>
    <w:p>
      <w:pPr>
        <w:spacing w:after="0" w:line="192" w:lineRule="exact"/>
        <w:rPr>
          <w:rFonts w:ascii="Arial" w:cs="Arial" w:eastAsia="Arial" w:hAnsi="Arial"/>
          <w:sz w:val="21"/>
          <w:szCs w:val="21"/>
          <w:color w:val="auto"/>
        </w:rPr>
      </w:pPr>
    </w:p>
    <w:p>
      <w:pPr>
        <w:jc w:val="both"/>
        <w:ind w:left="60" w:firstLine="635"/>
        <w:spacing w:after="0" w:line="228" w:lineRule="auto"/>
        <w:tabs>
          <w:tab w:leader="none" w:pos="1223"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20"/>
          <w:szCs w:val="20"/>
          <w:i w:val="1"/>
          <w:iCs w:val="1"/>
          <w:color w:val="auto"/>
        </w:rPr>
        <w:t>first</w:t>
      </w:r>
      <w:r>
        <w:rPr>
          <w:rFonts w:ascii="Arial" w:cs="Arial" w:eastAsia="Arial" w:hAnsi="Arial"/>
          <w:sz w:val="20"/>
          <w:szCs w:val="20"/>
          <w:color w:val="auto"/>
        </w:rPr>
        <w:t xml:space="preserve">, to the payment of any amounts owing by such Defaulting Lender to the Administrative Agent hereunder; </w:t>
      </w:r>
      <w:r>
        <w:rPr>
          <w:rFonts w:ascii="Arial" w:cs="Arial" w:eastAsia="Arial" w:hAnsi="Arial"/>
          <w:sz w:val="20"/>
          <w:szCs w:val="20"/>
          <w:i w:val="1"/>
          <w:iCs w:val="1"/>
          <w:color w:val="auto"/>
        </w:rPr>
        <w:t>second</w:t>
      </w:r>
      <w:r>
        <w:rPr>
          <w:rFonts w:ascii="Arial" w:cs="Arial" w:eastAsia="Arial" w:hAnsi="Arial"/>
          <w:sz w:val="20"/>
          <w:szCs w:val="20"/>
          <w:color w:val="auto"/>
        </w:rPr>
        <w:t xml:space="preserve">, to the payment on a pro rata basis of any amounts owing by such Defaulting Lender to any Issuing Bank or Swingline Lender hereunder; </w:t>
      </w:r>
      <w:r>
        <w:rPr>
          <w:rFonts w:ascii="Arial" w:cs="Arial" w:eastAsia="Arial" w:hAnsi="Arial"/>
          <w:sz w:val="20"/>
          <w:szCs w:val="20"/>
          <w:i w:val="1"/>
          <w:iCs w:val="1"/>
          <w:color w:val="auto"/>
        </w:rPr>
        <w:t>third</w:t>
      </w:r>
      <w:r>
        <w:rPr>
          <w:rFonts w:ascii="Arial" w:cs="Arial" w:eastAsia="Arial" w:hAnsi="Arial"/>
          <w:sz w:val="20"/>
          <w:szCs w:val="20"/>
          <w:color w:val="auto"/>
        </w:rPr>
        <w:t xml:space="preserve">, to cash collateralize LC Exposure with respect to such Defaulting Lender in accordance with this Section; </w:t>
      </w:r>
      <w:r>
        <w:rPr>
          <w:rFonts w:ascii="Arial" w:cs="Arial" w:eastAsia="Arial" w:hAnsi="Arial"/>
          <w:sz w:val="20"/>
          <w:szCs w:val="20"/>
          <w:i w:val="1"/>
          <w:iCs w:val="1"/>
          <w:color w:val="auto"/>
        </w:rPr>
        <w:t>fourth</w:t>
      </w:r>
      <w:r>
        <w:rPr>
          <w:rFonts w:ascii="Arial" w:cs="Arial" w:eastAsia="Arial" w:hAnsi="Arial"/>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20"/>
          <w:szCs w:val="20"/>
          <w:i w:val="1"/>
          <w:iCs w:val="1"/>
          <w:color w:val="auto"/>
        </w:rPr>
        <w:t>fifth</w:t>
      </w:r>
      <w:r>
        <w:rPr>
          <w:rFonts w:ascii="Arial" w:cs="Arial" w:eastAsia="Arial" w:hAnsi="Arial"/>
          <w:sz w:val="20"/>
          <w:szCs w:val="20"/>
          <w:color w:val="auto"/>
        </w:rPr>
        <w:t>,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1"/>
          <w:szCs w:val="21"/>
          <w:color w:val="auto"/>
        </w:rPr>
        <w:t>84</w:t>
      </w:r>
    </w:p>
    <w:p>
      <w:pPr>
        <w:sectPr>
          <w:pgSz w:w="11900" w:h="16838" w:orient="portrait"/>
          <w:cols w:equalWidth="0" w:num="1">
            <w:col w:w="11160"/>
          </w:cols>
          <w:pgMar w:left="400" w:top="1440" w:right="339" w:bottom="1440" w:gutter="0" w:footer="0" w:header="0"/>
        </w:sectPr>
      </w:pPr>
    </w:p>
    <w:bookmarkStart w:id="174" w:name="page175"/>
    <w:bookmarkEnd w:id="174"/>
    <w:p>
      <w:pPr>
        <w:spacing w:after="0" w:line="194" w:lineRule="exact"/>
        <w:rPr>
          <w:sz w:val="20"/>
          <w:szCs w:val="20"/>
          <w:color w:val="auto"/>
        </w:rPr>
      </w:pPr>
    </w:p>
    <w:p>
      <w:pPr>
        <w:jc w:val="both"/>
        <w:ind w:left="60" w:right="120"/>
        <w:spacing w:after="0" w:line="227" w:lineRule="auto"/>
        <w:rPr>
          <w:sz w:val="20"/>
          <w:szCs w:val="20"/>
          <w:color w:val="auto"/>
        </w:rPr>
      </w:pPr>
      <w:r>
        <w:rPr>
          <w:rFonts w:ascii="Arial" w:cs="Arial" w:eastAsia="Arial" w:hAnsi="Arial"/>
          <w:sz w:val="20"/>
          <w:szCs w:val="20"/>
          <w:color w:val="auto"/>
        </w:rPr>
        <w:t xml:space="preserve">Letters of Credit issued under this Agreement, in accordance with this Section; </w:t>
      </w:r>
      <w:r>
        <w:rPr>
          <w:rFonts w:ascii="Arial" w:cs="Arial" w:eastAsia="Arial" w:hAnsi="Arial"/>
          <w:sz w:val="20"/>
          <w:szCs w:val="20"/>
          <w:i w:val="1"/>
          <w:iCs w:val="1"/>
          <w:color w:val="auto"/>
        </w:rPr>
        <w:t>sixth</w:t>
      </w:r>
      <w:r>
        <w:rPr>
          <w:rFonts w:ascii="Arial" w:cs="Arial" w:eastAsia="Arial" w:hAnsi="Arial"/>
          <w:sz w:val="20"/>
          <w:szCs w:val="20"/>
          <w:color w:val="auto"/>
        </w:rPr>
        <w:t xml:space="preserve">, to the payment of any amounts owing to the Lenders, the Issuing Banks or Swingline Lenders as a result of any judgment of a court of competent jurisdiction obtained by any Lender, the Issuing Banks or Swingline Lenders against such Defaulting Lender as a result of such Defaulting Lender’s breach of its obligations under this Agreement or under any other Loan Document; </w:t>
      </w:r>
      <w:r>
        <w:rPr>
          <w:rFonts w:ascii="Arial" w:cs="Arial" w:eastAsia="Arial" w:hAnsi="Arial"/>
          <w:sz w:val="20"/>
          <w:szCs w:val="20"/>
          <w:i w:val="1"/>
          <w:iCs w:val="1"/>
          <w:color w:val="auto"/>
        </w:rPr>
        <w:t>seventh</w:t>
      </w:r>
      <w:r>
        <w:rPr>
          <w:rFonts w:ascii="Arial" w:cs="Arial" w:eastAsia="Arial" w:hAnsi="Arial"/>
          <w:sz w:val="20"/>
          <w:szCs w:val="20"/>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Arial" w:cs="Arial" w:eastAsia="Arial" w:hAnsi="Arial"/>
          <w:sz w:val="20"/>
          <w:szCs w:val="20"/>
          <w:i w:val="1"/>
          <w:iCs w:val="1"/>
          <w:color w:val="auto"/>
        </w:rPr>
        <w:t>eighth</w:t>
      </w:r>
      <w:r>
        <w:rPr>
          <w:rFonts w:ascii="Arial" w:cs="Arial" w:eastAsia="Arial" w:hAnsi="Arial"/>
          <w:sz w:val="20"/>
          <w:szCs w:val="20"/>
          <w:color w:val="auto"/>
        </w:rPr>
        <w:t xml:space="preserve">, to such Defaulting Lender or as otherwise directed by a court of competent jurisdiction;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87" w:lineRule="exact"/>
        <w:rPr>
          <w:sz w:val="20"/>
          <w:szCs w:val="20"/>
          <w:color w:val="auto"/>
        </w:rPr>
      </w:pPr>
    </w:p>
    <w:p>
      <w:pPr>
        <w:jc w:val="both"/>
        <w:ind w:left="60" w:firstLine="635"/>
        <w:spacing w:after="0" w:line="224" w:lineRule="auto"/>
        <w:tabs>
          <w:tab w:leader="none" w:pos="1185"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the Commitments and Credit Exposure of such Defaulting Lender shall not be included in determining whether the Required Lenders have taken or may take any action hereunder (including any consent to any amendment, waiver or other modification pursuant to Section 9.02);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186" w:lineRule="exact"/>
        <w:rPr>
          <w:rFonts w:ascii="Arial" w:cs="Arial" w:eastAsia="Arial" w:hAnsi="Arial"/>
          <w:sz w:val="21"/>
          <w:szCs w:val="21"/>
          <w:color w:val="auto"/>
        </w:rPr>
      </w:pPr>
    </w:p>
    <w:p>
      <w:pPr>
        <w:ind w:left="1160" w:hanging="465"/>
        <w:spacing w:after="0"/>
        <w:tabs>
          <w:tab w:leader="none" w:pos="116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if any Swingline Exposure or LC Exposure exists at the time such Lender becomes a Defaulting Lender then:</w:t>
      </w:r>
    </w:p>
    <w:p>
      <w:pPr>
        <w:spacing w:after="0" w:line="239" w:lineRule="exact"/>
        <w:rPr>
          <w:rFonts w:ascii="Arial" w:cs="Arial" w:eastAsia="Arial" w:hAnsi="Arial"/>
          <w:sz w:val="20"/>
          <w:szCs w:val="20"/>
          <w:color w:val="auto"/>
        </w:rPr>
      </w:pPr>
    </w:p>
    <w:p>
      <w:pPr>
        <w:jc w:val="both"/>
        <w:ind w:left="700" w:right="120" w:firstLine="1283"/>
        <w:spacing w:after="0" w:line="222" w:lineRule="auto"/>
        <w:tabs>
          <w:tab w:leader="none" w:pos="2441" w:val="left"/>
        </w:tabs>
        <w:numPr>
          <w:ilvl w:val="1"/>
          <w:numId w:val="116"/>
        </w:numPr>
        <w:rPr>
          <w:rFonts w:ascii="Arial" w:cs="Arial" w:eastAsia="Arial" w:hAnsi="Arial"/>
          <w:sz w:val="21"/>
          <w:szCs w:val="21"/>
          <w:color w:val="auto"/>
        </w:rPr>
      </w:pPr>
      <w:r>
        <w:rPr>
          <w:rFonts w:ascii="Arial" w:cs="Arial" w:eastAsia="Arial" w:hAnsi="Arial"/>
          <w:sz w:val="21"/>
          <w:szCs w:val="21"/>
          <w:color w:val="auto"/>
        </w:rPr>
        <w:t>all or any part of the Swingline Exposure and LC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the Dollar Equivalent of such non-Defaulting Lender’s Revolving Credit Exposure to exceed its Revolving Commitment;</w:t>
      </w:r>
    </w:p>
    <w:p>
      <w:pPr>
        <w:spacing w:after="0" w:line="201" w:lineRule="exact"/>
        <w:rPr>
          <w:rFonts w:ascii="Arial" w:cs="Arial" w:eastAsia="Arial" w:hAnsi="Arial"/>
          <w:sz w:val="21"/>
          <w:szCs w:val="21"/>
          <w:color w:val="auto"/>
        </w:rPr>
      </w:pPr>
    </w:p>
    <w:p>
      <w:pPr>
        <w:jc w:val="both"/>
        <w:ind w:left="700" w:right="120" w:firstLine="1283"/>
        <w:spacing w:after="0" w:line="227" w:lineRule="auto"/>
        <w:tabs>
          <w:tab w:leader="none" w:pos="2607" w:val="left"/>
        </w:tabs>
        <w:numPr>
          <w:ilvl w:val="1"/>
          <w:numId w:val="116"/>
        </w:numPr>
        <w:rPr>
          <w:rFonts w:ascii="Arial" w:cs="Arial" w:eastAsia="Arial" w:hAnsi="Arial"/>
          <w:sz w:val="21"/>
          <w:szCs w:val="21"/>
          <w:color w:val="auto"/>
        </w:rPr>
      </w:pPr>
      <w:r>
        <w:rPr>
          <w:rFonts w:ascii="Arial" w:cs="Arial" w:eastAsia="Arial" w:hAnsi="Arial"/>
          <w:sz w:val="21"/>
          <w:szCs w:val="21"/>
          <w:color w:val="auto"/>
        </w:rPr>
        <w:t>if the reallocation described in clause (i) above cannot, or can only partially, be effected, the Borrower shall within one Business Day following notice by the Administrative Agent (x) first, prepay such Swingline Exposure and (y) second, cash collateralize for the benefit of the Issuing Banks only the Borrower’s obligations corresponding to such Defaulting Lender’s LC Exposure (after giving effect to any partial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85</w:t>
      </w:r>
    </w:p>
    <w:p>
      <w:pPr>
        <w:sectPr>
          <w:pgSz w:w="11900" w:h="16838" w:orient="portrait"/>
          <w:cols w:equalWidth="0" w:num="1">
            <w:col w:w="11160"/>
          </w:cols>
          <w:pgMar w:left="400" w:top="1440" w:right="339" w:bottom="1440" w:gutter="0" w:footer="0" w:header="0"/>
        </w:sectPr>
      </w:pPr>
    </w:p>
    <w:bookmarkStart w:id="175" w:name="page176"/>
    <w:bookmarkEnd w:id="175"/>
    <w:p>
      <w:pPr>
        <w:spacing w:after="0" w:line="194" w:lineRule="exact"/>
        <w:rPr>
          <w:sz w:val="20"/>
          <w:szCs w:val="20"/>
          <w:color w:val="auto"/>
        </w:rPr>
      </w:pPr>
    </w:p>
    <w:p>
      <w:pPr>
        <w:ind w:left="700"/>
        <w:spacing w:after="0" w:line="244" w:lineRule="auto"/>
        <w:rPr>
          <w:sz w:val="20"/>
          <w:szCs w:val="20"/>
          <w:color w:val="auto"/>
        </w:rPr>
      </w:pPr>
      <w:r>
        <w:rPr>
          <w:rFonts w:ascii="Arial" w:cs="Arial" w:eastAsia="Arial" w:hAnsi="Arial"/>
          <w:sz w:val="21"/>
          <w:szCs w:val="21"/>
          <w:color w:val="auto"/>
        </w:rPr>
        <w:t>reallocation pursuant to clause (i) above) in accordance with the procedures set forth in Section 2.06(j) for so long as such LC Exposure is outstanding;</w:t>
      </w:r>
    </w:p>
    <w:p>
      <w:pPr>
        <w:spacing w:after="0" w:line="179" w:lineRule="exact"/>
        <w:rPr>
          <w:sz w:val="20"/>
          <w:szCs w:val="20"/>
          <w:color w:val="auto"/>
        </w:rPr>
      </w:pPr>
    </w:p>
    <w:p>
      <w:pPr>
        <w:jc w:val="both"/>
        <w:ind w:left="700" w:firstLine="1283"/>
        <w:spacing w:after="0" w:line="227" w:lineRule="auto"/>
        <w:tabs>
          <w:tab w:leader="none" w:pos="2545" w:val="left"/>
        </w:tabs>
        <w:numPr>
          <w:ilvl w:val="1"/>
          <w:numId w:val="117"/>
        </w:numPr>
        <w:rPr>
          <w:rFonts w:ascii="Arial" w:cs="Arial" w:eastAsia="Arial" w:hAnsi="Arial"/>
          <w:sz w:val="21"/>
          <w:szCs w:val="21"/>
          <w:color w:val="auto"/>
        </w:rPr>
      </w:pPr>
      <w:r>
        <w:rPr>
          <w:rFonts w:ascii="Arial" w:cs="Arial" w:eastAsia="Arial" w:hAnsi="Arial"/>
          <w:sz w:val="21"/>
          <w:szCs w:val="21"/>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199" w:lineRule="exact"/>
        <w:rPr>
          <w:rFonts w:ascii="Arial" w:cs="Arial" w:eastAsia="Arial" w:hAnsi="Arial"/>
          <w:sz w:val="21"/>
          <w:szCs w:val="21"/>
          <w:color w:val="auto"/>
        </w:rPr>
      </w:pPr>
    </w:p>
    <w:p>
      <w:pPr>
        <w:jc w:val="both"/>
        <w:ind w:left="700" w:firstLine="1283"/>
        <w:spacing w:after="0" w:line="219" w:lineRule="auto"/>
        <w:tabs>
          <w:tab w:leader="none" w:pos="2539" w:val="left"/>
        </w:tabs>
        <w:numPr>
          <w:ilvl w:val="1"/>
          <w:numId w:val="117"/>
        </w:numPr>
        <w:rPr>
          <w:rFonts w:ascii="Arial" w:cs="Arial" w:eastAsia="Arial" w:hAnsi="Arial"/>
          <w:sz w:val="21"/>
          <w:szCs w:val="21"/>
          <w:color w:val="auto"/>
        </w:rPr>
      </w:pPr>
      <w:r>
        <w:rPr>
          <w:rFonts w:ascii="Arial" w:cs="Arial" w:eastAsia="Arial" w:hAnsi="Arial"/>
          <w:sz w:val="21"/>
          <w:szCs w:val="21"/>
          <w:color w:val="auto"/>
        </w:rPr>
        <w:t>if the LC Exposure of the non-Defaulting Lenders is reallocated pursuant to clause (i) above, then the fees payable to the Lenders pursuant to Sections 2.12(a) and 2.12(b) shall be adjusted in accordance with such non-Defaulting Lenders’</w:t>
      </w:r>
    </w:p>
    <w:p>
      <w:pPr>
        <w:ind w:left="700"/>
        <w:spacing w:after="0"/>
        <w:rPr>
          <w:rFonts w:ascii="Arial" w:cs="Arial" w:eastAsia="Arial" w:hAnsi="Arial"/>
          <w:sz w:val="21"/>
          <w:szCs w:val="21"/>
          <w:color w:val="auto"/>
        </w:rPr>
      </w:pPr>
      <w:r>
        <w:rPr>
          <w:rFonts w:ascii="Arial" w:cs="Arial" w:eastAsia="Arial" w:hAnsi="Arial"/>
          <w:sz w:val="21"/>
          <w:szCs w:val="21"/>
          <w:color w:val="auto"/>
        </w:rPr>
        <w:t>Applicable Percentages; and</w:t>
      </w:r>
    </w:p>
    <w:p>
      <w:pPr>
        <w:spacing w:after="0" w:line="209" w:lineRule="exact"/>
        <w:rPr>
          <w:rFonts w:ascii="Arial" w:cs="Arial" w:eastAsia="Arial" w:hAnsi="Arial"/>
          <w:sz w:val="21"/>
          <w:szCs w:val="21"/>
          <w:color w:val="auto"/>
        </w:rPr>
      </w:pPr>
    </w:p>
    <w:p>
      <w:pPr>
        <w:jc w:val="both"/>
        <w:ind w:left="700" w:firstLine="1283"/>
        <w:spacing w:after="0" w:line="247" w:lineRule="auto"/>
        <w:tabs>
          <w:tab w:leader="none" w:pos="2587" w:val="left"/>
        </w:tabs>
        <w:numPr>
          <w:ilvl w:val="1"/>
          <w:numId w:val="117"/>
        </w:numPr>
        <w:rPr>
          <w:rFonts w:ascii="Arial" w:cs="Arial" w:eastAsia="Arial" w:hAnsi="Arial"/>
          <w:sz w:val="19"/>
          <w:szCs w:val="19"/>
          <w:color w:val="auto"/>
        </w:rPr>
      </w:pPr>
      <w:r>
        <w:rPr>
          <w:rFonts w:ascii="Arial" w:cs="Arial" w:eastAsia="Arial" w:hAnsi="Arial"/>
          <w:sz w:val="19"/>
          <w:szCs w:val="19"/>
          <w:color w:val="auto"/>
        </w:rPr>
        <w:t>if all or any portion of such Defaulting Lender’s LC Exposure is neither reallocated nor cash collateralized pursuant to clause (i) or (ii) above, then, without prejudice to any rights or remedies of any Issuing Bank or any other Lender hereunder, all commitment fees that otherwise would have been payable to such Defaulting Lender (solely with respect to the portion of such Defaulting Lender’s Commitment that was utilized by such LC Exposure) and letter of credit fees payable under Section 2.12(b) with respect to such Defaulting Lender’s LC Exposure shall be payable to the Issuing Banks until and to the extent that such LC Exposure is reallocated and/or cash collateralized; and</w:t>
      </w:r>
    </w:p>
    <w:p>
      <w:pPr>
        <w:spacing w:after="0" w:line="179" w:lineRule="exact"/>
        <w:rPr>
          <w:rFonts w:ascii="Arial" w:cs="Arial" w:eastAsia="Arial" w:hAnsi="Arial"/>
          <w:sz w:val="19"/>
          <w:szCs w:val="19"/>
          <w:color w:val="auto"/>
        </w:rPr>
      </w:pPr>
    </w:p>
    <w:p>
      <w:pPr>
        <w:jc w:val="both"/>
        <w:ind w:left="60" w:firstLine="635"/>
        <w:spacing w:after="0" w:line="221" w:lineRule="auto"/>
        <w:tabs>
          <w:tab w:leader="none" w:pos="1162" w:val="left"/>
        </w:tabs>
        <w:numPr>
          <w:ilvl w:val="0"/>
          <w:numId w:val="118"/>
        </w:numPr>
        <w:rPr>
          <w:rFonts w:ascii="Arial" w:cs="Arial" w:eastAsia="Arial" w:hAnsi="Arial"/>
          <w:sz w:val="21"/>
          <w:szCs w:val="21"/>
          <w:color w:val="auto"/>
        </w:rPr>
      </w:pPr>
      <w:r>
        <w:rPr>
          <w:rFonts w:ascii="Arial" w:cs="Arial" w:eastAsia="Arial" w:hAnsi="Arial"/>
          <w:sz w:val="21"/>
          <w:szCs w:val="21"/>
          <w:color w:val="auto"/>
        </w:rPr>
        <w:t>so long as such Lender is a Defaulting Lender, no Swingline Lenders shall be required to fund any Swingline Loan and no Issuing Bank shall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 in accordance with Section 2.20(d), and Swingline Exposure related to any newly made Swingline Loan or LC Exposure related to any newly issued or increased Letter of Credit shall be allocated among non- Defaulting Lenders in a manner consistent with Section 2.20(d)(i) (and such Defaulting Lender shall not participate therein).</w:t>
      </w:r>
    </w:p>
    <w:p>
      <w:pPr>
        <w:spacing w:after="0" w:line="200" w:lineRule="exact"/>
        <w:rPr>
          <w:sz w:val="20"/>
          <w:szCs w:val="20"/>
          <w:color w:val="auto"/>
        </w:rPr>
      </w:pPr>
    </w:p>
    <w:p>
      <w:pPr>
        <w:jc w:val="both"/>
        <w:ind w:left="60" w:firstLine="642"/>
        <w:spacing w:after="0" w:line="221" w:lineRule="auto"/>
        <w:rPr>
          <w:sz w:val="20"/>
          <w:szCs w:val="20"/>
          <w:color w:val="auto"/>
        </w:rPr>
      </w:pPr>
      <w:r>
        <w:rPr>
          <w:rFonts w:ascii="Arial" w:cs="Arial" w:eastAsia="Arial" w:hAnsi="Arial"/>
          <w:sz w:val="21"/>
          <w:szCs w:val="21"/>
          <w:color w:val="auto"/>
        </w:rPr>
        <w:t>If (i) a Bankruptcy Event or a Bail-In Action with respect to a Lender Parent shall occur following the date hereof and for so long as such event shall continue or (ii) any Swingline Lender or Issuing Bank has a good faith belief that any Lender has defaulted in fulfilling its obligations under one or more other agreements in which such Lender commits to extend credit, no Swingline Lender shall be required to fund any Swingline Loan and no Issuing Bank shall be required to issue, amend or increase any Letter of Credit, unless the Swingline Lenders or the Issuing Banks, as the case may be, shall have entered into arrangements with the Borrower or such Lender, satisfactory to such Swingline Lender or Issuing Bank, as the case may be, to defease any risk to it in respect of such Lender hereunder.</w:t>
      </w:r>
    </w:p>
    <w:p>
      <w:pPr>
        <w:spacing w:after="0" w:line="200"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In the event that each of the Administrative Agent, the Borrower, each Swingline Lender and each Issuing Bank agrees that a Defaulting Lender has adequately remedied all matters that caused such Lender to be a Defaulting Lender, then the Swingline Exposure and LC Exposure of the Lenders shall be readjusted to reflect the inclusion of such Lender’s Commitment and on such</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86</w:t>
      </w:r>
    </w:p>
    <w:p>
      <w:pPr>
        <w:sectPr>
          <w:pgSz w:w="11900" w:h="16838" w:orient="portrait"/>
          <w:cols w:equalWidth="0" w:num="1">
            <w:col w:w="11040"/>
          </w:cols>
          <w:pgMar w:left="400" w:top="1440" w:right="459" w:bottom="1440" w:gutter="0" w:footer="0" w:header="0"/>
        </w:sectPr>
      </w:pPr>
    </w:p>
    <w:bookmarkStart w:id="176" w:name="page177"/>
    <w:bookmarkEnd w:id="176"/>
    <w:p>
      <w:pPr>
        <w:spacing w:after="0" w:line="194" w:lineRule="exact"/>
        <w:rPr>
          <w:sz w:val="20"/>
          <w:szCs w:val="20"/>
          <w:color w:val="auto"/>
        </w:rPr>
      </w:pPr>
    </w:p>
    <w:p>
      <w:pPr>
        <w:jc w:val="both"/>
        <w:ind w:left="60" w:right="20"/>
        <w:spacing w:after="0" w:line="232" w:lineRule="auto"/>
        <w:rPr>
          <w:sz w:val="20"/>
          <w:szCs w:val="20"/>
          <w:color w:val="auto"/>
        </w:rPr>
      </w:pPr>
      <w:r>
        <w:rPr>
          <w:rFonts w:ascii="Arial" w:cs="Arial" w:eastAsia="Arial" w:hAnsi="Arial"/>
          <w:sz w:val="21"/>
          <w:szCs w:val="21"/>
          <w:color w:val="auto"/>
        </w:rPr>
        <w:t>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69"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2.21.</w:t>
      </w:r>
      <w:r>
        <w:rPr>
          <w:sz w:val="20"/>
          <w:szCs w:val="20"/>
          <w:color w:val="auto"/>
        </w:rPr>
        <w:tab/>
      </w:r>
      <w:r>
        <w:rPr>
          <w:rFonts w:ascii="Arial" w:cs="Arial" w:eastAsia="Arial" w:hAnsi="Arial"/>
          <w:sz w:val="22"/>
          <w:szCs w:val="22"/>
          <w:b w:val="1"/>
          <w:bCs w:val="1"/>
          <w:u w:val="single" w:color="auto"/>
          <w:color w:val="auto"/>
        </w:rPr>
        <w:t>[</w:t>
      </w:r>
      <w:r>
        <w:rPr>
          <w:rFonts w:ascii="Arial" w:cs="Arial" w:eastAsia="Arial" w:hAnsi="Arial"/>
          <w:sz w:val="18"/>
          <w:szCs w:val="18"/>
          <w:u w:val="single" w:color="auto"/>
          <w:color w:val="auto"/>
        </w:rPr>
        <w:t>Reserved</w:t>
      </w:r>
      <w:r>
        <w:rPr>
          <w:rFonts w:ascii="Arial" w:cs="Arial" w:eastAsia="Arial" w:hAnsi="Arial"/>
          <w:sz w:val="22"/>
          <w:szCs w:val="22"/>
          <w:b w:val="1"/>
          <w:bCs w:val="1"/>
          <w:u w:val="single" w:color="auto"/>
          <w:color w:val="auto"/>
        </w:rPr>
        <w:t xml:space="preserve">] </w:t>
      </w:r>
      <w:r>
        <w:rPr>
          <w:rFonts w:ascii="Arial" w:cs="Arial" w:eastAsia="Arial" w:hAnsi="Arial"/>
          <w:sz w:val="18"/>
          <w:szCs w:val="18"/>
          <w:color w:val="auto"/>
        </w:rPr>
        <w:t>.</w:t>
      </w:r>
    </w:p>
    <w:p>
      <w:pPr>
        <w:spacing w:after="0" w:line="218" w:lineRule="exact"/>
        <w:rPr>
          <w:sz w:val="20"/>
          <w:szCs w:val="20"/>
          <w:color w:val="auto"/>
        </w:rPr>
      </w:pPr>
    </w:p>
    <w:p>
      <w:pPr>
        <w:jc w:val="both"/>
        <w:ind w:left="60" w:firstLine="642"/>
        <w:spacing w:after="0"/>
        <w:rPr>
          <w:sz w:val="20"/>
          <w:szCs w:val="20"/>
          <w:color w:val="auto"/>
        </w:rPr>
      </w:pPr>
      <w:r>
        <w:rPr>
          <w:rFonts w:ascii="Arial" w:cs="Arial" w:eastAsia="Arial" w:hAnsi="Arial"/>
          <w:sz w:val="19"/>
          <w:szCs w:val="19"/>
          <w:color w:val="auto"/>
        </w:rPr>
        <w:t xml:space="preserve">SECTION 2.22. </w:t>
      </w:r>
      <w:r>
        <w:rPr>
          <w:rFonts w:ascii="Arial" w:cs="Arial" w:eastAsia="Arial" w:hAnsi="Arial"/>
          <w:sz w:val="19"/>
          <w:szCs w:val="19"/>
          <w:u w:val="single" w:color="auto"/>
          <w:color w:val="auto"/>
        </w:rPr>
        <w:t>Expansion Option</w:t>
      </w:r>
      <w:r>
        <w:rPr>
          <w:rFonts w:ascii="Arial" w:cs="Arial" w:eastAsia="Arial" w:hAnsi="Arial"/>
          <w:sz w:val="19"/>
          <w:szCs w:val="19"/>
          <w:color w:val="auto"/>
        </w:rPr>
        <w:t>. The Borrower may from time to time elect to increase the Revolving Commitments or enter into one or more tranches of term loans (each an “</w:t>
      </w:r>
      <w:r>
        <w:rPr>
          <w:rFonts w:ascii="Arial" w:cs="Arial" w:eastAsia="Arial" w:hAnsi="Arial"/>
          <w:sz w:val="19"/>
          <w:szCs w:val="19"/>
          <w:b w:val="1"/>
          <w:bCs w:val="1"/>
          <w:i w:val="1"/>
          <w:iCs w:val="1"/>
          <w:color w:val="auto"/>
        </w:rPr>
        <w:t>Incremental Term Loan</w:t>
      </w:r>
      <w:r>
        <w:rPr>
          <w:rFonts w:ascii="Arial" w:cs="Arial" w:eastAsia="Arial" w:hAnsi="Arial"/>
          <w:sz w:val="19"/>
          <w:szCs w:val="19"/>
          <w:color w:val="auto"/>
        </w:rPr>
        <w:t>”), in each case in minimum increments of $25,000,000 so long as, after giving effect thereto, the aggregate amount of such increases and all such Incremental Term Loans does not exceed $75,000,000. The Borrower may arrange for any such increase or tranche to be provided by one or more Lenders (each Lender so agreeing to an increase in its Revolving Commitment, or to participate in such Incremental Term Loans, an “</w:t>
      </w:r>
      <w:r>
        <w:rPr>
          <w:rFonts w:ascii="Arial" w:cs="Arial" w:eastAsia="Arial" w:hAnsi="Arial"/>
          <w:sz w:val="19"/>
          <w:szCs w:val="19"/>
          <w:b w:val="1"/>
          <w:bCs w:val="1"/>
          <w:i w:val="1"/>
          <w:iCs w:val="1"/>
          <w:color w:val="auto"/>
        </w:rPr>
        <w:t>Increasing Lender</w:t>
      </w:r>
      <w:r>
        <w:rPr>
          <w:rFonts w:ascii="Arial" w:cs="Arial" w:eastAsia="Arial" w:hAnsi="Arial"/>
          <w:sz w:val="19"/>
          <w:szCs w:val="19"/>
          <w:color w:val="auto"/>
        </w:rPr>
        <w:t>”), or by one or more new banks, financial institutions or other entities (each such new bank, financial institution or other entity, an “</w:t>
      </w:r>
      <w:r>
        <w:rPr>
          <w:rFonts w:ascii="Arial" w:cs="Arial" w:eastAsia="Arial" w:hAnsi="Arial"/>
          <w:sz w:val="19"/>
          <w:szCs w:val="19"/>
          <w:b w:val="1"/>
          <w:bCs w:val="1"/>
          <w:i w:val="1"/>
          <w:iCs w:val="1"/>
          <w:color w:val="auto"/>
        </w:rPr>
        <w:t>Augmenting Lender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Ineligible Institution may be an Augmenting Lender), which agree to increase their existing Revolving Commitments, or to participate in such Incremental Term Loans, or provide new Revolving Commitments,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Augmenting Lender, shall be subject to the approval of the Borrower, the Administrative Agent and each Issuing Bank and Swingline Lender to the extent the consent of the Issuing Bank or the Swingline Lender would be required to effect an assignment under Section 9.04(b), and (ii) (x) in the case of an Increasing Lender, the Borrower and such Increasing Lender execute an agreement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and (y) in the case of an Augmenting Lender, the Borrower and such Augmenting Lender execute an agreement substantially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hereto. No consent of any Lender (other than the Lenders participating in the increase or any Incremental Term Loan) shall be required for any increase in Revolving Commitments or Incremental Term Loan pursuant to this Section 2.22. Increases and new Revolving Commitments and Incremental Term Loans created pursuant to this Section 2.22 shall become effective on the date agreed by the Borrower, the Administrative Agent and the relevant Increasing Lenders or Augmenting Lenders, and the Administrative Agent shall notify each Lender thereof. Notwithstanding the foregoing, no increase in the Revolving Commitments (or in the Revolving Commitment of any Lender) or tranche of Incremental Term Loans shall become effective under this paragraph unless (subject to the next sentence of this Section 2.22 in respect of Limited Condition Transactions), (i) on the proposed date of the effectiveness of such increase or Incremental Term Loans, (A) the conditions set forth in paragraphs (a) and (b) of Section 4.02 shall be satisfied or waived by the Required Lenders and the Administrative Agent shall have received a certificate to that effect dated such date and executed by a Financial Officer of the Borrower and (B) the Borrower shall be in compliance (on a pro forma basis) with the covenants contained in Section 5.12 and (ii) the Administrative Agent shall have received documents and opinions consistent with those delivered on the Effective Date as to the organizational power and authority of the Borrower to borrow hereunder after giving effect to such increase. Notwithstanding the foregoing, with respect to any Incremental Term Loans incurred for the purpose of financing a Limited Condition Transaction (such Incremental Term Loans, “</w:t>
      </w:r>
      <w:r>
        <w:rPr>
          <w:rFonts w:ascii="Arial" w:cs="Arial" w:eastAsia="Arial" w:hAnsi="Arial"/>
          <w:sz w:val="19"/>
          <w:szCs w:val="19"/>
          <w:b w:val="1"/>
          <w:bCs w:val="1"/>
          <w:i w:val="1"/>
          <w:iCs w:val="1"/>
          <w:color w:val="auto"/>
        </w:rPr>
        <w:t>Specified Incremental Term Loans</w:t>
      </w:r>
      <w:r>
        <w:rPr>
          <w:rFonts w:ascii="Arial" w:cs="Arial" w:eastAsia="Arial" w:hAnsi="Arial"/>
          <w:sz w:val="19"/>
          <w:szCs w:val="19"/>
          <w:color w:val="auto"/>
        </w:rPr>
        <w:t>”), to the extent the Borrower has made an LCT Election in connection therewith, (x) clause (i)(A) of the immediately sentence shall be deemed to have been satisfied so long as (1) as of the applicable LCT Test Date, no Default or Event of Default shall have occurred and be continuing or would result from entry into the definitive documentation in respect of the applicable Limited Condition Transaction, (2) as of the date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color w:val="auto"/>
        </w:rPr>
        <w:t>87</w:t>
      </w:r>
    </w:p>
    <w:p>
      <w:pPr>
        <w:sectPr>
          <w:pgSz w:w="11900" w:h="16838" w:orient="portrait"/>
          <w:cols w:equalWidth="0" w:num="1">
            <w:col w:w="11040"/>
          </w:cols>
          <w:pgMar w:left="400" w:top="1440" w:right="459" w:bottom="1440" w:gutter="0" w:footer="0" w:header="0"/>
        </w:sectPr>
      </w:pPr>
    </w:p>
    <w:bookmarkStart w:id="177" w:name="page178"/>
    <w:bookmarkEnd w:id="177"/>
    <w:p>
      <w:pPr>
        <w:spacing w:after="0" w:line="184" w:lineRule="exact"/>
        <w:rPr>
          <w:sz w:val="20"/>
          <w:szCs w:val="20"/>
          <w:color w:val="auto"/>
        </w:rPr>
      </w:pPr>
    </w:p>
    <w:p>
      <w:pPr>
        <w:ind w:left="60"/>
        <w:spacing w:after="0"/>
        <w:rPr>
          <w:sz w:val="20"/>
          <w:szCs w:val="20"/>
          <w:color w:val="auto"/>
        </w:rPr>
      </w:pPr>
      <w:r>
        <w:rPr>
          <w:rFonts w:ascii="Arial" w:cs="Arial" w:eastAsia="Arial" w:hAnsi="Arial"/>
          <w:sz w:val="21"/>
          <w:szCs w:val="21"/>
          <w:color w:val="auto"/>
        </w:rPr>
        <w:t>borrowing of such Specified Incremental Term Loans, no Event of Default under clause (a), (f) or</w:t>
      </w:r>
    </w:p>
    <w:p>
      <w:pPr>
        <w:jc w:val="both"/>
        <w:ind w:left="60" w:hanging="8"/>
        <w:spacing w:after="0" w:line="235" w:lineRule="auto"/>
        <w:tabs>
          <w:tab w:leader="none" w:pos="38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of Section 7.01 is in existence immediately before or immediately after giving effect (including on a pro forma basis) to such borrowing and to any concurrent transactions and any substantially concurrent use of proceeds thereof, (3) the representations and warranties set forth in Article III shall be true and correct in all material respects (except that any representation and warranty that is qualified by materiality or Material Adverse Effect shall be true and correct in all respects) as of the applicable LCT Test Date, except to the extent any such representation and warranty specifically refers to an earlier date, in which case such representation and warranty shall be true and correct in all material respects (or, with respect to any representation and warranty that is qualified by materiality or Material Adverse Effect, in all respects) as of such earlier date and (4) as of the date of the borrowing of such Specified Incremental Term Loans, customary “Sungard” representations and warranties (with such representations and warranties to be reasonably determined by the Lenders providing such Specified Incremental Term Loans) shall be true and correct in all material respects (except that any representation and warranty that is qualified by materiality or Material Adverse Effect shall be true and correct in all respects) immediately prior to, and immediately after giving effect to, the incurrence of such Specified Incremental Term Loans, except to the extent any such representation and warranty specifically refers to an earlier date, in which case such representation and warranty shall be true and correct in all material respects (or, with respect to any representation and warranty that is qualified by materiality or Material Adverse Effect, in all respects) as of such earlier date and (y) clause (i)(B) of the immediately preceding sentence shall be deemed to have been satisfied so long as the Company shall be in compliance (on a pro forma basis) with the covenants contained in Section 5.12 as of the applicable LCT Test Date. On the effective date of any increase in the Revolving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w:t>
      </w:r>
    </w:p>
    <w:p>
      <w:pPr>
        <w:spacing w:after="0" w:line="12" w:lineRule="exact"/>
        <w:rPr>
          <w:sz w:val="20"/>
          <w:szCs w:val="20"/>
          <w:color w:val="auto"/>
        </w:rPr>
      </w:pPr>
    </w:p>
    <w:p>
      <w:pPr>
        <w:jc w:val="both"/>
        <w:ind w:left="60" w:hanging="8"/>
        <w:spacing w:after="0" w:line="226" w:lineRule="auto"/>
        <w:tabs>
          <w:tab w:leader="none" w:pos="644" w:val="left"/>
        </w:tabs>
        <w:numPr>
          <w:ilvl w:val="0"/>
          <w:numId w:val="120"/>
        </w:numPr>
        <w:rPr>
          <w:rFonts w:ascii="Arial" w:cs="Arial" w:eastAsia="Arial" w:hAnsi="Arial"/>
          <w:sz w:val="20"/>
          <w:szCs w:val="20"/>
          <w:color w:val="auto"/>
        </w:rPr>
      </w:pPr>
      <w:r>
        <w:rPr>
          <w:rFonts w:ascii="Arial" w:cs="Arial" w:eastAsia="Arial" w:hAnsi="Arial"/>
          <w:sz w:val="20"/>
          <w:szCs w:val="20"/>
          <w:color w:val="auto"/>
        </w:rPr>
        <w:t xml:space="preserve">except in the case of any Incremental Term Loans, the Borrower shall be deemed to have repaid and reborrowed all outstanding Revolving Loans as of the date of any increase in the Revolving Commitments (with such reborrowing to consist of the Types of Revolving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 pursuant to the provisions of Section 2.16 if the deemed payment occurs other than on the last day of the related Interest Periods. The Incremental Term Loans (a) shall rank pari passu in right of payment with the Revolving Loans and the initial Term Loans, (b) shall not mature earlier than the Maturity Date (but may have amortization prior to such date) and (c) shall be treated substantially the same as (and in any event no more favorably than) the Revolving Loans and the initial Term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Loans and the initial Term Loans. Incremental Term Loans may be made hereunder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1"/>
          <w:szCs w:val="21"/>
          <w:color w:val="auto"/>
        </w:rPr>
        <w:t>88</w:t>
      </w:r>
    </w:p>
    <w:p>
      <w:pPr>
        <w:sectPr>
          <w:pgSz w:w="11900" w:h="16838" w:orient="portrait"/>
          <w:cols w:equalWidth="0" w:num="1">
            <w:col w:w="11040"/>
          </w:cols>
          <w:pgMar w:left="400" w:top="1440" w:right="459" w:bottom="1440" w:gutter="0" w:footer="0" w:header="0"/>
        </w:sectPr>
      </w:pPr>
    </w:p>
    <w:bookmarkStart w:id="178" w:name="page179"/>
    <w:bookmarkEnd w:id="178"/>
    <w:p>
      <w:pPr>
        <w:spacing w:after="0" w:line="193" w:lineRule="exact"/>
        <w:rPr>
          <w:sz w:val="20"/>
          <w:szCs w:val="20"/>
          <w:color w:val="auto"/>
        </w:rPr>
      </w:pPr>
    </w:p>
    <w:p>
      <w:pPr>
        <w:jc w:val="both"/>
        <w:ind w:left="60"/>
        <w:spacing w:after="0" w:line="215" w:lineRule="auto"/>
        <w:rPr>
          <w:sz w:val="20"/>
          <w:szCs w:val="20"/>
          <w:color w:val="auto"/>
        </w:rPr>
      </w:pPr>
      <w:r>
        <w:rPr>
          <w:rFonts w:ascii="Arial" w:cs="Arial" w:eastAsia="Arial" w:hAnsi="Arial"/>
          <w:sz w:val="21"/>
          <w:szCs w:val="21"/>
          <w:color w:val="auto"/>
        </w:rPr>
        <w:t>pursuant to an amendment or restatement (an “</w:t>
      </w:r>
      <w:r>
        <w:rPr>
          <w:rFonts w:ascii="Arial" w:cs="Arial" w:eastAsia="Arial" w:hAnsi="Arial"/>
          <w:sz w:val="21"/>
          <w:szCs w:val="21"/>
          <w:b w:val="1"/>
          <w:bCs w:val="1"/>
          <w:i w:val="1"/>
          <w:iCs w:val="1"/>
          <w:color w:val="auto"/>
        </w:rPr>
        <w:t>Incremental Term Loan Amendment</w:t>
      </w:r>
      <w:r>
        <w:rPr>
          <w:rFonts w:ascii="Arial" w:cs="Arial" w:eastAsia="Arial" w:hAnsi="Arial"/>
          <w:sz w:val="21"/>
          <w:szCs w:val="21"/>
          <w:color w:val="auto"/>
        </w:rPr>
        <w:t>”) of this Agreement and, as appropriate, the other Loan Documents, executed by the Borrower,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2.22. Nothing contained in this Section 2.22 shall constitute, or otherwise be deemed to be, a commitment on the part of any Lender to increase its Revolving Commitment hereunder, or provide Incremental Term Loans, at any time. In connection with any increase of the Revolving Commitments or Incremental Term Loans pursuant to this Section 2.22, any Augmenting Lender becoming a party hereto shall</w:t>
      </w:r>
    </w:p>
    <w:p>
      <w:pPr>
        <w:spacing w:after="0" w:line="1" w:lineRule="exact"/>
        <w:rPr>
          <w:sz w:val="20"/>
          <w:szCs w:val="20"/>
          <w:color w:val="auto"/>
        </w:rPr>
      </w:pPr>
    </w:p>
    <w:p>
      <w:pPr>
        <w:jc w:val="both"/>
        <w:ind w:left="60" w:hanging="8"/>
        <w:spacing w:after="0" w:line="221" w:lineRule="auto"/>
        <w:tabs>
          <w:tab w:leader="none" w:pos="573" w:val="left"/>
        </w:tabs>
        <w:numPr>
          <w:ilvl w:val="0"/>
          <w:numId w:val="121"/>
        </w:numPr>
        <w:rPr>
          <w:rFonts w:ascii="Arial" w:cs="Arial" w:eastAsia="Arial" w:hAnsi="Arial"/>
          <w:sz w:val="21"/>
          <w:szCs w:val="21"/>
          <w:color w:val="auto"/>
        </w:rPr>
      </w:pPr>
      <w:r>
        <w:rPr>
          <w:rFonts w:ascii="Arial" w:cs="Arial" w:eastAsia="Arial" w:hAnsi="Arial"/>
          <w:sz w:val="21"/>
          <w:szCs w:val="21"/>
          <w:color w:val="auto"/>
        </w:rPr>
        <w:t>execute such documents and agreements as the Administrative Agent may reasonably request and (2) in the case of any Augmenting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w:t>
      </w:r>
    </w:p>
    <w:p>
      <w:pPr>
        <w:spacing w:after="0" w:line="184" w:lineRule="exact"/>
        <w:rPr>
          <w:sz w:val="20"/>
          <w:szCs w:val="20"/>
          <w:color w:val="auto"/>
        </w:rPr>
      </w:pPr>
    </w:p>
    <w:p>
      <w:pPr>
        <w:jc w:val="both"/>
        <w:ind w:left="60" w:firstLine="642"/>
        <w:spacing w:after="0" w:line="239" w:lineRule="auto"/>
        <w:rPr>
          <w:sz w:val="20"/>
          <w:szCs w:val="20"/>
          <w:color w:val="auto"/>
        </w:rPr>
      </w:pPr>
      <w:r>
        <w:rPr>
          <w:rFonts w:ascii="Arial" w:cs="Arial" w:eastAsia="Arial" w:hAnsi="Arial"/>
          <w:sz w:val="19"/>
          <w:szCs w:val="19"/>
          <w:color w:val="auto"/>
        </w:rPr>
        <w:t xml:space="preserve">SECTION 2.23. </w:t>
      </w:r>
      <w:r>
        <w:rPr>
          <w:rFonts w:ascii="Arial" w:cs="Arial" w:eastAsia="Arial" w:hAnsi="Arial"/>
          <w:sz w:val="19"/>
          <w:szCs w:val="19"/>
          <w:u w:val="single" w:color="auto"/>
          <w:color w:val="auto"/>
        </w:rPr>
        <w:t>Judgment Currency</w:t>
      </w:r>
      <w:r>
        <w:rPr>
          <w:rFonts w:ascii="Arial" w:cs="Arial" w:eastAsia="Arial" w:hAnsi="Arial"/>
          <w:sz w:val="19"/>
          <w:szCs w:val="19"/>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Arial" w:cs="Arial" w:eastAsia="Arial" w:hAnsi="Arial"/>
          <w:sz w:val="19"/>
          <w:szCs w:val="19"/>
          <w:b w:val="1"/>
          <w:bCs w:val="1"/>
          <w:i w:val="1"/>
          <w:iCs w:val="1"/>
          <w:color w:val="auto"/>
        </w:rPr>
        <w:t>Judgment Currency</w:t>
      </w:r>
      <w:r>
        <w:rPr>
          <w:rFonts w:ascii="Arial" w:cs="Arial" w:eastAsia="Arial" w:hAnsi="Arial"/>
          <w:sz w:val="19"/>
          <w:szCs w:val="19"/>
          <w:color w:val="auto"/>
        </w:rPr>
        <w:t>”) other than that in which such sum is denominated in accordance with the applicable provisions of this Agreement (the “</w:t>
      </w:r>
      <w:r>
        <w:rPr>
          <w:rFonts w:ascii="Arial" w:cs="Arial" w:eastAsia="Arial" w:hAnsi="Arial"/>
          <w:sz w:val="19"/>
          <w:szCs w:val="19"/>
          <w:b w:val="1"/>
          <w:bCs w:val="1"/>
          <w:i w:val="1"/>
          <w:iCs w:val="1"/>
          <w:color w:val="auto"/>
        </w:rPr>
        <w:t>Agreement Currency</w:t>
      </w:r>
      <w:r>
        <w:rPr>
          <w:rFonts w:ascii="Arial" w:cs="Arial" w:eastAsia="Arial" w:hAnsi="Arial"/>
          <w:sz w:val="19"/>
          <w:szCs w:val="19"/>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III</w:t>
      </w:r>
    </w:p>
    <w:p>
      <w:pPr>
        <w:spacing w:after="0" w:line="335" w:lineRule="exact"/>
        <w:rPr>
          <w:sz w:val="20"/>
          <w:szCs w:val="20"/>
          <w:color w:val="auto"/>
        </w:rPr>
      </w:pPr>
    </w:p>
    <w:p>
      <w:pPr>
        <w:ind w:left="700" w:right="2900" w:firstLine="2175"/>
        <w:spacing w:after="0" w:line="484" w:lineRule="auto"/>
        <w:rPr>
          <w:sz w:val="20"/>
          <w:szCs w:val="20"/>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xml:space="preserve"> The Borrower represents and warrants to the Lenders that: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89</w:t>
      </w:r>
    </w:p>
    <w:p>
      <w:pPr>
        <w:sectPr>
          <w:pgSz w:w="11900" w:h="16838" w:orient="portrait"/>
          <w:cols w:equalWidth="0" w:num="1">
            <w:col w:w="11040"/>
          </w:cols>
          <w:pgMar w:left="400" w:top="1440" w:right="459" w:bottom="1440" w:gutter="0" w:footer="0" w:header="0"/>
        </w:sectPr>
      </w:pPr>
    </w:p>
    <w:bookmarkStart w:id="179" w:name="page180"/>
    <w:bookmarkEnd w:id="179"/>
    <w:p>
      <w:pPr>
        <w:spacing w:after="0" w:line="193" w:lineRule="exact"/>
        <w:rPr>
          <w:sz w:val="20"/>
          <w:szCs w:val="20"/>
          <w:color w:val="auto"/>
        </w:rPr>
      </w:pPr>
    </w:p>
    <w:p>
      <w:pPr>
        <w:jc w:val="both"/>
        <w:ind w:left="60" w:firstLine="642"/>
        <w:spacing w:after="0" w:line="218"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Existence, Qualification and Power</w:t>
      </w:r>
      <w:r>
        <w:rPr>
          <w:rFonts w:ascii="Arial" w:cs="Arial" w:eastAsia="Arial" w:hAnsi="Arial"/>
          <w:sz w:val="21"/>
          <w:szCs w:val="21"/>
          <w:color w:val="auto"/>
        </w:rPr>
        <w:t xml:space="preserve">. Each Loan Party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21"/>
          <w:szCs w:val="21"/>
          <w:u w:val="single" w:color="auto"/>
          <w:color w:val="auto"/>
        </w:rPr>
        <w:t>clauses (b)(i)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above, to the extent that failure to do so could not reasonably be expected to have a Material Adverse Effect. The copy of the Organization Documents of each Loan Party provided to the Administrative Agent pursuant to the terms of this Agreement is a true and correct copy of each such document, each of which is valid and in full force and effect.</w:t>
      </w:r>
    </w:p>
    <w:p>
      <w:pPr>
        <w:spacing w:after="0" w:line="193" w:lineRule="exact"/>
        <w:rPr>
          <w:sz w:val="20"/>
          <w:szCs w:val="20"/>
          <w:color w:val="auto"/>
        </w:rPr>
      </w:pPr>
    </w:p>
    <w:p>
      <w:pPr>
        <w:jc w:val="both"/>
        <w:ind w:left="60" w:right="20" w:firstLine="642"/>
        <w:spacing w:after="0" w:line="219"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Authorization; No Contravention</w:t>
      </w:r>
      <w:r>
        <w:rPr>
          <w:rFonts w:ascii="Arial" w:cs="Arial" w:eastAsia="Arial" w:hAnsi="Arial"/>
          <w:sz w:val="21"/>
          <w:szCs w:val="21"/>
          <w:color w:val="auto"/>
        </w:rPr>
        <w:t>. The execution, delivery and performance by each Loan Party of each Loan Document to which such Person is party, have been duly authorized by all necessary corporate or other organizational action, and do not and will not</w:t>
      </w:r>
    </w:p>
    <w:p>
      <w:pPr>
        <w:jc w:val="both"/>
        <w:ind w:left="60" w:hanging="8"/>
        <w:spacing w:after="0" w:line="230" w:lineRule="auto"/>
        <w:tabs>
          <w:tab w:leader="none" w:pos="654"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contravene the terms of any of such Person’s Organization Documents; (b) conflict with or result in any breach or contravention of, or the creation of (or the requirement to create)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applicable Law except in the case of </w:t>
      </w:r>
      <w:r>
        <w:rPr>
          <w:rFonts w:ascii="Arial" w:cs="Arial" w:eastAsia="Arial" w:hAnsi="Arial"/>
          <w:sz w:val="20"/>
          <w:szCs w:val="20"/>
          <w:u w:val="single" w:color="auto"/>
          <w:color w:val="auto"/>
        </w:rPr>
        <w:t>subsections (b)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where such breach, contravention or payment could not reasonably be expected to have a Material Adverse Effect.</w:t>
      </w:r>
    </w:p>
    <w:p>
      <w:pPr>
        <w:spacing w:after="0" w:line="201" w:lineRule="exact"/>
        <w:rPr>
          <w:sz w:val="20"/>
          <w:szCs w:val="20"/>
          <w:color w:val="auto"/>
        </w:rPr>
      </w:pPr>
    </w:p>
    <w:p>
      <w:pPr>
        <w:jc w:val="both"/>
        <w:ind w:left="60" w:firstLine="642"/>
        <w:spacing w:after="0" w:line="226" w:lineRule="auto"/>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u w:val="single" w:color="auto"/>
          <w:color w:val="auto"/>
        </w:rPr>
        <w:t>Governmental Authorization; Other Consents</w:t>
      </w:r>
      <w:r>
        <w:rPr>
          <w:rFonts w:ascii="Arial" w:cs="Arial" w:eastAsia="Arial" w:hAnsi="Arial"/>
          <w:sz w:val="20"/>
          <w:szCs w:val="20"/>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in any case, other than</w:t>
      </w:r>
    </w:p>
    <w:p>
      <w:pPr>
        <w:ind w:left="460" w:hanging="409"/>
        <w:spacing w:after="0" w:line="216" w:lineRule="auto"/>
        <w:tabs>
          <w:tab w:leader="none" w:pos="46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authorizations, approvals, actions, notices and filings which have been duly obtained and</w:t>
      </w:r>
    </w:p>
    <w:p>
      <w:pPr>
        <w:ind w:left="520" w:hanging="469"/>
        <w:spacing w:after="0"/>
        <w:tabs>
          <w:tab w:leader="none" w:pos="52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filings to perfect the Liens created by the Collateral Documents.</w:t>
      </w:r>
    </w:p>
    <w:p>
      <w:pPr>
        <w:spacing w:after="0" w:line="210" w:lineRule="exact"/>
        <w:rPr>
          <w:sz w:val="20"/>
          <w:szCs w:val="20"/>
          <w:color w:val="auto"/>
        </w:rPr>
      </w:pPr>
    </w:p>
    <w:p>
      <w:pPr>
        <w:jc w:val="both"/>
        <w:ind w:left="60" w:firstLine="642"/>
        <w:spacing w:after="0" w:line="222" w:lineRule="auto"/>
        <w:rPr>
          <w:sz w:val="20"/>
          <w:szCs w:val="20"/>
          <w:color w:val="auto"/>
        </w:rPr>
      </w:pPr>
      <w:r>
        <w:rPr>
          <w:rFonts w:ascii="Arial" w:cs="Arial" w:eastAsia="Arial" w:hAnsi="Arial"/>
          <w:sz w:val="21"/>
          <w:szCs w:val="21"/>
          <w:color w:val="auto"/>
        </w:rPr>
        <w:t xml:space="preserve">SECTION 3.04. </w:t>
      </w:r>
      <w:r>
        <w:rPr>
          <w:rFonts w:ascii="Arial" w:cs="Arial" w:eastAsia="Arial" w:hAnsi="Arial"/>
          <w:sz w:val="21"/>
          <w:szCs w:val="21"/>
          <w:u w:val="single" w:color="auto"/>
          <w:color w:val="auto"/>
        </w:rPr>
        <w:t>Binding Effect</w:t>
      </w:r>
      <w:r>
        <w:rPr>
          <w:rFonts w:ascii="Arial" w:cs="Arial" w:eastAsia="Arial" w:hAnsi="Arial"/>
          <w:sz w:val="21"/>
          <w:szCs w:val="21"/>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color w:val="auto"/>
        </w:rPr>
        <w:t>90</w:t>
      </w:r>
    </w:p>
    <w:p>
      <w:pPr>
        <w:sectPr>
          <w:pgSz w:w="11900" w:h="16838" w:orient="portrait"/>
          <w:cols w:equalWidth="0" w:num="1">
            <w:col w:w="11040"/>
          </w:cols>
          <w:pgMar w:left="400" w:top="1440" w:right="459" w:bottom="1440" w:gutter="0" w:footer="0" w:header="0"/>
        </w:sectPr>
      </w:pPr>
    </w:p>
    <w:bookmarkStart w:id="180" w:name="page181"/>
    <w:bookmarkEnd w:id="180"/>
    <w:p>
      <w:pPr>
        <w:spacing w:after="0" w:line="194" w:lineRule="exact"/>
        <w:rPr>
          <w:sz w:val="20"/>
          <w:szCs w:val="20"/>
          <w:color w:val="auto"/>
        </w:rPr>
      </w:pPr>
    </w:p>
    <w:p>
      <w:pPr>
        <w:ind w:left="700"/>
        <w:spacing w:after="0"/>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u w:val="single" w:color="auto"/>
          <w:color w:val="auto"/>
        </w:rPr>
        <w:t>Financial Statements; No Material Adverse Effect; No Internal Control Event</w:t>
      </w:r>
      <w:r>
        <w:rPr>
          <w:rFonts w:ascii="Arial" w:cs="Arial" w:eastAsia="Arial" w:hAnsi="Arial"/>
          <w:sz w:val="21"/>
          <w:szCs w:val="21"/>
          <w:color w:val="auto"/>
        </w:rPr>
        <w:t>.</w:t>
      </w:r>
    </w:p>
    <w:p>
      <w:pPr>
        <w:spacing w:after="0" w:line="214" w:lineRule="exact"/>
        <w:rPr>
          <w:sz w:val="20"/>
          <w:szCs w:val="20"/>
          <w:color w:val="auto"/>
        </w:rPr>
      </w:pPr>
    </w:p>
    <w:p>
      <w:pPr>
        <w:jc w:val="both"/>
        <w:ind w:left="60" w:firstLine="635"/>
        <w:spacing w:after="0" w:line="247" w:lineRule="auto"/>
        <w:tabs>
          <w:tab w:leader="none" w:pos="1163" w:val="left"/>
        </w:tabs>
        <w:numPr>
          <w:ilvl w:val="1"/>
          <w:numId w:val="124"/>
        </w:numPr>
        <w:rPr>
          <w:rFonts w:ascii="Arial" w:cs="Arial" w:eastAsia="Arial" w:hAnsi="Arial"/>
          <w:sz w:val="19"/>
          <w:szCs w:val="19"/>
          <w:color w:val="auto"/>
        </w:rPr>
      </w:pPr>
      <w:r>
        <w:rPr>
          <w:rFonts w:ascii="Arial" w:cs="Arial" w:eastAsia="Arial" w:hAnsi="Arial"/>
          <w:sz w:val="19"/>
          <w:szCs w:val="19"/>
          <w:color w:val="auto"/>
        </w:rPr>
        <w:t>The Audited Financial Statements (i) were prepared in accordance with GAAP consistently applied throughout the period covered thereby, except as otherwise expressly noted therein; (ii) fairly present the Consolidated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on a Consolidated basis as of the date thereof, including liabilities for taxes, material commitments and Indebtedness.</w:t>
      </w:r>
    </w:p>
    <w:p>
      <w:pPr>
        <w:spacing w:after="0" w:line="192" w:lineRule="exact"/>
        <w:rPr>
          <w:rFonts w:ascii="Arial" w:cs="Arial" w:eastAsia="Arial" w:hAnsi="Arial"/>
          <w:sz w:val="19"/>
          <w:szCs w:val="19"/>
          <w:color w:val="auto"/>
        </w:rPr>
      </w:pPr>
    </w:p>
    <w:p>
      <w:pPr>
        <w:jc w:val="both"/>
        <w:ind w:left="60" w:firstLine="635"/>
        <w:spacing w:after="0" w:line="239" w:lineRule="auto"/>
        <w:tabs>
          <w:tab w:leader="none" w:pos="1268" w:val="left"/>
        </w:tabs>
        <w:numPr>
          <w:ilvl w:val="1"/>
          <w:numId w:val="124"/>
        </w:numPr>
        <w:rPr>
          <w:rFonts w:ascii="Arial" w:cs="Arial" w:eastAsia="Arial" w:hAnsi="Arial"/>
          <w:sz w:val="19"/>
          <w:szCs w:val="19"/>
          <w:color w:val="auto"/>
        </w:rPr>
      </w:pPr>
      <w:r>
        <w:rPr>
          <w:rFonts w:ascii="Arial" w:cs="Arial" w:eastAsia="Arial" w:hAnsi="Arial"/>
          <w:sz w:val="19"/>
          <w:szCs w:val="19"/>
          <w:color w:val="auto"/>
        </w:rPr>
        <w:t>The unaudited Consolidated balance sheets of the Borrower and its Subsidiaries dated June 30, 2022,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Consolidated financial condition of the Borrower and its Subsidiaries as of the date thereof and their results of operations for the period covered thereby, subject, in the case of clauses</w:t>
      </w:r>
    </w:p>
    <w:p>
      <w:pPr>
        <w:spacing w:after="0" w:line="2" w:lineRule="exact"/>
        <w:rPr>
          <w:rFonts w:ascii="Arial" w:cs="Arial" w:eastAsia="Arial" w:hAnsi="Arial"/>
          <w:sz w:val="19"/>
          <w:szCs w:val="19"/>
          <w:color w:val="auto"/>
        </w:rPr>
      </w:pPr>
    </w:p>
    <w:p>
      <w:pPr>
        <w:ind w:left="300" w:hanging="248"/>
        <w:spacing w:after="0"/>
        <w:tabs>
          <w:tab w:leader="none" w:pos="30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and (ii), to the absence of footnotes and to normal year-end audit adjustments.</w:t>
      </w:r>
    </w:p>
    <w:p>
      <w:pPr>
        <w:spacing w:after="0" w:line="209" w:lineRule="exact"/>
        <w:rPr>
          <w:rFonts w:ascii="Arial" w:cs="Arial" w:eastAsia="Arial" w:hAnsi="Arial"/>
          <w:sz w:val="21"/>
          <w:szCs w:val="21"/>
          <w:color w:val="auto"/>
        </w:rPr>
      </w:pPr>
    </w:p>
    <w:p>
      <w:pPr>
        <w:jc w:val="both"/>
        <w:ind w:left="60" w:right="20" w:firstLine="635"/>
        <w:spacing w:after="0" w:line="232" w:lineRule="auto"/>
        <w:tabs>
          <w:tab w:leader="none" w:pos="1225" w:val="left"/>
        </w:tabs>
        <w:numPr>
          <w:ilvl w:val="1"/>
          <w:numId w:val="125"/>
        </w:numPr>
        <w:rPr>
          <w:rFonts w:ascii="Arial" w:cs="Arial" w:eastAsia="Arial" w:hAnsi="Arial"/>
          <w:sz w:val="21"/>
          <w:szCs w:val="21"/>
          <w:color w:val="auto"/>
        </w:rPr>
      </w:pPr>
      <w:r>
        <w:rPr>
          <w:rFonts w:ascii="Arial" w:cs="Arial" w:eastAsia="Arial" w:hAnsi="Arial"/>
          <w:sz w:val="21"/>
          <w:szCs w:val="21"/>
          <w:color w:val="auto"/>
        </w:rPr>
        <w:t>Since the date of the Audited Financial Statements and except as disclosed in the quarterly financial statements referenced in Section 5.05(b), there has been no event or circumstance, either individually or in the aggregate, that has had or could reasonably be expected to have a Material Adverse Effect.</w:t>
      </w:r>
    </w:p>
    <w:p>
      <w:pPr>
        <w:spacing w:after="0" w:line="184" w:lineRule="exact"/>
        <w:rPr>
          <w:rFonts w:ascii="Arial" w:cs="Arial" w:eastAsia="Arial" w:hAnsi="Arial"/>
          <w:sz w:val="21"/>
          <w:szCs w:val="21"/>
          <w:color w:val="auto"/>
        </w:rPr>
      </w:pPr>
    </w:p>
    <w:p>
      <w:pPr>
        <w:jc w:val="both"/>
        <w:ind w:left="60" w:firstLine="635"/>
        <w:spacing w:after="0" w:line="224" w:lineRule="auto"/>
        <w:tabs>
          <w:tab w:leader="none" w:pos="1256" w:val="left"/>
        </w:tabs>
        <w:numPr>
          <w:ilvl w:val="1"/>
          <w:numId w:val="125"/>
        </w:numPr>
        <w:rPr>
          <w:rFonts w:ascii="Arial" w:cs="Arial" w:eastAsia="Arial" w:hAnsi="Arial"/>
          <w:sz w:val="21"/>
          <w:szCs w:val="21"/>
          <w:color w:val="auto"/>
        </w:rPr>
      </w:pPr>
      <w:r>
        <w:rPr>
          <w:rFonts w:ascii="Arial" w:cs="Arial" w:eastAsia="Arial" w:hAnsi="Arial"/>
          <w:sz w:val="21"/>
          <w:szCs w:val="21"/>
          <w:color w:val="auto"/>
        </w:rPr>
        <w:t>To the best knowledge of the Borrower, no Internal Control Event exists or has occurred since the date of the Audited Financial Statements that has resulted in or could reasonably be expected to result in a misstatement in any material respect, in any financial information delivered or to be delivered to the Administrative Agent or the Lenders, of (i) covenant compliance calculations provided hereunder or (ii) the assets, liabilities, financial condition or results of operations of the Borrower and its Subsidiaries on a Consolidated basis.</w:t>
      </w:r>
    </w:p>
    <w:p>
      <w:pPr>
        <w:spacing w:after="0" w:line="200" w:lineRule="exact"/>
        <w:rPr>
          <w:rFonts w:ascii="Arial" w:cs="Arial" w:eastAsia="Arial" w:hAnsi="Arial"/>
          <w:sz w:val="21"/>
          <w:szCs w:val="21"/>
          <w:color w:val="auto"/>
        </w:rPr>
      </w:pPr>
    </w:p>
    <w:p>
      <w:pPr>
        <w:jc w:val="both"/>
        <w:ind w:left="60" w:firstLine="635"/>
        <w:spacing w:after="0" w:line="239" w:lineRule="auto"/>
        <w:tabs>
          <w:tab w:leader="none" w:pos="1205"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forecasted balance sheet and statements of income and cash flows of the Borrower and its Subsidiaries on a Consolidated basis delivered pursuant to Section 5.01(c) were prepared in good faith on the basis of the assumptions stated therein, which assumptions were fair in light of the conditions existing at the time of delivery of such forecasts, and represented, at the time of delivery, the Borrower’s best estimate of its future financial condition and performance.</w:t>
      </w:r>
    </w:p>
    <w:p>
      <w:pPr>
        <w:spacing w:after="0" w:line="197" w:lineRule="exact"/>
        <w:rPr>
          <w:sz w:val="20"/>
          <w:szCs w:val="20"/>
          <w:color w:val="auto"/>
        </w:rPr>
      </w:pPr>
    </w:p>
    <w:p>
      <w:pPr>
        <w:jc w:val="both"/>
        <w:ind w:left="60" w:firstLine="642"/>
        <w:spacing w:after="0" w:line="242"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u w:val="single" w:color="auto"/>
          <w:color w:val="auto"/>
        </w:rPr>
        <w:t>Litigation</w:t>
      </w:r>
      <w:r>
        <w:rPr>
          <w:rFonts w:ascii="Arial" w:cs="Arial" w:eastAsia="Arial" w:hAnsi="Arial"/>
          <w:sz w:val="19"/>
          <w:szCs w:val="19"/>
          <w:color w:val="auto"/>
        </w:rPr>
        <w:t>. There are no actions, suits, proceedings, claims or disputes pending or, to the knowledge of the Borrower after due and diligent investigation, threatened or contemplated, at law, in equity, in arbitration or before any Governmental Authority, by or against the Borrower or any of its Subsidiaries or against any of their properties or revenues that</w:t>
      </w:r>
    </w:p>
    <w:p>
      <w:pPr>
        <w:spacing w:after="0" w:line="1" w:lineRule="exact"/>
        <w:rPr>
          <w:sz w:val="20"/>
          <w:szCs w:val="20"/>
          <w:color w:val="auto"/>
        </w:rPr>
      </w:pPr>
    </w:p>
    <w:p>
      <w:pPr>
        <w:jc w:val="both"/>
        <w:ind w:left="60" w:hanging="8"/>
        <w:spacing w:after="0" w:line="226" w:lineRule="auto"/>
        <w:tabs>
          <w:tab w:leader="none" w:pos="358" w:val="left"/>
        </w:tabs>
        <w:numPr>
          <w:ilvl w:val="0"/>
          <w:numId w:val="126"/>
        </w:numPr>
        <w:rPr>
          <w:rFonts w:ascii="Arial" w:cs="Arial" w:eastAsia="Arial" w:hAnsi="Arial"/>
          <w:sz w:val="21"/>
          <w:szCs w:val="21"/>
          <w:color w:val="auto"/>
        </w:rPr>
      </w:pPr>
      <w:r>
        <w:rPr>
          <w:rFonts w:ascii="Arial" w:cs="Arial" w:eastAsia="Arial" w:hAnsi="Arial"/>
          <w:sz w:val="21"/>
          <w:szCs w:val="21"/>
          <w:color w:val="auto"/>
        </w:rPr>
        <w:t>purport to affect or pertain to this Agreement or any other Loan Document, or any of the transactions contemplated hereby, or (b) except as specifically disclosed in Schedule 3.06, either individually or in the aggregate, if determined adversely, could reasonably be expected to have 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91</w:t>
      </w:r>
    </w:p>
    <w:p>
      <w:pPr>
        <w:sectPr>
          <w:pgSz w:w="11900" w:h="16838" w:orient="portrait"/>
          <w:cols w:equalWidth="0" w:num="1">
            <w:col w:w="11040"/>
          </w:cols>
          <w:pgMar w:left="400" w:top="1440" w:right="459" w:bottom="1440" w:gutter="0" w:footer="0" w:header="0"/>
        </w:sectPr>
      </w:pPr>
    </w:p>
    <w:bookmarkStart w:id="181" w:name="page182"/>
    <w:bookmarkEnd w:id="181"/>
    <w:p>
      <w:pPr>
        <w:spacing w:after="0" w:line="194" w:lineRule="exact"/>
        <w:rPr>
          <w:sz w:val="20"/>
          <w:szCs w:val="20"/>
          <w:color w:val="auto"/>
        </w:rPr>
      </w:pPr>
    </w:p>
    <w:p>
      <w:pPr>
        <w:ind w:left="60" w:right="660"/>
        <w:spacing w:after="0" w:line="244" w:lineRule="auto"/>
        <w:rPr>
          <w:sz w:val="20"/>
          <w:szCs w:val="20"/>
          <w:color w:val="auto"/>
        </w:rPr>
      </w:pPr>
      <w:r>
        <w:rPr>
          <w:rFonts w:ascii="Arial" w:cs="Arial" w:eastAsia="Arial" w:hAnsi="Arial"/>
          <w:sz w:val="21"/>
          <w:szCs w:val="21"/>
          <w:color w:val="auto"/>
        </w:rPr>
        <w:t>Material Adverse Effect, and there has been no adverse change in the status, or financial effect on any Loan Party or any Subsidiary thereof, of the matters described on Schedule 3.06.</w:t>
      </w:r>
    </w:p>
    <w:p>
      <w:pPr>
        <w:spacing w:after="0" w:line="179"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 xml:space="preserve">SECTION 3.07. </w:t>
      </w:r>
      <w:r>
        <w:rPr>
          <w:rFonts w:ascii="Arial" w:cs="Arial" w:eastAsia="Arial" w:hAnsi="Arial"/>
          <w:sz w:val="21"/>
          <w:szCs w:val="21"/>
          <w:u w:val="single" w:color="auto"/>
          <w:color w:val="auto"/>
        </w:rPr>
        <w:t>No Default</w:t>
      </w:r>
      <w:r>
        <w:rPr>
          <w:rFonts w:ascii="Arial" w:cs="Arial" w:eastAsia="Arial" w:hAnsi="Arial"/>
          <w:sz w:val="21"/>
          <w:szCs w:val="21"/>
          <w:color w:val="auto"/>
        </w:rPr>
        <w:t>. Neither any Loan Party nor any Subsidiary thereof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99"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 xml:space="preserve">SECTION 3.08. </w:t>
      </w:r>
      <w:r>
        <w:rPr>
          <w:rFonts w:ascii="Arial" w:cs="Arial" w:eastAsia="Arial" w:hAnsi="Arial"/>
          <w:sz w:val="21"/>
          <w:szCs w:val="21"/>
          <w:u w:val="single" w:color="auto"/>
          <w:color w:val="auto"/>
        </w:rPr>
        <w:t>Ownership of Property; Liens</w:t>
      </w:r>
      <w:r>
        <w:rPr>
          <w:rFonts w:ascii="Arial" w:cs="Arial" w:eastAsia="Arial" w:hAnsi="Arial"/>
          <w:sz w:val="21"/>
          <w:szCs w:val="21"/>
          <w:color w:val="auto"/>
        </w:rPr>
        <w:t>. Each of the Borrower and each Subsidiary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the Borrower and its Subsidiaries is subject to no Liens, other than Liens permitted by Section 6.01, including Liens listed on Schedule 6.01.</w:t>
      </w:r>
    </w:p>
    <w:p>
      <w:pPr>
        <w:spacing w:after="0" w:line="187" w:lineRule="exact"/>
        <w:rPr>
          <w:sz w:val="20"/>
          <w:szCs w:val="20"/>
          <w:color w:val="auto"/>
        </w:rPr>
      </w:pPr>
    </w:p>
    <w:p>
      <w:pPr>
        <w:jc w:val="both"/>
        <w:ind w:left="60" w:firstLine="642"/>
        <w:spacing w:after="0" w:line="236" w:lineRule="auto"/>
        <w:rPr>
          <w:sz w:val="20"/>
          <w:szCs w:val="20"/>
          <w:color w:val="auto"/>
        </w:rPr>
      </w:pPr>
      <w:r>
        <w:rPr>
          <w:rFonts w:ascii="Arial" w:cs="Arial" w:eastAsia="Arial" w:hAnsi="Arial"/>
          <w:sz w:val="20"/>
          <w:szCs w:val="20"/>
          <w:color w:val="auto"/>
        </w:rPr>
        <w:t xml:space="preserve">SECTION 3.09. </w:t>
      </w:r>
      <w:r>
        <w:rPr>
          <w:rFonts w:ascii="Arial" w:cs="Arial" w:eastAsia="Arial" w:hAnsi="Arial"/>
          <w:sz w:val="20"/>
          <w:szCs w:val="20"/>
          <w:u w:val="single" w:color="auto"/>
          <w:color w:val="auto"/>
        </w:rPr>
        <w:t>Environmental Compliance</w:t>
      </w:r>
      <w:r>
        <w:rPr>
          <w:rFonts w:ascii="Arial" w:cs="Arial" w:eastAsia="Arial" w:hAnsi="Arial"/>
          <w:sz w:val="20"/>
          <w:szCs w:val="20"/>
          <w:color w:val="auto"/>
        </w:rPr>
        <w:t>. The Borrower and its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 concluded that, except as specifically disclosed in Schedule 3.09, such Environmental Laws and claims could not, individually or in the aggregate, reasonably be expected to have a Material Adverse Effect.</w:t>
      </w:r>
    </w:p>
    <w:p>
      <w:pPr>
        <w:spacing w:after="0" w:line="183" w:lineRule="exact"/>
        <w:rPr>
          <w:sz w:val="20"/>
          <w:szCs w:val="20"/>
          <w:color w:val="auto"/>
        </w:rPr>
      </w:pPr>
    </w:p>
    <w:p>
      <w:pPr>
        <w:jc w:val="both"/>
        <w:ind w:left="60" w:firstLine="642"/>
        <w:spacing w:after="0"/>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Insurance</w:t>
      </w:r>
      <w:r>
        <w:rPr>
          <w:rFonts w:ascii="Arial" w:cs="Arial" w:eastAsia="Arial" w:hAnsi="Arial"/>
          <w:sz w:val="19"/>
          <w:szCs w:val="19"/>
          <w:color w:val="auto"/>
        </w:rPr>
        <w:t>. The properties of the Borrower and its Subsidiaries are insured with financially sound and reputable insurance companies not Affiliates of Borrower, in such amounts (after giving effect to any self-insurance compatible with the following standards), with such deductibles and covering such risks as the Borrower reasonably believes appropriate. All insurance with respect to the Collateral shall (a) contain a breach of warranty clause in favor of the Administrative Agent,</w:t>
      </w:r>
    </w:p>
    <w:p>
      <w:pPr>
        <w:spacing w:after="0" w:line="2" w:lineRule="exact"/>
        <w:rPr>
          <w:sz w:val="20"/>
          <w:szCs w:val="20"/>
          <w:color w:val="auto"/>
        </w:rPr>
      </w:pPr>
    </w:p>
    <w:p>
      <w:pPr>
        <w:jc w:val="both"/>
        <w:ind w:left="60" w:hanging="8"/>
        <w:spacing w:after="0" w:line="226" w:lineRule="auto"/>
        <w:tabs>
          <w:tab w:leader="none" w:pos="367" w:val="left"/>
        </w:tabs>
        <w:numPr>
          <w:ilvl w:val="0"/>
          <w:numId w:val="127"/>
        </w:numPr>
        <w:rPr>
          <w:rFonts w:ascii="Arial" w:cs="Arial" w:eastAsia="Arial" w:hAnsi="Arial"/>
          <w:sz w:val="21"/>
          <w:szCs w:val="21"/>
          <w:color w:val="auto"/>
        </w:rPr>
      </w:pPr>
      <w:r>
        <w:rPr>
          <w:rFonts w:ascii="Arial" w:cs="Arial" w:eastAsia="Arial" w:hAnsi="Arial"/>
          <w:sz w:val="21"/>
          <w:szCs w:val="21"/>
          <w:color w:val="auto"/>
        </w:rPr>
        <w:t>provide that no cancellation, reduction in amount or change in coverage thereof shall be effective until at least ten (10) days after receipt by the Administrative Agent of written notice thereof (thirty (30) days for nonpayment of premium) and (c) be reasonably satisfactory in all material respects to the Administrative Agent.</w:t>
      </w:r>
    </w:p>
    <w:p>
      <w:pPr>
        <w:spacing w:after="0" w:line="198" w:lineRule="exact"/>
        <w:rPr>
          <w:sz w:val="20"/>
          <w:szCs w:val="20"/>
          <w:color w:val="auto"/>
        </w:rPr>
      </w:pPr>
    </w:p>
    <w:p>
      <w:pPr>
        <w:jc w:val="both"/>
        <w:ind w:left="60" w:firstLine="642"/>
        <w:spacing w:after="0" w:line="221" w:lineRule="auto"/>
        <w:rPr>
          <w:sz w:val="20"/>
          <w:szCs w:val="20"/>
          <w:color w:val="auto"/>
        </w:rPr>
      </w:pPr>
      <w:r>
        <w:rPr>
          <w:rFonts w:ascii="Arial" w:cs="Arial" w:eastAsia="Arial" w:hAnsi="Arial"/>
          <w:sz w:val="21"/>
          <w:szCs w:val="21"/>
          <w:color w:val="auto"/>
        </w:rPr>
        <w:t xml:space="preserve">SECTION 3.11. </w:t>
      </w:r>
      <w:r>
        <w:rPr>
          <w:rFonts w:ascii="Arial" w:cs="Arial" w:eastAsia="Arial" w:hAnsi="Arial"/>
          <w:sz w:val="21"/>
          <w:szCs w:val="21"/>
          <w:u w:val="single" w:color="auto"/>
          <w:color w:val="auto"/>
        </w:rPr>
        <w:t>Taxes</w:t>
      </w:r>
      <w:r>
        <w:rPr>
          <w:rFonts w:ascii="Arial" w:cs="Arial" w:eastAsia="Arial" w:hAnsi="Arial"/>
          <w:sz w:val="21"/>
          <w:szCs w:val="21"/>
          <w:color w:val="auto"/>
        </w:rPr>
        <w:t>. The Borrower and its Subsidiaries have filed all foreign and domestic Federal, state and other material tax returns and reports required to be filed, and have paid all foreign and domestic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Borrower or any Subsidiary that would, if made, have a Material Adverse Effect, nor is there any tax sharing agreement applicable to the Borrower or any Subsidiary.</w:t>
      </w:r>
    </w:p>
    <w:p>
      <w:pPr>
        <w:spacing w:after="0" w:line="200"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3.12.</w:t>
      </w:r>
      <w:r>
        <w:rPr>
          <w:sz w:val="20"/>
          <w:szCs w:val="20"/>
          <w:color w:val="auto"/>
        </w:rPr>
        <w:tab/>
      </w:r>
      <w:r>
        <w:rPr>
          <w:rFonts w:ascii="Arial" w:cs="Arial" w:eastAsia="Arial" w:hAnsi="Arial"/>
          <w:sz w:val="19"/>
          <w:szCs w:val="19"/>
          <w:u w:val="single" w:color="auto"/>
          <w:color w:val="auto"/>
        </w:rPr>
        <w:t>ERISA Compliance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92</w:t>
      </w:r>
    </w:p>
    <w:p>
      <w:pPr>
        <w:sectPr>
          <w:pgSz w:w="11900" w:h="16838" w:orient="portrait"/>
          <w:cols w:equalWidth="0" w:num="1">
            <w:col w:w="11040"/>
          </w:cols>
          <w:pgMar w:left="400" w:top="1440" w:right="459" w:bottom="1440" w:gutter="0" w:footer="0" w:header="0"/>
        </w:sectPr>
      </w:pPr>
    </w:p>
    <w:bookmarkStart w:id="182" w:name="page183"/>
    <w:bookmarkEnd w:id="182"/>
    <w:p>
      <w:pPr>
        <w:spacing w:after="0" w:line="193" w:lineRule="exact"/>
        <w:rPr>
          <w:sz w:val="20"/>
          <w:szCs w:val="20"/>
          <w:color w:val="auto"/>
        </w:rPr>
      </w:pPr>
    </w:p>
    <w:p>
      <w:pPr>
        <w:jc w:val="both"/>
        <w:ind w:left="60" w:right="120" w:firstLine="635"/>
        <w:spacing w:after="0" w:line="232" w:lineRule="auto"/>
        <w:tabs>
          <w:tab w:leader="none" w:pos="124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 xml:space="preserve">Each Plan is in compliance with the applicable provisions of ERISA, the Code and other Federal or state laws </w:t>
      </w:r>
      <w:r>
        <w:rPr>
          <w:rFonts w:ascii="Arial" w:cs="Arial" w:eastAsia="Arial" w:hAnsi="Arial"/>
          <w:sz w:val="20"/>
          <w:szCs w:val="20"/>
          <w:color w:val="181818"/>
        </w:rPr>
        <w:t>except for any failure to comply which, either individually or in the aggregate, could not reasonably be expected to result in a Material Adverse Effect</w:t>
      </w:r>
      <w:r>
        <w:rPr>
          <w:rFonts w:ascii="Arial" w:cs="Arial" w:eastAsia="Arial" w:hAnsi="Arial"/>
          <w:sz w:val="20"/>
          <w:szCs w:val="20"/>
          <w:color w:val="000000"/>
        </w:rPr>
        <w:t>. Each Pension Plan that is intended to be a qualified plan under Section 401(a) of the Code has</w:t>
      </w:r>
      <w:r>
        <w:rPr>
          <w:rFonts w:ascii="Arial" w:cs="Arial" w:eastAsia="Arial" w:hAnsi="Arial"/>
          <w:sz w:val="20"/>
          <w:szCs w:val="20"/>
          <w:color w:val="181818"/>
        </w:rPr>
        <w:t xml:space="preserve"> </w:t>
      </w:r>
      <w:r>
        <w:rPr>
          <w:rFonts w:ascii="Arial" w:cs="Arial" w:eastAsia="Arial" w:hAnsi="Arial"/>
          <w:sz w:val="20"/>
          <w:szCs w:val="20"/>
          <w:color w:val="000000"/>
        </w:rPr>
        <w:t>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Borrower, nothing has occurred that would prevent or cause the loss of such tax-qualified status.</w:t>
      </w:r>
    </w:p>
    <w:p>
      <w:pPr>
        <w:spacing w:after="0" w:line="186" w:lineRule="exact"/>
        <w:rPr>
          <w:rFonts w:ascii="Arial" w:cs="Arial" w:eastAsia="Arial" w:hAnsi="Arial"/>
          <w:sz w:val="20"/>
          <w:szCs w:val="20"/>
          <w:color w:val="auto"/>
        </w:rPr>
      </w:pPr>
    </w:p>
    <w:p>
      <w:pPr>
        <w:jc w:val="both"/>
        <w:ind w:left="60" w:firstLine="635"/>
        <w:spacing w:after="0" w:line="227" w:lineRule="auto"/>
        <w:tabs>
          <w:tab w:leader="none" w:pos="118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5" w:lineRule="exact"/>
        <w:rPr>
          <w:rFonts w:ascii="Arial" w:cs="Arial" w:eastAsia="Arial" w:hAnsi="Arial"/>
          <w:sz w:val="21"/>
          <w:szCs w:val="21"/>
          <w:color w:val="auto"/>
        </w:rPr>
      </w:pPr>
    </w:p>
    <w:p>
      <w:pPr>
        <w:jc w:val="both"/>
        <w:ind w:left="60" w:right="120" w:firstLine="635"/>
        <w:spacing w:after="0" w:line="228" w:lineRule="auto"/>
        <w:tabs>
          <w:tab w:leader="none" w:pos="1171" w:val="left"/>
        </w:tabs>
        <w:numPr>
          <w:ilvl w:val="0"/>
          <w:numId w:val="128"/>
        </w:numPr>
        <w:rPr>
          <w:rFonts w:ascii="Arial" w:cs="Arial" w:eastAsia="Arial" w:hAnsi="Arial"/>
          <w:sz w:val="20"/>
          <w:szCs w:val="20"/>
          <w:color w:val="auto"/>
        </w:rPr>
      </w:pPr>
      <w:r>
        <w:rPr>
          <w:rFonts w:ascii="Arial" w:cs="Arial" w:eastAsia="Arial" w:hAnsi="Arial"/>
          <w:sz w:val="20"/>
          <w:szCs w:val="20"/>
          <w:color w:val="auto"/>
        </w:rPr>
        <w:t>Except as set forth and described on Schedule 3.12(c) attached hereto and made a part hereof, (i)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in respect of any Pension Plan; (iii)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98" w:lineRule="exact"/>
        <w:rPr>
          <w:rFonts w:ascii="Arial" w:cs="Arial" w:eastAsia="Arial" w:hAnsi="Arial"/>
          <w:sz w:val="20"/>
          <w:szCs w:val="20"/>
          <w:color w:val="auto"/>
        </w:rPr>
      </w:pPr>
    </w:p>
    <w:p>
      <w:pPr>
        <w:jc w:val="both"/>
        <w:ind w:left="60" w:right="120" w:firstLine="635"/>
        <w:spacing w:after="0" w:line="224" w:lineRule="auto"/>
        <w:tabs>
          <w:tab w:leader="none" w:pos="1253" w:val="left"/>
        </w:tabs>
        <w:numPr>
          <w:ilvl w:val="0"/>
          <w:numId w:val="128"/>
        </w:numPr>
        <w:rPr>
          <w:rFonts w:ascii="Arial" w:cs="Arial" w:eastAsia="Arial" w:hAnsi="Arial"/>
          <w:sz w:val="21"/>
          <w:szCs w:val="21"/>
          <w:color w:val="auto"/>
        </w:rPr>
      </w:pPr>
      <w:r>
        <w:rPr>
          <w:rFonts w:ascii="Arial" w:cs="Arial" w:eastAsia="Arial" w:hAnsi="Arial"/>
          <w:sz w:val="21"/>
          <w:szCs w:val="21"/>
          <w:color w:val="auto"/>
        </w:rPr>
        <w:t>Neither the Borrower nor any ERISA Affiliate maintains or contributes to, or has any unsatisfied obligation to contribute to, or liability under, any active or terminated Pension Plan other than those listed on Schedule 3.12(d) attached hereto, and neither the execution, delivery nor performance of the Transactions, including the making of any Loan and the issuance of any Letter of Credit hereunder, will give rise to a non-exempt prohibited transaction under Section 406 of ERISA or Section 4975 of the Code.</w:t>
      </w:r>
    </w:p>
    <w:p>
      <w:pPr>
        <w:spacing w:after="0" w:line="200" w:lineRule="exact"/>
        <w:rPr>
          <w:rFonts w:ascii="Arial" w:cs="Arial" w:eastAsia="Arial" w:hAnsi="Arial"/>
          <w:sz w:val="21"/>
          <w:szCs w:val="21"/>
          <w:color w:val="auto"/>
        </w:rPr>
      </w:pPr>
    </w:p>
    <w:p>
      <w:pPr>
        <w:jc w:val="both"/>
        <w:ind w:left="60" w:right="140" w:firstLine="635"/>
        <w:spacing w:after="0" w:line="232" w:lineRule="auto"/>
        <w:tabs>
          <w:tab w:leader="none" w:pos="1165"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Borrower is not and will not be using “plan assets” (within the meaning of 29 CFR § 2510.3-101, as modified by Section 3(42) of ERISA) of one or more Benefit Plans in connection with the Loans, the Letters of Credit or the Commitments.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93</w:t>
      </w:r>
    </w:p>
    <w:p>
      <w:pPr>
        <w:sectPr>
          <w:pgSz w:w="11900" w:h="16838" w:orient="portrait"/>
          <w:cols w:equalWidth="0" w:num="1">
            <w:col w:w="11160"/>
          </w:cols>
          <w:pgMar w:left="400" w:top="1440" w:right="339" w:bottom="1440" w:gutter="0" w:footer="0" w:header="0"/>
        </w:sectPr>
      </w:pPr>
    </w:p>
    <w:bookmarkStart w:id="183" w:name="page184"/>
    <w:bookmarkEnd w:id="183"/>
    <w:p>
      <w:pPr>
        <w:spacing w:after="0" w:line="193"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 xml:space="preserve">SECTION 3.13. </w:t>
      </w:r>
      <w:r>
        <w:rPr>
          <w:rFonts w:ascii="Arial" w:cs="Arial" w:eastAsia="Arial" w:hAnsi="Arial"/>
          <w:sz w:val="21"/>
          <w:szCs w:val="21"/>
          <w:u w:val="single" w:color="auto"/>
          <w:color w:val="auto"/>
        </w:rPr>
        <w:t>Subsidiaries; Equity Interests</w:t>
      </w:r>
      <w:r>
        <w:rPr>
          <w:rFonts w:ascii="Arial" w:cs="Arial" w:eastAsia="Arial" w:hAnsi="Arial"/>
          <w:sz w:val="21"/>
          <w:szCs w:val="21"/>
          <w:color w:val="auto"/>
        </w:rPr>
        <w:t>. As of the Effective Date, the Borrower has no Subsidiaries other than those specifically disclosed in Part (a) of Schedule 3.13, and the outstanding Equity Interests in such Subsidiaries have been validly issued, are fully paid and nonassessable and are owned by a Loan Party in the amounts specified on Part (a) of Schedule 3.13 free and clear of all Liens. Borrower has no equity investments in any other corporation or entity other than those specifically disclosed in Part (b) of Schedule 3.13.</w:t>
      </w:r>
    </w:p>
    <w:p>
      <w:pPr>
        <w:spacing w:after="0" w:line="187"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3.14.</w:t>
      </w:r>
      <w:r>
        <w:rPr>
          <w:sz w:val="20"/>
          <w:szCs w:val="20"/>
          <w:color w:val="auto"/>
        </w:rPr>
        <w:tab/>
      </w:r>
      <w:r>
        <w:rPr>
          <w:rFonts w:ascii="Arial" w:cs="Arial" w:eastAsia="Arial" w:hAnsi="Arial"/>
          <w:sz w:val="19"/>
          <w:szCs w:val="19"/>
          <w:u w:val="single" w:color="auto"/>
          <w:color w:val="auto"/>
        </w:rPr>
        <w:t>Margin Regulations; Investment Company Act</w:t>
      </w:r>
      <w:r>
        <w:rPr>
          <w:rFonts w:ascii="Arial" w:cs="Arial" w:eastAsia="Arial" w:hAnsi="Arial"/>
          <w:sz w:val="19"/>
          <w:szCs w:val="19"/>
          <w:color w:val="auto"/>
        </w:rPr>
        <w:t>.</w:t>
      </w:r>
    </w:p>
    <w:p>
      <w:pPr>
        <w:spacing w:after="0" w:line="228" w:lineRule="exact"/>
        <w:rPr>
          <w:sz w:val="20"/>
          <w:szCs w:val="20"/>
          <w:color w:val="auto"/>
        </w:rPr>
      </w:pPr>
    </w:p>
    <w:p>
      <w:pPr>
        <w:jc w:val="both"/>
        <w:ind w:left="60" w:firstLine="635"/>
        <w:spacing w:after="0" w:line="236" w:lineRule="auto"/>
        <w:tabs>
          <w:tab w:leader="none" w:pos="1157" w:val="left"/>
        </w:tabs>
        <w:numPr>
          <w:ilvl w:val="0"/>
          <w:numId w:val="129"/>
        </w:numPr>
        <w:rPr>
          <w:rFonts w:ascii="Arial" w:cs="Arial" w:eastAsia="Arial" w:hAnsi="Arial"/>
          <w:sz w:val="20"/>
          <w:szCs w:val="20"/>
          <w:color w:val="auto"/>
        </w:rPr>
      </w:pPr>
      <w:r>
        <w:rPr>
          <w:rFonts w:ascii="Arial" w:cs="Arial" w:eastAsia="Arial" w:hAnsi="Arial"/>
          <w:sz w:val="20"/>
          <w:szCs w:val="20"/>
          <w:color w:val="auto"/>
        </w:rPr>
        <w:t>Neither the Borrower nor any Subsidiary is engaged or will engage, principally or as one of its important activities, in the business of purchasing or carrying margin stock (within the meaning of Regulation U issued by the Federal Reserve Board), or extending credit for the purpose of purchasing or carrying margin stock. Following the application of the proceeds of each Borrowing or drawing under each Letter of Credit, not more than 25% of the value of the assets (either of Borrower individually or of the Borrower and its Subsidiaries on a Consolidated basis) are or will be margin stock.</w:t>
      </w:r>
    </w:p>
    <w:p>
      <w:pPr>
        <w:spacing w:after="0" w:line="182" w:lineRule="exact"/>
        <w:rPr>
          <w:rFonts w:ascii="Arial" w:cs="Arial" w:eastAsia="Arial" w:hAnsi="Arial"/>
          <w:sz w:val="20"/>
          <w:szCs w:val="20"/>
          <w:color w:val="auto"/>
        </w:rPr>
      </w:pPr>
    </w:p>
    <w:p>
      <w:pPr>
        <w:ind w:left="60" w:firstLine="635"/>
        <w:spacing w:after="0" w:line="244" w:lineRule="auto"/>
        <w:tabs>
          <w:tab w:leader="none" w:pos="1183" w:val="left"/>
        </w:tabs>
        <w:numPr>
          <w:ilvl w:val="0"/>
          <w:numId w:val="129"/>
        </w:numPr>
        <w:rPr>
          <w:rFonts w:ascii="Arial" w:cs="Arial" w:eastAsia="Arial" w:hAnsi="Arial"/>
          <w:sz w:val="21"/>
          <w:szCs w:val="21"/>
          <w:color w:val="auto"/>
        </w:rPr>
      </w:pPr>
      <w:r>
        <w:rPr>
          <w:rFonts w:ascii="Arial" w:cs="Arial" w:eastAsia="Arial" w:hAnsi="Arial"/>
          <w:sz w:val="21"/>
          <w:szCs w:val="21"/>
          <w:color w:val="auto"/>
        </w:rPr>
        <w:t>None of the Borrower, any Person Controlling the Borrower, or any Subsidiary is or is required to be registered as an “investment company” under the Investment Company Act of 1940.</w:t>
      </w:r>
    </w:p>
    <w:p>
      <w:pPr>
        <w:spacing w:after="0" w:line="260" w:lineRule="exact"/>
        <w:rPr>
          <w:sz w:val="20"/>
          <w:szCs w:val="20"/>
          <w:color w:val="auto"/>
        </w:rPr>
      </w:pPr>
    </w:p>
    <w:p>
      <w:pPr>
        <w:jc w:val="both"/>
        <w:ind w:left="60" w:firstLine="642"/>
        <w:spacing w:after="0" w:line="229" w:lineRule="auto"/>
        <w:rPr>
          <w:sz w:val="20"/>
          <w:szCs w:val="20"/>
          <w:color w:val="auto"/>
        </w:rPr>
      </w:pPr>
      <w:r>
        <w:rPr>
          <w:rFonts w:ascii="Arial" w:cs="Arial" w:eastAsia="Arial" w:hAnsi="Arial"/>
          <w:sz w:val="20"/>
          <w:szCs w:val="20"/>
          <w:color w:val="auto"/>
        </w:rPr>
        <w:t xml:space="preserve">SECTION 3.15. </w:t>
      </w:r>
      <w:r>
        <w:rPr>
          <w:rFonts w:ascii="Arial" w:cs="Arial" w:eastAsia="Arial" w:hAnsi="Arial"/>
          <w:sz w:val="20"/>
          <w:szCs w:val="20"/>
          <w:u w:val="single" w:color="auto"/>
          <w:color w:val="auto"/>
        </w:rPr>
        <w:t>Disclosure</w:t>
      </w:r>
      <w:r>
        <w:rPr>
          <w:rFonts w:ascii="Arial" w:cs="Arial" w:eastAsia="Arial" w:hAnsi="Arial"/>
          <w:sz w:val="20"/>
          <w:szCs w:val="20"/>
          <w:color w:val="auto"/>
        </w:rPr>
        <w:t xml:space="preserve">. The Borrower has disclosed to the Administrative Agent and the Lenders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20"/>
          <w:szCs w:val="20"/>
          <w:u w:val="single" w:color="auto"/>
          <w:color w:val="auto"/>
        </w:rPr>
        <w:t>provided that</w:t>
      </w:r>
      <w:r>
        <w:rPr>
          <w:rFonts w:ascii="Arial" w:cs="Arial" w:eastAsia="Arial" w:hAnsi="Arial"/>
          <w:sz w:val="20"/>
          <w:szCs w:val="20"/>
          <w:color w:val="auto"/>
        </w:rPr>
        <w:t>, with respect to projected financial information, the Borrower represents only that such information was prepared in good faith based upon assumptions believed to be reasonable at the time. The information included in the Beneficial Ownership Certification most recently provided to each Lender, if applicable, is true and correct in all respects.</w:t>
      </w:r>
    </w:p>
    <w:p>
      <w:pPr>
        <w:spacing w:after="0" w:line="200" w:lineRule="exact"/>
        <w:rPr>
          <w:sz w:val="20"/>
          <w:szCs w:val="20"/>
          <w:color w:val="auto"/>
        </w:rPr>
      </w:pPr>
    </w:p>
    <w:p>
      <w:pPr>
        <w:jc w:val="both"/>
        <w:ind w:left="60" w:firstLine="642"/>
        <w:spacing w:after="0" w:line="219" w:lineRule="auto"/>
        <w:rPr>
          <w:sz w:val="20"/>
          <w:szCs w:val="20"/>
          <w:color w:val="auto"/>
        </w:rPr>
      </w:pPr>
      <w:r>
        <w:rPr>
          <w:rFonts w:ascii="Arial" w:cs="Arial" w:eastAsia="Arial" w:hAnsi="Arial"/>
          <w:sz w:val="21"/>
          <w:szCs w:val="21"/>
          <w:color w:val="auto"/>
        </w:rPr>
        <w:t xml:space="preserve">SECTION 3.16.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Each Loan Party and each Subsidiary thereof is in compliance in all material respects with the requirements of all Laws and all orders, writs, injunctions and decrees applicable to it or to its properties, except in such instances in which</w:t>
      </w:r>
    </w:p>
    <w:p>
      <w:pPr>
        <w:jc w:val="both"/>
        <w:ind w:left="60" w:right="20" w:hanging="8"/>
        <w:spacing w:after="0" w:line="226" w:lineRule="auto"/>
        <w:tabs>
          <w:tab w:leader="none" w:pos="373" w:val="left"/>
        </w:tabs>
        <w:numPr>
          <w:ilvl w:val="0"/>
          <w:numId w:val="130"/>
        </w:numPr>
        <w:rPr>
          <w:rFonts w:ascii="Arial" w:cs="Arial" w:eastAsia="Arial" w:hAnsi="Arial"/>
          <w:sz w:val="21"/>
          <w:szCs w:val="21"/>
          <w:color w:val="auto"/>
        </w:rPr>
      </w:pPr>
      <w:r>
        <w:rPr>
          <w:rFonts w:ascii="Arial" w:cs="Arial" w:eastAsia="Arial" w:hAnsi="Arial"/>
          <w:sz w:val="21"/>
          <w:szCs w:val="21"/>
          <w:color w:val="auto"/>
        </w:rPr>
        <w:t>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265" w:lineRule="exact"/>
        <w:rPr>
          <w:sz w:val="20"/>
          <w:szCs w:val="20"/>
          <w:color w:val="auto"/>
        </w:rPr>
      </w:pPr>
    </w:p>
    <w:p>
      <w:pPr>
        <w:ind w:left="60" w:right="3120" w:firstLine="644"/>
        <w:spacing w:after="0" w:line="244" w:lineRule="auto"/>
        <w:rPr>
          <w:sz w:val="20"/>
          <w:szCs w:val="20"/>
          <w:color w:val="auto"/>
        </w:rPr>
      </w:pPr>
      <w:r>
        <w:rPr>
          <w:rFonts w:ascii="Arial" w:cs="Arial" w:eastAsia="Arial" w:hAnsi="Arial"/>
          <w:sz w:val="21"/>
          <w:szCs w:val="21"/>
          <w:color w:val="auto"/>
        </w:rPr>
        <w:t xml:space="preserve">SECTION 3.17. </w:t>
      </w:r>
      <w:r>
        <w:rPr>
          <w:rFonts w:ascii="Arial" w:cs="Arial" w:eastAsia="Arial" w:hAnsi="Arial"/>
          <w:sz w:val="21"/>
          <w:szCs w:val="21"/>
          <w:u w:val="single" w:color="auto"/>
          <w:color w:val="auto"/>
        </w:rPr>
        <w:t>Taxpayer Identification Number</w:t>
      </w:r>
      <w:r>
        <w:rPr>
          <w:rFonts w:ascii="Arial" w:cs="Arial" w:eastAsia="Arial" w:hAnsi="Arial"/>
          <w:sz w:val="21"/>
          <w:szCs w:val="21"/>
          <w:color w:val="auto"/>
        </w:rPr>
        <w:t>. The Borrower’s true and correct U.S. taxpayer identification number is set forth is set forth in Section 9.01.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color w:val="auto"/>
        </w:rPr>
        <w:t>94</w:t>
      </w:r>
    </w:p>
    <w:p>
      <w:pPr>
        <w:sectPr>
          <w:pgSz w:w="11900" w:h="16838" w:orient="portrait"/>
          <w:cols w:equalWidth="0" w:num="1">
            <w:col w:w="11040"/>
          </w:cols>
          <w:pgMar w:left="400" w:top="1440" w:right="459" w:bottom="1440" w:gutter="0" w:footer="0" w:header="0"/>
        </w:sectPr>
      </w:pPr>
    </w:p>
    <w:bookmarkStart w:id="184" w:name="page185"/>
    <w:bookmarkEnd w:id="184"/>
    <w:p>
      <w:pPr>
        <w:spacing w:after="0" w:line="194" w:lineRule="exact"/>
        <w:rPr>
          <w:sz w:val="20"/>
          <w:szCs w:val="20"/>
          <w:color w:val="auto"/>
        </w:rPr>
      </w:pPr>
    </w:p>
    <w:p>
      <w:pPr>
        <w:jc w:val="both"/>
        <w:ind w:left="60" w:firstLine="642"/>
        <w:spacing w:after="0" w:line="231" w:lineRule="auto"/>
        <w:rPr>
          <w:sz w:val="20"/>
          <w:szCs w:val="20"/>
          <w:color w:val="auto"/>
        </w:rPr>
      </w:pPr>
      <w:r>
        <w:rPr>
          <w:rFonts w:ascii="Arial" w:cs="Arial" w:eastAsia="Arial" w:hAnsi="Arial"/>
          <w:sz w:val="20"/>
          <w:szCs w:val="20"/>
          <w:color w:val="auto"/>
        </w:rPr>
        <w:t xml:space="preserve">SECTION 3.18. </w:t>
      </w:r>
      <w:r>
        <w:rPr>
          <w:rFonts w:ascii="Arial" w:cs="Arial" w:eastAsia="Arial" w:hAnsi="Arial"/>
          <w:sz w:val="20"/>
          <w:szCs w:val="20"/>
          <w:u w:val="single" w:color="auto"/>
          <w:color w:val="auto"/>
        </w:rPr>
        <w:t>Intellectual Property; Licenses, Etc</w:t>
      </w:r>
      <w:r>
        <w:rPr>
          <w:rFonts w:ascii="Arial" w:cs="Arial" w:eastAsia="Arial" w:hAnsi="Arial"/>
          <w:sz w:val="20"/>
          <w:szCs w:val="20"/>
          <w:color w:val="auto"/>
        </w:rPr>
        <w:t>. The Borrower and its Subsidiaries own, or possess the right to use, all of the trademarks, service marks, trade names, copyrights, patents, patent rights, franchises, licenses and other intellectual property rights that are reasonably necessary for the operation of their respective businesses, without conflict with the rights of any other Person. To the best knowledge of the Borrower, no trademark, service mark, copyright, patent, slogan or other advertising device, product, process, method, substance, part or other material now employed, or now contemplated to be employed, by the Borrower or any Subsidiary infringes upon any rights held by any other Person. No claim or litigation regarding any of the foregoing is pending or, to the best knowledge of Borrower, threatened, which, either individually or in the aggregate, could reasonably be expected to have a Material Adverse Effect.</w:t>
      </w:r>
    </w:p>
    <w:p>
      <w:pPr>
        <w:spacing w:after="0" w:line="186"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0"/>
          <w:szCs w:val="20"/>
          <w:color w:val="auto"/>
        </w:rPr>
        <w:t xml:space="preserve">SECTION 3.19. </w:t>
      </w:r>
      <w:r>
        <w:rPr>
          <w:rFonts w:ascii="Arial" w:cs="Arial" w:eastAsia="Arial" w:hAnsi="Arial"/>
          <w:sz w:val="20"/>
          <w:szCs w:val="20"/>
          <w:u w:val="single" w:color="auto"/>
          <w:color w:val="auto"/>
        </w:rPr>
        <w:t>Rights in Collateral; Priority of Liens</w:t>
      </w:r>
      <w:r>
        <w:rPr>
          <w:rFonts w:ascii="Arial" w:cs="Arial" w:eastAsia="Arial" w:hAnsi="Arial"/>
          <w:sz w:val="20"/>
          <w:szCs w:val="20"/>
          <w:color w:val="auto"/>
        </w:rPr>
        <w:t>. The Borrower and each other Loan Party own the property granted by it as Collateral under the Collateral Documents, free and clear of any and all Liens in favor of third parties, other than Liens permitted under Section 6.01, including Liens set forth on Schedule 6.01. Upon the proper filing of UCC financing statements and copyright, trademark and patent assignment notices, the Liens granted pursuant to the Collateral Documents will constitute valid and enforceable first, prior and perfected Liens in favor of the Administrative Agent, for the ratable benefit of the Secured Parties on all collateral on which a lien may be perfected by the filing of such UCC financing statements and copyright, trademark and patent assignment notices, subject only to the Liens set forth on Schedule 7.01.</w:t>
      </w:r>
    </w:p>
    <w:p>
      <w:pPr>
        <w:spacing w:after="0" w:line="186" w:lineRule="exact"/>
        <w:rPr>
          <w:sz w:val="20"/>
          <w:szCs w:val="20"/>
          <w:color w:val="auto"/>
        </w:rPr>
      </w:pPr>
    </w:p>
    <w:p>
      <w:pPr>
        <w:jc w:val="both"/>
        <w:ind w:left="60" w:firstLine="642"/>
        <w:spacing w:after="0" w:line="238" w:lineRule="auto"/>
        <w:rPr>
          <w:sz w:val="20"/>
          <w:szCs w:val="20"/>
          <w:color w:val="auto"/>
        </w:rPr>
      </w:pPr>
      <w:r>
        <w:rPr>
          <w:rFonts w:ascii="Arial" w:cs="Arial" w:eastAsia="Arial" w:hAnsi="Arial"/>
          <w:sz w:val="19"/>
          <w:szCs w:val="19"/>
          <w:color w:val="auto"/>
        </w:rPr>
        <w:t xml:space="preserve">SECTION 3.20. </w:t>
      </w:r>
      <w:r>
        <w:rPr>
          <w:rFonts w:ascii="Arial" w:cs="Arial" w:eastAsia="Arial" w:hAnsi="Arial"/>
          <w:sz w:val="19"/>
          <w:szCs w:val="19"/>
          <w:u w:val="single" w:color="auto"/>
          <w:color w:val="auto"/>
        </w:rPr>
        <w:t>Sanctions Concerns and Anti-Corruption Laws</w:t>
      </w:r>
      <w:r>
        <w:rPr>
          <w:rFonts w:ascii="Arial" w:cs="Arial" w:eastAsia="Arial" w:hAnsi="Arial"/>
          <w:sz w:val="19"/>
          <w:szCs w:val="19"/>
          <w:color w:val="auto"/>
        </w:rPr>
        <w:t>.The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and are not knowingly engaged in any activity that could reasonably be expected to result in the Borrower being designated as a Sanctioned Person. None of (a) the Borrower, any Subsidiary, any of their respective directors or officers or to the knowledge of the Borrower or such Subsidiary, employees, or</w:t>
      </w:r>
    </w:p>
    <w:p>
      <w:pPr>
        <w:spacing w:after="0" w:line="3" w:lineRule="exact"/>
        <w:rPr>
          <w:sz w:val="20"/>
          <w:szCs w:val="20"/>
          <w:color w:val="auto"/>
        </w:rPr>
      </w:pPr>
    </w:p>
    <w:p>
      <w:pPr>
        <w:jc w:val="both"/>
        <w:ind w:left="60" w:hanging="8"/>
        <w:spacing w:after="0" w:line="226" w:lineRule="auto"/>
        <w:tabs>
          <w:tab w:leader="none" w:pos="374"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to the knowledge of the Borrower, any agent of the Borrower or any Subsidiary that will act in any capacity in connection with or benefit from the credit facilities established hereby, is a Sanctioned Person. No Borrowing or Letter of Credit, use of proceeds or other Transactions will violate any Anti-Corruption Law or applicable Sanctions.</w:t>
      </w:r>
    </w:p>
    <w:p>
      <w:pPr>
        <w:spacing w:after="0" w:line="198"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 xml:space="preserve">SECTION 3.21. </w:t>
      </w:r>
      <w:r>
        <w:rPr>
          <w:rFonts w:ascii="Arial" w:cs="Arial" w:eastAsia="Arial" w:hAnsi="Arial"/>
          <w:sz w:val="21"/>
          <w:szCs w:val="21"/>
          <w:u w:val="single" w:color="auto"/>
          <w:color w:val="auto"/>
        </w:rPr>
        <w:t>Solvency</w:t>
      </w:r>
      <w:r>
        <w:rPr>
          <w:rFonts w:ascii="Arial" w:cs="Arial" w:eastAsia="Arial" w:hAnsi="Arial"/>
          <w:sz w:val="21"/>
          <w:szCs w:val="21"/>
          <w:color w:val="auto"/>
        </w:rPr>
        <w:t xml:space="preserve"> . Each Loan Party is, individually and together with its Subsidiaries on a Consolidated basis, Solvent.</w:t>
      </w:r>
    </w:p>
    <w:p>
      <w:pPr>
        <w:spacing w:after="0" w:line="193"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 xml:space="preserve">SECTION 3.22. </w:t>
      </w:r>
      <w:r>
        <w:rPr>
          <w:rFonts w:ascii="Arial" w:cs="Arial" w:eastAsia="Arial" w:hAnsi="Arial"/>
          <w:sz w:val="21"/>
          <w:szCs w:val="21"/>
          <w:u w:val="single" w:color="auto"/>
          <w:color w:val="auto"/>
        </w:rPr>
        <w:t>Casualty, Etc</w:t>
      </w:r>
      <w:r>
        <w:rPr>
          <w:rFonts w:ascii="Arial" w:cs="Arial" w:eastAsia="Arial" w:hAnsi="Arial"/>
          <w:sz w:val="21"/>
          <w:szCs w:val="21"/>
          <w:color w:val="auto"/>
        </w:rPr>
        <w:t>.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86"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 xml:space="preserve">SECTION 3.23. </w:t>
      </w:r>
      <w:r>
        <w:rPr>
          <w:rFonts w:ascii="Arial" w:cs="Arial" w:eastAsia="Arial" w:hAnsi="Arial"/>
          <w:sz w:val="21"/>
          <w:szCs w:val="21"/>
          <w:u w:val="single" w:color="auto"/>
          <w:color w:val="auto"/>
        </w:rPr>
        <w:t>Responsible Officers</w:t>
      </w:r>
      <w:r>
        <w:rPr>
          <w:rFonts w:ascii="Arial" w:cs="Arial" w:eastAsia="Arial" w:hAnsi="Arial"/>
          <w:sz w:val="21"/>
          <w:szCs w:val="21"/>
          <w:color w:val="auto"/>
        </w:rPr>
        <w:t>. Set forth on Schedule 3.23 attached hereto are Responsible Officers, holding the offices indicated next to their respective names, as of the Effective Date and as of the last date such Schedule was required to be updated in accordance with</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95</w:t>
      </w:r>
    </w:p>
    <w:p>
      <w:pPr>
        <w:sectPr>
          <w:pgSz w:w="11900" w:h="16838" w:orient="portrait"/>
          <w:cols w:equalWidth="0" w:num="1">
            <w:col w:w="11040"/>
          </w:cols>
          <w:pgMar w:left="400" w:top="1440" w:right="459" w:bottom="1440" w:gutter="0" w:footer="0" w:header="0"/>
        </w:sectPr>
      </w:pPr>
    </w:p>
    <w:bookmarkStart w:id="185" w:name="page186"/>
    <w:bookmarkEnd w:id="185"/>
    <w:p>
      <w:pPr>
        <w:spacing w:after="0" w:line="194" w:lineRule="exact"/>
        <w:rPr>
          <w:sz w:val="20"/>
          <w:szCs w:val="20"/>
          <w:color w:val="auto"/>
        </w:rPr>
      </w:pPr>
    </w:p>
    <w:p>
      <w:pPr>
        <w:jc w:val="both"/>
        <w:ind w:left="60" w:right="120"/>
        <w:spacing w:after="0" w:line="232" w:lineRule="auto"/>
        <w:rPr>
          <w:sz w:val="20"/>
          <w:szCs w:val="20"/>
          <w:color w:val="auto"/>
        </w:rPr>
      </w:pPr>
      <w:r>
        <w:rPr>
          <w:rFonts w:ascii="Arial" w:cs="Arial" w:eastAsia="Arial" w:hAnsi="Arial"/>
          <w:sz w:val="21"/>
          <w:szCs w:val="21"/>
          <w:color w:val="auto"/>
        </w:rPr>
        <w:t>Sections 5.02(a), 5.13 and 5.15 and such Responsible Officers are the duly elected and qualified officers of such Loan Party and are duly authorized to execute and deliver, on behalf of the respective Loan Party, this Agreement, the Notes and the other Loan Documents.</w:t>
      </w:r>
    </w:p>
    <w:p>
      <w:pPr>
        <w:spacing w:after="0" w:line="184" w:lineRule="exact"/>
        <w:rPr>
          <w:sz w:val="20"/>
          <w:szCs w:val="20"/>
          <w:color w:val="auto"/>
        </w:rPr>
      </w:pPr>
    </w:p>
    <w:p>
      <w:pPr>
        <w:ind w:left="700"/>
        <w:spacing w:after="0"/>
        <w:tabs>
          <w:tab w:leader="none" w:pos="2340" w:val="left"/>
        </w:tabs>
        <w:rPr>
          <w:sz w:val="20"/>
          <w:szCs w:val="20"/>
          <w:color w:val="auto"/>
        </w:rPr>
      </w:pPr>
      <w:r>
        <w:rPr>
          <w:rFonts w:ascii="Arial" w:cs="Arial" w:eastAsia="Arial" w:hAnsi="Arial"/>
          <w:sz w:val="21"/>
          <w:szCs w:val="21"/>
          <w:color w:val="auto"/>
        </w:rPr>
        <w:t>SECTION 3.24.</w:t>
      </w:r>
      <w:r>
        <w:rPr>
          <w:sz w:val="20"/>
          <w:szCs w:val="20"/>
          <w:color w:val="auto"/>
        </w:rPr>
        <w:tab/>
      </w:r>
      <w:r>
        <w:rPr>
          <w:rFonts w:ascii="Arial" w:cs="Arial" w:eastAsia="Arial" w:hAnsi="Arial"/>
          <w:sz w:val="19"/>
          <w:szCs w:val="19"/>
          <w:u w:val="single" w:color="auto"/>
          <w:color w:val="auto"/>
        </w:rPr>
        <w:t>Collateral Representations</w:t>
      </w:r>
      <w:r>
        <w:rPr>
          <w:rFonts w:ascii="Arial" w:cs="Arial" w:eastAsia="Arial" w:hAnsi="Arial"/>
          <w:sz w:val="19"/>
          <w:szCs w:val="19"/>
          <w:color w:val="auto"/>
        </w:rPr>
        <w:t>.</w:t>
      </w:r>
    </w:p>
    <w:p>
      <w:pPr>
        <w:spacing w:after="0" w:line="228" w:lineRule="exact"/>
        <w:rPr>
          <w:sz w:val="20"/>
          <w:szCs w:val="20"/>
          <w:color w:val="auto"/>
        </w:rPr>
      </w:pPr>
    </w:p>
    <w:p>
      <w:pPr>
        <w:jc w:val="both"/>
        <w:ind w:left="60" w:right="120" w:firstLine="635"/>
        <w:spacing w:after="0" w:line="224" w:lineRule="auto"/>
        <w:tabs>
          <w:tab w:leader="none" w:pos="1356"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Collateral Documents</w:t>
      </w:r>
      <w:r>
        <w:rPr>
          <w:rFonts w:ascii="Arial" w:cs="Arial" w:eastAsia="Arial" w:hAnsi="Arial"/>
          <w:sz w:val="21"/>
          <w:szCs w:val="21"/>
          <w:color w:val="auto"/>
        </w:rPr>
        <w:t xml:space="preserve">. The provisions of the Collateral Documents are effective to create in favor of the Administrative Agent for the benefit of the Secured Parties a legal, valid and enforceable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priority Lien (subject to Liens permitted pursuant to Section 6.01 below) on all rights, title and interests of the respective Loan Parties in the Collateral described therein. Except for filings completed prior to the Effective Date and as contemplated hereby and by the Collateral Documents, no filing or other action will be necessary to perfect or protect such Liens.</w:t>
      </w:r>
    </w:p>
    <w:p>
      <w:pPr>
        <w:spacing w:after="0" w:line="200" w:lineRule="exact"/>
        <w:rPr>
          <w:rFonts w:ascii="Arial" w:cs="Arial" w:eastAsia="Arial" w:hAnsi="Arial"/>
          <w:sz w:val="21"/>
          <w:szCs w:val="21"/>
          <w:color w:val="auto"/>
        </w:rPr>
      </w:pPr>
    </w:p>
    <w:p>
      <w:pPr>
        <w:ind w:left="60" w:right="120" w:firstLine="635"/>
        <w:spacing w:after="0" w:line="222" w:lineRule="auto"/>
        <w:tabs>
          <w:tab w:leader="none" w:pos="1194"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Intellectual Property</w:t>
      </w:r>
      <w:r>
        <w:rPr>
          <w:rFonts w:ascii="Arial" w:cs="Arial" w:eastAsia="Arial" w:hAnsi="Arial"/>
          <w:sz w:val="21"/>
          <w:szCs w:val="21"/>
          <w:color w:val="auto"/>
        </w:rPr>
        <w:t>. Set forth on Schedule 3.24(b), as of the Effective Date and as of the last date such Schedule was required to be updated in accordance with Sections 5.02(a),</w:t>
      </w:r>
    </w:p>
    <w:p>
      <w:pPr>
        <w:jc w:val="both"/>
        <w:ind w:left="60" w:right="120"/>
        <w:spacing w:after="0" w:line="234" w:lineRule="auto"/>
        <w:rPr>
          <w:rFonts w:ascii="Arial" w:cs="Arial" w:eastAsia="Arial" w:hAnsi="Arial"/>
          <w:sz w:val="21"/>
          <w:szCs w:val="21"/>
          <w:color w:val="auto"/>
        </w:rPr>
      </w:pPr>
      <w:r>
        <w:rPr>
          <w:rFonts w:ascii="Arial" w:cs="Arial" w:eastAsia="Arial" w:hAnsi="Arial"/>
          <w:sz w:val="20"/>
          <w:szCs w:val="20"/>
          <w:color w:val="auto"/>
        </w:rPr>
        <w:t>5.13 and 5.15, is a list of all intellectual property registered in the United States of America (including all registered copyrights, patents and trademarks and any applications for registration and issuance thereof) owned by each of the Loan Parties or that each of the Loan Parties has the right to (including the name/title, current owner, registration or application number, and registration or application date and such other information as reasonably requested by Administrative Agent).</w:t>
      </w:r>
    </w:p>
    <w:p>
      <w:pPr>
        <w:spacing w:after="0" w:line="184" w:lineRule="exact"/>
        <w:rPr>
          <w:rFonts w:ascii="Arial" w:cs="Arial" w:eastAsia="Arial" w:hAnsi="Arial"/>
          <w:sz w:val="21"/>
          <w:szCs w:val="21"/>
          <w:color w:val="auto"/>
        </w:rPr>
      </w:pPr>
    </w:p>
    <w:p>
      <w:pPr>
        <w:jc w:val="both"/>
        <w:ind w:left="60" w:right="120" w:firstLine="635"/>
        <w:spacing w:after="0" w:line="222" w:lineRule="auto"/>
        <w:tabs>
          <w:tab w:leader="none" w:pos="1155"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Documents, Instruments, and Tangible Chattel Paper</w:t>
      </w:r>
      <w:r>
        <w:rPr>
          <w:rFonts w:ascii="Arial" w:cs="Arial" w:eastAsia="Arial" w:hAnsi="Arial"/>
          <w:sz w:val="21"/>
          <w:szCs w:val="21"/>
          <w:color w:val="auto"/>
        </w:rPr>
        <w:t xml:space="preserve">. Set forth on </w:t>
      </w:r>
      <w:r>
        <w:rPr>
          <w:rFonts w:ascii="Arial" w:cs="Arial" w:eastAsia="Arial" w:hAnsi="Arial"/>
          <w:sz w:val="21"/>
          <w:szCs w:val="21"/>
          <w:u w:val="single" w:color="auto"/>
          <w:color w:val="auto"/>
        </w:rPr>
        <w:t>Schedule 3.24(c</w:t>
      </w:r>
      <w:r>
        <w:rPr>
          <w:rFonts w:ascii="Arial" w:cs="Arial" w:eastAsia="Arial" w:hAnsi="Arial"/>
          <w:sz w:val="21"/>
          <w:szCs w:val="21"/>
          <w:color w:val="auto"/>
        </w:rPr>
        <w:t xml:space="preserve">), as of the Effective Date and as of the last date such </w:t>
      </w:r>
      <w:r>
        <w:rPr>
          <w:rFonts w:ascii="Arial" w:cs="Arial" w:eastAsia="Arial" w:hAnsi="Arial"/>
          <w:sz w:val="21"/>
          <w:szCs w:val="21"/>
          <w:u w:val="single" w:color="auto"/>
          <w:color w:val="auto"/>
        </w:rPr>
        <w:t>Schedule 3.24(c</w:t>
      </w:r>
      <w:r>
        <w:rPr>
          <w:rFonts w:ascii="Arial" w:cs="Arial" w:eastAsia="Arial" w:hAnsi="Arial"/>
          <w:sz w:val="21"/>
          <w:szCs w:val="21"/>
          <w:color w:val="auto"/>
        </w:rPr>
        <w:t xml:space="preserve">) was required to be updated in accordance with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5.02(a), 5.13 and 5.15, is a description of each “Document,” “Instrument,” and “Tangible Chattel Paper” (each as defined in the UCC) of the Loan Parties, in each case, in an amount in excess of $5,000,000 individually or $10,000,000 in the aggregate (including the Loan Party owning such Document, Instrument and Tangible Chattel Paper and such other information as reasonably requested by the Administrative Agent)</w:t>
      </w:r>
    </w:p>
    <w:p>
      <w:pPr>
        <w:spacing w:after="0" w:line="201" w:lineRule="exact"/>
        <w:rPr>
          <w:rFonts w:ascii="Arial" w:cs="Arial" w:eastAsia="Arial" w:hAnsi="Arial"/>
          <w:sz w:val="21"/>
          <w:szCs w:val="21"/>
          <w:color w:val="auto"/>
        </w:rPr>
      </w:pPr>
    </w:p>
    <w:p>
      <w:pPr>
        <w:ind w:left="1160" w:hanging="465"/>
        <w:spacing w:after="0"/>
        <w:tabs>
          <w:tab w:leader="none" w:pos="1160"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Deposit Accounts, Electronic Chattel Paper, Letter of Credit Rights and Securities Accounts</w:t>
      </w:r>
      <w:r>
        <w:rPr>
          <w:rFonts w:ascii="Arial" w:cs="Arial" w:eastAsia="Arial" w:hAnsi="Arial"/>
          <w:sz w:val="21"/>
          <w:szCs w:val="21"/>
          <w:color w:val="auto"/>
        </w:rPr>
        <w:t>.</w:t>
      </w:r>
    </w:p>
    <w:p>
      <w:pPr>
        <w:spacing w:after="0" w:line="294" w:lineRule="exact"/>
        <w:rPr>
          <w:rFonts w:ascii="Arial" w:cs="Arial" w:eastAsia="Arial" w:hAnsi="Arial"/>
          <w:sz w:val="21"/>
          <w:szCs w:val="21"/>
          <w:color w:val="auto"/>
        </w:rPr>
      </w:pPr>
    </w:p>
    <w:p>
      <w:pPr>
        <w:jc w:val="both"/>
        <w:ind w:left="1340" w:right="120" w:hanging="1"/>
        <w:spacing w:after="0" w:line="222" w:lineRule="auto"/>
        <w:tabs>
          <w:tab w:leader="none" w:pos="1766" w:val="left"/>
        </w:tabs>
        <w:numPr>
          <w:ilvl w:val="1"/>
          <w:numId w:val="132"/>
        </w:numPr>
        <w:rPr>
          <w:rFonts w:ascii="Arial" w:cs="Arial" w:eastAsia="Arial" w:hAnsi="Arial"/>
          <w:sz w:val="21"/>
          <w:szCs w:val="21"/>
          <w:color w:val="auto"/>
        </w:rPr>
      </w:pPr>
      <w:r>
        <w:rPr>
          <w:rFonts w:ascii="Arial" w:cs="Arial" w:eastAsia="Arial" w:hAnsi="Arial"/>
          <w:sz w:val="21"/>
          <w:szCs w:val="21"/>
          <w:color w:val="auto"/>
        </w:rPr>
        <w:t>Set forth on Schedule 3.24(d), as of the Effective Date and as of the last date such Schedule was required to be updated in accordance with Sections 5.02(a), 5.13 and 5.15, is a description of all “Deposit Accounts” and “Securities Accounts” (as each of the foregoing terms is defined in the UCC) of the Loan Parties in the United States of America, including the name of (A) the applicable Loan Party, and (B) in the case of a Deposit Account, the depository institution and average amount held in such Deposit Account and whether such account is a zero balance account or a payroll account.</w:t>
      </w:r>
    </w:p>
    <w:p>
      <w:pPr>
        <w:spacing w:after="0" w:line="187" w:lineRule="exact"/>
        <w:rPr>
          <w:rFonts w:ascii="Arial" w:cs="Arial" w:eastAsia="Arial" w:hAnsi="Arial"/>
          <w:sz w:val="21"/>
          <w:szCs w:val="21"/>
          <w:color w:val="auto"/>
        </w:rPr>
      </w:pPr>
    </w:p>
    <w:p>
      <w:pPr>
        <w:jc w:val="both"/>
        <w:ind w:left="1340" w:hanging="1"/>
        <w:spacing w:after="0" w:line="227" w:lineRule="auto"/>
        <w:tabs>
          <w:tab w:leader="none" w:pos="1862" w:val="left"/>
        </w:tabs>
        <w:numPr>
          <w:ilvl w:val="1"/>
          <w:numId w:val="132"/>
        </w:numPr>
        <w:rPr>
          <w:rFonts w:ascii="Arial" w:cs="Arial" w:eastAsia="Arial" w:hAnsi="Arial"/>
          <w:sz w:val="21"/>
          <w:szCs w:val="21"/>
          <w:color w:val="auto"/>
        </w:rPr>
      </w:pPr>
      <w:r>
        <w:rPr>
          <w:rFonts w:ascii="Arial" w:cs="Arial" w:eastAsia="Arial" w:hAnsi="Arial"/>
          <w:sz w:val="21"/>
          <w:szCs w:val="21"/>
          <w:color w:val="auto"/>
        </w:rPr>
        <w:t xml:space="preserve">Set forth on </w:t>
      </w:r>
      <w:r>
        <w:rPr>
          <w:rFonts w:ascii="Arial" w:cs="Arial" w:eastAsia="Arial" w:hAnsi="Arial"/>
          <w:sz w:val="21"/>
          <w:szCs w:val="21"/>
          <w:u w:val="single" w:color="auto"/>
          <w:color w:val="auto"/>
        </w:rPr>
        <w:t>Schedule 3.24(d)(ii)</w:t>
      </w:r>
      <w:r>
        <w:rPr>
          <w:rFonts w:ascii="Arial" w:cs="Arial" w:eastAsia="Arial" w:hAnsi="Arial"/>
          <w:sz w:val="21"/>
          <w:szCs w:val="21"/>
          <w:color w:val="auto"/>
        </w:rPr>
        <w:t xml:space="preserve">, as of the Effective Date and as of the last date such </w:t>
      </w:r>
      <w:r>
        <w:rPr>
          <w:rFonts w:ascii="Arial" w:cs="Arial" w:eastAsia="Arial" w:hAnsi="Arial"/>
          <w:sz w:val="21"/>
          <w:szCs w:val="21"/>
          <w:u w:val="single" w:color="auto"/>
          <w:color w:val="auto"/>
        </w:rPr>
        <w:t>Schedule 3.24(d)(ii</w:t>
      </w:r>
      <w:r>
        <w:rPr>
          <w:rFonts w:ascii="Arial" w:cs="Arial" w:eastAsia="Arial" w:hAnsi="Arial"/>
          <w:sz w:val="21"/>
          <w:szCs w:val="21"/>
          <w:color w:val="auto"/>
        </w:rPr>
        <w:t xml:space="preserve">) was required to be updated in accordance with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5.02(a), 5.13 and 5.15, is a description of all “Electronic Chattel Paper” and “Letter-of-Credit Rights” (each as defined in the UCC) of the Loan Parties, in each case, in an amount in excess of $5,000,000 individually or $10,000,000 in the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96</w:t>
      </w:r>
    </w:p>
    <w:p>
      <w:pPr>
        <w:sectPr>
          <w:pgSz w:w="11900" w:h="16838" w:orient="portrait"/>
          <w:cols w:equalWidth="0" w:num="1">
            <w:col w:w="11160"/>
          </w:cols>
          <w:pgMar w:left="400" w:top="1440" w:right="339" w:bottom="1440" w:gutter="0" w:footer="0" w:header="0"/>
        </w:sectPr>
      </w:pPr>
    </w:p>
    <w:bookmarkStart w:id="186" w:name="page187"/>
    <w:bookmarkEnd w:id="186"/>
    <w:p>
      <w:pPr>
        <w:spacing w:after="0" w:line="194" w:lineRule="exact"/>
        <w:rPr>
          <w:sz w:val="20"/>
          <w:szCs w:val="20"/>
          <w:color w:val="auto"/>
        </w:rPr>
      </w:pPr>
    </w:p>
    <w:p>
      <w:pPr>
        <w:jc w:val="both"/>
        <w:ind w:left="1340" w:right="120"/>
        <w:spacing w:after="0" w:line="232" w:lineRule="auto"/>
        <w:rPr>
          <w:sz w:val="20"/>
          <w:szCs w:val="20"/>
          <w:color w:val="auto"/>
        </w:rPr>
      </w:pPr>
      <w:r>
        <w:rPr>
          <w:rFonts w:ascii="Arial" w:cs="Arial" w:eastAsia="Arial" w:hAnsi="Arial"/>
          <w:sz w:val="21"/>
          <w:szCs w:val="21"/>
          <w:color w:val="auto"/>
        </w:rPr>
        <w:t>aggregate, including the name of (A) the applicable Loan Party, (B) in the case of Electronic Chattel Paper (as defined in the UCC), the account debtor and (C) in the case of Letter-of-Credit Rights (as defined in the UCC), the issuer or nominated person, as applicable.</w:t>
      </w:r>
    </w:p>
    <w:p>
      <w:pPr>
        <w:spacing w:after="0" w:line="184" w:lineRule="exact"/>
        <w:rPr>
          <w:sz w:val="20"/>
          <w:szCs w:val="20"/>
          <w:color w:val="auto"/>
        </w:rPr>
      </w:pPr>
    </w:p>
    <w:p>
      <w:pPr>
        <w:jc w:val="both"/>
        <w:ind w:left="60" w:firstLine="635"/>
        <w:spacing w:after="0" w:line="255" w:lineRule="auto"/>
        <w:tabs>
          <w:tab w:leader="none" w:pos="1155" w:val="left"/>
        </w:tabs>
        <w:numPr>
          <w:ilvl w:val="2"/>
          <w:numId w:val="133"/>
        </w:numPr>
        <w:rPr>
          <w:rFonts w:ascii="Arial" w:cs="Arial" w:eastAsia="Arial" w:hAnsi="Arial"/>
          <w:sz w:val="19"/>
          <w:szCs w:val="19"/>
          <w:color w:val="auto"/>
        </w:rPr>
      </w:pPr>
      <w:r>
        <w:rPr>
          <w:rFonts w:ascii="Arial" w:cs="Arial" w:eastAsia="Arial" w:hAnsi="Arial"/>
          <w:sz w:val="19"/>
          <w:szCs w:val="19"/>
          <w:u w:val="single" w:color="auto"/>
          <w:color w:val="auto"/>
        </w:rPr>
        <w:t>Commercial Tort Claims</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Schedule 5.21(e</w:t>
      </w:r>
      <w:r>
        <w:rPr>
          <w:rFonts w:ascii="Arial" w:cs="Arial" w:eastAsia="Arial" w:hAnsi="Arial"/>
          <w:sz w:val="19"/>
          <w:szCs w:val="19"/>
          <w:color w:val="auto"/>
        </w:rPr>
        <w:t xml:space="preserve">), as of the Closing Date and as of the last date such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3.24(e</w:t>
      </w:r>
      <w:r>
        <w:rPr>
          <w:rFonts w:ascii="Arial" w:cs="Arial" w:eastAsia="Arial" w:hAnsi="Arial"/>
          <w:sz w:val="19"/>
          <w:szCs w:val="19"/>
          <w:color w:val="auto"/>
        </w:rPr>
        <w:t xml:space="preserve">) was required to be updated in accordance with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5.02(a), 5.13 and 5.15, is a description of each “Commercial Tort Claim” (as defined in the UCC) of the Loan Parties in an amount in excess of $5,000,000 individually or $10,000,000 in the aggregate (detailing such Commercial Tort Claim in such detail as reasonably requested by the Administrative Agent)</w:t>
      </w:r>
    </w:p>
    <w:p>
      <w:pPr>
        <w:spacing w:after="0" w:line="184" w:lineRule="exact"/>
        <w:rPr>
          <w:rFonts w:ascii="Arial" w:cs="Arial" w:eastAsia="Arial" w:hAnsi="Arial"/>
          <w:sz w:val="19"/>
          <w:szCs w:val="19"/>
          <w:color w:val="auto"/>
        </w:rPr>
      </w:pPr>
    </w:p>
    <w:p>
      <w:pPr>
        <w:jc w:val="both"/>
        <w:ind w:left="60" w:right="120" w:firstLine="635"/>
        <w:spacing w:after="0" w:line="234" w:lineRule="auto"/>
        <w:tabs>
          <w:tab w:leader="none" w:pos="1252" w:val="left"/>
        </w:tabs>
        <w:numPr>
          <w:ilvl w:val="2"/>
          <w:numId w:val="133"/>
        </w:numPr>
        <w:rPr>
          <w:rFonts w:ascii="Arial" w:cs="Arial" w:eastAsia="Arial" w:hAnsi="Arial"/>
          <w:sz w:val="20"/>
          <w:szCs w:val="20"/>
          <w:color w:val="auto"/>
        </w:rPr>
      </w:pPr>
      <w:r>
        <w:rPr>
          <w:rFonts w:ascii="Arial" w:cs="Arial" w:eastAsia="Arial" w:hAnsi="Arial"/>
          <w:sz w:val="20"/>
          <w:szCs w:val="20"/>
          <w:u w:val="single" w:color="auto"/>
          <w:color w:val="auto"/>
        </w:rPr>
        <w:t>Pledged Equity Interests</w:t>
      </w:r>
      <w:r>
        <w:rPr>
          <w:rFonts w:ascii="Arial" w:cs="Arial" w:eastAsia="Arial" w:hAnsi="Arial"/>
          <w:sz w:val="20"/>
          <w:szCs w:val="20"/>
          <w:color w:val="auto"/>
        </w:rPr>
        <w:t>. Set forth on Schedule 3.24(f), as of the Effective Date and as of the last date such Schedule was required to be updated in accordance with Sections 5.02(a), 5.13 and 5.15, is a list of all Equity Interests pledged or required to be pledged to the Administrative Agent pursuant to this Agreement and/or the Collateral Documents, in each case, detailing the owner/pledgor, the Person whose Equity Interests are pledged, the number of shares of each class of Equity Interests, the certificate number and percentage ownership of outstanding shares of each class of Equity Interests and the class or nature of such Equity Interests (i.e. voting, non-voting, preferred, etc.).</w:t>
      </w:r>
    </w:p>
    <w:p>
      <w:pPr>
        <w:spacing w:after="0" w:line="196" w:lineRule="exact"/>
        <w:rPr>
          <w:rFonts w:ascii="Arial" w:cs="Arial" w:eastAsia="Arial" w:hAnsi="Arial"/>
          <w:sz w:val="20"/>
          <w:szCs w:val="20"/>
          <w:color w:val="auto"/>
        </w:rPr>
      </w:pPr>
    </w:p>
    <w:p>
      <w:pPr>
        <w:jc w:val="both"/>
        <w:ind w:left="60" w:firstLine="635"/>
        <w:spacing w:after="0" w:line="219" w:lineRule="auto"/>
        <w:tabs>
          <w:tab w:leader="none" w:pos="1167" w:val="left"/>
        </w:tabs>
        <w:numPr>
          <w:ilvl w:val="2"/>
          <w:numId w:val="133"/>
        </w:numPr>
        <w:rPr>
          <w:rFonts w:ascii="Arial" w:cs="Arial" w:eastAsia="Arial" w:hAnsi="Arial"/>
          <w:sz w:val="21"/>
          <w:szCs w:val="21"/>
          <w:color w:val="auto"/>
        </w:rPr>
      </w:pPr>
      <w:r>
        <w:rPr>
          <w:rFonts w:ascii="Arial" w:cs="Arial" w:eastAsia="Arial" w:hAnsi="Arial"/>
          <w:sz w:val="21"/>
          <w:szCs w:val="21"/>
          <w:u w:val="single" w:color="auto"/>
          <w:color w:val="auto"/>
        </w:rPr>
        <w:t>Properties</w:t>
      </w:r>
      <w:r>
        <w:rPr>
          <w:rFonts w:ascii="Arial" w:cs="Arial" w:eastAsia="Arial" w:hAnsi="Arial"/>
          <w:sz w:val="21"/>
          <w:szCs w:val="21"/>
          <w:color w:val="auto"/>
        </w:rPr>
        <w:t>. Set forth on Schedule 3.24(g), as of the Effective Date and as of the last date such Schedule was required to be updated in accordance with Sections 5.02(a), 5.13 and 5.15, is a list of (i) each principal place of business or chief executive office of the Loan Parties, and</w:t>
      </w:r>
    </w:p>
    <w:p>
      <w:pPr>
        <w:jc w:val="both"/>
        <w:ind w:left="60" w:right="120" w:hanging="8"/>
        <w:spacing w:after="0" w:line="213" w:lineRule="auto"/>
        <w:tabs>
          <w:tab w:leader="none" w:pos="579" w:val="left"/>
        </w:tabs>
        <w:numPr>
          <w:ilvl w:val="1"/>
          <w:numId w:val="134"/>
        </w:numPr>
        <w:rPr>
          <w:rFonts w:ascii="Arial" w:cs="Arial" w:eastAsia="Arial" w:hAnsi="Arial"/>
          <w:sz w:val="21"/>
          <w:szCs w:val="21"/>
          <w:color w:val="auto"/>
        </w:rPr>
      </w:pPr>
      <w:r>
        <w:rPr>
          <w:rFonts w:ascii="Arial" w:cs="Arial" w:eastAsia="Arial" w:hAnsi="Arial"/>
          <w:sz w:val="21"/>
          <w:szCs w:val="21"/>
          <w:color w:val="auto"/>
        </w:rPr>
        <w:t>each location where any personal property Collateral is located at any premises owned or leased by a Loan Party with a Collateral value in excess of $5,000,000 individually or $10,000,000 in the aggregate (in each case, including (1) an indication if such location is leased or owned, (2) if leased, the name of the lessor, and if owned, the name of the Loan Party owning such property,</w:t>
      </w:r>
    </w:p>
    <w:p>
      <w:pPr>
        <w:ind w:left="520" w:hanging="469"/>
        <w:spacing w:after="0"/>
        <w:tabs>
          <w:tab w:leader="none" w:pos="52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address of such property (including, the city, county, state and zip code).</w:t>
      </w:r>
    </w:p>
    <w:p>
      <w:pPr>
        <w:spacing w:after="0" w:line="196"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3.25.</w:t>
      </w:r>
      <w:r>
        <w:rPr>
          <w:sz w:val="20"/>
          <w:szCs w:val="20"/>
          <w:color w:val="auto"/>
        </w:rPr>
        <w:tab/>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No Loan Party is an Affected Financial Institution.</w:t>
      </w: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ARTICLE IV</w:t>
      </w: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21"/>
          <w:szCs w:val="21"/>
          <w:u w:val="single" w:color="auto"/>
          <w:color w:val="auto"/>
        </w:rPr>
        <w:t>Conditions</w:t>
      </w:r>
    </w:p>
    <w:p>
      <w:pPr>
        <w:spacing w:after="0" w:line="228" w:lineRule="exact"/>
        <w:rPr>
          <w:sz w:val="20"/>
          <w:szCs w:val="20"/>
          <w:color w:val="auto"/>
        </w:rPr>
      </w:pPr>
    </w:p>
    <w:p>
      <w:pPr>
        <w:jc w:val="both"/>
        <w:ind w:left="60" w:right="120" w:firstLine="642"/>
        <w:spacing w:after="0" w:line="232"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u w:val="single" w:color="auto"/>
          <w:color w:val="auto"/>
        </w:rPr>
        <w:t>Effective Date</w:t>
      </w:r>
      <w:r>
        <w:rPr>
          <w:rFonts w:ascii="Arial" w:cs="Arial" w:eastAsia="Arial" w:hAnsi="Arial"/>
          <w:sz w:val="21"/>
          <w:szCs w:val="21"/>
          <w:color w:val="auto"/>
        </w:rPr>
        <w:t>. The obligations of the Lenders to make Loans and of the Issuing Banks to issue Letters of Credit hereunder shall not become effective until the date on which each of the following conditions is satisfied (or waived in accordance with Section 9.02):</w:t>
      </w:r>
    </w:p>
    <w:p>
      <w:pPr>
        <w:spacing w:after="0" w:line="198" w:lineRule="exact"/>
        <w:rPr>
          <w:sz w:val="20"/>
          <w:szCs w:val="20"/>
          <w:color w:val="auto"/>
        </w:rPr>
      </w:pPr>
    </w:p>
    <w:p>
      <w:pPr>
        <w:jc w:val="both"/>
        <w:ind w:left="60" w:right="120" w:firstLine="635"/>
        <w:spacing w:after="0" w:line="227" w:lineRule="auto"/>
        <w:tabs>
          <w:tab w:leader="none" w:pos="1315"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Administrative Agent (or its counsel) shall have received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w:t>
      </w:r>
    </w:p>
    <w:p>
      <w:pPr>
        <w:spacing w:after="0" w:line="185" w:lineRule="exact"/>
        <w:rPr>
          <w:rFonts w:ascii="Arial" w:cs="Arial" w:eastAsia="Arial" w:hAnsi="Arial"/>
          <w:sz w:val="21"/>
          <w:szCs w:val="21"/>
          <w:color w:val="auto"/>
        </w:rPr>
      </w:pPr>
    </w:p>
    <w:p>
      <w:pPr>
        <w:ind w:left="60" w:right="120" w:firstLine="635"/>
        <w:spacing w:after="0" w:line="244" w:lineRule="auto"/>
        <w:tabs>
          <w:tab w:leader="none" w:pos="119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Administrative Agent shall have received a favorable written opinion (addressed to the Administrative Agent and the Lenders and dated the Effective Date) of Kramer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color w:val="auto"/>
        </w:rPr>
        <w:t>97</w:t>
      </w:r>
    </w:p>
    <w:p>
      <w:pPr>
        <w:sectPr>
          <w:pgSz w:w="11900" w:h="16838" w:orient="portrait"/>
          <w:cols w:equalWidth="0" w:num="1">
            <w:col w:w="11160"/>
          </w:cols>
          <w:pgMar w:left="400" w:top="1440" w:right="339" w:bottom="1440" w:gutter="0" w:footer="0" w:header="0"/>
        </w:sectPr>
      </w:pPr>
    </w:p>
    <w:bookmarkStart w:id="187" w:name="page188"/>
    <w:bookmarkEnd w:id="187"/>
    <w:p>
      <w:pPr>
        <w:spacing w:after="0" w:line="194" w:lineRule="exact"/>
        <w:rPr>
          <w:sz w:val="20"/>
          <w:szCs w:val="20"/>
          <w:color w:val="auto"/>
        </w:rPr>
      </w:pPr>
    </w:p>
    <w:p>
      <w:pPr>
        <w:jc w:val="both"/>
        <w:ind w:left="60" w:right="120"/>
        <w:spacing w:after="0" w:line="227" w:lineRule="auto"/>
        <w:rPr>
          <w:sz w:val="20"/>
          <w:szCs w:val="20"/>
          <w:color w:val="auto"/>
        </w:rPr>
      </w:pPr>
      <w:r>
        <w:rPr>
          <w:rFonts w:ascii="Arial" w:cs="Arial" w:eastAsia="Arial" w:hAnsi="Arial"/>
          <w:sz w:val="21"/>
          <w:szCs w:val="21"/>
          <w:color w:val="auto"/>
        </w:rPr>
        <w:t>Levin Naftalis &amp; Frankel, counsel for the Loan Parties, and Pennsylvania local counsel to the Loan Parties (which counsel shall be reasonably acceptable to the Administrative Agent), covering such matters relating to the Loan Parties, the Loan Documents or the Transactions as the Administrative Agent shall reasonably request. The Borrower hereby requests such counsel to deliver such opinion.</w:t>
      </w:r>
    </w:p>
    <w:p>
      <w:pPr>
        <w:spacing w:after="0" w:line="186" w:lineRule="exact"/>
        <w:rPr>
          <w:sz w:val="20"/>
          <w:szCs w:val="20"/>
          <w:color w:val="auto"/>
        </w:rPr>
      </w:pPr>
    </w:p>
    <w:p>
      <w:pPr>
        <w:jc w:val="both"/>
        <w:ind w:left="60" w:right="120" w:firstLine="635"/>
        <w:spacing w:after="0" w:line="224" w:lineRule="auto"/>
        <w:tabs>
          <w:tab w:leader="none" w:pos="1191"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Administrative Agent shall have received such documents and certificates as the Administrative Agent or its counsel may reasonably request relating to the organization, existence and good standing of the initial Loan Parties, the authorization of the Transactions and any other legal matters relating to the Loan Parties, the Loan Documents or the Transactions, all in form and substance satisfactory to the Administrative Agent and its counsel and as further described in the list of closing documents attached as Exhibit F.</w:t>
      </w:r>
    </w:p>
    <w:p>
      <w:pPr>
        <w:spacing w:after="0" w:line="200" w:lineRule="exact"/>
        <w:rPr>
          <w:rFonts w:ascii="Arial" w:cs="Arial" w:eastAsia="Arial" w:hAnsi="Arial"/>
          <w:sz w:val="21"/>
          <w:szCs w:val="21"/>
          <w:color w:val="auto"/>
        </w:rPr>
      </w:pPr>
    </w:p>
    <w:p>
      <w:pPr>
        <w:jc w:val="both"/>
        <w:ind w:left="60" w:right="120" w:firstLine="635"/>
        <w:spacing w:after="0" w:line="232" w:lineRule="auto"/>
        <w:tabs>
          <w:tab w:leader="none" w:pos="1176"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dated the Effective Date and signed by the President, a Vice President or a Financial Officer of the Borrower, confirming compliance with the conditions set forth in paragraphs (a) and (b) of Section 4.02.</w:t>
      </w:r>
    </w:p>
    <w:p>
      <w:pPr>
        <w:spacing w:after="0" w:line="197" w:lineRule="exact"/>
        <w:rPr>
          <w:rFonts w:ascii="Arial" w:cs="Arial" w:eastAsia="Arial" w:hAnsi="Arial"/>
          <w:sz w:val="21"/>
          <w:szCs w:val="21"/>
          <w:color w:val="auto"/>
        </w:rPr>
      </w:pPr>
    </w:p>
    <w:p>
      <w:pPr>
        <w:jc w:val="both"/>
        <w:ind w:left="60" w:firstLine="635"/>
        <w:spacing w:after="0" w:line="232" w:lineRule="auto"/>
        <w:tabs>
          <w:tab w:leader="none" w:pos="1156"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Administrative Agent shall have received, to the extent invoiced, all fees and other amounts due and payable on or prior to the Effective Date, including reimbursement or payment of all out-of-pocket expenses required to be reimbursed or paid by the Borrower hereunder.</w:t>
      </w:r>
    </w:p>
    <w:p>
      <w:pPr>
        <w:spacing w:after="0" w:line="184" w:lineRule="exact"/>
        <w:rPr>
          <w:rFonts w:ascii="Arial" w:cs="Arial" w:eastAsia="Arial" w:hAnsi="Arial"/>
          <w:sz w:val="21"/>
          <w:szCs w:val="21"/>
          <w:color w:val="auto"/>
        </w:rPr>
      </w:pPr>
    </w:p>
    <w:p>
      <w:pPr>
        <w:jc w:val="both"/>
        <w:ind w:left="60" w:firstLine="635"/>
        <w:spacing w:after="0" w:line="221" w:lineRule="auto"/>
        <w:tabs>
          <w:tab w:leader="none" w:pos="1282"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Administrative Agent shall have received (i) satisfactory audited consolidated financial statements of the Borrower for the fiscal years ended December 31, 2020 and December 31, 2021, (ii) satisfactory unaudited interim consolidated financial statements of the Borrower for the fiscal quarter ended March 31, 2022, (iii) satisfactory preliminary consolidated financial statements of the Borrower for the fiscal quarter ended June 30, 2022, and (iv) satisfactory financial statement projections through and including the Borrower’s 2026 fiscal year, together with such information as the Administrative Agent and the Lenders shall reasonably request (including, without limitation, a detailed description of the assumptions used in preparing such projections).</w:t>
      </w:r>
    </w:p>
    <w:p>
      <w:pPr>
        <w:spacing w:after="0" w:line="199" w:lineRule="exact"/>
        <w:rPr>
          <w:rFonts w:ascii="Arial" w:cs="Arial" w:eastAsia="Arial" w:hAnsi="Arial"/>
          <w:sz w:val="21"/>
          <w:szCs w:val="21"/>
          <w:color w:val="auto"/>
        </w:rPr>
      </w:pPr>
    </w:p>
    <w:p>
      <w:pPr>
        <w:jc w:val="both"/>
        <w:ind w:left="60" w:right="120" w:firstLine="635"/>
        <w:spacing w:after="0" w:line="231" w:lineRule="auto"/>
        <w:tabs>
          <w:tab w:leader="none" w:pos="120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days prior to the Effective Date and (ii) to the extent the Borrower qualifies as a “legal entity customer” under the Beneficial Ownership Regulation, at least five days prior to the Effective Date, any Lender that has requested, in a written notice to the Borrower at least 10 days prior to the Effective Date, a Beneficial Ownership Certification in relation to the Borrower shall have received such Beneficial Ownership Certification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upon the execution and delivery by such Lender of its signature page to this Agreement, the condition set forth in this clause (ii) shall be deemed to be satisfied).</w:t>
      </w:r>
    </w:p>
    <w:p>
      <w:pPr>
        <w:spacing w:after="0" w:line="199" w:lineRule="exact"/>
        <w:rPr>
          <w:rFonts w:ascii="Arial" w:cs="Arial" w:eastAsia="Arial" w:hAnsi="Arial"/>
          <w:sz w:val="20"/>
          <w:szCs w:val="20"/>
          <w:color w:val="auto"/>
        </w:rPr>
      </w:pPr>
    </w:p>
    <w:p>
      <w:pPr>
        <w:jc w:val="both"/>
        <w:ind w:left="60" w:right="120" w:firstLine="635"/>
        <w:spacing w:after="0" w:line="232" w:lineRule="auto"/>
        <w:tabs>
          <w:tab w:leader="none" w:pos="1389" w:val="left"/>
        </w:tabs>
        <w:numPr>
          <w:ilvl w:val="0"/>
          <w:numId w:val="137"/>
        </w:numPr>
        <w:rPr>
          <w:rFonts w:ascii="Arial" w:cs="Arial" w:eastAsia="Arial" w:hAnsi="Arial"/>
          <w:sz w:val="21"/>
          <w:szCs w:val="21"/>
          <w:color w:val="auto"/>
        </w:rPr>
      </w:pPr>
      <w:r>
        <w:rPr>
          <w:rFonts w:ascii="Arial" w:cs="Arial" w:eastAsia="Arial" w:hAnsi="Arial"/>
          <w:sz w:val="21"/>
          <w:szCs w:val="21"/>
          <w:color w:val="auto"/>
        </w:rPr>
        <w:t>All UCC financing statements and, subject to Section 5.19, federal intellectual property filings, pledged instruments and allonges and stock certificates (with related stock powers) required by the Collateral Documents or under law or reasonably requested by the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98</w:t>
      </w:r>
    </w:p>
    <w:p>
      <w:pPr>
        <w:sectPr>
          <w:pgSz w:w="11900" w:h="16838" w:orient="portrait"/>
          <w:cols w:equalWidth="0" w:num="1">
            <w:col w:w="11160"/>
          </w:cols>
          <w:pgMar w:left="400" w:top="1440" w:right="339" w:bottom="1440" w:gutter="0" w:footer="0" w:header="0"/>
        </w:sectPr>
      </w:pPr>
    </w:p>
    <w:bookmarkStart w:id="188" w:name="page189"/>
    <w:bookmarkEnd w:id="188"/>
    <w:p>
      <w:pPr>
        <w:spacing w:after="0" w:line="193" w:lineRule="exact"/>
        <w:rPr>
          <w:sz w:val="20"/>
          <w:szCs w:val="20"/>
          <w:color w:val="auto"/>
        </w:rPr>
      </w:pPr>
    </w:p>
    <w:p>
      <w:pPr>
        <w:jc w:val="both"/>
        <w:ind w:left="60" w:right="120"/>
        <w:spacing w:after="0" w:line="224" w:lineRule="auto"/>
        <w:rPr>
          <w:sz w:val="20"/>
          <w:szCs w:val="20"/>
          <w:color w:val="auto"/>
        </w:rPr>
      </w:pPr>
      <w:r>
        <w:rPr>
          <w:rFonts w:ascii="Arial" w:cs="Arial" w:eastAsia="Arial" w:hAnsi="Arial"/>
          <w:sz w:val="21"/>
          <w:szCs w:val="21"/>
          <w:color w:val="auto"/>
        </w:rPr>
        <w:t>Administrative Agent to be filed, registered, recorded or delivered on the Effective Date in order to create in favor of the Administrative Agent, for the benefit of the Secured Parties, a perfected Lien on the Collateral described therein, prior and superior in right to any other Person (other than with respect to Liens expressly permitted by Section 6.02 to the extent any such Liens would have priority over the Liens in favor of the Administrative Agent pursuant to any applicable law), shall be in proper form for filing, registration, recordation or delivery.</w:t>
      </w:r>
    </w:p>
    <w:p>
      <w:pPr>
        <w:spacing w:after="0" w:line="187" w:lineRule="exact"/>
        <w:rPr>
          <w:sz w:val="20"/>
          <w:szCs w:val="20"/>
          <w:color w:val="auto"/>
        </w:rPr>
      </w:pPr>
    </w:p>
    <w:p>
      <w:pPr>
        <w:jc w:val="both"/>
        <w:ind w:left="60" w:right="120" w:firstLine="635"/>
        <w:spacing w:after="0" w:line="232" w:lineRule="auto"/>
        <w:tabs>
          <w:tab w:leader="none" w:pos="115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such other documents as the Administrative Agent or the Required Lenders (through the Administrative Agent) may reasonably request (including the additional documents and deliverables described in the list of closing documents attached as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hereto).</w:t>
      </w:r>
    </w:p>
    <w:p>
      <w:pPr>
        <w:spacing w:after="0" w:line="197" w:lineRule="exact"/>
        <w:rPr>
          <w:rFonts w:ascii="Arial" w:cs="Arial" w:eastAsia="Arial" w:hAnsi="Arial"/>
          <w:sz w:val="21"/>
          <w:szCs w:val="21"/>
          <w:color w:val="auto"/>
        </w:rPr>
      </w:pPr>
    </w:p>
    <w:p>
      <w:pPr>
        <w:jc w:val="both"/>
        <w:ind w:left="60" w:right="120" w:firstLine="635"/>
        <w:spacing w:after="0" w:line="239" w:lineRule="auto"/>
        <w:tabs>
          <w:tab w:leader="none" w:pos="11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Administrative Agent shall have received evidence satisfactory to it that the credit facility evidenced by the Existing Credit Agreement shall have been terminated and cancelled and all indebtedness thereunder shall have been fully repaid (except to the extent being so repaid with the initial Loans and except for Existing Letters of Credit) and any and all Liens thereunder shall have been terminated (unless otherwise permitted pursuant to Section 5.19).</w:t>
      </w:r>
    </w:p>
    <w:p>
      <w:pPr>
        <w:spacing w:after="0" w:line="197" w:lineRule="exact"/>
        <w:rPr>
          <w:sz w:val="20"/>
          <w:szCs w:val="20"/>
          <w:color w:val="auto"/>
        </w:rPr>
      </w:pPr>
    </w:p>
    <w:p>
      <w:pPr>
        <w:jc w:val="both"/>
        <w:ind w:left="60" w:right="140"/>
        <w:spacing w:after="0" w:line="244" w:lineRule="auto"/>
        <w:rPr>
          <w:sz w:val="20"/>
          <w:szCs w:val="20"/>
          <w:color w:val="auto"/>
        </w:rPr>
      </w:pPr>
      <w:r>
        <w:rPr>
          <w:rFonts w:ascii="Arial" w:cs="Arial" w:eastAsia="Arial" w:hAnsi="Arial"/>
          <w:sz w:val="21"/>
          <w:szCs w:val="21"/>
          <w:color w:val="auto"/>
        </w:rPr>
        <w:t>The Administrative Agent shall notify the Borrower and the Lenders of the Effective Date, and such notice shall be conclusive and binding.</w:t>
      </w:r>
    </w:p>
    <w:p>
      <w:pPr>
        <w:spacing w:after="0" w:line="179" w:lineRule="exact"/>
        <w:rPr>
          <w:sz w:val="20"/>
          <w:szCs w:val="20"/>
          <w:color w:val="auto"/>
        </w:rPr>
      </w:pPr>
    </w:p>
    <w:p>
      <w:pPr>
        <w:jc w:val="both"/>
        <w:ind w:left="60" w:right="120" w:firstLine="642"/>
        <w:spacing w:after="0" w:line="232" w:lineRule="auto"/>
        <w:rPr>
          <w:sz w:val="20"/>
          <w:szCs w:val="20"/>
          <w:color w:val="auto"/>
        </w:rPr>
      </w:pPr>
      <w:r>
        <w:rPr>
          <w:rFonts w:ascii="Arial" w:cs="Arial" w:eastAsia="Arial" w:hAnsi="Arial"/>
          <w:sz w:val="21"/>
          <w:szCs w:val="21"/>
          <w:color w:val="auto"/>
        </w:rPr>
        <w:t xml:space="preserve">SECTION 4.02. </w:t>
      </w:r>
      <w:r>
        <w:rPr>
          <w:rFonts w:ascii="Arial" w:cs="Arial" w:eastAsia="Arial" w:hAnsi="Arial"/>
          <w:sz w:val="21"/>
          <w:szCs w:val="21"/>
          <w:u w:val="single" w:color="auto"/>
          <w:color w:val="auto"/>
        </w:rPr>
        <w:t>Each Credit Event</w:t>
      </w:r>
      <w:r>
        <w:rPr>
          <w:rFonts w:ascii="Arial" w:cs="Arial" w:eastAsia="Arial" w:hAnsi="Arial"/>
          <w:sz w:val="21"/>
          <w:szCs w:val="21"/>
          <w:color w:val="auto"/>
        </w:rPr>
        <w:t xml:space="preserve"> . The obligation of each Lender to make a Loan on the occasion of any Borrowing, and of each Issuing Bank to issue, amend, renew or extend any Letter of Credit, is subject to the satisfaction of the following conditions:</w:t>
      </w:r>
    </w:p>
    <w:p>
      <w:pPr>
        <w:spacing w:after="0" w:line="198" w:lineRule="exact"/>
        <w:rPr>
          <w:sz w:val="20"/>
          <w:szCs w:val="20"/>
          <w:color w:val="auto"/>
        </w:rPr>
      </w:pPr>
    </w:p>
    <w:p>
      <w:pPr>
        <w:jc w:val="both"/>
        <w:ind w:left="60" w:firstLine="635"/>
        <w:spacing w:after="0" w:line="227" w:lineRule="auto"/>
        <w:tabs>
          <w:tab w:leader="none" w:pos="1266"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representations and warranties of the Borrower set forth in this Agreement shall be true and correct in all material respects (except that any representation and warranty that is qualified by materiality or Material Adverse Effect shall be true and correct in all respects) on and as of the date of such Borrowing or the date of issuance, amendment, renewal or extension of such Letter of Credit, as applicable.</w:t>
      </w:r>
    </w:p>
    <w:p>
      <w:pPr>
        <w:spacing w:after="0" w:line="199" w:lineRule="exact"/>
        <w:rPr>
          <w:rFonts w:ascii="Arial" w:cs="Arial" w:eastAsia="Arial" w:hAnsi="Arial"/>
          <w:sz w:val="21"/>
          <w:szCs w:val="21"/>
          <w:color w:val="auto"/>
        </w:rPr>
      </w:pPr>
    </w:p>
    <w:p>
      <w:pPr>
        <w:ind w:left="60" w:right="120" w:firstLine="635"/>
        <w:spacing w:after="0" w:line="268" w:lineRule="auto"/>
        <w:tabs>
          <w:tab w:leader="none" w:pos="1252" w:val="left"/>
        </w:tabs>
        <w:numPr>
          <w:ilvl w:val="0"/>
          <w:numId w:val="139"/>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Borrowing or the issuance, amendment, renewal or extension of such Letter of Credit, as applicable, no Default or Event of Default shall have occurred and be continuing.</w:t>
      </w:r>
    </w:p>
    <w:p>
      <w:pPr>
        <w:spacing w:after="0" w:line="157" w:lineRule="exact"/>
        <w:rPr>
          <w:sz w:val="20"/>
          <w:szCs w:val="20"/>
          <w:color w:val="auto"/>
        </w:rPr>
      </w:pPr>
    </w:p>
    <w:p>
      <w:pPr>
        <w:jc w:val="both"/>
        <w:ind w:left="60" w:right="140"/>
        <w:spacing w:after="0" w:line="232" w:lineRule="auto"/>
        <w:rPr>
          <w:sz w:val="20"/>
          <w:szCs w:val="20"/>
          <w:color w:val="auto"/>
        </w:rPr>
      </w:pPr>
      <w:r>
        <w:rPr>
          <w:rFonts w:ascii="Arial" w:cs="Arial" w:eastAsia="Arial" w:hAnsi="Arial"/>
          <w:sz w:val="21"/>
          <w:szCs w:val="21"/>
          <w:color w:val="auto"/>
        </w:rPr>
        <w:t>Each Borrowing and each issuance, amendment, renewal or extension of a Letter of Credit shall be deemed to constitute a representation and warranty by the Borrower on the date thereof as to the matters specified in paragraphs (a) and (b) of this Section.</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ARTICLE V</w:t>
      </w: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21"/>
          <w:szCs w:val="21"/>
          <w:u w:val="single" w:color="auto"/>
          <w:color w:val="auto"/>
        </w:rPr>
        <w:t>Affirmative Covenants</w:t>
      </w:r>
    </w:p>
    <w:p>
      <w:pPr>
        <w:spacing w:after="0" w:line="228" w:lineRule="exact"/>
        <w:rPr>
          <w:sz w:val="20"/>
          <w:szCs w:val="20"/>
          <w:color w:val="auto"/>
        </w:rPr>
      </w:pPr>
    </w:p>
    <w:p>
      <w:pPr>
        <w:jc w:val="both"/>
        <w:ind w:left="60" w:right="120" w:firstLine="642"/>
        <w:spacing w:after="0" w:line="227" w:lineRule="auto"/>
        <w:rPr>
          <w:sz w:val="20"/>
          <w:szCs w:val="20"/>
          <w:color w:val="auto"/>
        </w:rPr>
      </w:pPr>
      <w:r>
        <w:rPr>
          <w:rFonts w:ascii="Arial" w:cs="Arial" w:eastAsia="Arial" w:hAnsi="Arial"/>
          <w:sz w:val="21"/>
          <w:szCs w:val="21"/>
          <w:color w:val="auto"/>
        </w:rPr>
        <w:t>Until the Commitments have expired or been terminated and the principal of and interest on each Loan and all fees payable hereunder shall have been paid in full and all Letters of Credit shall have expired or terminated, in each case, without any pending draw, and all LC Disbursements shall have been reimbursed, the Borrower covenants and agrees with the Lenders that it will and will cause it Subsidiaries to:</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99</w:t>
      </w:r>
    </w:p>
    <w:p>
      <w:pPr>
        <w:sectPr>
          <w:pgSz w:w="11900" w:h="16838" w:orient="portrait"/>
          <w:cols w:equalWidth="0" w:num="1">
            <w:col w:w="11160"/>
          </w:cols>
          <w:pgMar w:left="400" w:top="1440" w:right="339" w:bottom="1440" w:gutter="0" w:footer="0" w:header="0"/>
        </w:sectPr>
      </w:pPr>
    </w:p>
    <w:bookmarkStart w:id="189" w:name="page190"/>
    <w:bookmarkEnd w:id="189"/>
    <w:p>
      <w:pPr>
        <w:spacing w:after="0" w:line="194" w:lineRule="exact"/>
        <w:rPr>
          <w:sz w:val="20"/>
          <w:szCs w:val="20"/>
          <w:color w:val="auto"/>
        </w:rPr>
      </w:pPr>
    </w:p>
    <w:p>
      <w:pPr>
        <w:ind w:left="700"/>
        <w:spacing w:after="0"/>
        <w:rPr>
          <w:sz w:val="20"/>
          <w:szCs w:val="20"/>
          <w:color w:val="auto"/>
        </w:rPr>
      </w:pPr>
      <w:r>
        <w:rPr>
          <w:rFonts w:ascii="Arial" w:cs="Arial" w:eastAsia="Arial" w:hAnsi="Arial"/>
          <w:sz w:val="21"/>
          <w:szCs w:val="21"/>
          <w:color w:val="auto"/>
        </w:rPr>
        <w:t xml:space="preserve">SECTION 5.01. </w:t>
      </w:r>
      <w:r>
        <w:rPr>
          <w:rFonts w:ascii="Arial" w:cs="Arial" w:eastAsia="Arial" w:hAnsi="Arial"/>
          <w:sz w:val="21"/>
          <w:szCs w:val="21"/>
          <w:u w:val="single" w:color="auto"/>
          <w:color w:val="auto"/>
        </w:rPr>
        <w:t>Financial Statements and Other Information</w:t>
      </w:r>
      <w:r>
        <w:rPr>
          <w:rFonts w:ascii="Arial" w:cs="Arial" w:eastAsia="Arial" w:hAnsi="Arial"/>
          <w:sz w:val="21"/>
          <w:szCs w:val="21"/>
          <w:color w:val="auto"/>
        </w:rPr>
        <w:t>. Furnish to the Administrative Agent:</w:t>
      </w:r>
    </w:p>
    <w:p>
      <w:pPr>
        <w:spacing w:after="0" w:line="214" w:lineRule="exact"/>
        <w:rPr>
          <w:sz w:val="20"/>
          <w:szCs w:val="20"/>
          <w:color w:val="auto"/>
        </w:rPr>
      </w:pPr>
    </w:p>
    <w:p>
      <w:pPr>
        <w:jc w:val="both"/>
        <w:ind w:left="60" w:right="120" w:firstLine="635"/>
        <w:spacing w:after="0" w:line="229" w:lineRule="auto"/>
        <w:tabs>
          <w:tab w:leader="none" w:pos="1173" w:val="left"/>
        </w:tabs>
        <w:numPr>
          <w:ilvl w:val="0"/>
          <w:numId w:val="140"/>
        </w:numPr>
        <w:rPr>
          <w:rFonts w:ascii="Arial" w:cs="Arial" w:eastAsia="Arial" w:hAnsi="Arial"/>
          <w:sz w:val="20"/>
          <w:szCs w:val="20"/>
          <w:color w:val="auto"/>
        </w:rPr>
      </w:pPr>
      <w:r>
        <w:rPr>
          <w:rFonts w:ascii="Arial" w:cs="Arial" w:eastAsia="Arial" w:hAnsi="Arial"/>
          <w:sz w:val="20"/>
          <w:szCs w:val="20"/>
          <w:color w:val="auto"/>
        </w:rPr>
        <w:t>promptly after being filed with the SEC, but in any event within seventy-five (75) days after the end of each fiscal year of Borrower (or within such shorter time period as the Borrower may be required to file the foregoing with the SEC), a Consolidated balance sheet of Borrower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KPMG US LLP or another independent certified public accounting firm of recognized standing reasonably acceptable to the Administrative Agent, which report and opinion shall be prepared in accordance with generally accepted auditing standards and applicable Securities Laws and shall not be subject to any “going concern” or like qualification or exception or any qualification or exception as to the scope of such audit or with respect to the absence of any material misstatement;</w:t>
      </w:r>
    </w:p>
    <w:p>
      <w:pPr>
        <w:spacing w:after="0" w:line="191" w:lineRule="exact"/>
        <w:rPr>
          <w:rFonts w:ascii="Arial" w:cs="Arial" w:eastAsia="Arial" w:hAnsi="Arial"/>
          <w:sz w:val="20"/>
          <w:szCs w:val="20"/>
          <w:color w:val="auto"/>
        </w:rPr>
      </w:pPr>
    </w:p>
    <w:p>
      <w:pPr>
        <w:jc w:val="both"/>
        <w:ind w:left="60" w:firstLine="635"/>
        <w:spacing w:after="0" w:line="219" w:lineRule="auto"/>
        <w:tabs>
          <w:tab w:leader="none" w:pos="1169" w:val="left"/>
        </w:tabs>
        <w:numPr>
          <w:ilvl w:val="0"/>
          <w:numId w:val="140"/>
        </w:numPr>
        <w:rPr>
          <w:rFonts w:ascii="Arial" w:cs="Arial" w:eastAsia="Arial" w:hAnsi="Arial"/>
          <w:sz w:val="21"/>
          <w:szCs w:val="21"/>
          <w:color w:val="auto"/>
        </w:rPr>
      </w:pPr>
      <w:r>
        <w:rPr>
          <w:rFonts w:ascii="Arial" w:cs="Arial" w:eastAsia="Arial" w:hAnsi="Arial"/>
          <w:sz w:val="21"/>
          <w:szCs w:val="21"/>
          <w:color w:val="auto"/>
        </w:rPr>
        <w:t>promptly after being filed with the SEC, but in any event within forty-five (45) days after the end of each of the first three fiscal quarters of each fiscal year of Borrower, a Consolidated balance sheet of the Borrower and its Subsidiaries as at the end of such fiscal quarter, and the related Consolidated statements of income or operations,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the chief executive officer, chief financial officer, treasurer or controller of the Borrower as fairly presenting the financial condition, results of operations, shareholders’ equity and cash flows of the Borrower and its Subsidiaries in accordance with GAAP, subject only to normal year-end audit adjustments and the absence of footnotes; and</w:t>
      </w:r>
    </w:p>
    <w:p>
      <w:pPr>
        <w:spacing w:after="0" w:line="201" w:lineRule="exact"/>
        <w:rPr>
          <w:rFonts w:ascii="Arial" w:cs="Arial" w:eastAsia="Arial" w:hAnsi="Arial"/>
          <w:sz w:val="21"/>
          <w:szCs w:val="21"/>
          <w:color w:val="auto"/>
        </w:rPr>
      </w:pPr>
    </w:p>
    <w:p>
      <w:pPr>
        <w:jc w:val="both"/>
        <w:ind w:left="60" w:right="120" w:firstLine="635"/>
        <w:spacing w:after="0" w:line="255" w:lineRule="auto"/>
        <w:tabs>
          <w:tab w:leader="none" w:pos="1188"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as soon as available, but in any event at least fifteen (15) days before the end of each fiscal year of the Borrower, forecasts prepared by management of the Borrower, in form satisfactory to the Administrative Agent and the Required Lenders, of Consolidated balance sheets and statements of income or operations of the Borrower and its Subsidiaries for the immediately following fiscal year (including the fiscal year in which the Maturity Date occurs), prepared on an annual basis.</w:t>
      </w:r>
    </w:p>
    <w:p>
      <w:pPr>
        <w:spacing w:after="0" w:line="184" w:lineRule="exact"/>
        <w:rPr>
          <w:sz w:val="20"/>
          <w:szCs w:val="20"/>
          <w:color w:val="auto"/>
        </w:rPr>
      </w:pPr>
    </w:p>
    <w:p>
      <w:pPr>
        <w:jc w:val="both"/>
        <w:ind w:left="60" w:right="120"/>
        <w:spacing w:after="0" w:line="227" w:lineRule="auto"/>
        <w:rPr>
          <w:sz w:val="20"/>
          <w:szCs w:val="20"/>
          <w:color w:val="auto"/>
        </w:rPr>
      </w:pPr>
      <w:r>
        <w:rPr>
          <w:rFonts w:ascii="Arial" w:cs="Arial" w:eastAsia="Arial" w:hAnsi="Arial"/>
          <w:sz w:val="21"/>
          <w:szCs w:val="21"/>
          <w:color w:val="auto"/>
        </w:rPr>
        <w:t>Notwithstanding the foregoing provisions of this Section to the contrary, the Borrower shall not be obligated to provide to the Administrative Agent and the Lenders any financial statements, reports or other information required herein which has been filed with or furnished to the SEC and which is publicly available through the SEC’s electronic data gathering and retrieval system (“</w:t>
      </w:r>
      <w:r>
        <w:rPr>
          <w:rFonts w:ascii="Arial" w:cs="Arial" w:eastAsia="Arial" w:hAnsi="Arial"/>
          <w:sz w:val="21"/>
          <w:szCs w:val="21"/>
          <w:b w:val="1"/>
          <w:bCs w:val="1"/>
          <w:i w:val="1"/>
          <w:iCs w:val="1"/>
          <w:color w:val="auto"/>
        </w:rPr>
        <w:t>EDGAR</w:t>
      </w:r>
      <w:r>
        <w:rPr>
          <w:rFonts w:ascii="Arial" w:cs="Arial" w:eastAsia="Arial" w:hAnsi="Arial"/>
          <w:sz w:val="21"/>
          <w:szCs w:val="21"/>
          <w:color w:val="auto"/>
        </w:rPr>
        <w:t>”).</w:t>
      </w:r>
    </w:p>
    <w:p>
      <w:pPr>
        <w:spacing w:after="0" w:line="186" w:lineRule="exact"/>
        <w:rPr>
          <w:sz w:val="20"/>
          <w:szCs w:val="20"/>
          <w:color w:val="auto"/>
        </w:rPr>
      </w:pPr>
    </w:p>
    <w:p>
      <w:pPr>
        <w:jc w:val="both"/>
        <w:ind w:left="60" w:right="120" w:firstLine="642"/>
        <w:spacing w:after="0" w:line="232" w:lineRule="auto"/>
        <w:rPr>
          <w:sz w:val="20"/>
          <w:szCs w:val="20"/>
          <w:color w:val="auto"/>
        </w:rPr>
      </w:pPr>
      <w:r>
        <w:rPr>
          <w:rFonts w:ascii="Arial" w:cs="Arial" w:eastAsia="Arial" w:hAnsi="Arial"/>
          <w:sz w:val="21"/>
          <w:szCs w:val="21"/>
          <w:color w:val="auto"/>
        </w:rPr>
        <w:t xml:space="preserve">SECTION 5.02. </w:t>
      </w:r>
      <w:r>
        <w:rPr>
          <w:rFonts w:ascii="Arial" w:cs="Arial" w:eastAsia="Arial" w:hAnsi="Arial"/>
          <w:sz w:val="21"/>
          <w:szCs w:val="21"/>
          <w:u w:val="single" w:color="auto"/>
          <w:color w:val="auto"/>
        </w:rPr>
        <w:t>Certificates; Other Information</w:t>
      </w:r>
      <w:r>
        <w:rPr>
          <w:rFonts w:ascii="Arial" w:cs="Arial" w:eastAsia="Arial" w:hAnsi="Arial"/>
          <w:sz w:val="21"/>
          <w:szCs w:val="21"/>
          <w:color w:val="auto"/>
        </w:rPr>
        <w:t>. Deliver to Administrative Agent a sufficient number of copies for delivery by Administrative Agent to each Lender, in form and detail satisfactory to Administrative Agent and the Required Lenders:</w:t>
      </w:r>
    </w:p>
    <w:p>
      <w:pPr>
        <w:spacing w:after="0" w:line="198"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19"/>
          <w:szCs w:val="19"/>
          <w:color w:val="auto"/>
        </w:rPr>
        <w:t>concurrently with the delivery of the financial statements referred to in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100</w:t>
      </w:r>
    </w:p>
    <w:p>
      <w:pPr>
        <w:sectPr>
          <w:pgSz w:w="11900" w:h="16838" w:orient="portrait"/>
          <w:cols w:equalWidth="0" w:num="1">
            <w:col w:w="11160"/>
          </w:cols>
          <w:pgMar w:left="400" w:top="1440" w:right="339" w:bottom="1440" w:gutter="0" w:footer="0" w:header="0"/>
        </w:sectPr>
      </w:pPr>
    </w:p>
    <w:bookmarkStart w:id="190" w:name="page191"/>
    <w:bookmarkEnd w:id="190"/>
    <w:p>
      <w:pPr>
        <w:spacing w:after="0" w:line="194" w:lineRule="exact"/>
        <w:rPr>
          <w:sz w:val="20"/>
          <w:szCs w:val="20"/>
          <w:color w:val="auto"/>
        </w:rPr>
      </w:pPr>
    </w:p>
    <w:p>
      <w:pPr>
        <w:ind w:left="60" w:right="120"/>
        <w:spacing w:after="0" w:line="222" w:lineRule="auto"/>
        <w:rPr>
          <w:sz w:val="20"/>
          <w:szCs w:val="20"/>
          <w:color w:val="auto"/>
        </w:rPr>
      </w:pPr>
      <w:r>
        <w:rPr>
          <w:rFonts w:ascii="Arial" w:cs="Arial" w:eastAsia="Arial" w:hAnsi="Arial"/>
          <w:sz w:val="21"/>
          <w:szCs w:val="21"/>
          <w:color w:val="auto"/>
        </w:rPr>
        <w:t>Sections 5.01(a) and (b), a duly completed Compliance Certificate signed by the chief financial officer or president of the Borrower and, concurrently with the delivery of the financial statements referred to in Section 5.01(a), on an annual basis, the following updated Schedules to this Agreement (which may be attached to the Compliance Certificate) to the extent required to make the representation related to such Schedule true and correct as of the date of such Compliance Certificate: Schedules 3.12(d), 3.13, 3.23, 3.24(b), 3.24(c), 3.24(d)(i), 3.24(d)(ii), 3.24(e), 3.24(f), and 3.24(g) and Schedules to the Security Agreement;</w:t>
      </w:r>
    </w:p>
    <w:p>
      <w:pPr>
        <w:spacing w:after="0" w:line="188" w:lineRule="exact"/>
        <w:rPr>
          <w:sz w:val="20"/>
          <w:szCs w:val="20"/>
          <w:color w:val="auto"/>
        </w:rPr>
      </w:pPr>
    </w:p>
    <w:p>
      <w:pPr>
        <w:jc w:val="both"/>
        <w:ind w:left="60" w:right="140" w:firstLine="635"/>
        <w:spacing w:after="0" w:line="227" w:lineRule="auto"/>
        <w:tabs>
          <w:tab w:leader="none" w:pos="1376" w:val="left"/>
        </w:tabs>
        <w:numPr>
          <w:ilvl w:val="0"/>
          <w:numId w:val="141"/>
        </w:numPr>
        <w:rPr>
          <w:rFonts w:ascii="Arial" w:cs="Arial" w:eastAsia="Arial" w:hAnsi="Arial"/>
          <w:sz w:val="21"/>
          <w:szCs w:val="21"/>
          <w:color w:val="auto"/>
        </w:rPr>
      </w:pPr>
      <w:r>
        <w:rPr>
          <w:rFonts w:ascii="Arial" w:cs="Arial" w:eastAsia="Arial" w:hAnsi="Arial"/>
          <w:sz w:val="21"/>
          <w:szCs w:val="21"/>
          <w:color w:val="auto"/>
        </w:rPr>
        <w:t>promptly after any request by Administrative Agent or any Lender,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w:t>
      </w:r>
    </w:p>
    <w:p>
      <w:pPr>
        <w:spacing w:after="0" w:line="266" w:lineRule="exact"/>
        <w:rPr>
          <w:rFonts w:ascii="Arial" w:cs="Arial" w:eastAsia="Arial" w:hAnsi="Arial"/>
          <w:sz w:val="21"/>
          <w:szCs w:val="21"/>
          <w:color w:val="auto"/>
        </w:rPr>
      </w:pPr>
    </w:p>
    <w:p>
      <w:pPr>
        <w:jc w:val="both"/>
        <w:ind w:left="60" w:firstLine="635"/>
        <w:spacing w:after="0" w:line="255" w:lineRule="auto"/>
        <w:tabs>
          <w:tab w:leader="none" w:pos="115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promptly after the same are available, copies of each annual report, proxy or financial statement, reporting notice, or other report or communication sent to the stockholders of Borrower, and copies of any annual, regular, periodic and special reports and registration statements which Borrower may file or be required to file with the SEC under Section 13 or 15(d) of the Securities Exchange Act of 1934, and not otherwise required to be delivered to Administrative Agent pursuant hereto;</w:t>
      </w:r>
    </w:p>
    <w:p>
      <w:pPr>
        <w:spacing w:after="0" w:line="184" w:lineRule="exact"/>
        <w:rPr>
          <w:rFonts w:ascii="Arial" w:cs="Arial" w:eastAsia="Arial" w:hAnsi="Arial"/>
          <w:sz w:val="19"/>
          <w:szCs w:val="19"/>
          <w:color w:val="auto"/>
        </w:rPr>
      </w:pPr>
    </w:p>
    <w:p>
      <w:pPr>
        <w:jc w:val="both"/>
        <w:ind w:left="60" w:right="140" w:firstLine="635"/>
        <w:spacing w:after="0" w:line="246" w:lineRule="auto"/>
        <w:tabs>
          <w:tab w:leader="none" w:pos="1167"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promptly after the furnishing thereof, copies of any statement or report furnished to any holder of debt securities of any Loan Party or any Subsidiary thereof pursuant to the terms of any indenture, loan or credit or similar agreement and not otherwise required to be furnished to the Lenders pursuant to any other clause of this </w:t>
      </w:r>
      <w:r>
        <w:rPr>
          <w:rFonts w:ascii="Arial" w:cs="Arial" w:eastAsia="Arial" w:hAnsi="Arial"/>
          <w:sz w:val="20"/>
          <w:szCs w:val="20"/>
          <w:u w:val="single" w:color="auto"/>
          <w:color w:val="auto"/>
        </w:rPr>
        <w:t>Section 5.01</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jc w:val="both"/>
        <w:ind w:left="60" w:firstLine="635"/>
        <w:spacing w:after="0" w:line="239" w:lineRule="auto"/>
        <w:tabs>
          <w:tab w:leader="none" w:pos="1185" w:val="left"/>
        </w:tabs>
        <w:numPr>
          <w:ilvl w:val="0"/>
          <w:numId w:val="141"/>
        </w:numPr>
        <w:rPr>
          <w:rFonts w:ascii="Arial" w:cs="Arial" w:eastAsia="Arial" w:hAnsi="Arial"/>
          <w:sz w:val="20"/>
          <w:szCs w:val="20"/>
          <w:color w:val="auto"/>
        </w:rPr>
      </w:pPr>
      <w:r>
        <w:rPr>
          <w:rFonts w:ascii="Arial" w:cs="Arial" w:eastAsia="Arial" w:hAnsi="Arial"/>
          <w:sz w:val="20"/>
          <w:szCs w:val="20"/>
          <w:color w:val="auto"/>
        </w:rPr>
        <w:t>promptly, and in any event within five (5) Business Days after receipt thereof by any Loan Party or any Subsidiary thereof, copies of each notice or other correspondence received from the Securities and Exchange Commission (or comparable agency in any applicable non-U.S. jurisdiction) concerning any investigation or possible investigation or other inquiry by such agency regarding financial or other operational results of any Loan Party or any Subsidiary thereof;</w:t>
      </w:r>
    </w:p>
    <w:p>
      <w:pPr>
        <w:spacing w:after="0" w:line="183" w:lineRule="exact"/>
        <w:rPr>
          <w:rFonts w:ascii="Arial" w:cs="Arial" w:eastAsia="Arial" w:hAnsi="Arial"/>
          <w:sz w:val="20"/>
          <w:szCs w:val="20"/>
          <w:color w:val="auto"/>
        </w:rPr>
      </w:pPr>
    </w:p>
    <w:p>
      <w:pPr>
        <w:jc w:val="both"/>
        <w:ind w:left="60" w:firstLine="635"/>
        <w:spacing w:after="0" w:line="265" w:lineRule="auto"/>
        <w:tabs>
          <w:tab w:leader="none" w:pos="1385" w:val="left"/>
        </w:tabs>
        <w:numPr>
          <w:ilvl w:val="0"/>
          <w:numId w:val="141"/>
        </w:numPr>
        <w:rPr>
          <w:rFonts w:ascii="Arial" w:cs="Arial" w:eastAsia="Arial" w:hAnsi="Arial"/>
          <w:sz w:val="19"/>
          <w:szCs w:val="19"/>
          <w:color w:val="auto"/>
        </w:rPr>
      </w:pPr>
      <w:r>
        <w:rPr>
          <w:rFonts w:ascii="Arial" w:cs="Arial" w:eastAsia="Arial" w:hAnsi="Arial"/>
          <w:sz w:val="19"/>
          <w:szCs w:val="19"/>
          <w:color w:val="auto"/>
        </w:rPr>
        <w:t>promptly following any request therefor, provide information and documentation reasonably requested by Administrative Agent or any Lender for purposes of compliance with applicable “know your customer” and anti-money-laundering rules and regulations, including, without limitation, the PATRIOT Act and the Beneficial Ownership Regulation; and</w:t>
      </w:r>
    </w:p>
    <w:p>
      <w:pPr>
        <w:spacing w:after="0" w:line="174" w:lineRule="exact"/>
        <w:rPr>
          <w:rFonts w:ascii="Arial" w:cs="Arial" w:eastAsia="Arial" w:hAnsi="Arial"/>
          <w:sz w:val="19"/>
          <w:szCs w:val="19"/>
          <w:color w:val="auto"/>
        </w:rPr>
      </w:pPr>
    </w:p>
    <w:p>
      <w:pPr>
        <w:jc w:val="both"/>
        <w:ind w:left="60" w:right="120" w:firstLine="635"/>
        <w:spacing w:after="0" w:line="232" w:lineRule="auto"/>
        <w:tabs>
          <w:tab w:leader="none" w:pos="1184" w:val="left"/>
        </w:tabs>
        <w:numPr>
          <w:ilvl w:val="0"/>
          <w:numId w:val="141"/>
        </w:numPr>
        <w:rPr>
          <w:rFonts w:ascii="Arial" w:cs="Arial" w:eastAsia="Arial" w:hAnsi="Arial"/>
          <w:sz w:val="21"/>
          <w:szCs w:val="21"/>
          <w:color w:val="auto"/>
        </w:rPr>
      </w:pPr>
      <w:r>
        <w:rPr>
          <w:rFonts w:ascii="Arial" w:cs="Arial" w:eastAsia="Arial" w:hAnsi="Arial"/>
          <w:sz w:val="21"/>
          <w:szCs w:val="21"/>
          <w:color w:val="auto"/>
        </w:rPr>
        <w:t>promptly, such additional information regarding the business, financial or corporate affairs of the Borrower or any Subsidiary, or compliance with the terms of the Loan Documents, as Administrative Agent or any Lender may from time to time reasonably request.</w:t>
      </w:r>
    </w:p>
    <w:p>
      <w:pPr>
        <w:spacing w:after="0" w:line="198" w:lineRule="exact"/>
        <w:rPr>
          <w:sz w:val="20"/>
          <w:szCs w:val="20"/>
          <w:color w:val="auto"/>
        </w:rPr>
      </w:pPr>
    </w:p>
    <w:p>
      <w:pPr>
        <w:jc w:val="both"/>
        <w:ind w:left="60" w:right="120"/>
        <w:spacing w:after="0" w:line="232" w:lineRule="auto"/>
        <w:rPr>
          <w:sz w:val="20"/>
          <w:szCs w:val="20"/>
          <w:color w:val="auto"/>
        </w:rPr>
      </w:pPr>
      <w:r>
        <w:rPr>
          <w:rFonts w:ascii="Arial" w:cs="Arial" w:eastAsia="Arial" w:hAnsi="Arial"/>
          <w:sz w:val="21"/>
          <w:szCs w:val="21"/>
          <w:color w:val="auto"/>
        </w:rPr>
        <w:t>Notwithstanding the foregoing provisions of this Section to the contrary, the Borrower shall not be obligated to provide to the Administrative Agent and the Lenders any financial statements, reports or other information required herein which has been filed with or furnished to the SEC and which is publicly available through EDGAR.</w:t>
      </w:r>
    </w:p>
    <w:p>
      <w:pPr>
        <w:spacing w:after="0" w:line="175"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5.03.</w:t>
      </w:r>
      <w:r>
        <w:rPr>
          <w:sz w:val="20"/>
          <w:szCs w:val="20"/>
          <w:color w:val="auto"/>
        </w:rPr>
        <w:tab/>
      </w:r>
      <w:r>
        <w:rPr>
          <w:rFonts w:ascii="Arial" w:cs="Arial" w:eastAsia="Arial" w:hAnsi="Arial"/>
          <w:sz w:val="19"/>
          <w:szCs w:val="19"/>
          <w:u w:val="single" w:color="auto"/>
          <w:color w:val="auto"/>
        </w:rPr>
        <w:t>Notices of Material Events</w:t>
      </w:r>
      <w:r>
        <w:rPr>
          <w:rFonts w:ascii="Arial" w:cs="Arial" w:eastAsia="Arial" w:hAnsi="Arial"/>
          <w:sz w:val="19"/>
          <w:szCs w:val="19"/>
          <w:color w:val="auto"/>
        </w:rPr>
        <w:t>. Promptly, but in any event within five</w:t>
      </w:r>
    </w:p>
    <w:p>
      <w:pPr>
        <w:ind w:left="520" w:hanging="469"/>
        <w:spacing w:after="0"/>
        <w:tabs>
          <w:tab w:leader="none" w:pos="52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Business Days, notify the Administrative Agent and each Lender: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4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101</w:t>
      </w:r>
    </w:p>
    <w:p>
      <w:pPr>
        <w:sectPr>
          <w:pgSz w:w="11900" w:h="16838" w:orient="portrait"/>
          <w:cols w:equalWidth="0" w:num="1">
            <w:col w:w="11160"/>
          </w:cols>
          <w:pgMar w:left="400" w:top="1440" w:right="339" w:bottom="1440" w:gutter="0" w:footer="0" w:header="0"/>
        </w:sectPr>
      </w:pPr>
    </w:p>
    <w:bookmarkStart w:id="191" w:name="page192"/>
    <w:bookmarkEnd w:id="191"/>
    <w:p>
      <w:pPr>
        <w:spacing w:after="0" w:line="194" w:lineRule="exact"/>
        <w:rPr>
          <w:sz w:val="20"/>
          <w:szCs w:val="20"/>
          <w:color w:val="auto"/>
        </w:rPr>
      </w:pPr>
    </w:p>
    <w:p>
      <w:pPr>
        <w:ind w:left="1140" w:hanging="445"/>
        <w:spacing w:after="0"/>
        <w:tabs>
          <w:tab w:leader="none" w:pos="114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of the occurrence of any Default;</w:t>
      </w:r>
    </w:p>
    <w:p>
      <w:pPr>
        <w:spacing w:after="0" w:line="214" w:lineRule="exact"/>
        <w:rPr>
          <w:rFonts w:ascii="Arial" w:cs="Arial" w:eastAsia="Arial" w:hAnsi="Arial"/>
          <w:sz w:val="21"/>
          <w:szCs w:val="21"/>
          <w:color w:val="auto"/>
        </w:rPr>
      </w:pPr>
    </w:p>
    <w:p>
      <w:pPr>
        <w:ind w:left="1160" w:hanging="465"/>
        <w:spacing w:after="0"/>
        <w:tabs>
          <w:tab w:leader="none" w:pos="116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of any matter that has resulted or could reasonably be expected to result in a Material Adverse Effect;</w:t>
      </w:r>
    </w:p>
    <w:p>
      <w:pPr>
        <w:spacing w:after="0" w:line="227" w:lineRule="exact"/>
        <w:rPr>
          <w:rFonts w:ascii="Arial" w:cs="Arial" w:eastAsia="Arial" w:hAnsi="Arial"/>
          <w:sz w:val="21"/>
          <w:szCs w:val="21"/>
          <w:color w:val="auto"/>
        </w:rPr>
      </w:pPr>
    </w:p>
    <w:p>
      <w:pPr>
        <w:ind w:left="1140" w:hanging="445"/>
        <w:spacing w:after="0"/>
        <w:tabs>
          <w:tab w:leader="none" w:pos="114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of the occurrence of any ERISA Event;</w:t>
      </w:r>
    </w:p>
    <w:p>
      <w:pPr>
        <w:spacing w:after="0" w:line="214" w:lineRule="exact"/>
        <w:rPr>
          <w:rFonts w:ascii="Arial" w:cs="Arial" w:eastAsia="Arial" w:hAnsi="Arial"/>
          <w:sz w:val="21"/>
          <w:szCs w:val="21"/>
          <w:color w:val="auto"/>
        </w:rPr>
      </w:pPr>
    </w:p>
    <w:p>
      <w:pPr>
        <w:ind w:left="1160" w:hanging="465"/>
        <w:spacing w:after="0"/>
        <w:tabs>
          <w:tab w:leader="none" w:pos="11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of any material change in accounting policies or financial reporting practices by the Borrower or any Subsidiary;</w:t>
      </w:r>
    </w:p>
    <w:p>
      <w:pPr>
        <w:spacing w:after="0" w:line="239" w:lineRule="exact"/>
        <w:rPr>
          <w:rFonts w:ascii="Arial" w:cs="Arial" w:eastAsia="Arial" w:hAnsi="Arial"/>
          <w:sz w:val="20"/>
          <w:szCs w:val="20"/>
          <w:color w:val="auto"/>
        </w:rPr>
      </w:pPr>
    </w:p>
    <w:p>
      <w:pPr>
        <w:ind w:left="1140" w:hanging="445"/>
        <w:spacing w:after="0"/>
        <w:tabs>
          <w:tab w:leader="none" w:pos="114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of the Borrower’s determination at any time of the occurrence or existence of any Internal Control Event; and</w:t>
      </w:r>
    </w:p>
    <w:p>
      <w:pPr>
        <w:spacing w:after="0" w:line="239" w:lineRule="exact"/>
        <w:rPr>
          <w:rFonts w:ascii="Arial" w:cs="Arial" w:eastAsia="Arial" w:hAnsi="Arial"/>
          <w:sz w:val="20"/>
          <w:szCs w:val="20"/>
          <w:color w:val="auto"/>
        </w:rPr>
      </w:pPr>
    </w:p>
    <w:p>
      <w:pPr>
        <w:ind w:left="1120" w:hanging="425"/>
        <w:spacing w:after="0"/>
        <w:tabs>
          <w:tab w:leader="none" w:pos="112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of any change in the Beneficial Ownership Certification most recently provided to each Lender.</w:t>
      </w:r>
    </w:p>
    <w:p>
      <w:pPr>
        <w:spacing w:after="0" w:line="228"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Each notice pursuant to this Section 5.03 shall be accompanied by a statement of a Responsible Officer of the Borrower setting forth details of the occurrence referred to therein and, to the extent applicable, stating what action the Borrower has taken and proposes to take with respect thereto. Each notice pursuant to Section 5.03(a) shall describe with particularity any and all provisions of this Agreement and any other Loan Document that have been breached.</w:t>
      </w:r>
    </w:p>
    <w:p>
      <w:pPr>
        <w:spacing w:after="0" w:line="186" w:lineRule="exact"/>
        <w:rPr>
          <w:sz w:val="20"/>
          <w:szCs w:val="20"/>
          <w:color w:val="auto"/>
        </w:rPr>
      </w:pPr>
    </w:p>
    <w:p>
      <w:pPr>
        <w:jc w:val="both"/>
        <w:ind w:left="60" w:firstLine="642"/>
        <w:spacing w:after="0" w:line="247"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Pay and discharge as the same shall become due and payable, its obligations and liabilities in excess of $500,000,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 (b) all lawful claims which, if unpaid, would by law become a Lien upon its property; and (c) all Indebtedness, as and when due and payable, but subject to any subordination provisions contained in any instrument or agreement evidencing such Indebtedness.</w:t>
      </w:r>
    </w:p>
    <w:p>
      <w:pPr>
        <w:spacing w:after="0" w:line="192" w:lineRule="exact"/>
        <w:rPr>
          <w:sz w:val="20"/>
          <w:szCs w:val="20"/>
          <w:color w:val="auto"/>
        </w:rPr>
      </w:pPr>
    </w:p>
    <w:p>
      <w:pPr>
        <w:jc w:val="both"/>
        <w:ind w:left="60" w:firstLine="642"/>
        <w:spacing w:after="0" w:line="234" w:lineRule="auto"/>
        <w:rPr>
          <w:sz w:val="20"/>
          <w:szCs w:val="20"/>
          <w:color w:val="auto"/>
        </w:rPr>
      </w:pPr>
      <w:r>
        <w:rPr>
          <w:rFonts w:ascii="Arial" w:cs="Arial" w:eastAsia="Arial" w:hAnsi="Arial"/>
          <w:sz w:val="20"/>
          <w:szCs w:val="20"/>
          <w:color w:val="auto"/>
        </w:rPr>
        <w:t xml:space="preserve">SECTION 5.05. </w:t>
      </w:r>
      <w:r>
        <w:rPr>
          <w:rFonts w:ascii="Arial" w:cs="Arial" w:eastAsia="Arial" w:hAnsi="Arial"/>
          <w:sz w:val="20"/>
          <w:szCs w:val="20"/>
          <w:u w:val="single" w:color="auto"/>
          <w:color w:val="auto"/>
        </w:rPr>
        <w:t>Preservation of Existence, Etc</w:t>
      </w:r>
      <w:r>
        <w:rPr>
          <w:rFonts w:ascii="Arial" w:cs="Arial" w:eastAsia="Arial" w:hAnsi="Arial"/>
          <w:sz w:val="20"/>
          <w:szCs w:val="20"/>
          <w:color w:val="auto"/>
        </w:rPr>
        <w:t>. Preserve, renew and maintain in full force and effect its legal existence and good standing under the Laws of the jurisdiction of its organization except in a transaction permitted by Section 6.04 or 6.05;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any registered patents, trademarks, trade names and service marks, the non-preservation of which could reasonably be expected to have a Material Adverse Effect.</w:t>
      </w:r>
    </w:p>
    <w:p>
      <w:pPr>
        <w:spacing w:after="0" w:line="196"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 xml:space="preserve">SECTION 5.06. </w:t>
      </w:r>
      <w:r>
        <w:rPr>
          <w:rFonts w:ascii="Arial" w:cs="Arial" w:eastAsia="Arial" w:hAnsi="Arial"/>
          <w:sz w:val="21"/>
          <w:szCs w:val="21"/>
          <w:u w:val="single" w:color="auto"/>
          <w:color w:val="auto"/>
        </w:rPr>
        <w:t>Maintenance of Properties</w:t>
      </w:r>
      <w:r>
        <w:rPr>
          <w:rFonts w:ascii="Arial" w:cs="Arial" w:eastAsia="Arial" w:hAnsi="Arial"/>
          <w:sz w:val="21"/>
          <w:szCs w:val="21"/>
          <w:color w:val="auto"/>
        </w:rPr>
        <w:t>. Maintain, preserve and protect all of its material properties and equipment necessary in the 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spacing w:after="0" w:line="186"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 xml:space="preserve">SECTION 5.07. </w:t>
      </w:r>
      <w:r>
        <w:rPr>
          <w:rFonts w:ascii="Arial" w:cs="Arial" w:eastAsia="Arial" w:hAnsi="Arial"/>
          <w:sz w:val="21"/>
          <w:szCs w:val="21"/>
          <w:u w:val="single" w:color="auto"/>
          <w:color w:val="auto"/>
        </w:rPr>
        <w:t>Maintenance of Insurance</w:t>
      </w:r>
      <w:r>
        <w:rPr>
          <w:rFonts w:ascii="Arial" w:cs="Arial" w:eastAsia="Arial" w:hAnsi="Arial"/>
          <w:sz w:val="21"/>
          <w:szCs w:val="21"/>
          <w:color w:val="auto"/>
        </w:rPr>
        <w:t xml:space="preserve"> . Maintain with financially sound and reputable insurance companies not Affiliates of the Borrower, insurance with respect to its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color w:val="auto"/>
        </w:rPr>
        <w:t>102</w:t>
      </w:r>
    </w:p>
    <w:p>
      <w:pPr>
        <w:sectPr>
          <w:pgSz w:w="11900" w:h="16838" w:orient="portrait"/>
          <w:cols w:equalWidth="0" w:num="1">
            <w:col w:w="11040"/>
          </w:cols>
          <w:pgMar w:left="400" w:top="1440" w:right="459" w:bottom="1440" w:gutter="0" w:footer="0" w:header="0"/>
        </w:sectPr>
      </w:pPr>
    </w:p>
    <w:bookmarkStart w:id="192" w:name="page193"/>
    <w:bookmarkEnd w:id="192"/>
    <w:p>
      <w:pPr>
        <w:spacing w:after="0" w:line="194" w:lineRule="exact"/>
        <w:rPr>
          <w:sz w:val="20"/>
          <w:szCs w:val="20"/>
          <w:color w:val="auto"/>
        </w:rPr>
      </w:pPr>
    </w:p>
    <w:p>
      <w:pPr>
        <w:jc w:val="both"/>
        <w:ind w:left="60" w:right="120"/>
        <w:spacing w:after="0" w:line="228" w:lineRule="auto"/>
        <w:rPr>
          <w:sz w:val="20"/>
          <w:szCs w:val="20"/>
          <w:color w:val="auto"/>
        </w:rPr>
      </w:pPr>
      <w:r>
        <w:rPr>
          <w:rFonts w:ascii="Arial" w:cs="Arial" w:eastAsia="Arial" w:hAnsi="Arial"/>
          <w:sz w:val="20"/>
          <w:szCs w:val="20"/>
          <w:color w:val="auto"/>
        </w:rPr>
        <w:t>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 and providing for not less than ten (10) days’ prior notice to the Administrative Agent of termination, lapse or cancellation of such insurance (thirty</w:t>
      </w:r>
    </w:p>
    <w:p>
      <w:pPr>
        <w:spacing w:after="0" w:line="2" w:lineRule="exact"/>
        <w:rPr>
          <w:sz w:val="20"/>
          <w:szCs w:val="20"/>
          <w:color w:val="auto"/>
        </w:rPr>
      </w:pPr>
    </w:p>
    <w:p>
      <w:pPr>
        <w:jc w:val="both"/>
        <w:ind w:left="60" w:right="120" w:hanging="8"/>
        <w:spacing w:after="0" w:line="234" w:lineRule="auto"/>
        <w:tabs>
          <w:tab w:leader="none" w:pos="65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days for nonpayment of premium). The Borrower shall cause its carriers to name the Administrative Agent as additional insured and, in the case of property or casualty insurance for all tangible Collateral, first loss payee, and shall provide the Administrative Agent with a certificate or certificates evidencing such coverages and the payment of premiums therefore, on or before the Effective Date and at such times as the insurance in question is modified or renewed.</w:t>
      </w:r>
    </w:p>
    <w:p>
      <w:pPr>
        <w:spacing w:after="0" w:line="184" w:lineRule="exact"/>
        <w:rPr>
          <w:sz w:val="20"/>
          <w:szCs w:val="20"/>
          <w:color w:val="auto"/>
        </w:rPr>
      </w:pPr>
    </w:p>
    <w:p>
      <w:pPr>
        <w:jc w:val="both"/>
        <w:ind w:left="60" w:right="120" w:firstLine="642"/>
        <w:spacing w:after="0" w:line="247"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xml:space="preserve"> . (a) Comply in all material respects with the requirements of all Laws and all orders, writs, injunctions and decrees applicable to it or to its business or property, except in such instances in which (i) such requirement of Law or order, writ, injunction or decree is being contested in good faith by appropriate proceedings diligently conducted or (ii) the failure to comply therewith could not reasonably be expected to have a Material Adverse Effect; and (b) maintain in effect and enforce policies and procedures designed to ensure compliance by the Borrower, its Subsidiaries and their respective directors, officers, employees and agents with Anti-Corruption Laws and applicable Sanctions.</w:t>
      </w:r>
    </w:p>
    <w:p>
      <w:pPr>
        <w:spacing w:after="0" w:line="179" w:lineRule="exact"/>
        <w:rPr>
          <w:sz w:val="20"/>
          <w:szCs w:val="20"/>
          <w:color w:val="auto"/>
        </w:rPr>
      </w:pPr>
    </w:p>
    <w:p>
      <w:pPr>
        <w:jc w:val="both"/>
        <w:ind w:left="60" w:right="120" w:firstLine="642"/>
        <w:spacing w:after="0" w:line="234" w:lineRule="auto"/>
        <w:rPr>
          <w:sz w:val="20"/>
          <w:szCs w:val="20"/>
          <w:color w:val="auto"/>
        </w:rPr>
      </w:pPr>
      <w:r>
        <w:rPr>
          <w:rFonts w:ascii="Arial" w:cs="Arial" w:eastAsia="Arial" w:hAnsi="Arial"/>
          <w:sz w:val="20"/>
          <w:szCs w:val="20"/>
          <w:color w:val="auto"/>
        </w:rPr>
        <w:t xml:space="preserve">SECTION 5.09. </w:t>
      </w:r>
      <w:r>
        <w:rPr>
          <w:rFonts w:ascii="Arial" w:cs="Arial" w:eastAsia="Arial" w:hAnsi="Arial"/>
          <w:sz w:val="20"/>
          <w:szCs w:val="20"/>
          <w:u w:val="single" w:color="auto"/>
          <w:color w:val="auto"/>
        </w:rPr>
        <w:t>Books and Records</w:t>
      </w:r>
      <w:r>
        <w:rPr>
          <w:rFonts w:ascii="Arial" w:cs="Arial" w:eastAsia="Arial" w:hAnsi="Arial"/>
          <w:sz w:val="20"/>
          <w:szCs w:val="20"/>
          <w:color w:val="auto"/>
        </w:rPr>
        <w:t>. Maintain (a) proper books of record and account, in which full, true and correct entries in conformity with GAAP consistently applied shall be made of all financial transactions and matters involving the assets and business of the Borrower or such Subsidiary, as the case may be and (b) such books of record and account in material conformity with all applicable requirements of any Governmental Authority having regulatory jurisdiction over Borrower or such Subsidiary, as the case may be. The Borrower shall maintain at all times books and records pertaining to the Collateral in such detail, form and scope as the Administrative Agent or any Lender shall reasonably require.</w:t>
      </w:r>
    </w:p>
    <w:p>
      <w:pPr>
        <w:spacing w:after="0" w:line="196"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5.10.</w:t>
      </w:r>
      <w:r>
        <w:rPr>
          <w:sz w:val="20"/>
          <w:szCs w:val="20"/>
          <w:color w:val="auto"/>
        </w:rPr>
        <w:tab/>
      </w:r>
      <w:r>
        <w:rPr>
          <w:rFonts w:ascii="Arial" w:cs="Arial" w:eastAsia="Arial" w:hAnsi="Arial"/>
          <w:sz w:val="19"/>
          <w:szCs w:val="19"/>
          <w:u w:val="single" w:color="auto"/>
          <w:color w:val="auto"/>
        </w:rPr>
        <w:t>Inspection Rights</w:t>
      </w:r>
      <w:r>
        <w:rPr>
          <w:rFonts w:ascii="Arial" w:cs="Arial" w:eastAsia="Arial" w:hAnsi="Arial"/>
          <w:sz w:val="19"/>
          <w:szCs w:val="19"/>
          <w:color w:val="auto"/>
        </w:rPr>
        <w:t>.</w:t>
      </w:r>
    </w:p>
    <w:p>
      <w:pPr>
        <w:spacing w:after="0" w:line="214" w:lineRule="exact"/>
        <w:rPr>
          <w:sz w:val="20"/>
          <w:szCs w:val="20"/>
          <w:color w:val="auto"/>
        </w:rPr>
      </w:pPr>
    </w:p>
    <w:p>
      <w:pPr>
        <w:jc w:val="both"/>
        <w:ind w:left="60" w:right="120" w:firstLine="635"/>
        <w:spacing w:after="0" w:line="232" w:lineRule="auto"/>
        <w:tabs>
          <w:tab w:leader="none" w:pos="1280" w:val="left"/>
        </w:tabs>
        <w:numPr>
          <w:ilvl w:val="1"/>
          <w:numId w:val="145"/>
        </w:numPr>
        <w:rPr>
          <w:rFonts w:ascii="Arial" w:cs="Arial" w:eastAsia="Arial" w:hAnsi="Arial"/>
          <w:sz w:val="20"/>
          <w:szCs w:val="20"/>
          <w:color w:val="auto"/>
        </w:rPr>
      </w:pPr>
      <w:r>
        <w:rPr>
          <w:rFonts w:ascii="Arial" w:cs="Arial" w:eastAsia="Arial" w:hAnsi="Arial"/>
          <w:sz w:val="20"/>
          <w:szCs w:val="20"/>
          <w:color w:val="auto"/>
        </w:rPr>
        <w:t xml:space="preserve">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Borrower and at such reasonable times during normal business hours and as often as may be reasonably desired, upon reasonable advance notice to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when an Event of Default exists the Administrative Agent or any Lender (or any of their respective representatives or independent contractors) may do any of the foregoing at the expense of Borrower at any time during normal business hours and without advance notice.</w:t>
      </w:r>
    </w:p>
    <w:p>
      <w:pPr>
        <w:spacing w:after="0" w:line="186" w:lineRule="exact"/>
        <w:rPr>
          <w:rFonts w:ascii="Arial" w:cs="Arial" w:eastAsia="Arial" w:hAnsi="Arial"/>
          <w:sz w:val="20"/>
          <w:szCs w:val="20"/>
          <w:color w:val="auto"/>
        </w:rPr>
      </w:pPr>
    </w:p>
    <w:p>
      <w:pPr>
        <w:jc w:val="both"/>
        <w:ind w:left="60" w:firstLine="635"/>
        <w:spacing w:after="0" w:line="219" w:lineRule="auto"/>
        <w:tabs>
          <w:tab w:leader="none" w:pos="1415" w:val="left"/>
        </w:tabs>
        <w:numPr>
          <w:ilvl w:val="1"/>
          <w:numId w:val="145"/>
        </w:numPr>
        <w:rPr>
          <w:rFonts w:ascii="Arial" w:cs="Arial" w:eastAsia="Arial" w:hAnsi="Arial"/>
          <w:sz w:val="21"/>
          <w:szCs w:val="21"/>
          <w:color w:val="auto"/>
        </w:rPr>
      </w:pPr>
      <w:r>
        <w:rPr>
          <w:rFonts w:ascii="Arial" w:cs="Arial" w:eastAsia="Arial" w:hAnsi="Arial"/>
          <w:sz w:val="21"/>
          <w:szCs w:val="21"/>
          <w:color w:val="auto"/>
        </w:rPr>
        <w:t>If requested by the Administrative Agent in its sole discretion, permit the Administrative Agent and its representatives, upon reasonable advance notice to the Borrower, to conduct, at the expense of the Borrower, an annual (i.e., not more frequently than once per twelve</w:t>
      </w:r>
    </w:p>
    <w:p>
      <w:pPr>
        <w:ind w:left="60" w:right="120" w:hanging="8"/>
        <w:spacing w:after="0" w:line="233" w:lineRule="auto"/>
        <w:tabs>
          <w:tab w:leader="none" w:pos="668" w:val="left"/>
        </w:tabs>
        <w:numPr>
          <w:ilvl w:val="0"/>
          <w:numId w:val="146"/>
        </w:numPr>
        <w:rPr>
          <w:rFonts w:ascii="Arial" w:cs="Arial" w:eastAsia="Arial" w:hAnsi="Arial"/>
          <w:sz w:val="21"/>
          <w:szCs w:val="21"/>
          <w:color w:val="auto"/>
        </w:rPr>
      </w:pPr>
      <w:r>
        <w:rPr>
          <w:rFonts w:ascii="Arial" w:cs="Arial" w:eastAsia="Arial" w:hAnsi="Arial"/>
          <w:sz w:val="21"/>
          <w:szCs w:val="21"/>
          <w:color w:val="auto"/>
        </w:rPr>
        <w:t xml:space="preserve">month period) field exam on the accounts receivable, inventory, payables, controls and systems of the Borrower and its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at any time while an Event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1"/>
          <w:szCs w:val="21"/>
          <w:color w:val="auto"/>
        </w:rPr>
        <w:t>103</w:t>
      </w:r>
    </w:p>
    <w:p>
      <w:pPr>
        <w:sectPr>
          <w:pgSz w:w="11900" w:h="16838" w:orient="portrait"/>
          <w:cols w:equalWidth="0" w:num="1">
            <w:col w:w="11160"/>
          </w:cols>
          <w:pgMar w:left="400" w:top="1440" w:right="339" w:bottom="1440" w:gutter="0" w:footer="0" w:header="0"/>
        </w:sectPr>
      </w:pPr>
    </w:p>
    <w:bookmarkStart w:id="193" w:name="page194"/>
    <w:bookmarkEnd w:id="193"/>
    <w:p>
      <w:pPr>
        <w:spacing w:after="0" w:line="194" w:lineRule="exact"/>
        <w:rPr>
          <w:sz w:val="20"/>
          <w:szCs w:val="20"/>
          <w:color w:val="auto"/>
        </w:rPr>
      </w:pPr>
    </w:p>
    <w:p>
      <w:pPr>
        <w:ind w:left="60" w:right="200"/>
        <w:spacing w:after="0" w:line="244" w:lineRule="auto"/>
        <w:rPr>
          <w:sz w:val="20"/>
          <w:szCs w:val="20"/>
          <w:color w:val="auto"/>
        </w:rPr>
      </w:pPr>
      <w:r>
        <w:rPr>
          <w:rFonts w:ascii="Arial" w:cs="Arial" w:eastAsia="Arial" w:hAnsi="Arial"/>
          <w:sz w:val="21"/>
          <w:szCs w:val="21"/>
          <w:color w:val="auto"/>
        </w:rPr>
        <w:t>of Default has occurred and is continuing, the Administrative Agent shall not be limited to one such field exam per twelve (12) month period.</w:t>
      </w:r>
    </w:p>
    <w:p>
      <w:pPr>
        <w:spacing w:after="0" w:line="179" w:lineRule="exact"/>
        <w:rPr>
          <w:sz w:val="20"/>
          <w:szCs w:val="20"/>
          <w:color w:val="auto"/>
        </w:rPr>
      </w:pPr>
    </w:p>
    <w:p>
      <w:pPr>
        <w:jc w:val="both"/>
        <w:ind w:left="60" w:right="120" w:firstLine="642"/>
        <w:spacing w:after="0" w:line="228" w:lineRule="auto"/>
        <w:rPr>
          <w:sz w:val="20"/>
          <w:szCs w:val="20"/>
          <w:color w:val="auto"/>
        </w:rPr>
      </w:pPr>
      <w:r>
        <w:rPr>
          <w:rFonts w:ascii="Arial" w:cs="Arial" w:eastAsia="Arial" w:hAnsi="Arial"/>
          <w:sz w:val="20"/>
          <w:szCs w:val="20"/>
          <w:color w:val="auto"/>
        </w:rPr>
        <w:t xml:space="preserve">SECTION 5.11. </w:t>
      </w:r>
      <w:r>
        <w:rPr>
          <w:rFonts w:ascii="Arial" w:cs="Arial" w:eastAsia="Arial" w:hAnsi="Arial"/>
          <w:sz w:val="20"/>
          <w:szCs w:val="20"/>
          <w:u w:val="single" w:color="auto"/>
          <w:color w:val="auto"/>
        </w:rPr>
        <w:t>Use of Proceeds</w:t>
      </w:r>
      <w:r>
        <w:rPr>
          <w:rFonts w:ascii="Arial" w:cs="Arial" w:eastAsia="Arial" w:hAnsi="Arial"/>
          <w:sz w:val="20"/>
          <w:szCs w:val="20"/>
          <w:color w:val="auto"/>
        </w:rPr>
        <w:t xml:space="preserve">. The proceeds of the Loans and Letter of Credit will be used only to finance the </w:t>
      </w:r>
      <w:r>
        <w:rPr>
          <w:rFonts w:ascii="Arial" w:cs="Arial" w:eastAsia="Arial" w:hAnsi="Arial"/>
          <w:sz w:val="18"/>
          <w:szCs w:val="18"/>
          <w:color w:val="auto"/>
        </w:rPr>
        <w:t>working capital and other lawful corporate purposes of the Borrower and its Subsidiaries, including, without limitation, refinancing Indebtedness under the Existing Credit Agreement and financing Permitted Acquisitions</w:t>
      </w:r>
      <w:r>
        <w:rPr>
          <w:rFonts w:ascii="Arial" w:cs="Arial" w:eastAsia="Arial" w:hAnsi="Arial"/>
          <w:sz w:val="20"/>
          <w:szCs w:val="20"/>
          <w:color w:val="auto"/>
        </w:rPr>
        <w:t>. No part of the proceeds of any Loan will be</w:t>
      </w:r>
      <w:r>
        <w:rPr>
          <w:rFonts w:ascii="Arial" w:cs="Arial" w:eastAsia="Arial" w:hAnsi="Arial"/>
          <w:sz w:val="18"/>
          <w:szCs w:val="18"/>
          <w:color w:val="auto"/>
        </w:rPr>
        <w:t xml:space="preserve"> </w:t>
      </w:r>
      <w:r>
        <w:rPr>
          <w:rFonts w:ascii="Arial" w:cs="Arial" w:eastAsia="Arial" w:hAnsi="Arial"/>
          <w:sz w:val="20"/>
          <w:szCs w:val="20"/>
          <w:color w:val="auto"/>
        </w:rPr>
        <w:t>used, whether directly or indirectly, for any purpose that entails a violation of any of the regulations of the Federal Reserve Board, including Regulations T, U and X. The Borrower will not request any Borrowing or Letter of Credit, and the Borrower shall not use the proceeds of any Borrowing or Letter of Credit (A) in furtherance of an offer, payment, promise to pay, or authorization of the payment or giving of money, or anything else of value, to any Person in violation of any Anti- 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188"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5.12.</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w:t>
      </w:r>
    </w:p>
    <w:p>
      <w:pPr>
        <w:spacing w:after="0" w:line="228" w:lineRule="exact"/>
        <w:rPr>
          <w:sz w:val="20"/>
          <w:szCs w:val="20"/>
          <w:color w:val="auto"/>
        </w:rPr>
      </w:pPr>
    </w:p>
    <w:p>
      <w:pPr>
        <w:jc w:val="both"/>
        <w:ind w:left="60" w:firstLine="635"/>
        <w:spacing w:after="0" w:line="216" w:lineRule="auto"/>
        <w:tabs>
          <w:tab w:leader="none" w:pos="1195"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Senior Secured Leverage Ratio</w:t>
      </w:r>
      <w:r>
        <w:rPr>
          <w:rFonts w:ascii="Arial" w:cs="Arial" w:eastAsia="Arial" w:hAnsi="Arial"/>
          <w:sz w:val="21"/>
          <w:szCs w:val="21"/>
          <w:color w:val="auto"/>
        </w:rPr>
        <w:t xml:space="preserve">. The Borrower shall maintain, on a Consolidated basis as of the end of each of the Borrower’s fiscal quarters, commencing with the fiscal quarter ending September 30, 2022, a Senior Secured Leverage Ratio not exceeding (i) 4.00 to 1.00, determined as of the end of each of its fiscal quarters ending on September 30, 2022, December 31, 2022, March 31, 2023 and June 30, 2023, and (ii) 3.75 to 1.00, for each fiscal quarter ending thereafter; </w:t>
      </w:r>
      <w:r>
        <w:rPr>
          <w:rFonts w:ascii="Arial" w:cs="Arial" w:eastAsia="Arial" w:hAnsi="Arial"/>
          <w:sz w:val="21"/>
          <w:szCs w:val="21"/>
          <w:u w:val="single" w:color="auto"/>
          <w:color w:val="auto"/>
        </w:rPr>
        <w:t>provided</w:t>
      </w:r>
      <w:r>
        <w:rPr>
          <w:rFonts w:ascii="Arial" w:cs="Arial" w:eastAsia="Arial" w:hAnsi="Arial"/>
          <w:sz w:val="21"/>
          <w:szCs w:val="21"/>
          <w:color w:val="auto"/>
        </w:rPr>
        <w:t>, that, at any time the Senior Secured Leverage Ratio is required to not exceed</w:t>
      </w:r>
    </w:p>
    <w:p>
      <w:pPr>
        <w:spacing w:after="0" w:line="3" w:lineRule="exact"/>
        <w:rPr>
          <w:rFonts w:ascii="Arial" w:cs="Arial" w:eastAsia="Arial" w:hAnsi="Arial"/>
          <w:sz w:val="21"/>
          <w:szCs w:val="21"/>
          <w:color w:val="auto"/>
        </w:rPr>
      </w:pPr>
    </w:p>
    <w:p>
      <w:pPr>
        <w:jc w:val="both"/>
        <w:ind w:left="60" w:right="120"/>
        <w:spacing w:after="0" w:line="218" w:lineRule="auto"/>
        <w:rPr>
          <w:rFonts w:ascii="Arial" w:cs="Arial" w:eastAsia="Arial" w:hAnsi="Arial"/>
          <w:sz w:val="21"/>
          <w:szCs w:val="21"/>
          <w:color w:val="auto"/>
        </w:rPr>
      </w:pPr>
      <w:r>
        <w:rPr>
          <w:rFonts w:ascii="Arial" w:cs="Arial" w:eastAsia="Arial" w:hAnsi="Arial"/>
          <w:sz w:val="21"/>
          <w:szCs w:val="21"/>
          <w:color w:val="auto"/>
        </w:rPr>
        <w:t>3.75 to 1.00 pursuant to the preceding clause (ii), following a Permitted Acquisition for which the aggregate consideration in respect thereof equals or exceeds $25,000,000, the Borrower may, not more than one (1) time during the term of this Agreement, elect (an “</w:t>
      </w:r>
      <w:r>
        <w:rPr>
          <w:rFonts w:ascii="Arial" w:cs="Arial" w:eastAsia="Arial" w:hAnsi="Arial"/>
          <w:sz w:val="21"/>
          <w:szCs w:val="21"/>
          <w:b w:val="1"/>
          <w:bCs w:val="1"/>
          <w:i w:val="1"/>
          <w:iCs w:val="1"/>
          <w:color w:val="auto"/>
        </w:rPr>
        <w:t>Acquisition Holiday Election</w:t>
      </w:r>
      <w:r>
        <w:rPr>
          <w:rFonts w:ascii="Arial" w:cs="Arial" w:eastAsia="Arial" w:hAnsi="Arial"/>
          <w:sz w:val="21"/>
          <w:szCs w:val="21"/>
          <w:color w:val="auto"/>
        </w:rPr>
        <w:t>”) to increase the maximum Senior Secured Leverage Ratio permitted under this Section 5.12(a) to 4.25 to 1.00 for a period of four (4) consecutive fiscal quarters in connection with, and commencing with the first fiscal quarter ending after, an Acquisition (the “</w:t>
      </w:r>
      <w:r>
        <w:rPr>
          <w:rFonts w:ascii="Arial" w:cs="Arial" w:eastAsia="Arial" w:hAnsi="Arial"/>
          <w:sz w:val="21"/>
          <w:szCs w:val="21"/>
          <w:b w:val="1"/>
          <w:bCs w:val="1"/>
          <w:i w:val="1"/>
          <w:iCs w:val="1"/>
          <w:color w:val="auto"/>
        </w:rPr>
        <w:t>Acquisition Holiday Election Quarter</w:t>
      </w:r>
      <w:r>
        <w:rPr>
          <w:rFonts w:ascii="Arial" w:cs="Arial" w:eastAsia="Arial" w:hAnsi="Arial"/>
          <w:sz w:val="21"/>
          <w:szCs w:val="21"/>
          <w:color w:val="auto"/>
        </w:rPr>
        <w:t>”) (it being understood that the Senior Secured Leverage Ratio shall return to less than or equal to 3.75 to 1.00 no later than the fifth fiscal quarter following the Acquisition Holiday Election Quarter).</w:t>
      </w:r>
    </w:p>
    <w:p>
      <w:pPr>
        <w:spacing w:after="0" w:line="202" w:lineRule="exact"/>
        <w:rPr>
          <w:rFonts w:ascii="Arial" w:cs="Arial" w:eastAsia="Arial" w:hAnsi="Arial"/>
          <w:sz w:val="21"/>
          <w:szCs w:val="21"/>
          <w:color w:val="auto"/>
        </w:rPr>
      </w:pPr>
    </w:p>
    <w:p>
      <w:pPr>
        <w:jc w:val="both"/>
        <w:ind w:left="60" w:right="120" w:firstLine="635"/>
        <w:spacing w:after="0" w:line="232" w:lineRule="auto"/>
        <w:tabs>
          <w:tab w:leader="none" w:pos="1167"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Minimum Consolidated Fixed Charge Coverage Ratio</w:t>
      </w:r>
      <w:r>
        <w:rPr>
          <w:rFonts w:ascii="Arial" w:cs="Arial" w:eastAsia="Arial" w:hAnsi="Arial"/>
          <w:sz w:val="21"/>
          <w:szCs w:val="21"/>
          <w:color w:val="auto"/>
        </w:rPr>
        <w:t>. The Borrower shall maintain, on a Consolidated basis as of the end of each of the Borrower’s fiscal quarters, commencing with the fiscal quarter ending September 30, 2022, a Fixed Charge Coverage Ratio of not less than 1.25 to 1.</w:t>
      </w:r>
    </w:p>
    <w:p>
      <w:pPr>
        <w:spacing w:after="0" w:line="198" w:lineRule="exact"/>
        <w:rPr>
          <w:sz w:val="20"/>
          <w:szCs w:val="20"/>
          <w:color w:val="auto"/>
        </w:rPr>
      </w:pPr>
    </w:p>
    <w:p>
      <w:pPr>
        <w:jc w:val="both"/>
        <w:ind w:left="60" w:right="120" w:firstLine="642"/>
        <w:spacing w:after="0" w:line="242"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u w:val="single" w:color="auto"/>
          <w:color w:val="auto"/>
        </w:rPr>
        <w:t>Additional Guarantors; Pledges of Stock; Security Interests</w:t>
      </w:r>
      <w:r>
        <w:rPr>
          <w:rFonts w:ascii="Arial" w:cs="Arial" w:eastAsia="Arial" w:hAnsi="Arial"/>
          <w:sz w:val="19"/>
          <w:szCs w:val="19"/>
          <w:color w:val="auto"/>
        </w:rPr>
        <w:t>. Notify the Administrative Agent within thirty (30) days after the delivery of the financial statements referred to in Section 5.01(a) or (b), on an quarterly basis, if any Person becomes a Material Domestic Subsidiary or a Pledge Subsidiary and, promptly thereafter (and in any event within thirty</w:t>
      </w:r>
    </w:p>
    <w:p>
      <w:pPr>
        <w:spacing w:after="0" w:line="1" w:lineRule="exact"/>
        <w:rPr>
          <w:sz w:val="20"/>
          <w:szCs w:val="20"/>
          <w:color w:val="auto"/>
        </w:rPr>
      </w:pPr>
    </w:p>
    <w:p>
      <w:pPr>
        <w:ind w:left="460" w:hanging="408"/>
        <w:spacing w:after="0"/>
        <w:tabs>
          <w:tab w:leader="none" w:pos="46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days, or such later date as may be agreed to by the Administrative Agent in its discretion):</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104</w:t>
      </w:r>
    </w:p>
    <w:p>
      <w:pPr>
        <w:sectPr>
          <w:pgSz w:w="11900" w:h="16838" w:orient="portrait"/>
          <w:cols w:equalWidth="0" w:num="1">
            <w:col w:w="11160"/>
          </w:cols>
          <w:pgMar w:left="400" w:top="1440" w:right="339" w:bottom="1440" w:gutter="0" w:footer="0" w:header="0"/>
        </w:sectPr>
      </w:pPr>
    </w:p>
    <w:bookmarkStart w:id="194" w:name="page195"/>
    <w:bookmarkEnd w:id="194"/>
    <w:p>
      <w:pPr>
        <w:spacing w:after="0" w:line="194" w:lineRule="exact"/>
        <w:rPr>
          <w:sz w:val="20"/>
          <w:szCs w:val="20"/>
          <w:color w:val="auto"/>
        </w:rPr>
      </w:pPr>
    </w:p>
    <w:p>
      <w:pPr>
        <w:jc w:val="both"/>
        <w:ind w:left="60" w:firstLine="635"/>
        <w:spacing w:after="0" w:line="218" w:lineRule="auto"/>
        <w:tabs>
          <w:tab w:leader="none" w:pos="1254" w:val="left"/>
        </w:tabs>
        <w:numPr>
          <w:ilvl w:val="0"/>
          <w:numId w:val="149"/>
        </w:numPr>
        <w:rPr>
          <w:rFonts w:ascii="Arial" w:cs="Arial" w:eastAsia="Arial" w:hAnsi="Arial"/>
          <w:sz w:val="21"/>
          <w:szCs w:val="21"/>
          <w:color w:val="auto"/>
        </w:rPr>
      </w:pPr>
      <w:r>
        <w:rPr>
          <w:rFonts w:ascii="Arial" w:cs="Arial" w:eastAsia="Arial" w:hAnsi="Arial"/>
          <w:sz w:val="21"/>
          <w:szCs w:val="21"/>
          <w:color w:val="auto"/>
        </w:rPr>
        <w:t>cause any such Person that becomes a Material Domestic Subsidiary (i) to become a Subsidiary Guarantor by executing and delivering to the Administrative Agent a joinder to the Subsidiary Guaranty or such other document as the Administrative Agent may reasonably request for such purpose, (ii) to subject all of its tangible and intangible personal property now owned or hereafter acquired by it to a first priority, perfected Lien (subject to Liens permitted under the terms of Section 6.01 and the other Loan Documents) in favor of the Administrative Agent for the benefit of the Secured Parties to secure the Obligations pursuant to the terms and conditions of the Collateral Documents, and (iii) to deliver to the Administrative Agent (1) documents of the types referred to in clauses (iii) and (iv) of Section 4.01(a), (2) to the extent reasonably requested by the Administrative Agent, favorable opinions of counsel to such Person (which opinions shall cover, among other things, the legality, validity, binding effect and enforceability of the documentation referred to in the foregoing clause (i)), and (3) updated Schedules 3.12(d), 3.13, 3.23, 3.24(b), 3.24(c), 3.24(d)(i), 3.24(d)(ii), 3.24(e), 3.24(f), and 3.24(g) and Schedules to the Security Agreement, all in form, content and scope reasonably satisfactory to the Administrative Agent; and/or</w:t>
      </w:r>
    </w:p>
    <w:p>
      <w:pPr>
        <w:spacing w:after="0" w:line="263" w:lineRule="exact"/>
        <w:rPr>
          <w:rFonts w:ascii="Arial" w:cs="Arial" w:eastAsia="Arial" w:hAnsi="Arial"/>
          <w:sz w:val="21"/>
          <w:szCs w:val="21"/>
          <w:color w:val="auto"/>
        </w:rPr>
      </w:pPr>
    </w:p>
    <w:p>
      <w:pPr>
        <w:jc w:val="both"/>
        <w:ind w:left="60" w:firstLine="1278"/>
        <w:spacing w:after="0" w:line="239" w:lineRule="auto"/>
        <w:tabs>
          <w:tab w:leader="none" w:pos="1854" w:val="left"/>
        </w:tabs>
        <w:numPr>
          <w:ilvl w:val="1"/>
          <w:numId w:val="149"/>
        </w:numPr>
        <w:rPr>
          <w:rFonts w:ascii="Arial" w:cs="Arial" w:eastAsia="Arial" w:hAnsi="Arial"/>
          <w:sz w:val="19"/>
          <w:szCs w:val="19"/>
          <w:color w:val="auto"/>
        </w:rPr>
      </w:pPr>
      <w:r>
        <w:rPr>
          <w:rFonts w:ascii="Arial" w:cs="Arial" w:eastAsia="Arial" w:hAnsi="Arial"/>
          <w:sz w:val="19"/>
          <w:szCs w:val="19"/>
          <w:color w:val="auto"/>
        </w:rPr>
        <w:t xml:space="preserve">take such action, and cause the appropriate Subsidiaries to take such action, from time to time as shall be necessary to ensure that one hundred percent (100%) (or, if such Subsidiary is a First Tier Foreign Subsidiary and a pledge of 100% of the voting Equity Interests of such Subsidiary would give rise to material adverse tax consequences for the Borrower and its Subsidiaries, sixty-five percent (65%) of the voting Equity Interests and one hundred percent (100%) of the non-voting Equity Interests in any such Person that becomes a Pledge Subsidiary shall be pledged, directly (if such Pledge Subsidiary is owned by a domestic Person) or indirectly (if such Pledge Subsidiary is owned by a foreign Person), to the Administrative Agent, for the benefit of the Lenders, (i) by executing and delivering to the Administrative Agent a pledge agreement (in the case of a First Tier Foreign Subsidiary, governed by local law upon the Administrative Agent’s request), supplement to the Security Agreement, or such other document as the Administrative Agent shall deem appropriate for such purpose, and (ii) by delivering to the Administrative Agent (1) documents of the types referred to in clauses (iii) and (iv) of Section 4.01(a) with respect to such Pledge Subsidiary, (2) to the extent reasonably requested by the Administrative Agent, favorable opinions of counsel to such Pledge Subsidiary and to such pledging Borrower or Subsidiary (which shall cover, among other things, the legality, validity, binding effect and enforceability of the documentation referred to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and (3) updated Schedules 3.12(d), 3.13, 3.23, 3.24(b), 3.24(c), 3.24(d)(i), 3.24(d)(ii), 3.24(e), 3.24(f), and 3.24(g) and Schedules to the Security Agreement, all in form, content and scope reasonably satisfactory to the Administrative Agent.</w:t>
      </w:r>
    </w:p>
    <w:p>
      <w:pPr>
        <w:spacing w:after="0" w:line="195" w:lineRule="exact"/>
        <w:rPr>
          <w:sz w:val="20"/>
          <w:szCs w:val="20"/>
          <w:color w:val="auto"/>
        </w:rPr>
      </w:pPr>
    </w:p>
    <w:p>
      <w:pPr>
        <w:jc w:val="both"/>
        <w:ind w:left="60"/>
        <w:spacing w:after="0" w:line="227" w:lineRule="auto"/>
        <w:rPr>
          <w:sz w:val="20"/>
          <w:szCs w:val="20"/>
          <w:color w:val="auto"/>
        </w:rPr>
      </w:pPr>
      <w:r>
        <w:rPr>
          <w:rFonts w:ascii="Arial" w:cs="Arial" w:eastAsia="Arial" w:hAnsi="Arial"/>
          <w:sz w:val="21"/>
          <w:szCs w:val="21"/>
          <w:color w:val="auto"/>
        </w:rPr>
        <w:t>In the event that any Subsidiary of the Borrower is liable (whether as a primary obligor, a guarantor or otherwise) for any Indebtedness of a Loan Party (other than Indebtedness hereunder) having an aggregate principal amount of more than $10,000,000, then the Borrower shall be required to comply with the foregoing clauses (a) and (b) without giving effect to the grace period provided herein.</w:t>
      </w:r>
    </w:p>
    <w:p>
      <w:pPr>
        <w:spacing w:after="0" w:line="266"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 xml:space="preserve">SECTION 5.14. </w:t>
      </w:r>
      <w:r>
        <w:rPr>
          <w:rFonts w:ascii="Arial" w:cs="Arial" w:eastAsia="Arial" w:hAnsi="Arial"/>
          <w:sz w:val="21"/>
          <w:szCs w:val="21"/>
          <w:u w:val="single" w:color="auto"/>
          <w:color w:val="auto"/>
        </w:rPr>
        <w:t>Collateral Records</w:t>
      </w:r>
      <w:r>
        <w:rPr>
          <w:rFonts w:ascii="Arial" w:cs="Arial" w:eastAsia="Arial" w:hAnsi="Arial"/>
          <w:sz w:val="21"/>
          <w:szCs w:val="21"/>
          <w:color w:val="auto"/>
        </w:rPr>
        <w:t>. Execute and deliver promptly, and cause each other Loan Party to execute and deliver promptly, to the Administrative Agent, from time to time, solely for the Administrative Agent’s convenience in maintaining a record of the Collateral, such written statements and schedules as the Administrative Agent may reasonably require designating,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color w:val="auto"/>
        </w:rPr>
        <w:t>105</w:t>
      </w:r>
    </w:p>
    <w:p>
      <w:pPr>
        <w:sectPr>
          <w:pgSz w:w="11900" w:h="16838" w:orient="portrait"/>
          <w:cols w:equalWidth="0" w:num="1">
            <w:col w:w="11040"/>
          </w:cols>
          <w:pgMar w:left="400" w:top="1440" w:right="459" w:bottom="1440" w:gutter="0" w:footer="0" w:header="0"/>
        </w:sectPr>
      </w:pPr>
    </w:p>
    <w:bookmarkStart w:id="195" w:name="page196"/>
    <w:bookmarkEnd w:id="195"/>
    <w:p>
      <w:pPr>
        <w:spacing w:after="0" w:line="194" w:lineRule="exact"/>
        <w:rPr>
          <w:sz w:val="20"/>
          <w:szCs w:val="20"/>
          <w:color w:val="auto"/>
        </w:rPr>
      </w:pPr>
    </w:p>
    <w:p>
      <w:pPr>
        <w:jc w:val="both"/>
        <w:ind w:left="60" w:right="20"/>
        <w:spacing w:after="0" w:line="232" w:lineRule="auto"/>
        <w:rPr>
          <w:sz w:val="20"/>
          <w:szCs w:val="20"/>
          <w:color w:val="auto"/>
        </w:rPr>
      </w:pPr>
      <w:r>
        <w:rPr>
          <w:rFonts w:ascii="Arial" w:cs="Arial" w:eastAsia="Arial" w:hAnsi="Arial"/>
          <w:sz w:val="21"/>
          <w:szCs w:val="21"/>
          <w:color w:val="auto"/>
        </w:rPr>
        <w:t>identifying or describing the Collateral. The failure by the Borrower or any other Loan Party, however, to promptly give the Administrative Agent such statements or schedules shall not affect, diminish, modify or otherwise limit the Liens on the Collateral granted pursuant to the Collateral Documents.</w:t>
      </w:r>
    </w:p>
    <w:p>
      <w:pPr>
        <w:spacing w:after="0" w:line="184"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5.15.</w:t>
      </w:r>
      <w:r>
        <w:rPr>
          <w:sz w:val="20"/>
          <w:szCs w:val="20"/>
          <w:color w:val="auto"/>
        </w:rPr>
        <w:tab/>
      </w:r>
      <w:r>
        <w:rPr>
          <w:rFonts w:ascii="Arial" w:cs="Arial" w:eastAsia="Arial" w:hAnsi="Arial"/>
          <w:sz w:val="19"/>
          <w:szCs w:val="19"/>
          <w:u w:val="single" w:color="auto"/>
          <w:color w:val="auto"/>
        </w:rPr>
        <w:t>Security Interests; Landlord Subordination</w:t>
      </w:r>
      <w:r>
        <w:rPr>
          <w:rFonts w:ascii="Arial" w:cs="Arial" w:eastAsia="Arial" w:hAnsi="Arial"/>
          <w:sz w:val="19"/>
          <w:szCs w:val="19"/>
          <w:color w:val="auto"/>
        </w:rPr>
        <w:t>.</w:t>
      </w:r>
    </w:p>
    <w:p>
      <w:pPr>
        <w:spacing w:after="0" w:line="228" w:lineRule="exact"/>
        <w:rPr>
          <w:sz w:val="20"/>
          <w:szCs w:val="20"/>
          <w:color w:val="auto"/>
        </w:rPr>
      </w:pPr>
    </w:p>
    <w:p>
      <w:pPr>
        <w:jc w:val="both"/>
        <w:ind w:left="60" w:firstLine="635"/>
        <w:spacing w:after="0" w:line="239" w:lineRule="auto"/>
        <w:tabs>
          <w:tab w:leader="none" w:pos="116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To and to cause each other Loan Party to, (i) defend the Collateral against all claims and demands of all Persons at any time claiming the same or any interest therein, (ii) comply with the requirements of all United States state and federal laws in order to grant to the Administrative Agent and the Lenders valid and perfected security interests in the Collateral subject only to Liens set forth on Schedule 6.01, with perfection, in the case of any investment property, deposit account or letter of credit, being effected by giving the Administrative Agent control of such investment property or deposit account or letter of credit, rather than by the filing of a UCC financing statement with respect to such investment property, and (iii) do whatever the Administrative Agent may reasonably request, from time to time, to effect the purposes of this Agreement and other Loan Documents, including (1) filing notices of liens, UCC financing statements, fixture filings and amendments, renewals and continuations thereof, (2) cooperating with the Administrative Agent’s representatives, (3) keeping stock records, (4) using reasonable efforts to obtain waivers from landlords and mortgagees and from warehousemen and their landlords and mortgagees, (5) paying claims which might, if unpaid, become a lien on the Collateral, and (6) concurrently with the delivery of any Collateral pursuant to the terms of this Section, provide the Administrative Agent with the applicable updated Schedules 3.12(d), 3.13, 3.23, 3.24(b), 3.24(d), 3.24(e), 3.24(f), and 3.24(g) and Schedules to the Security Agreement, all in form, content and scope reasonably satisfactory to the Administrative Agent. The Administrative Agent is hereby authorized by the Borrower to file any UCC financing statements covering the Collateral whether or not the Borrower’s signatures appear thereon.</w:t>
      </w:r>
    </w:p>
    <w:p>
      <w:pPr>
        <w:spacing w:after="0" w:line="194" w:lineRule="exact"/>
        <w:rPr>
          <w:rFonts w:ascii="Arial" w:cs="Arial" w:eastAsia="Arial" w:hAnsi="Arial"/>
          <w:sz w:val="19"/>
          <w:szCs w:val="19"/>
          <w:color w:val="auto"/>
        </w:rPr>
      </w:pPr>
    </w:p>
    <w:p>
      <w:pPr>
        <w:jc w:val="both"/>
        <w:ind w:left="60" w:firstLine="635"/>
        <w:spacing w:after="0" w:line="247" w:lineRule="auto"/>
        <w:tabs>
          <w:tab w:leader="none" w:pos="133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Subject to Section 5.19 hereof, in the case of (i) the headquarters location of the Borrower located at 195 Clarksville Road, Princeton Junction, New Jersey 08550 and (ii) each other domestic location of Collateral where the aggregate value of said Collateral has been deemed material by the Administrative Agent, in its reasonable discretion, said locations as of the Effective Date being set forth and described on Schedule 3.24(g) attached hereto and made a part hereof, the Loan Parties will use their respective commercially reasonable efforts to provide the Administrative Agent with a landlord subordination agreement in form and substance reasonably acceptable to the Administrative Agent from the landlords on such real property.</w:t>
      </w:r>
    </w:p>
    <w:p>
      <w:pPr>
        <w:spacing w:after="0" w:line="164"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5.16.</w:t>
      </w:r>
      <w:r>
        <w:rPr>
          <w:sz w:val="20"/>
          <w:szCs w:val="20"/>
          <w:color w:val="auto"/>
        </w:rPr>
        <w:tab/>
      </w:r>
      <w:r>
        <w:rPr>
          <w:rFonts w:ascii="Arial" w:cs="Arial" w:eastAsia="Arial" w:hAnsi="Arial"/>
          <w:sz w:val="23"/>
          <w:szCs w:val="23"/>
          <w:b w:val="1"/>
          <w:bCs w:val="1"/>
          <w:u w:val="single" w:color="auto"/>
          <w:color w:val="auto"/>
        </w:rPr>
        <w:t>[</w:t>
      </w:r>
      <w:r>
        <w:rPr>
          <w:rFonts w:ascii="Arial" w:cs="Arial" w:eastAsia="Arial" w:hAnsi="Arial"/>
          <w:sz w:val="19"/>
          <w:szCs w:val="19"/>
          <w:u w:val="single" w:color="auto"/>
          <w:color w:val="auto"/>
        </w:rPr>
        <w:t>Reserved</w:t>
      </w:r>
      <w:r>
        <w:rPr>
          <w:rFonts w:ascii="Arial" w:cs="Arial" w:eastAsia="Arial" w:hAnsi="Arial"/>
          <w:sz w:val="23"/>
          <w:szCs w:val="23"/>
          <w:b w:val="1"/>
          <w:bCs w:val="1"/>
          <w:u w:val="single" w:color="auto"/>
          <w:color w:val="auto"/>
        </w:rPr>
        <w:t>]</w:t>
      </w:r>
      <w:r>
        <w:rPr>
          <w:rFonts w:ascii="Arial" w:cs="Arial" w:eastAsia="Arial" w:hAnsi="Arial"/>
          <w:sz w:val="19"/>
          <w:szCs w:val="19"/>
          <w:color w:val="auto"/>
        </w:rPr>
        <w:t>.</w:t>
      </w:r>
    </w:p>
    <w:p>
      <w:pPr>
        <w:spacing w:after="0" w:line="206" w:lineRule="exact"/>
        <w:rPr>
          <w:sz w:val="20"/>
          <w:szCs w:val="20"/>
          <w:color w:val="auto"/>
        </w:rPr>
      </w:pPr>
    </w:p>
    <w:p>
      <w:pPr>
        <w:jc w:val="both"/>
        <w:ind w:left="60" w:firstLine="642"/>
        <w:spacing w:after="0" w:line="221" w:lineRule="auto"/>
        <w:rPr>
          <w:sz w:val="20"/>
          <w:szCs w:val="20"/>
          <w:color w:val="auto"/>
        </w:rPr>
      </w:pPr>
      <w:r>
        <w:rPr>
          <w:rFonts w:ascii="Arial" w:cs="Arial" w:eastAsia="Arial" w:hAnsi="Arial"/>
          <w:sz w:val="21"/>
          <w:szCs w:val="21"/>
          <w:color w:val="auto"/>
        </w:rPr>
        <w:t xml:space="preserve">SECTION 5.17. </w:t>
      </w:r>
      <w:r>
        <w:rPr>
          <w:rFonts w:ascii="Arial" w:cs="Arial" w:eastAsia="Arial" w:hAnsi="Arial"/>
          <w:sz w:val="21"/>
          <w:szCs w:val="21"/>
          <w:u w:val="single" w:color="auto"/>
          <w:color w:val="auto"/>
        </w:rPr>
        <w:t>Further Assurances</w:t>
      </w:r>
      <w:r>
        <w:rPr>
          <w:rFonts w:ascii="Arial" w:cs="Arial" w:eastAsia="Arial" w:hAnsi="Arial"/>
          <w:sz w:val="21"/>
          <w:szCs w:val="21"/>
          <w:color w:val="auto"/>
        </w:rPr>
        <w:t>.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(including promptly completing any registration or stamping of documents as may be applicable) as the Administrative Agent, or any Lender through the Administrative Agent, may reasonably require from time to time in order to (i) carry out more effectively the purposes of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color w:val="auto"/>
        </w:rPr>
        <w:t>106</w:t>
      </w:r>
    </w:p>
    <w:p>
      <w:pPr>
        <w:sectPr>
          <w:pgSz w:w="11900" w:h="16838" w:orient="portrait"/>
          <w:cols w:equalWidth="0" w:num="1">
            <w:col w:w="11040"/>
          </w:cols>
          <w:pgMar w:left="400" w:top="1440" w:right="459" w:bottom="1440" w:gutter="0" w:footer="0" w:header="0"/>
        </w:sectPr>
      </w:pPr>
    </w:p>
    <w:bookmarkStart w:id="196" w:name="page197"/>
    <w:bookmarkEnd w:id="196"/>
    <w:p>
      <w:pPr>
        <w:spacing w:after="0" w:line="194" w:lineRule="exact"/>
        <w:rPr>
          <w:sz w:val="20"/>
          <w:szCs w:val="20"/>
          <w:color w:val="auto"/>
        </w:rPr>
      </w:pPr>
    </w:p>
    <w:p>
      <w:pPr>
        <w:jc w:val="both"/>
        <w:ind w:left="60"/>
        <w:spacing w:after="0" w:line="245" w:lineRule="auto"/>
        <w:rPr>
          <w:sz w:val="20"/>
          <w:szCs w:val="20"/>
          <w:color w:val="auto"/>
        </w:rPr>
      </w:pPr>
      <w:r>
        <w:rPr>
          <w:rFonts w:ascii="Arial" w:cs="Arial" w:eastAsia="Arial" w:hAnsi="Arial"/>
          <w:sz w:val="19"/>
          <w:szCs w:val="19"/>
          <w:color w:val="auto"/>
        </w:rPr>
        <w:t>Loan Documents, (ii) to the fullest extent permitted by applicable Law, subject any Loan Party’s or any of its Subsidiaries’ properties, assets, rights or interests to the Liens now or hereafter intended to be covered by any of the Collateral Documents,</w:t>
      </w:r>
    </w:p>
    <w:p>
      <w:pPr>
        <w:spacing w:after="0" w:line="1" w:lineRule="exact"/>
        <w:rPr>
          <w:sz w:val="20"/>
          <w:szCs w:val="20"/>
          <w:color w:val="auto"/>
        </w:rPr>
      </w:pPr>
    </w:p>
    <w:p>
      <w:pPr>
        <w:jc w:val="both"/>
        <w:ind w:left="60" w:hanging="8"/>
        <w:spacing w:after="0" w:line="221" w:lineRule="auto"/>
        <w:tabs>
          <w:tab w:leader="none" w:pos="471" w:val="left"/>
        </w:tabs>
        <w:numPr>
          <w:ilvl w:val="0"/>
          <w:numId w:val="151"/>
        </w:numPr>
        <w:rPr>
          <w:rFonts w:ascii="Arial" w:cs="Arial" w:eastAsia="Arial" w:hAnsi="Arial"/>
          <w:sz w:val="21"/>
          <w:szCs w:val="21"/>
          <w:color w:val="auto"/>
        </w:rPr>
      </w:pPr>
      <w:r>
        <w:rPr>
          <w:rFonts w:ascii="Arial" w:cs="Arial" w:eastAsia="Arial" w:hAnsi="Arial"/>
          <w:sz w:val="21"/>
          <w:szCs w:val="21"/>
          <w:color w:val="auto"/>
        </w:rPr>
        <w:t>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184" w:lineRule="exact"/>
        <w:rPr>
          <w:sz w:val="20"/>
          <w:szCs w:val="20"/>
          <w:color w:val="auto"/>
        </w:rPr>
      </w:pPr>
    </w:p>
    <w:p>
      <w:pPr>
        <w:jc w:val="both"/>
        <w:ind w:left="60" w:right="20" w:firstLine="642"/>
        <w:spacing w:after="0" w:line="227" w:lineRule="auto"/>
        <w:rPr>
          <w:sz w:val="20"/>
          <w:szCs w:val="20"/>
          <w:color w:val="auto"/>
        </w:rPr>
      </w:pPr>
      <w:r>
        <w:rPr>
          <w:rFonts w:ascii="Arial" w:cs="Arial" w:eastAsia="Arial" w:hAnsi="Arial"/>
          <w:sz w:val="21"/>
          <w:szCs w:val="21"/>
          <w:color w:val="auto"/>
        </w:rPr>
        <w:t xml:space="preserve">SECTION 5.18. </w:t>
      </w:r>
      <w:r>
        <w:rPr>
          <w:rFonts w:ascii="Arial" w:cs="Arial" w:eastAsia="Arial" w:hAnsi="Arial"/>
          <w:sz w:val="21"/>
          <w:szCs w:val="21"/>
          <w:u w:val="single" w:color="auto"/>
          <w:color w:val="auto"/>
        </w:rPr>
        <w:t>Anti-Corruption Laws; Sanctions</w:t>
      </w:r>
      <w:r>
        <w:rPr>
          <w:rFonts w:ascii="Arial" w:cs="Arial" w:eastAsia="Arial" w:hAnsi="Arial"/>
          <w:sz w:val="21"/>
          <w:szCs w:val="21"/>
          <w:color w:val="auto"/>
        </w:rPr>
        <w:t>. The Borrower shall conduct its business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86"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 xml:space="preserve">SECTION 5.19. </w:t>
      </w:r>
      <w:r>
        <w:rPr>
          <w:rFonts w:ascii="Arial" w:cs="Arial" w:eastAsia="Arial" w:hAnsi="Arial"/>
          <w:sz w:val="21"/>
          <w:szCs w:val="21"/>
          <w:u w:val="single" w:color="auto"/>
          <w:color w:val="auto"/>
        </w:rPr>
        <w:t>Post-Closing Requirements</w:t>
      </w:r>
      <w:r>
        <w:rPr>
          <w:rFonts w:ascii="Arial" w:cs="Arial" w:eastAsia="Arial" w:hAnsi="Arial"/>
          <w:sz w:val="21"/>
          <w:szCs w:val="21"/>
          <w:color w:val="auto"/>
        </w:rPr>
        <w:t xml:space="preserve">. Not later than the dates set forth in </w:t>
      </w:r>
      <w:r>
        <w:rPr>
          <w:rFonts w:ascii="Arial" w:cs="Arial" w:eastAsia="Arial" w:hAnsi="Arial"/>
          <w:sz w:val="21"/>
          <w:szCs w:val="21"/>
          <w:u w:val="single" w:color="auto"/>
          <w:color w:val="auto"/>
        </w:rPr>
        <w:t>Schedule 5.19</w:t>
      </w:r>
      <w:r>
        <w:rPr>
          <w:rFonts w:ascii="Arial" w:cs="Arial" w:eastAsia="Arial" w:hAnsi="Arial"/>
          <w:sz w:val="21"/>
          <w:szCs w:val="21"/>
          <w:color w:val="auto"/>
        </w:rPr>
        <w:t xml:space="preserve"> (or such later dates as the Administrative Agent shall agree in its sole discretion) or as otherwise required thereunder, the Loan Parties shall take the actions set forth on </w:t>
      </w:r>
      <w:r>
        <w:rPr>
          <w:rFonts w:ascii="Arial" w:cs="Arial" w:eastAsia="Arial" w:hAnsi="Arial"/>
          <w:sz w:val="21"/>
          <w:szCs w:val="21"/>
          <w:u w:val="single" w:color="auto"/>
          <w:color w:val="auto"/>
        </w:rPr>
        <w:t>Schedule 5.19</w:t>
      </w:r>
      <w:r>
        <w:rPr>
          <w:rFonts w:ascii="Arial" w:cs="Arial" w:eastAsia="Arial" w:hAnsi="Arial"/>
          <w:sz w:val="21"/>
          <w:szCs w:val="21"/>
          <w:color w:val="auto"/>
        </w:rPr>
        <w: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ARTICLE VI</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1"/>
          <w:szCs w:val="21"/>
          <w:u w:val="single" w:color="auto"/>
          <w:color w:val="auto"/>
        </w:rPr>
        <w:t>Negative Covenants</w:t>
      </w:r>
    </w:p>
    <w:p>
      <w:pPr>
        <w:spacing w:after="0" w:line="214"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Until the Commitments have expired or terminated and the principal of and interest on each Loan and all fees payable hereunder have been paid in full and all Letters of Credit have expired or terminated, in each case, without any pending draw, and all LC Disbursements shall have been reimbursed, the Borrower covenants and agrees with the Lenders that Borrower shall not, nor shall it permit any Subsidiary to, directly or indirectly:</w:t>
      </w:r>
    </w:p>
    <w:p>
      <w:pPr>
        <w:spacing w:after="0" w:line="199"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u w:val="single" w:color="auto"/>
          <w:color w:val="auto"/>
        </w:rPr>
        <w:t>Liens</w:t>
      </w:r>
      <w:r>
        <w:rPr>
          <w:rFonts w:ascii="Arial" w:cs="Arial" w:eastAsia="Arial" w:hAnsi="Arial"/>
          <w:sz w:val="21"/>
          <w:szCs w:val="21"/>
          <w:color w:val="auto"/>
        </w:rPr>
        <w:t xml:space="preserve">. </w:t>
      </w:r>
      <w:r>
        <w:rPr>
          <w:rFonts w:ascii="Arial" w:cs="Arial" w:eastAsia="Arial" w:hAnsi="Arial"/>
          <w:sz w:val="19"/>
          <w:szCs w:val="19"/>
          <w:color w:val="auto"/>
        </w:rPr>
        <w:t>Create, incur, assume or suffer to exist any Lien upon any of its property, assets or revenues, whether</w:t>
      </w:r>
      <w:r>
        <w:rPr>
          <w:rFonts w:ascii="Arial" w:cs="Arial" w:eastAsia="Arial" w:hAnsi="Arial"/>
          <w:sz w:val="21"/>
          <w:szCs w:val="21"/>
          <w:color w:val="auto"/>
        </w:rPr>
        <w:t xml:space="preserve"> </w:t>
      </w:r>
      <w:r>
        <w:rPr>
          <w:rFonts w:ascii="Arial" w:cs="Arial" w:eastAsia="Arial" w:hAnsi="Arial"/>
          <w:sz w:val="19"/>
          <w:szCs w:val="19"/>
          <w:color w:val="auto"/>
        </w:rPr>
        <w:t>now owned or hereafter acquired, except for the following</w:t>
      </w:r>
      <w:r>
        <w:rPr>
          <w:rFonts w:ascii="Arial" w:cs="Arial" w:eastAsia="Arial" w:hAnsi="Arial"/>
          <w:sz w:val="21"/>
          <w:szCs w:val="21"/>
          <w:color w:val="auto"/>
        </w:rPr>
        <w:t>:</w:t>
      </w:r>
    </w:p>
    <w:p>
      <w:pPr>
        <w:spacing w:after="0" w:line="193" w:lineRule="exact"/>
        <w:rPr>
          <w:sz w:val="20"/>
          <w:szCs w:val="20"/>
          <w:color w:val="auto"/>
        </w:rPr>
      </w:pPr>
    </w:p>
    <w:p>
      <w:pPr>
        <w:ind w:left="1140" w:hanging="445"/>
        <w:spacing w:after="0"/>
        <w:tabs>
          <w:tab w:leader="none" w:pos="1140" w:val="left"/>
        </w:tabs>
        <w:numPr>
          <w:ilvl w:val="1"/>
          <w:numId w:val="152"/>
        </w:numPr>
        <w:rPr>
          <w:rFonts w:ascii="Arial" w:cs="Arial" w:eastAsia="Arial" w:hAnsi="Arial"/>
          <w:sz w:val="21"/>
          <w:szCs w:val="21"/>
          <w:color w:val="auto"/>
        </w:rPr>
      </w:pPr>
      <w:r>
        <w:rPr>
          <w:rFonts w:ascii="Arial" w:cs="Arial" w:eastAsia="Arial" w:hAnsi="Arial"/>
          <w:sz w:val="21"/>
          <w:szCs w:val="21"/>
          <w:color w:val="auto"/>
        </w:rPr>
        <w:t>Liens pursuant to any Loan Document;</w:t>
      </w:r>
    </w:p>
    <w:p>
      <w:pPr>
        <w:spacing w:after="0" w:line="227" w:lineRule="exact"/>
        <w:rPr>
          <w:rFonts w:ascii="Arial" w:cs="Arial" w:eastAsia="Arial" w:hAnsi="Arial"/>
          <w:sz w:val="21"/>
          <w:szCs w:val="21"/>
          <w:color w:val="auto"/>
        </w:rPr>
      </w:pPr>
    </w:p>
    <w:p>
      <w:pPr>
        <w:jc w:val="both"/>
        <w:ind w:left="60" w:firstLine="635"/>
        <w:spacing w:after="0" w:line="219" w:lineRule="auto"/>
        <w:tabs>
          <w:tab w:leader="none" w:pos="1185" w:val="left"/>
        </w:tabs>
        <w:numPr>
          <w:ilvl w:val="1"/>
          <w:numId w:val="152"/>
        </w:numPr>
        <w:rPr>
          <w:rFonts w:ascii="Arial" w:cs="Arial" w:eastAsia="Arial" w:hAnsi="Arial"/>
          <w:sz w:val="21"/>
          <w:szCs w:val="21"/>
          <w:color w:val="auto"/>
        </w:rPr>
      </w:pPr>
      <w:r>
        <w:rPr>
          <w:rFonts w:ascii="Arial" w:cs="Arial" w:eastAsia="Arial" w:hAnsi="Arial"/>
          <w:sz w:val="21"/>
          <w:szCs w:val="21"/>
          <w:color w:val="auto"/>
        </w:rPr>
        <w:t>Liens existing on the Effective Date and listed on Schedule 6.01 and any renewals or extensions thereof, provided that (i) the property covered thereby is not changed, (ii) the amount secured or benefited thereby is not increased except as expressly contemplated by Section 6.03(b),</w:t>
      </w:r>
    </w:p>
    <w:p>
      <w:pPr>
        <w:ind w:left="60" w:hanging="8"/>
        <w:spacing w:after="0" w:line="233" w:lineRule="auto"/>
        <w:tabs>
          <w:tab w:leader="none" w:pos="743"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the direct or any contingent obligor with respect thereto is not changed, and (iv) any renewal or extension of the obligations secured or benefited thereby is permitted by Section 6.03(b);</w:t>
      </w:r>
    </w:p>
    <w:p>
      <w:pPr>
        <w:spacing w:after="0" w:line="183" w:lineRule="exact"/>
        <w:rPr>
          <w:rFonts w:ascii="Arial" w:cs="Arial" w:eastAsia="Arial" w:hAnsi="Arial"/>
          <w:sz w:val="21"/>
          <w:szCs w:val="21"/>
          <w:color w:val="auto"/>
        </w:rPr>
      </w:pPr>
    </w:p>
    <w:p>
      <w:pPr>
        <w:jc w:val="both"/>
        <w:ind w:left="60" w:firstLine="635"/>
        <w:spacing w:after="0" w:line="232" w:lineRule="auto"/>
        <w:tabs>
          <w:tab w:leader="none" w:pos="1201" w:val="left"/>
        </w:tabs>
        <w:numPr>
          <w:ilvl w:val="1"/>
          <w:numId w:val="153"/>
        </w:numPr>
        <w:rPr>
          <w:rFonts w:ascii="Arial" w:cs="Arial" w:eastAsia="Arial" w:hAnsi="Arial"/>
          <w:sz w:val="21"/>
          <w:szCs w:val="21"/>
          <w:color w:val="auto"/>
        </w:rPr>
      </w:pPr>
      <w:r>
        <w:rPr>
          <w:rFonts w:ascii="Arial" w:cs="Arial" w:eastAsia="Arial" w:hAnsi="Arial"/>
          <w:sz w:val="21"/>
          <w:szCs w:val="21"/>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97" w:lineRule="exact"/>
        <w:rPr>
          <w:rFonts w:ascii="Arial" w:cs="Arial" w:eastAsia="Arial" w:hAnsi="Arial"/>
          <w:sz w:val="21"/>
          <w:szCs w:val="21"/>
          <w:color w:val="auto"/>
        </w:rPr>
      </w:pPr>
    </w:p>
    <w:p>
      <w:pPr>
        <w:jc w:val="both"/>
        <w:ind w:left="60" w:firstLine="635"/>
        <w:spacing w:after="0" w:line="232" w:lineRule="auto"/>
        <w:tabs>
          <w:tab w:leader="none" w:pos="1298" w:val="left"/>
        </w:tabs>
        <w:numPr>
          <w:ilvl w:val="1"/>
          <w:numId w:val="153"/>
        </w:numPr>
        <w:rPr>
          <w:rFonts w:ascii="Arial" w:cs="Arial" w:eastAsia="Arial" w:hAnsi="Arial"/>
          <w:sz w:val="21"/>
          <w:szCs w:val="21"/>
          <w:color w:val="auto"/>
        </w:rPr>
      </w:pPr>
      <w:r>
        <w:rPr>
          <w:rFonts w:ascii="Arial" w:cs="Arial" w:eastAsia="Arial" w:hAnsi="Arial"/>
          <w:sz w:val="21"/>
          <w:szCs w:val="21"/>
          <w:color w:val="auto"/>
        </w:rPr>
        <w:t>statutory liens such as carriers’, warehousemen’s, mechanics’, materialmen’s, repairmen’s or other like Liens arising in the ordinary course of business which are not overdue for a period of more than thirty (30) days or which are being contested in good faith and by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107</w:t>
      </w:r>
    </w:p>
    <w:p>
      <w:pPr>
        <w:sectPr>
          <w:pgSz w:w="11900" w:h="16838" w:orient="portrait"/>
          <w:cols w:equalWidth="0" w:num="1">
            <w:col w:w="11040"/>
          </w:cols>
          <w:pgMar w:left="400" w:top="1440" w:right="459" w:bottom="1440" w:gutter="0" w:footer="0" w:header="0"/>
        </w:sectPr>
      </w:pPr>
    </w:p>
    <w:bookmarkStart w:id="197" w:name="page198"/>
    <w:bookmarkEnd w:id="197"/>
    <w:p>
      <w:pPr>
        <w:spacing w:after="0" w:line="194" w:lineRule="exact"/>
        <w:rPr>
          <w:sz w:val="20"/>
          <w:szCs w:val="20"/>
          <w:color w:val="auto"/>
        </w:rPr>
      </w:pPr>
    </w:p>
    <w:p>
      <w:pPr>
        <w:ind w:left="60" w:right="200"/>
        <w:spacing w:after="0" w:line="244" w:lineRule="auto"/>
        <w:rPr>
          <w:sz w:val="20"/>
          <w:szCs w:val="20"/>
          <w:color w:val="auto"/>
        </w:rPr>
      </w:pPr>
      <w:r>
        <w:rPr>
          <w:rFonts w:ascii="Arial" w:cs="Arial" w:eastAsia="Arial" w:hAnsi="Arial"/>
          <w:sz w:val="21"/>
          <w:szCs w:val="21"/>
          <w:color w:val="auto"/>
        </w:rPr>
        <w:t xml:space="preserve">appropriate proceedings diligently conducted,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adequate reserves with respect thereto are maintained on the books of the applicable Person;</w:t>
      </w:r>
    </w:p>
    <w:p>
      <w:pPr>
        <w:spacing w:after="0" w:line="179" w:lineRule="exact"/>
        <w:rPr>
          <w:sz w:val="20"/>
          <w:szCs w:val="20"/>
          <w:color w:val="auto"/>
        </w:rPr>
      </w:pPr>
    </w:p>
    <w:p>
      <w:pPr>
        <w:ind w:left="60" w:right="140" w:firstLine="635"/>
        <w:spacing w:after="0" w:line="244" w:lineRule="auto"/>
        <w:tabs>
          <w:tab w:leader="none" w:pos="1197" w:val="left"/>
        </w:tabs>
        <w:numPr>
          <w:ilvl w:val="0"/>
          <w:numId w:val="154"/>
        </w:numPr>
        <w:rPr>
          <w:rFonts w:ascii="Arial" w:cs="Arial" w:eastAsia="Arial" w:hAnsi="Arial"/>
          <w:sz w:val="21"/>
          <w:szCs w:val="21"/>
          <w:color w:val="auto"/>
        </w:rPr>
      </w:pPr>
      <w:r>
        <w:rPr>
          <w:rFonts w:ascii="Arial" w:cs="Arial" w:eastAsia="Arial" w:hAnsi="Arial"/>
          <w:sz w:val="21"/>
          <w:szCs w:val="21"/>
          <w:color w:val="auto"/>
        </w:rPr>
        <w:t>pledges or deposits in the ordinary course of business in connection with workers’ compensation, unemployment insurance and other social security legislation, other than any Lien imposed by ERISA;</w:t>
      </w:r>
    </w:p>
    <w:p>
      <w:pPr>
        <w:spacing w:after="0" w:line="192" w:lineRule="exact"/>
        <w:rPr>
          <w:rFonts w:ascii="Arial" w:cs="Arial" w:eastAsia="Arial" w:hAnsi="Arial"/>
          <w:sz w:val="21"/>
          <w:szCs w:val="21"/>
          <w:color w:val="auto"/>
        </w:rPr>
      </w:pPr>
    </w:p>
    <w:p>
      <w:pPr>
        <w:jc w:val="both"/>
        <w:ind w:left="60" w:right="120" w:firstLine="635"/>
        <w:spacing w:after="0" w:line="232" w:lineRule="auto"/>
        <w:tabs>
          <w:tab w:leader="none" w:pos="1331" w:val="left"/>
        </w:tabs>
        <w:numPr>
          <w:ilvl w:val="0"/>
          <w:numId w:val="154"/>
        </w:numPr>
        <w:rPr>
          <w:rFonts w:ascii="Arial" w:cs="Arial" w:eastAsia="Arial" w:hAnsi="Arial"/>
          <w:sz w:val="21"/>
          <w:szCs w:val="21"/>
          <w:color w:val="auto"/>
        </w:rPr>
      </w:pPr>
      <w:r>
        <w:rPr>
          <w:rFonts w:ascii="Arial" w:cs="Arial" w:eastAsia="Arial" w:hAnsi="Arial"/>
          <w:sz w:val="21"/>
          <w:szCs w:val="21"/>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84" w:lineRule="exact"/>
        <w:rPr>
          <w:rFonts w:ascii="Arial" w:cs="Arial" w:eastAsia="Arial" w:hAnsi="Arial"/>
          <w:sz w:val="21"/>
          <w:szCs w:val="21"/>
          <w:color w:val="auto"/>
        </w:rPr>
      </w:pPr>
    </w:p>
    <w:p>
      <w:pPr>
        <w:jc w:val="both"/>
        <w:ind w:left="60" w:firstLine="635"/>
        <w:spacing w:after="0" w:line="232" w:lineRule="auto"/>
        <w:tabs>
          <w:tab w:leader="none" w:pos="1385" w:val="left"/>
        </w:tabs>
        <w:numPr>
          <w:ilvl w:val="0"/>
          <w:numId w:val="154"/>
        </w:numPr>
        <w:rPr>
          <w:rFonts w:ascii="Arial" w:cs="Arial" w:eastAsia="Arial" w:hAnsi="Arial"/>
          <w:sz w:val="21"/>
          <w:szCs w:val="21"/>
          <w:color w:val="auto"/>
        </w:rPr>
      </w:pPr>
      <w:r>
        <w:rPr>
          <w:rFonts w:ascii="Arial" w:cs="Arial" w:eastAsia="Arial" w:hAnsi="Arial"/>
          <w:sz w:val="21"/>
          <w:szCs w:val="21"/>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97" w:lineRule="exact"/>
        <w:rPr>
          <w:rFonts w:ascii="Arial" w:cs="Arial" w:eastAsia="Arial" w:hAnsi="Arial"/>
          <w:sz w:val="21"/>
          <w:szCs w:val="21"/>
          <w:color w:val="auto"/>
        </w:rPr>
      </w:pPr>
    </w:p>
    <w:p>
      <w:pPr>
        <w:ind w:left="60" w:right="140" w:firstLine="635"/>
        <w:spacing w:after="0" w:line="244" w:lineRule="auto"/>
        <w:tabs>
          <w:tab w:leader="none" w:pos="1205" w:val="left"/>
        </w:tabs>
        <w:numPr>
          <w:ilvl w:val="0"/>
          <w:numId w:val="154"/>
        </w:numPr>
        <w:rPr>
          <w:rFonts w:ascii="Arial" w:cs="Arial" w:eastAsia="Arial" w:hAnsi="Arial"/>
          <w:sz w:val="21"/>
          <w:szCs w:val="21"/>
          <w:color w:val="auto"/>
        </w:rPr>
      </w:pPr>
      <w:r>
        <w:rPr>
          <w:rFonts w:ascii="Arial" w:cs="Arial" w:eastAsia="Arial" w:hAnsi="Arial"/>
          <w:sz w:val="21"/>
          <w:szCs w:val="21"/>
          <w:color w:val="auto"/>
        </w:rPr>
        <w:t>Liens securing judgments for the payment of money (or appeal or other surety bonds relating to such judgments) not constituting an Event of Default under Section 7.01(h);</w:t>
      </w:r>
    </w:p>
    <w:p>
      <w:pPr>
        <w:spacing w:after="0" w:line="192" w:lineRule="exact"/>
        <w:rPr>
          <w:rFonts w:ascii="Arial" w:cs="Arial" w:eastAsia="Arial" w:hAnsi="Arial"/>
          <w:sz w:val="21"/>
          <w:szCs w:val="21"/>
          <w:color w:val="auto"/>
        </w:rPr>
      </w:pPr>
    </w:p>
    <w:p>
      <w:pPr>
        <w:jc w:val="both"/>
        <w:ind w:left="60" w:firstLine="635"/>
        <w:spacing w:after="0" w:line="246" w:lineRule="auto"/>
        <w:tabs>
          <w:tab w:leader="none" w:pos="1266"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under Section 6.03(e);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190" w:lineRule="exact"/>
        <w:rPr>
          <w:rFonts w:ascii="Arial" w:cs="Arial" w:eastAsia="Arial" w:hAnsi="Arial"/>
          <w:sz w:val="20"/>
          <w:szCs w:val="20"/>
          <w:color w:val="auto"/>
        </w:rPr>
      </w:pPr>
    </w:p>
    <w:p>
      <w:pPr>
        <w:ind w:left="60" w:right="120" w:firstLine="635"/>
        <w:spacing w:after="0" w:line="268" w:lineRule="auto"/>
        <w:tabs>
          <w:tab w:leader="none" w:pos="1193" w:val="left"/>
        </w:tabs>
        <w:numPr>
          <w:ilvl w:val="0"/>
          <w:numId w:val="154"/>
        </w:numPr>
        <w:rPr>
          <w:rFonts w:ascii="Arial" w:cs="Arial" w:eastAsia="Arial" w:hAnsi="Arial"/>
          <w:sz w:val="20"/>
          <w:szCs w:val="20"/>
          <w:color w:val="auto"/>
        </w:rPr>
      </w:pPr>
      <w:r>
        <w:rPr>
          <w:rFonts w:ascii="Arial" w:cs="Arial" w:eastAsia="Arial" w:hAnsi="Arial"/>
          <w:sz w:val="20"/>
          <w:szCs w:val="20"/>
          <w:color w:val="auto"/>
        </w:rPr>
        <w:t>Liens existing solely with respect to cash or deposit account balances used to cash collateralize obligations of a Lender to the Issuing Bank, in accordance with the terms, conditions, and provisions of Section 2.06(j);</w:t>
      </w:r>
    </w:p>
    <w:p>
      <w:pPr>
        <w:spacing w:after="0" w:line="156" w:lineRule="exact"/>
        <w:rPr>
          <w:rFonts w:ascii="Arial" w:cs="Arial" w:eastAsia="Arial" w:hAnsi="Arial"/>
          <w:sz w:val="20"/>
          <w:szCs w:val="20"/>
          <w:color w:val="auto"/>
        </w:rPr>
      </w:pPr>
    </w:p>
    <w:p>
      <w:pPr>
        <w:ind w:left="1160" w:hanging="465"/>
        <w:spacing w:after="0"/>
        <w:tabs>
          <w:tab w:leader="none" w:pos="116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Liens on Permitted Receivables Facility Assets arising under Permitted Receivables Facilities; and</w:t>
      </w:r>
    </w:p>
    <w:p>
      <w:pPr>
        <w:spacing w:after="0" w:line="227" w:lineRule="exact"/>
        <w:rPr>
          <w:rFonts w:ascii="Arial" w:cs="Arial" w:eastAsia="Arial" w:hAnsi="Arial"/>
          <w:sz w:val="21"/>
          <w:szCs w:val="21"/>
          <w:color w:val="auto"/>
        </w:rPr>
      </w:pPr>
    </w:p>
    <w:p>
      <w:pPr>
        <w:jc w:val="both"/>
        <w:ind w:left="60" w:right="120" w:firstLine="635"/>
        <w:spacing w:after="0" w:line="232" w:lineRule="auto"/>
        <w:tabs>
          <w:tab w:leader="none" w:pos="1161" w:val="left"/>
        </w:tabs>
        <w:numPr>
          <w:ilvl w:val="0"/>
          <w:numId w:val="154"/>
        </w:numPr>
        <w:rPr>
          <w:rFonts w:ascii="Arial" w:cs="Arial" w:eastAsia="Arial" w:hAnsi="Arial"/>
          <w:sz w:val="21"/>
          <w:szCs w:val="21"/>
          <w:color w:val="auto"/>
        </w:rPr>
      </w:pPr>
      <w:r>
        <w:rPr>
          <w:rFonts w:ascii="Arial" w:cs="Arial" w:eastAsia="Arial" w:hAnsi="Arial"/>
          <w:sz w:val="21"/>
          <w:szCs w:val="21"/>
          <w:color w:val="auto"/>
        </w:rPr>
        <w:t xml:space="preserve">Liens securing Indebtedness permitted under Section 6.03(f) and Section 6.03(i);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with respect to any Liens securing Secured Debt permitted under Section 6.03(i) said Liens shall be subject to the terms, conditions, and provisions of the applicable Intercreditor Agreement(s).</w:t>
      </w:r>
    </w:p>
    <w:p>
      <w:pPr>
        <w:spacing w:after="0" w:line="198"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6.02.</w:t>
      </w:r>
      <w:r>
        <w:rPr>
          <w:sz w:val="20"/>
          <w:szCs w:val="20"/>
          <w:color w:val="auto"/>
        </w:rPr>
        <w:tab/>
      </w:r>
      <w:r>
        <w:rPr>
          <w:rFonts w:ascii="Arial" w:cs="Arial" w:eastAsia="Arial" w:hAnsi="Arial"/>
          <w:sz w:val="19"/>
          <w:szCs w:val="19"/>
          <w:u w:val="single" w:color="auto"/>
          <w:color w:val="auto"/>
        </w:rPr>
        <w:t>Investments</w:t>
      </w:r>
      <w:r>
        <w:rPr>
          <w:rFonts w:ascii="Arial" w:cs="Arial" w:eastAsia="Arial" w:hAnsi="Arial"/>
          <w:sz w:val="19"/>
          <w:szCs w:val="19"/>
          <w:color w:val="auto"/>
        </w:rPr>
        <w:t>. Make any Investments, except:</w:t>
      </w:r>
    </w:p>
    <w:p>
      <w:pPr>
        <w:spacing w:after="0" w:line="214" w:lineRule="exact"/>
        <w:rPr>
          <w:sz w:val="20"/>
          <w:szCs w:val="20"/>
          <w:color w:val="auto"/>
        </w:rPr>
      </w:pPr>
    </w:p>
    <w:p>
      <w:pPr>
        <w:ind w:left="1220" w:hanging="525"/>
        <w:spacing w:after="0"/>
        <w:tabs>
          <w:tab w:leader="none" w:pos="122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Investments held by Borrower or such Subsidiary in the form of cash equivalents or short-term marketable debt</w:t>
      </w:r>
    </w:p>
    <w:p>
      <w:pPr>
        <w:spacing w:after="0" w:line="2" w:lineRule="exact"/>
        <w:rPr>
          <w:rFonts w:ascii="Arial" w:cs="Arial" w:eastAsia="Arial" w:hAnsi="Arial"/>
          <w:sz w:val="20"/>
          <w:szCs w:val="20"/>
          <w:color w:val="auto"/>
        </w:rPr>
      </w:pPr>
    </w:p>
    <w:p>
      <w:pPr>
        <w:ind w:left="60"/>
        <w:spacing w:after="0"/>
        <w:rPr>
          <w:rFonts w:ascii="Arial" w:cs="Arial" w:eastAsia="Arial" w:hAnsi="Arial"/>
          <w:sz w:val="20"/>
          <w:szCs w:val="20"/>
          <w:color w:val="auto"/>
        </w:rPr>
      </w:pPr>
      <w:r>
        <w:rPr>
          <w:rFonts w:ascii="Arial" w:cs="Arial" w:eastAsia="Arial" w:hAnsi="Arial"/>
          <w:sz w:val="21"/>
          <w:szCs w:val="21"/>
          <w:color w:val="auto"/>
        </w:rPr>
        <w:t>securities;</w:t>
      </w:r>
    </w:p>
    <w:p>
      <w:pPr>
        <w:spacing w:after="0" w:line="209" w:lineRule="exact"/>
        <w:rPr>
          <w:rFonts w:ascii="Arial" w:cs="Arial" w:eastAsia="Arial" w:hAnsi="Arial"/>
          <w:sz w:val="20"/>
          <w:szCs w:val="20"/>
          <w:color w:val="auto"/>
        </w:rPr>
      </w:pPr>
    </w:p>
    <w:p>
      <w:pPr>
        <w:ind w:left="60" w:right="140" w:firstLine="635"/>
        <w:spacing w:after="0" w:line="244" w:lineRule="auto"/>
        <w:tabs>
          <w:tab w:leader="none" w:pos="1261" w:val="left"/>
        </w:tabs>
        <w:numPr>
          <w:ilvl w:val="0"/>
          <w:numId w:val="155"/>
        </w:numPr>
        <w:rPr>
          <w:rFonts w:ascii="Arial" w:cs="Arial" w:eastAsia="Arial" w:hAnsi="Arial"/>
          <w:sz w:val="21"/>
          <w:szCs w:val="21"/>
          <w:color w:val="auto"/>
        </w:rPr>
      </w:pPr>
      <w:r>
        <w:rPr>
          <w:rFonts w:ascii="Arial" w:cs="Arial" w:eastAsia="Arial" w:hAnsi="Arial"/>
          <w:sz w:val="21"/>
          <w:szCs w:val="21"/>
          <w:color w:val="auto"/>
        </w:rPr>
        <w:t>loans to officers, directors and employees of Borrower and Subsidiaries in an aggregate amount not to exceed $500,000 at any time outstanding;</w:t>
      </w:r>
    </w:p>
    <w:p>
      <w:pPr>
        <w:spacing w:after="0" w:line="192" w:lineRule="exact"/>
        <w:rPr>
          <w:rFonts w:ascii="Arial" w:cs="Arial" w:eastAsia="Arial" w:hAnsi="Arial"/>
          <w:sz w:val="21"/>
          <w:szCs w:val="21"/>
          <w:color w:val="auto"/>
        </w:rPr>
      </w:pPr>
    </w:p>
    <w:p>
      <w:pPr>
        <w:jc w:val="both"/>
        <w:ind w:left="60" w:right="120" w:firstLine="635"/>
        <w:spacing w:after="0" w:line="232" w:lineRule="auto"/>
        <w:tabs>
          <w:tab w:leader="none" w:pos="1155" w:val="left"/>
        </w:tabs>
        <w:numPr>
          <w:ilvl w:val="0"/>
          <w:numId w:val="155"/>
        </w:numPr>
        <w:rPr>
          <w:rFonts w:ascii="Arial" w:cs="Arial" w:eastAsia="Arial" w:hAnsi="Arial"/>
          <w:sz w:val="21"/>
          <w:szCs w:val="21"/>
          <w:color w:val="auto"/>
        </w:rPr>
      </w:pPr>
      <w:r>
        <w:rPr>
          <w:rFonts w:ascii="Arial" w:cs="Arial" w:eastAsia="Arial" w:hAnsi="Arial"/>
          <w:sz w:val="21"/>
          <w:szCs w:val="21"/>
          <w:color w:val="auto"/>
        </w:rPr>
        <w:t>Investments by Borrower and/or any of its Subsidiaries in Borrower and/or any Subsidiary; provided, that not more than an aggregate amount of $5,000,000 in Investments may be made and remain outstanding, at any time, by Loan Parties to Subsidiaries which are not Loan Parties.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108</w:t>
      </w:r>
    </w:p>
    <w:p>
      <w:pPr>
        <w:sectPr>
          <w:pgSz w:w="11900" w:h="16838" w:orient="portrait"/>
          <w:cols w:equalWidth="0" w:num="1">
            <w:col w:w="11160"/>
          </w:cols>
          <w:pgMar w:left="400" w:top="1440" w:right="339" w:bottom="1440" w:gutter="0" w:footer="0" w:header="0"/>
        </w:sectPr>
      </w:pPr>
    </w:p>
    <w:bookmarkStart w:id="198" w:name="page199"/>
    <w:bookmarkEnd w:id="198"/>
    <w:p>
      <w:pPr>
        <w:spacing w:after="0" w:line="194" w:lineRule="exact"/>
        <w:rPr>
          <w:sz w:val="20"/>
          <w:szCs w:val="20"/>
          <w:color w:val="auto"/>
        </w:rPr>
      </w:pPr>
    </w:p>
    <w:p>
      <w:pPr>
        <w:ind w:left="60" w:right="120" w:firstLine="635"/>
        <w:spacing w:after="0" w:line="244" w:lineRule="auto"/>
        <w:tabs>
          <w:tab w:leader="none" w:pos="1191" w:val="left"/>
        </w:tabs>
        <w:numPr>
          <w:ilvl w:val="0"/>
          <w:numId w:val="156"/>
        </w:numPr>
        <w:rPr>
          <w:rFonts w:ascii="Arial" w:cs="Arial" w:eastAsia="Arial" w:hAnsi="Arial"/>
          <w:sz w:val="21"/>
          <w:szCs w:val="21"/>
          <w:color w:val="auto"/>
        </w:rPr>
      </w:pPr>
      <w:r>
        <w:rPr>
          <w:rFonts w:ascii="Arial" w:cs="Arial" w:eastAsia="Arial" w:hAnsi="Arial"/>
          <w:sz w:val="21"/>
          <w:szCs w:val="21"/>
          <w:color w:val="auto"/>
        </w:rPr>
        <w:t>Investments of Borrower or its Subsidiaries for strategic purposes in non- Subsidiary joint ventures, not to exceed $4,000,000 individually in any twelve (12) month period;</w:t>
      </w:r>
    </w:p>
    <w:p>
      <w:pPr>
        <w:spacing w:after="0" w:line="179" w:lineRule="exact"/>
        <w:rPr>
          <w:rFonts w:ascii="Arial" w:cs="Arial" w:eastAsia="Arial" w:hAnsi="Arial"/>
          <w:sz w:val="21"/>
          <w:szCs w:val="21"/>
          <w:color w:val="auto"/>
        </w:rPr>
      </w:pPr>
    </w:p>
    <w:p>
      <w:pPr>
        <w:jc w:val="both"/>
        <w:ind w:left="60" w:right="120" w:firstLine="635"/>
        <w:spacing w:after="0" w:line="265" w:lineRule="auto"/>
        <w:tabs>
          <w:tab w:leader="none" w:pos="1171"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4" w:lineRule="exact"/>
        <w:rPr>
          <w:rFonts w:ascii="Arial" w:cs="Arial" w:eastAsia="Arial" w:hAnsi="Arial"/>
          <w:sz w:val="19"/>
          <w:szCs w:val="19"/>
          <w:color w:val="auto"/>
        </w:rPr>
      </w:pPr>
    </w:p>
    <w:p>
      <w:pPr>
        <w:ind w:left="1120" w:hanging="425"/>
        <w:spacing w:after="0"/>
        <w:tabs>
          <w:tab w:leader="none" w:pos="112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an Acquisition; </w:t>
      </w:r>
      <w:r>
        <w:rPr>
          <w:rFonts w:ascii="Arial" w:cs="Arial" w:eastAsia="Arial" w:hAnsi="Arial"/>
          <w:sz w:val="21"/>
          <w:szCs w:val="21"/>
          <w:u w:val="single" w:color="auto"/>
          <w:color w:val="auto"/>
        </w:rPr>
        <w:t>provided that</w:t>
      </w:r>
      <w:r>
        <w:rPr>
          <w:rFonts w:ascii="Arial" w:cs="Arial" w:eastAsia="Arial" w:hAnsi="Arial"/>
          <w:sz w:val="21"/>
          <w:szCs w:val="21"/>
          <w:color w:val="auto"/>
        </w:rPr>
        <w:t>, with respect to each Acquisition made pursuant to this Section 6.02(f):</w:t>
      </w:r>
    </w:p>
    <w:p>
      <w:pPr>
        <w:spacing w:after="0" w:line="214" w:lineRule="exact"/>
        <w:rPr>
          <w:rFonts w:ascii="Arial" w:cs="Arial" w:eastAsia="Arial" w:hAnsi="Arial"/>
          <w:sz w:val="21"/>
          <w:szCs w:val="21"/>
          <w:color w:val="auto"/>
        </w:rPr>
      </w:pPr>
    </w:p>
    <w:p>
      <w:pPr>
        <w:jc w:val="both"/>
        <w:ind w:left="700" w:right="120" w:firstLine="639"/>
        <w:spacing w:after="0" w:line="227" w:lineRule="auto"/>
        <w:tabs>
          <w:tab w:leader="none" w:pos="1897" w:val="left"/>
        </w:tabs>
        <w:numPr>
          <w:ilvl w:val="1"/>
          <w:numId w:val="156"/>
        </w:numPr>
        <w:rPr>
          <w:rFonts w:ascii="Arial" w:cs="Arial" w:eastAsia="Arial" w:hAnsi="Arial"/>
          <w:sz w:val="21"/>
          <w:szCs w:val="21"/>
          <w:color w:val="auto"/>
        </w:rPr>
      </w:pPr>
      <w:r>
        <w:rPr>
          <w:rFonts w:ascii="Arial" w:cs="Arial" w:eastAsia="Arial" w:hAnsi="Arial"/>
          <w:sz w:val="21"/>
          <w:szCs w:val="21"/>
          <w:color w:val="auto"/>
        </w:rPr>
        <w:t>in the case of an Acquisition of the Equity Interest of a Person (including as a result of a merger or consolidation), upon the consummation thereof, such Person will be wholly-owned directly by the Borrower or one or more of its Wholly-Owned Subsidiaries, and any such newly-created or acquired Subsidiary shall comply with the requirements of Section 5.13;</w:t>
      </w:r>
    </w:p>
    <w:p>
      <w:pPr>
        <w:spacing w:after="0" w:line="185" w:lineRule="exact"/>
        <w:rPr>
          <w:rFonts w:ascii="Arial" w:cs="Arial" w:eastAsia="Arial" w:hAnsi="Arial"/>
          <w:sz w:val="21"/>
          <w:szCs w:val="21"/>
          <w:color w:val="auto"/>
        </w:rPr>
      </w:pPr>
    </w:p>
    <w:p>
      <w:pPr>
        <w:jc w:val="both"/>
        <w:ind w:left="700" w:right="140" w:firstLine="639"/>
        <w:spacing w:after="0" w:line="232" w:lineRule="auto"/>
        <w:tabs>
          <w:tab w:leader="none" w:pos="1916" w:val="left"/>
        </w:tabs>
        <w:numPr>
          <w:ilvl w:val="1"/>
          <w:numId w:val="156"/>
        </w:numPr>
        <w:rPr>
          <w:rFonts w:ascii="Arial" w:cs="Arial" w:eastAsia="Arial" w:hAnsi="Arial"/>
          <w:sz w:val="21"/>
          <w:szCs w:val="21"/>
          <w:color w:val="auto"/>
        </w:rPr>
      </w:pPr>
      <w:r>
        <w:rPr>
          <w:rFonts w:ascii="Arial" w:cs="Arial" w:eastAsia="Arial" w:hAnsi="Arial"/>
          <w:sz w:val="21"/>
          <w:szCs w:val="21"/>
          <w:color w:val="auto"/>
        </w:rPr>
        <w:t>the lines of business of the Person to be (or the property of which is to be) so purchased or otherwise acquired shall be substantially the same lines of business as one or more of the principal businesses of the Borrower and its Subsidiaries in the ordinary course;</w:t>
      </w:r>
    </w:p>
    <w:p>
      <w:pPr>
        <w:spacing w:after="0" w:line="264" w:lineRule="exact"/>
        <w:rPr>
          <w:rFonts w:ascii="Arial" w:cs="Arial" w:eastAsia="Arial" w:hAnsi="Arial"/>
          <w:sz w:val="21"/>
          <w:szCs w:val="21"/>
          <w:color w:val="auto"/>
        </w:rPr>
      </w:pPr>
    </w:p>
    <w:p>
      <w:pPr>
        <w:jc w:val="both"/>
        <w:ind w:left="700" w:right="120" w:firstLine="639"/>
        <w:spacing w:after="0" w:line="220" w:lineRule="auto"/>
        <w:tabs>
          <w:tab w:leader="none" w:pos="1898" w:val="left"/>
        </w:tabs>
        <w:numPr>
          <w:ilvl w:val="1"/>
          <w:numId w:val="156"/>
        </w:numPr>
        <w:rPr>
          <w:rFonts w:ascii="Arial" w:cs="Arial" w:eastAsia="Arial" w:hAnsi="Arial"/>
          <w:sz w:val="21"/>
          <w:szCs w:val="21"/>
          <w:color w:val="auto"/>
        </w:rPr>
      </w:pPr>
      <w:r>
        <w:rPr>
          <w:rFonts w:ascii="Arial" w:cs="Arial" w:eastAsia="Arial" w:hAnsi="Arial"/>
          <w:sz w:val="21"/>
          <w:szCs w:val="21"/>
          <w:color w:val="auto"/>
        </w:rPr>
        <w:t xml:space="preserve">(A) immediately before and immediately after giving pro forma effect to any such Acquisition (or, if such Acquisition is a Limited Condition Transaction, at the time of signing the applicable Limited Acquisition Agreement), no Default shall have occurred and be continuing and (B) immediately after giving effect to such Acquisition, the Borrower and its Subsidiaries shall be in pro forma compliance with all of the covenants set forth in </w:t>
      </w:r>
      <w:r>
        <w:rPr>
          <w:rFonts w:ascii="Arial" w:cs="Arial" w:eastAsia="Arial" w:hAnsi="Arial"/>
          <w:sz w:val="21"/>
          <w:szCs w:val="21"/>
          <w:u w:val="single" w:color="auto"/>
          <w:color w:val="auto"/>
        </w:rPr>
        <w:t>Section 5.12</w:t>
      </w:r>
      <w:r>
        <w:rPr>
          <w:rFonts w:ascii="Arial" w:cs="Arial" w:eastAsia="Arial" w:hAnsi="Arial"/>
          <w:sz w:val="21"/>
          <w:szCs w:val="21"/>
          <w:color w:val="auto"/>
        </w:rPr>
        <w:t>, such compliance to be evidenced by the Borrower to the reasonable satisfaction of the Administrative Agent and to be determined on a pro forma basis (for the avoidance of doubt, giving effect to any Indebtedness incurred or assumed in connection therewith) as if such Acquisition had been made on the first day of the most recent four fiscal quarter period for which Financials have been delivered; and</w:t>
      </w:r>
    </w:p>
    <w:p>
      <w:pPr>
        <w:spacing w:after="0" w:line="199" w:lineRule="exact"/>
        <w:rPr>
          <w:rFonts w:ascii="Arial" w:cs="Arial" w:eastAsia="Arial" w:hAnsi="Arial"/>
          <w:sz w:val="21"/>
          <w:szCs w:val="21"/>
          <w:color w:val="auto"/>
        </w:rPr>
      </w:pPr>
    </w:p>
    <w:p>
      <w:pPr>
        <w:jc w:val="both"/>
        <w:ind w:left="700" w:right="120" w:firstLine="639"/>
        <w:spacing w:after="0" w:line="224" w:lineRule="auto"/>
        <w:tabs>
          <w:tab w:leader="none" w:pos="2019" w:val="left"/>
        </w:tabs>
        <w:numPr>
          <w:ilvl w:val="1"/>
          <w:numId w:val="156"/>
        </w:numPr>
        <w:rPr>
          <w:rFonts w:ascii="Arial" w:cs="Arial" w:eastAsia="Arial" w:hAnsi="Arial"/>
          <w:sz w:val="21"/>
          <w:szCs w:val="21"/>
          <w:color w:val="auto"/>
        </w:rPr>
      </w:pPr>
      <w:r>
        <w:rPr>
          <w:rFonts w:ascii="Arial" w:cs="Arial" w:eastAsia="Arial" w:hAnsi="Arial"/>
          <w:sz w:val="21"/>
          <w:szCs w:val="21"/>
          <w:color w:val="auto"/>
        </w:rPr>
        <w:t>in the event the total cash and noncash consideration paid by or on behalf of the Borrower and its Subsidiaries for any such Acquisition exceeds $10,000,000, the Borrower shall have delivered to the Administrative Agent, at least five Business Days prior to the date on which any such Acquisition is to be consummated, written notice of such Acquisition, and, if requested by the Administrative Agent, all material purchase or acquisition documents related thereto;</w:t>
      </w:r>
    </w:p>
    <w:p>
      <w:pPr>
        <w:spacing w:after="0" w:line="200" w:lineRule="exact"/>
        <w:rPr>
          <w:rFonts w:ascii="Arial" w:cs="Arial" w:eastAsia="Arial" w:hAnsi="Arial"/>
          <w:sz w:val="21"/>
          <w:szCs w:val="21"/>
          <w:color w:val="auto"/>
        </w:rPr>
      </w:pPr>
    </w:p>
    <w:p>
      <w:pPr>
        <w:ind w:left="1160" w:hanging="465"/>
        <w:spacing w:after="0"/>
        <w:tabs>
          <w:tab w:leader="none" w:pos="116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Guarantees permitted by Section 6.03;</w:t>
      </w:r>
    </w:p>
    <w:p>
      <w:pPr>
        <w:spacing w:after="0" w:line="227" w:lineRule="exact"/>
        <w:rPr>
          <w:rFonts w:ascii="Arial" w:cs="Arial" w:eastAsia="Arial" w:hAnsi="Arial"/>
          <w:sz w:val="21"/>
          <w:szCs w:val="21"/>
          <w:color w:val="auto"/>
        </w:rPr>
      </w:pPr>
    </w:p>
    <w:p>
      <w:pPr>
        <w:jc w:val="both"/>
        <w:ind w:left="60" w:firstLine="635"/>
        <w:spacing w:after="0" w:line="239" w:lineRule="auto"/>
        <w:tabs>
          <w:tab w:leader="none" w:pos="1315" w:val="left"/>
        </w:tabs>
        <w:numPr>
          <w:ilvl w:val="0"/>
          <w:numId w:val="156"/>
        </w:numPr>
        <w:rPr>
          <w:rFonts w:ascii="Arial" w:cs="Arial" w:eastAsia="Arial" w:hAnsi="Arial"/>
          <w:sz w:val="20"/>
          <w:szCs w:val="20"/>
          <w:color w:val="auto"/>
        </w:rPr>
      </w:pPr>
      <w:r>
        <w:rPr>
          <w:rFonts w:ascii="Arial" w:cs="Arial" w:eastAsia="Arial" w:hAnsi="Arial"/>
          <w:sz w:val="20"/>
          <w:szCs w:val="20"/>
          <w:color w:val="auto"/>
        </w:rPr>
        <w:t>contributions of Permitted Receivables Facility Assets and cash deemed received from proceeds of Permitted Receivables Facility Assets to any Receivables Entity to the extent required or made pursuant to Permitted Receivables Facility Documents or to the extent necessary to keep such Receivables Entity properly capitalized to avoid insolvency or consolidation with a Loan Party or any of the Subsidiaries and (ii) loans or advances made by the Borrower or 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109</w:t>
      </w:r>
    </w:p>
    <w:p>
      <w:pPr>
        <w:sectPr>
          <w:pgSz w:w="11900" w:h="16838" w:orient="portrait"/>
          <w:cols w:equalWidth="0" w:num="1">
            <w:col w:w="11160"/>
          </w:cols>
          <w:pgMar w:left="400" w:top="1440" w:right="339" w:bottom="1440" w:gutter="0" w:footer="0" w:header="0"/>
        </w:sectPr>
      </w:pPr>
    </w:p>
    <w:bookmarkStart w:id="199" w:name="page200"/>
    <w:bookmarkEnd w:id="199"/>
    <w:p>
      <w:pPr>
        <w:spacing w:after="0" w:line="193" w:lineRule="exact"/>
        <w:rPr>
          <w:sz w:val="20"/>
          <w:szCs w:val="20"/>
          <w:color w:val="auto"/>
        </w:rPr>
      </w:pPr>
    </w:p>
    <w:p>
      <w:pPr>
        <w:ind w:left="60" w:right="280"/>
        <w:spacing w:after="0" w:line="244" w:lineRule="auto"/>
        <w:rPr>
          <w:sz w:val="20"/>
          <w:szCs w:val="20"/>
          <w:color w:val="auto"/>
        </w:rPr>
      </w:pPr>
      <w:r>
        <w:rPr>
          <w:rFonts w:ascii="Arial" w:cs="Arial" w:eastAsia="Arial" w:hAnsi="Arial"/>
          <w:sz w:val="21"/>
          <w:szCs w:val="21"/>
          <w:color w:val="auto"/>
        </w:rPr>
        <w:t>Receivables Seller to the Receivables Entity for the purchase price of the Receivables and the Permitted Receivables Facility Assets; and</w:t>
      </w:r>
    </w:p>
    <w:p>
      <w:pPr>
        <w:spacing w:after="0" w:line="179" w:lineRule="exact"/>
        <w:rPr>
          <w:sz w:val="20"/>
          <w:szCs w:val="20"/>
          <w:color w:val="auto"/>
        </w:rPr>
      </w:pPr>
    </w:p>
    <w:p>
      <w:pPr>
        <w:jc w:val="both"/>
        <w:ind w:left="60" w:firstLine="635"/>
        <w:spacing w:after="0" w:line="247" w:lineRule="auto"/>
        <w:tabs>
          <w:tab w:leader="none" w:pos="1123" w:val="left"/>
        </w:tabs>
        <w:numPr>
          <w:ilvl w:val="0"/>
          <w:numId w:val="157"/>
        </w:numPr>
        <w:rPr>
          <w:rFonts w:ascii="Arial" w:cs="Arial" w:eastAsia="Arial" w:hAnsi="Arial"/>
          <w:sz w:val="19"/>
          <w:szCs w:val="19"/>
          <w:color w:val="auto"/>
        </w:rPr>
      </w:pPr>
      <w:r>
        <w:rPr>
          <w:rFonts w:ascii="Arial" w:cs="Arial" w:eastAsia="Arial" w:hAnsi="Arial"/>
          <w:sz w:val="19"/>
          <w:szCs w:val="19"/>
          <w:color w:val="auto"/>
        </w:rPr>
        <w:t>other Investments (excluding Acquisitions); provided that (A) immediately before and immediately after giving pro forma effect to any such Investment, no Default shall have occurred and be continuing and (B) immediately after giving effect to such Investment, the Total Consolidated Debt Leverage Ratio shall not exceed 3.50 to 1.00, such compliance to be evidenced by the Borrower to the reasonable satisfaction of the Administrative Agent and to be determined on a pro forma basis (for the avoidance of doubt, giving effect to any Indebtedness incurred or assumed in connection therewith) as if such Investment had been made on the first day of the most recent four fiscal quarter period for which Financials have been delivered.</w:t>
      </w:r>
    </w:p>
    <w:p>
      <w:pPr>
        <w:spacing w:after="0" w:line="192" w:lineRule="exact"/>
        <w:rPr>
          <w:sz w:val="20"/>
          <w:szCs w:val="20"/>
          <w:color w:val="auto"/>
        </w:rPr>
      </w:pPr>
    </w:p>
    <w:p>
      <w:pPr>
        <w:ind w:left="700"/>
        <w:spacing w:after="0"/>
        <w:tabs>
          <w:tab w:leader="none" w:pos="2280" w:val="left"/>
          <w:tab w:leader="none" w:pos="3660" w:val="left"/>
        </w:tabs>
        <w:rPr>
          <w:sz w:val="20"/>
          <w:szCs w:val="20"/>
          <w:color w:val="auto"/>
        </w:rPr>
      </w:pPr>
      <w:r>
        <w:rPr>
          <w:rFonts w:ascii="Arial" w:cs="Arial" w:eastAsia="Arial" w:hAnsi="Arial"/>
          <w:sz w:val="21"/>
          <w:szCs w:val="21"/>
          <w:color w:val="auto"/>
        </w:rPr>
        <w:t>SECTION 6.03.</w:t>
      </w:r>
      <w:r>
        <w:rPr>
          <w:sz w:val="20"/>
          <w:szCs w:val="20"/>
          <w:color w:val="auto"/>
        </w:rPr>
        <w:tab/>
      </w:r>
      <w:r>
        <w:rPr>
          <w:rFonts w:ascii="Arial" w:cs="Arial" w:eastAsia="Arial" w:hAnsi="Arial"/>
          <w:sz w:val="21"/>
          <w:szCs w:val="21"/>
          <w:u w:val="single" w:color="auto"/>
          <w:color w:val="auto"/>
        </w:rPr>
        <w:t>Indebtedness</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Create, incur, assume or suffer to exist any Indebtedness, except:</w:t>
      </w:r>
    </w:p>
    <w:p>
      <w:pPr>
        <w:spacing w:after="0" w:line="228" w:lineRule="exact"/>
        <w:rPr>
          <w:sz w:val="20"/>
          <w:szCs w:val="20"/>
          <w:color w:val="auto"/>
        </w:rPr>
      </w:pPr>
    </w:p>
    <w:p>
      <w:pPr>
        <w:ind w:left="1140" w:hanging="445"/>
        <w:spacing w:after="0"/>
        <w:tabs>
          <w:tab w:leader="none" w:pos="114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Indebtedness under the Loan Documents;</w:t>
      </w:r>
    </w:p>
    <w:p>
      <w:pPr>
        <w:spacing w:after="0" w:line="214" w:lineRule="exact"/>
        <w:rPr>
          <w:rFonts w:ascii="Arial" w:cs="Arial" w:eastAsia="Arial" w:hAnsi="Arial"/>
          <w:sz w:val="21"/>
          <w:szCs w:val="21"/>
          <w:color w:val="auto"/>
        </w:rPr>
      </w:pPr>
    </w:p>
    <w:p>
      <w:pPr>
        <w:jc w:val="both"/>
        <w:ind w:left="60" w:firstLine="635"/>
        <w:spacing w:after="0" w:line="228" w:lineRule="auto"/>
        <w:tabs>
          <w:tab w:leader="none" w:pos="1337"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Indebtedness outstanding on the date hereof and listed on Schedule 6.03 and any refinancings, refundings, renewals or extensions thereof;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(ii) the terms relating to principal amount, amortization, maturity, collateral (if any) and subordination (if any), and other material terms taken as a whole, of any such refinancing, refunding, renewing or extending of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 and (iii) no Person that was not an obligor with respect to the original Indebtedness shall be an obligor on any such refinancing, refunding, renewing or extending of Indebtedness;</w:t>
      </w:r>
    </w:p>
    <w:p>
      <w:pPr>
        <w:spacing w:after="0" w:line="206" w:lineRule="exact"/>
        <w:rPr>
          <w:rFonts w:ascii="Arial" w:cs="Arial" w:eastAsia="Arial" w:hAnsi="Arial"/>
          <w:sz w:val="20"/>
          <w:szCs w:val="20"/>
          <w:color w:val="auto"/>
        </w:rPr>
      </w:pPr>
    </w:p>
    <w:p>
      <w:pPr>
        <w:ind w:left="60" w:right="20" w:firstLine="635"/>
        <w:spacing w:after="0" w:line="244" w:lineRule="auto"/>
        <w:tabs>
          <w:tab w:leader="none" w:pos="1194" w:val="left"/>
        </w:tabs>
        <w:numPr>
          <w:ilvl w:val="0"/>
          <w:numId w:val="158"/>
        </w:numPr>
        <w:rPr>
          <w:rFonts w:ascii="Arial" w:cs="Arial" w:eastAsia="Arial" w:hAnsi="Arial"/>
          <w:sz w:val="21"/>
          <w:szCs w:val="21"/>
          <w:color w:val="auto"/>
        </w:rPr>
      </w:pPr>
      <w:r>
        <w:rPr>
          <w:rFonts w:ascii="Arial" w:cs="Arial" w:eastAsia="Arial" w:hAnsi="Arial"/>
          <w:sz w:val="21"/>
          <w:szCs w:val="21"/>
          <w:color w:val="auto"/>
        </w:rPr>
        <w:t>Guarantees of Borrower or any Subsidiary in respect of Indebtedness otherwise permitted hereunder of Borrower or any Subsidiary;</w:t>
      </w:r>
    </w:p>
    <w:p>
      <w:pPr>
        <w:spacing w:after="0" w:line="192" w:lineRule="exact"/>
        <w:rPr>
          <w:rFonts w:ascii="Arial" w:cs="Arial" w:eastAsia="Arial" w:hAnsi="Arial"/>
          <w:sz w:val="21"/>
          <w:szCs w:val="21"/>
          <w:color w:val="auto"/>
        </w:rPr>
      </w:pPr>
    </w:p>
    <w:p>
      <w:pPr>
        <w:jc w:val="both"/>
        <w:ind w:left="60" w:firstLine="635"/>
        <w:spacing w:after="0" w:line="234" w:lineRule="auto"/>
        <w:tabs>
          <w:tab w:leader="none" w:pos="1387"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obligations (contingent or otherwise) of Borrower or any Subsidiary existing or arising under any Swap Agreement,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Agreement does not contain any provision exonerating the non-defaulting party from its obligation to make payments on outstanding transactions to the defaulting party;</w:t>
      </w:r>
    </w:p>
    <w:p>
      <w:pPr>
        <w:spacing w:after="0" w:line="182" w:lineRule="exact"/>
        <w:rPr>
          <w:rFonts w:ascii="Arial" w:cs="Arial" w:eastAsia="Arial" w:hAnsi="Arial"/>
          <w:sz w:val="20"/>
          <w:szCs w:val="20"/>
          <w:color w:val="auto"/>
        </w:rPr>
      </w:pPr>
    </w:p>
    <w:p>
      <w:pPr>
        <w:ind w:left="60" w:firstLine="635"/>
        <w:spacing w:after="0" w:line="244" w:lineRule="auto"/>
        <w:tabs>
          <w:tab w:leader="none" w:pos="1172" w:val="left"/>
        </w:tabs>
        <w:numPr>
          <w:ilvl w:val="0"/>
          <w:numId w:val="158"/>
        </w:numPr>
        <w:rPr>
          <w:rFonts w:ascii="Arial" w:cs="Arial" w:eastAsia="Arial" w:hAnsi="Arial"/>
          <w:sz w:val="21"/>
          <w:szCs w:val="21"/>
          <w:color w:val="auto"/>
        </w:rPr>
      </w:pPr>
      <w:r>
        <w:rPr>
          <w:rFonts w:ascii="Arial" w:cs="Arial" w:eastAsia="Arial" w:hAnsi="Arial"/>
          <w:sz w:val="21"/>
          <w:szCs w:val="21"/>
          <w:color w:val="auto"/>
        </w:rPr>
        <w:t>Indebtedness in respect of capital leases, Synthetic Lease Obligations and purchase money obligations for fixed or capital assets within the limitations set forth in Section 6.01(i);</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color w:val="auto"/>
        </w:rPr>
        <w:t>110</w:t>
      </w:r>
    </w:p>
    <w:p>
      <w:pPr>
        <w:sectPr>
          <w:pgSz w:w="11900" w:h="16838" w:orient="portrait"/>
          <w:cols w:equalWidth="0" w:num="1">
            <w:col w:w="11040"/>
          </w:cols>
          <w:pgMar w:left="400" w:top="1440" w:right="459" w:bottom="1440" w:gutter="0" w:footer="0" w:header="0"/>
        </w:sectPr>
      </w:pPr>
    </w:p>
    <w:bookmarkStart w:id="200" w:name="page201"/>
    <w:bookmarkEnd w:id="200"/>
    <w:p>
      <w:pPr>
        <w:spacing w:after="0" w:line="193" w:lineRule="exact"/>
        <w:rPr>
          <w:sz w:val="20"/>
          <w:szCs w:val="20"/>
          <w:color w:val="auto"/>
        </w:rPr>
      </w:pPr>
    </w:p>
    <w:p>
      <w:pPr>
        <w:ind w:left="60" w:right="1060"/>
        <w:spacing w:after="0" w:line="244"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aggregate amount of all such Indebtedness at any one time outstanding shall not exceed $35,000,000;</w:t>
      </w:r>
    </w:p>
    <w:p>
      <w:pPr>
        <w:spacing w:after="0" w:line="179" w:lineRule="exact"/>
        <w:rPr>
          <w:sz w:val="20"/>
          <w:szCs w:val="20"/>
          <w:color w:val="auto"/>
        </w:rPr>
      </w:pPr>
    </w:p>
    <w:p>
      <w:pPr>
        <w:jc w:val="both"/>
        <w:ind w:left="60" w:firstLine="635"/>
        <w:spacing w:after="0" w:line="241" w:lineRule="auto"/>
        <w:tabs>
          <w:tab w:leader="none" w:pos="121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(i) Indebtedness assumed in connection with Permitted Acquisitions or (ii) Indebtedness incurred in connection with the payment of the purchase price for Permitted Acquisitions, which Indebtedness is unsecured and has been subordinated to the payment of the Obligations on terms approved by the Administrative Agent in writing, or is otherwise approved by the Administrative Agent in writing;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 in the case of each of the foregoing </w:t>
      </w:r>
      <w:r>
        <w:rPr>
          <w:rFonts w:ascii="Arial" w:cs="Arial" w:eastAsia="Arial" w:hAnsi="Arial"/>
          <w:sz w:val="19"/>
          <w:szCs w:val="19"/>
          <w:u w:val="single" w:color="auto"/>
          <w:color w:val="auto"/>
        </w:rPr>
        <w:t>clauses (i) and (ii)</w:t>
      </w:r>
      <w:r>
        <w:rPr>
          <w:rFonts w:ascii="Arial" w:cs="Arial" w:eastAsia="Arial" w:hAnsi="Arial"/>
          <w:sz w:val="19"/>
          <w:szCs w:val="19"/>
          <w:color w:val="auto"/>
        </w:rPr>
        <w:t xml:space="preserve">, (1) immediately before and immediately after giving pro forma effect to any such incurrence of Indebtedness, no Default shall have occurred and be continuing, and (2) immediately after giving effect to such incurrence of Indebtedness, the Borrower and its Subsidiaries shall be in pro forma compliance with all of the covenants set forth in Section 5.12, and (B) in the case of the foregoing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immediately after giving effect to such incurrence, the Total Consolidated Debt Leverage Ratio does not exceed 4.50 to 1.00, such compliance as described in the preceding clauses (A)(2) and (B), as applicable, to be evidenced by the Borrower to the reasonable satisfaction of the Administrative Agent and the Required Lenders on the basis of the financial information most recently delivered to the Administrative Agent and the Lenders pursuant to Section 5.01(a) or (b) as though such Acquisition had been consummated as of the first day of the fiscal period covered thereby;</w:t>
      </w:r>
    </w:p>
    <w:p>
      <w:pPr>
        <w:spacing w:after="0" w:line="182" w:lineRule="exact"/>
        <w:rPr>
          <w:rFonts w:ascii="Arial" w:cs="Arial" w:eastAsia="Arial" w:hAnsi="Arial"/>
          <w:sz w:val="19"/>
          <w:szCs w:val="19"/>
          <w:color w:val="auto"/>
        </w:rPr>
      </w:pPr>
    </w:p>
    <w:p>
      <w:pPr>
        <w:jc w:val="both"/>
        <w:ind w:left="60" w:right="20" w:firstLine="635"/>
        <w:spacing w:after="0" w:line="227" w:lineRule="auto"/>
        <w:tabs>
          <w:tab w:leader="none" w:pos="125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any earn-out obligation that comprises a portion of the consideration for an acquisition (whether consummated before, on, or after the date of this Agreement) or Indebtedness consisting of obligations under deferred compensation or other similar arrangements incurred in connection with a Permitted Acquisition (whether consummated before, on, or after the date of this Agreement);</w:t>
      </w:r>
    </w:p>
    <w:p>
      <w:pPr>
        <w:spacing w:after="0" w:line="199" w:lineRule="exact"/>
        <w:rPr>
          <w:rFonts w:ascii="Arial" w:cs="Arial" w:eastAsia="Arial" w:hAnsi="Arial"/>
          <w:sz w:val="21"/>
          <w:szCs w:val="21"/>
          <w:color w:val="auto"/>
        </w:rPr>
      </w:pPr>
    </w:p>
    <w:p>
      <w:pPr>
        <w:ind w:left="1160" w:hanging="465"/>
        <w:spacing w:after="0"/>
        <w:tabs>
          <w:tab w:leader="none" w:pos="116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Indebtedness of the Borrower or any Subsidiary incurred pursuant to a Permitted Receivables Facility;</w:t>
      </w:r>
    </w:p>
    <w:p>
      <w:pPr>
        <w:spacing w:after="0" w:line="214" w:lineRule="exact"/>
        <w:rPr>
          <w:rFonts w:ascii="Arial" w:cs="Arial" w:eastAsia="Arial" w:hAnsi="Arial"/>
          <w:sz w:val="21"/>
          <w:szCs w:val="21"/>
          <w:color w:val="auto"/>
        </w:rPr>
      </w:pPr>
    </w:p>
    <w:p>
      <w:pPr>
        <w:jc w:val="both"/>
        <w:ind w:left="60" w:firstLine="635"/>
        <w:spacing w:after="0" w:line="228" w:lineRule="auto"/>
        <w:tabs>
          <w:tab w:leader="none" w:pos="1136"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additional Indebtedness of the Borrower or any Subsidiary in an aggregate amount not to exceed (A) the greater of $30,000,000 and 50% of EBITDA,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an unlimited amount of (1) Indebtedness secured on a pari passu basis to the Secured Obligations if immediately after giving effect to such incurrence, the Senior Secured Leverage Ratio does not exceed 3.00 to 1.00, such compliance to be evidenced by the Borrower to the reasonable satisfaction of the Administrative Agent and to be determined on a pro forma basis as if such Indebtedness had been incurred on the first day of the most recent four fiscal quarter period for which Financials have been delivered, (2) Indebtedness secured on a junior basis to the Secured Obligations if immediately after giving effect to such incurrence, the Secured Leverage Ratio does not exceed 3.00 to 1.00, such compliance to be evidenced by the Borrower to the reasonable satisfaction of the Administrative Agent and to be determined on a pro forma basis as if such Indebtedness had been incurred on the first day of the most recent four fiscal quarter period for which Financials have been delivered and (3) unsecured Indebtedness (including Subordinated Indebtedness) if immediately after giving effect to such incurrence, the Total Consolidated Debt Leverage Ratio does not exceed 4.50 to 1.00, such compliance to be evidenced by the Borrower to the reasonable satisfaction of the Administrative Agent and to be determined on a pro forma basis as if such Indebtedness had been incurred on the first day of the most recent four fiscal quarter period for which Financials have been delivered; </w:t>
      </w:r>
      <w:r>
        <w:rPr>
          <w:rFonts w:ascii="Arial" w:cs="Arial" w:eastAsia="Arial" w:hAnsi="Arial"/>
          <w:sz w:val="20"/>
          <w:szCs w:val="20"/>
          <w:u w:val="single" w:color="auto"/>
          <w:color w:val="auto"/>
        </w:rPr>
        <w:t>provided</w:t>
      </w:r>
      <w:r>
        <w:rPr>
          <w:rFonts w:ascii="Arial" w:cs="Arial" w:eastAsia="Arial" w:hAnsi="Arial"/>
          <w:sz w:val="20"/>
          <w:szCs w:val="20"/>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color w:val="auto"/>
        </w:rPr>
        <w:t>111</w:t>
      </w:r>
    </w:p>
    <w:p>
      <w:pPr>
        <w:sectPr>
          <w:pgSz w:w="11900" w:h="16838" w:orient="portrait"/>
          <w:cols w:equalWidth="0" w:num="1">
            <w:col w:w="11040"/>
          </w:cols>
          <w:pgMar w:left="400" w:top="1440" w:right="459" w:bottom="1440" w:gutter="0" w:footer="0" w:header="0"/>
        </w:sectPr>
      </w:pPr>
    </w:p>
    <w:bookmarkStart w:id="201" w:name="page202"/>
    <w:bookmarkEnd w:id="201"/>
    <w:p>
      <w:pPr>
        <w:spacing w:after="0" w:line="193" w:lineRule="exact"/>
        <w:rPr>
          <w:sz w:val="20"/>
          <w:szCs w:val="20"/>
          <w:color w:val="auto"/>
        </w:rPr>
      </w:pPr>
    </w:p>
    <w:p>
      <w:pPr>
        <w:ind w:left="1340" w:right="20" w:hanging="1"/>
        <w:spacing w:after="0" w:line="244" w:lineRule="auto"/>
        <w:tabs>
          <w:tab w:leader="none" w:pos="1788" w:val="left"/>
        </w:tabs>
        <w:numPr>
          <w:ilvl w:val="0"/>
          <w:numId w:val="160"/>
        </w:numPr>
        <w:rPr>
          <w:rFonts w:ascii="Arial" w:cs="Arial" w:eastAsia="Arial" w:hAnsi="Arial"/>
          <w:sz w:val="21"/>
          <w:szCs w:val="21"/>
          <w:color w:val="auto"/>
        </w:rPr>
      </w:pPr>
      <w:r>
        <w:rPr>
          <w:rFonts w:ascii="Arial" w:cs="Arial" w:eastAsia="Arial" w:hAnsi="Arial"/>
          <w:sz w:val="21"/>
          <w:szCs w:val="21"/>
          <w:color w:val="auto"/>
        </w:rPr>
        <w:t>immediately before and immediately after giving pro forma effect to any such incurrence, no Default shall have occurred and be continuing;</w:t>
      </w:r>
    </w:p>
    <w:p>
      <w:pPr>
        <w:spacing w:after="0" w:line="179" w:lineRule="exact"/>
        <w:rPr>
          <w:rFonts w:ascii="Arial" w:cs="Arial" w:eastAsia="Arial" w:hAnsi="Arial"/>
          <w:sz w:val="21"/>
          <w:szCs w:val="21"/>
          <w:color w:val="auto"/>
        </w:rPr>
      </w:pPr>
    </w:p>
    <w:p>
      <w:pPr>
        <w:ind w:left="1340" w:right="20" w:hanging="1"/>
        <w:spacing w:after="0" w:line="244" w:lineRule="auto"/>
        <w:tabs>
          <w:tab w:leader="none" w:pos="1861"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aggregate principal amount of any such Indebtedness incurred by Subsidiaries that are not Subsidiary Guarantors shall not exceed $20,000,000;</w:t>
      </w:r>
    </w:p>
    <w:p>
      <w:pPr>
        <w:spacing w:after="0" w:line="192" w:lineRule="exact"/>
        <w:rPr>
          <w:rFonts w:ascii="Arial" w:cs="Arial" w:eastAsia="Arial" w:hAnsi="Arial"/>
          <w:sz w:val="21"/>
          <w:szCs w:val="21"/>
          <w:color w:val="auto"/>
        </w:rPr>
      </w:pPr>
    </w:p>
    <w:p>
      <w:pPr>
        <w:ind w:left="1880" w:hanging="542"/>
        <w:spacing w:after="0"/>
        <w:tabs>
          <w:tab w:leader="none" w:pos="188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such Indebtedness does not mature prior to 91 days after the Maturity Date;</w:t>
      </w:r>
    </w:p>
    <w:p>
      <w:pPr>
        <w:spacing w:after="0" w:line="214" w:lineRule="exact"/>
        <w:rPr>
          <w:rFonts w:ascii="Arial" w:cs="Arial" w:eastAsia="Arial" w:hAnsi="Arial"/>
          <w:sz w:val="21"/>
          <w:szCs w:val="21"/>
          <w:color w:val="auto"/>
        </w:rPr>
      </w:pPr>
    </w:p>
    <w:p>
      <w:pPr>
        <w:ind w:left="1340" w:right="20" w:hanging="1"/>
        <w:spacing w:after="0" w:line="244" w:lineRule="auto"/>
        <w:tabs>
          <w:tab w:leader="none" w:pos="1931" w:val="left"/>
        </w:tabs>
        <w:numPr>
          <w:ilvl w:val="0"/>
          <w:numId w:val="160"/>
        </w:numPr>
        <w:rPr>
          <w:rFonts w:ascii="Arial" w:cs="Arial" w:eastAsia="Arial" w:hAnsi="Arial"/>
          <w:sz w:val="21"/>
          <w:szCs w:val="21"/>
          <w:color w:val="auto"/>
        </w:rPr>
      </w:pPr>
      <w:r>
        <w:rPr>
          <w:rFonts w:ascii="Arial" w:cs="Arial" w:eastAsia="Arial" w:hAnsi="Arial"/>
          <w:sz w:val="21"/>
          <w:szCs w:val="21"/>
          <w:color w:val="auto"/>
        </w:rPr>
        <w:t>such Indebtedness does not have a shorter weighted average life to maturity than any term loans issued under this Agreement; and</w:t>
      </w:r>
    </w:p>
    <w:p>
      <w:pPr>
        <w:spacing w:after="0" w:line="192" w:lineRule="exact"/>
        <w:rPr>
          <w:rFonts w:ascii="Arial" w:cs="Arial" w:eastAsia="Arial" w:hAnsi="Arial"/>
          <w:sz w:val="21"/>
          <w:szCs w:val="21"/>
          <w:color w:val="auto"/>
        </w:rPr>
      </w:pPr>
    </w:p>
    <w:p>
      <w:pPr>
        <w:jc w:val="both"/>
        <w:ind w:left="1340" w:hanging="1"/>
        <w:spacing w:after="0" w:line="245" w:lineRule="auto"/>
        <w:tabs>
          <w:tab w:leader="none" w:pos="181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in the case of indebtedness of Loan Party, (x) such Indebtedness shall not be secured by any Lien on assets that do constitute Collateral and shall not be guaranteed by any Subsidiary that is not a Subsidiary Guarantor and</w:t>
      </w:r>
    </w:p>
    <w:p>
      <w:pPr>
        <w:ind w:left="1340"/>
        <w:spacing w:after="0" w:line="233" w:lineRule="auto"/>
        <w:rPr>
          <w:rFonts w:ascii="Arial" w:cs="Arial" w:eastAsia="Arial" w:hAnsi="Arial"/>
          <w:sz w:val="19"/>
          <w:szCs w:val="19"/>
          <w:color w:val="auto"/>
        </w:rPr>
      </w:pPr>
      <w:r>
        <w:rPr>
          <w:rFonts w:ascii="Arial" w:cs="Arial" w:eastAsia="Arial" w:hAnsi="Arial"/>
          <w:sz w:val="21"/>
          <w:szCs w:val="21"/>
          <w:color w:val="auto"/>
        </w:rPr>
        <w:t>(y) if such Indebtedness is Secured Debt or Subordinated Indebtedness, such Indebtedness shall be subject to the terms of an Intercreditor Agreement.</w:t>
      </w:r>
    </w:p>
    <w:p>
      <w:pPr>
        <w:spacing w:after="0" w:line="183"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u w:val="single" w:color="auto"/>
          <w:color w:val="auto"/>
        </w:rPr>
        <w:t>Fundamental Changes</w:t>
      </w:r>
      <w:r>
        <w:rPr>
          <w:rFonts w:ascii="Arial" w:cs="Arial" w:eastAsia="Arial" w:hAnsi="Arial"/>
          <w:sz w:val="21"/>
          <w:szCs w:val="21"/>
          <w:color w:val="auto"/>
        </w:rPr>
        <w:t xml:space="preserve"> . Merge, dissolve, liquidate, consolidate with or into another Person, or Dispose of (whether in one transaction or in a series of transactions) all or substantially all of its assets (whether now owned or hereafter acquired) to or in favor of any Person (including, in each case, pursuant to a Delaware LLC Division), except that, so long as no Default exists or would result therefrom:</w:t>
      </w:r>
    </w:p>
    <w:p>
      <w:pPr>
        <w:spacing w:after="0" w:line="199" w:lineRule="exact"/>
        <w:rPr>
          <w:sz w:val="20"/>
          <w:szCs w:val="20"/>
          <w:color w:val="auto"/>
        </w:rPr>
      </w:pPr>
    </w:p>
    <w:p>
      <w:pPr>
        <w:jc w:val="both"/>
        <w:ind w:left="60" w:firstLine="635"/>
        <w:spacing w:after="0" w:line="239" w:lineRule="auto"/>
        <w:tabs>
          <w:tab w:leader="none" w:pos="117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any Subsidiary may merge with (i) Borrower,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Borrower shall be the continuing or surviving Person, or (ii) any one or more other Subsidiaries,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when any Majority-Owned Subsidiary is merging with another Subsidiary, the Majority-Owned Subsidiary shall be the continuing or surviving Person, and </w:t>
      </w:r>
      <w:r>
        <w:rPr>
          <w:rFonts w:ascii="Arial" w:cs="Arial" w:eastAsia="Arial" w:hAnsi="Arial"/>
          <w:sz w:val="20"/>
          <w:szCs w:val="20"/>
          <w:u w:val="single" w:color="auto"/>
          <w:color w:val="auto"/>
        </w:rPr>
        <w:t>provided further that</w:t>
      </w:r>
      <w:r>
        <w:rPr>
          <w:rFonts w:ascii="Arial" w:cs="Arial" w:eastAsia="Arial" w:hAnsi="Arial"/>
          <w:sz w:val="20"/>
          <w:szCs w:val="20"/>
          <w:color w:val="auto"/>
        </w:rPr>
        <w:t xml:space="preserve"> if a Subsidiary Guarantor is merging with another Subsidiary, the Subsidiary Guarantor shall be the surviving Person; and</w:t>
      </w:r>
    </w:p>
    <w:p>
      <w:pPr>
        <w:spacing w:after="0" w:line="183" w:lineRule="exact"/>
        <w:rPr>
          <w:rFonts w:ascii="Arial" w:cs="Arial" w:eastAsia="Arial" w:hAnsi="Arial"/>
          <w:sz w:val="20"/>
          <w:szCs w:val="20"/>
          <w:color w:val="auto"/>
        </w:rPr>
      </w:pPr>
    </w:p>
    <w:p>
      <w:pPr>
        <w:jc w:val="both"/>
        <w:ind w:left="60" w:firstLine="635"/>
        <w:spacing w:after="0" w:line="239" w:lineRule="auto"/>
        <w:tabs>
          <w:tab w:leader="none" w:pos="1246"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any Subsidiary may Dispose of all or substantially all of its assets (upon voluntary liquidation or otherwise) to Borrower or to another Subsidiary;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if the transferor in such a transaction is a Majority-Owned Subsidiary, then the transferee must either be Borrower or a Majority-Owned Subsidiary and </w:t>
      </w:r>
      <w:r>
        <w:rPr>
          <w:rFonts w:ascii="Arial" w:cs="Arial" w:eastAsia="Arial" w:hAnsi="Arial"/>
          <w:sz w:val="20"/>
          <w:szCs w:val="20"/>
          <w:u w:val="single" w:color="auto"/>
          <w:color w:val="auto"/>
        </w:rPr>
        <w:t>provided further that</w:t>
      </w:r>
      <w:r>
        <w:rPr>
          <w:rFonts w:ascii="Arial" w:cs="Arial" w:eastAsia="Arial" w:hAnsi="Arial"/>
          <w:sz w:val="20"/>
          <w:szCs w:val="20"/>
          <w:color w:val="auto"/>
        </w:rPr>
        <w:t xml:space="preserve"> if the transferor of such assets is a Subsidiary Guarantor, the transferee must either be Borrower or a Subsidiary Guarantor.</w:t>
      </w:r>
    </w:p>
    <w:p>
      <w:pPr>
        <w:spacing w:after="0" w:line="197" w:lineRule="exact"/>
        <w:rPr>
          <w:sz w:val="20"/>
          <w:szCs w:val="20"/>
          <w:color w:val="auto"/>
        </w:rPr>
      </w:pPr>
    </w:p>
    <w:p>
      <w:pPr>
        <w:ind w:left="60" w:right="20" w:firstLine="642"/>
        <w:spacing w:after="0" w:line="244" w:lineRule="auto"/>
        <w:rPr>
          <w:sz w:val="20"/>
          <w:szCs w:val="20"/>
          <w:color w:val="auto"/>
        </w:rPr>
      </w:pPr>
      <w:r>
        <w:rPr>
          <w:rFonts w:ascii="Arial" w:cs="Arial" w:eastAsia="Arial" w:hAnsi="Arial"/>
          <w:sz w:val="21"/>
          <w:szCs w:val="21"/>
          <w:color w:val="auto"/>
        </w:rPr>
        <w:t xml:space="preserve">SECTION 6.05. </w:t>
      </w:r>
      <w:r>
        <w:rPr>
          <w:rFonts w:ascii="Arial" w:cs="Arial" w:eastAsia="Arial" w:hAnsi="Arial"/>
          <w:sz w:val="21"/>
          <w:szCs w:val="21"/>
          <w:u w:val="single" w:color="auto"/>
          <w:color w:val="auto"/>
        </w:rPr>
        <w:t>Dispositions</w:t>
      </w:r>
      <w:r>
        <w:rPr>
          <w:rFonts w:ascii="Arial" w:cs="Arial" w:eastAsia="Arial" w:hAnsi="Arial"/>
          <w:sz w:val="21"/>
          <w:szCs w:val="21"/>
          <w:color w:val="auto"/>
        </w:rPr>
        <w:t>. The Borrower shall not, nor shall it permit any Subsidiary to, directly or indirectly make any Disposition or enter into any agreement to make any Disposition, except:</w:t>
      </w:r>
    </w:p>
    <w:p>
      <w:pPr>
        <w:spacing w:after="0" w:line="193" w:lineRule="exact"/>
        <w:rPr>
          <w:sz w:val="20"/>
          <w:szCs w:val="20"/>
          <w:color w:val="auto"/>
        </w:rPr>
      </w:pPr>
    </w:p>
    <w:p>
      <w:pPr>
        <w:ind w:left="60" w:firstLine="635"/>
        <w:spacing w:after="0" w:line="244" w:lineRule="auto"/>
        <w:tabs>
          <w:tab w:leader="none" w:pos="1257" w:val="left"/>
        </w:tabs>
        <w:numPr>
          <w:ilvl w:val="0"/>
          <w:numId w:val="162"/>
        </w:numPr>
        <w:rPr>
          <w:rFonts w:ascii="Arial" w:cs="Arial" w:eastAsia="Arial" w:hAnsi="Arial"/>
          <w:sz w:val="21"/>
          <w:szCs w:val="21"/>
          <w:color w:val="auto"/>
        </w:rPr>
      </w:pPr>
      <w:r>
        <w:rPr>
          <w:rFonts w:ascii="Arial" w:cs="Arial" w:eastAsia="Arial" w:hAnsi="Arial"/>
          <w:sz w:val="21"/>
          <w:szCs w:val="21"/>
          <w:color w:val="auto"/>
        </w:rPr>
        <w:t>Dispositions of obsolete or worn out property or equipment, whether now owned or hereafter acquired, in the ordinary course of business;</w:t>
      </w:r>
    </w:p>
    <w:p>
      <w:pPr>
        <w:spacing w:after="0" w:line="179" w:lineRule="exact"/>
        <w:rPr>
          <w:rFonts w:ascii="Arial" w:cs="Arial" w:eastAsia="Arial" w:hAnsi="Arial"/>
          <w:sz w:val="21"/>
          <w:szCs w:val="21"/>
          <w:color w:val="auto"/>
        </w:rPr>
      </w:pPr>
    </w:p>
    <w:p>
      <w:pPr>
        <w:ind w:left="1160" w:hanging="465"/>
        <w:spacing w:after="0"/>
        <w:tabs>
          <w:tab w:leader="none" w:pos="116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Dispositions of inventory in the ordinary course of business;</w:t>
      </w:r>
    </w:p>
    <w:p>
      <w:pPr>
        <w:spacing w:after="0" w:line="227" w:lineRule="exact"/>
        <w:rPr>
          <w:rFonts w:ascii="Arial" w:cs="Arial" w:eastAsia="Arial" w:hAnsi="Arial"/>
          <w:sz w:val="21"/>
          <w:szCs w:val="21"/>
          <w:color w:val="auto"/>
        </w:rPr>
      </w:pPr>
    </w:p>
    <w:p>
      <w:pPr>
        <w:jc w:val="both"/>
        <w:ind w:left="60" w:right="20" w:firstLine="635"/>
        <w:spacing w:after="0" w:line="232" w:lineRule="auto"/>
        <w:tabs>
          <w:tab w:leader="none" w:pos="1188" w:val="left"/>
        </w:tabs>
        <w:numPr>
          <w:ilvl w:val="0"/>
          <w:numId w:val="162"/>
        </w:numPr>
        <w:rPr>
          <w:rFonts w:ascii="Arial" w:cs="Arial" w:eastAsia="Arial" w:hAnsi="Arial"/>
          <w:sz w:val="21"/>
          <w:szCs w:val="21"/>
          <w:color w:val="auto"/>
        </w:rPr>
      </w:pPr>
      <w:r>
        <w:rPr>
          <w:rFonts w:ascii="Arial" w:cs="Arial" w:eastAsia="Arial" w:hAnsi="Arial"/>
          <w:sz w:val="21"/>
          <w:szCs w:val="21"/>
          <w:color w:val="auto"/>
        </w:rPr>
        <w:t>Dispositions of equipment to the extent that (i) such equipment is exchanged for credit against the purchase price of similar replacement equipment or (ii) the proceeds of such Disposition are reasonably promptly applied to the purchase price of such replacement equipment;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112</w:t>
      </w:r>
    </w:p>
    <w:p>
      <w:pPr>
        <w:sectPr>
          <w:pgSz w:w="11900" w:h="16838" w:orient="portrait"/>
          <w:cols w:equalWidth="0" w:num="1">
            <w:col w:w="11040"/>
          </w:cols>
          <w:pgMar w:left="400" w:top="1440" w:right="459" w:bottom="1440" w:gutter="0" w:footer="0" w:header="0"/>
        </w:sectPr>
      </w:pPr>
    </w:p>
    <w:bookmarkStart w:id="202" w:name="page203"/>
    <w:bookmarkEnd w:id="202"/>
    <w:p>
      <w:pPr>
        <w:spacing w:after="0" w:line="194" w:lineRule="exact"/>
        <w:rPr>
          <w:sz w:val="20"/>
          <w:szCs w:val="20"/>
          <w:color w:val="auto"/>
        </w:rPr>
      </w:pPr>
    </w:p>
    <w:p>
      <w:pPr>
        <w:jc w:val="both"/>
        <w:ind w:left="60" w:firstLine="635"/>
        <w:spacing w:after="0" w:line="295" w:lineRule="auto"/>
        <w:tabs>
          <w:tab w:leader="none" w:pos="1221" w:val="left"/>
        </w:tabs>
        <w:numPr>
          <w:ilvl w:val="0"/>
          <w:numId w:val="163"/>
        </w:numPr>
        <w:rPr>
          <w:rFonts w:ascii="Arial" w:cs="Arial" w:eastAsia="Arial" w:hAnsi="Arial"/>
          <w:sz w:val="19"/>
          <w:szCs w:val="19"/>
          <w:color w:val="auto"/>
        </w:rPr>
      </w:pPr>
      <w:r>
        <w:rPr>
          <w:rFonts w:ascii="Arial" w:cs="Arial" w:eastAsia="Arial" w:hAnsi="Arial"/>
          <w:sz w:val="19"/>
          <w:szCs w:val="19"/>
          <w:color w:val="auto"/>
        </w:rPr>
        <w:t>Dispositions of property by any Subsidiary to Borrower or to a Majority-Owned Subsidiary; provided that if the transferor of such property is a Subsidiary Guarantor, the transferee thereof must either be Borrower or a Subsidiary Guarantor;</w:t>
      </w:r>
    </w:p>
    <w:p>
      <w:pPr>
        <w:spacing w:after="0" w:line="133" w:lineRule="exact"/>
        <w:rPr>
          <w:rFonts w:ascii="Arial" w:cs="Arial" w:eastAsia="Arial" w:hAnsi="Arial"/>
          <w:sz w:val="19"/>
          <w:szCs w:val="19"/>
          <w:color w:val="auto"/>
        </w:rPr>
      </w:pPr>
    </w:p>
    <w:p>
      <w:pPr>
        <w:ind w:left="1140" w:hanging="445"/>
        <w:spacing w:after="0"/>
        <w:tabs>
          <w:tab w:leader="none" w:pos="114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Dispositions permitted by Section 6.04;</w:t>
      </w:r>
    </w:p>
    <w:p>
      <w:pPr>
        <w:spacing w:after="0" w:line="218" w:lineRule="exact"/>
        <w:rPr>
          <w:rFonts w:ascii="Arial" w:cs="Arial" w:eastAsia="Arial" w:hAnsi="Arial"/>
          <w:sz w:val="21"/>
          <w:szCs w:val="21"/>
          <w:color w:val="auto"/>
        </w:rPr>
      </w:pPr>
    </w:p>
    <w:p>
      <w:pPr>
        <w:ind w:left="1120" w:hanging="425"/>
        <w:spacing w:after="0"/>
        <w:tabs>
          <w:tab w:leader="none" w:pos="112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Dispositions of up to $5,000,000 individually or in a series of related Dispositions;</w:t>
      </w:r>
    </w:p>
    <w:p>
      <w:pPr>
        <w:ind w:left="60"/>
        <w:spacing w:after="0"/>
        <w:rPr>
          <w:sz w:val="20"/>
          <w:szCs w:val="20"/>
          <w:color w:val="auto"/>
        </w:rPr>
      </w:pPr>
      <w:r>
        <w:rPr>
          <w:rFonts w:ascii="Arial" w:cs="Arial" w:eastAsia="Arial" w:hAnsi="Arial"/>
          <w:sz w:val="21"/>
          <w:szCs w:val="21"/>
          <w:color w:val="auto"/>
        </w:rPr>
        <w:t>and</w:t>
      </w:r>
    </w:p>
    <w:p>
      <w:pPr>
        <w:spacing w:after="0" w:line="196" w:lineRule="exact"/>
        <w:rPr>
          <w:sz w:val="20"/>
          <w:szCs w:val="20"/>
          <w:color w:val="auto"/>
        </w:rPr>
      </w:pPr>
    </w:p>
    <w:p>
      <w:pPr>
        <w:ind w:left="60" w:right="3540" w:firstLine="635"/>
        <w:spacing w:after="0" w:line="244" w:lineRule="auto"/>
        <w:tabs>
          <w:tab w:leader="none" w:pos="1167"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the Borrower or any Subsidiary may transfer, sell and/or pledge Permitted Receivables Related Assets under a Permitted Receivables Facility;</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any Disposition pursuant to </w:t>
      </w:r>
      <w:r>
        <w:rPr>
          <w:rFonts w:ascii="Arial" w:cs="Arial" w:eastAsia="Arial" w:hAnsi="Arial"/>
          <w:sz w:val="21"/>
          <w:szCs w:val="21"/>
          <w:u w:val="single" w:color="auto"/>
          <w:color w:val="auto"/>
        </w:rPr>
        <w:t>clauses (c) through (f)</w:t>
      </w:r>
      <w:r>
        <w:rPr>
          <w:rFonts w:ascii="Arial" w:cs="Arial" w:eastAsia="Arial" w:hAnsi="Arial"/>
          <w:sz w:val="21"/>
          <w:szCs w:val="21"/>
          <w:color w:val="auto"/>
        </w:rPr>
        <w:t xml:space="preserve"> shall be for fair market value.</w:t>
      </w:r>
    </w:p>
    <w:p>
      <w:pPr>
        <w:spacing w:after="0" w:line="228" w:lineRule="exact"/>
        <w:rPr>
          <w:sz w:val="20"/>
          <w:szCs w:val="20"/>
          <w:color w:val="auto"/>
        </w:rPr>
      </w:pPr>
    </w:p>
    <w:p>
      <w:pPr>
        <w:jc w:val="both"/>
        <w:ind w:left="60" w:firstLine="642"/>
        <w:spacing w:after="0" w:line="244"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Declare or make, directly or indirectly, any Restricted Payment (other than Permitted Restricted Payments), or incur any obligation (contingent or otherwise) to do so, except that, so long as no Default shall exist (a) at the time of any action described in this Section 6.06 above or (b) would result therefrom, the Borrower and its Subsidiaries may declare or make any Restricted Payment so long as the Total Consolidated Debt Leverage Ratio, calculated on a pro forma basis to include said Restricted Payment (and for the avoidance of doubt, giving effect to any Indebtedness incurred in connection therewith), does not exceed 3.50 to 1.00 , such compliance to be evidenced by the Borrower to the reasonable satisfaction of the Administrative Agent and to be determined on a pro forma basis as if such Restricted Payment had been made on the first day of the most recent four fiscal quarter period for which Financials have been delivered.</w:t>
      </w:r>
    </w:p>
    <w:p>
      <w:pPr>
        <w:spacing w:after="0" w:line="194" w:lineRule="exact"/>
        <w:rPr>
          <w:sz w:val="20"/>
          <w:szCs w:val="20"/>
          <w:color w:val="auto"/>
        </w:rPr>
      </w:pPr>
    </w:p>
    <w:p>
      <w:pPr>
        <w:jc w:val="both"/>
        <w:ind w:left="60" w:right="20" w:firstLine="642"/>
        <w:spacing w:after="0" w:line="232" w:lineRule="auto"/>
        <w:rPr>
          <w:sz w:val="20"/>
          <w:szCs w:val="20"/>
          <w:color w:val="auto"/>
        </w:rPr>
      </w:pPr>
      <w:r>
        <w:rPr>
          <w:rFonts w:ascii="Arial" w:cs="Arial" w:eastAsia="Arial" w:hAnsi="Arial"/>
          <w:sz w:val="21"/>
          <w:szCs w:val="21"/>
          <w:color w:val="auto"/>
        </w:rPr>
        <w:t xml:space="preserve">SECTION 6.07. </w:t>
      </w:r>
      <w:r>
        <w:rPr>
          <w:rFonts w:ascii="Arial" w:cs="Arial" w:eastAsia="Arial" w:hAnsi="Arial"/>
          <w:sz w:val="21"/>
          <w:szCs w:val="21"/>
          <w:u w:val="single" w:color="auto"/>
          <w:color w:val="auto"/>
        </w:rPr>
        <w:t>Change in Nature of Business</w:t>
      </w:r>
      <w:r>
        <w:rPr>
          <w:rFonts w:ascii="Arial" w:cs="Arial" w:eastAsia="Arial" w:hAnsi="Arial"/>
          <w:sz w:val="21"/>
          <w:szCs w:val="21"/>
          <w:color w:val="auto"/>
        </w:rPr>
        <w:t>. Engage in any material line of business substantially different from those lines of business conducted by the Borrower and its Subsidiaries on the date hereof or any business substantially related or incidental thereto.</w:t>
      </w:r>
    </w:p>
    <w:p>
      <w:pPr>
        <w:spacing w:after="0" w:line="184" w:lineRule="exact"/>
        <w:rPr>
          <w:sz w:val="20"/>
          <w:szCs w:val="20"/>
          <w:color w:val="auto"/>
        </w:rPr>
      </w:pPr>
    </w:p>
    <w:p>
      <w:pPr>
        <w:jc w:val="both"/>
        <w:ind w:left="60" w:firstLine="642"/>
        <w:spacing w:after="0" w:line="221" w:lineRule="auto"/>
        <w:rPr>
          <w:sz w:val="20"/>
          <w:szCs w:val="20"/>
          <w:color w:val="auto"/>
        </w:rPr>
      </w:pPr>
      <w:r>
        <w:rPr>
          <w:rFonts w:ascii="Arial" w:cs="Arial" w:eastAsia="Arial" w:hAnsi="Arial"/>
          <w:sz w:val="21"/>
          <w:szCs w:val="21"/>
          <w:color w:val="auto"/>
        </w:rPr>
        <w:t xml:space="preserve">SECTION 6.08.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xml:space="preserve">. Enter into any transaction of any kind with any Affiliate of Borrower, whether or not in the ordinary course of business, other than on fair and reasonable terms substantially as favorable to the Borrower or such Subsidiary as would be obtainable by the Borrower or such Subsidiary at the time in a comparable arm’s length transaction with a Person other than an Affiliate,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the foregoing restriction shall not apply to (a) transactions between or among the Borrower and any Subsidiary Guarantor or between and among Subsidiary Guarantors, so long as the effect of such transactions is not to circumvent the limitations contained in </w:t>
      </w:r>
      <w:r>
        <w:rPr>
          <w:rFonts w:ascii="Arial" w:cs="Arial" w:eastAsia="Arial" w:hAnsi="Arial"/>
          <w:sz w:val="21"/>
          <w:szCs w:val="21"/>
          <w:u w:val="single" w:color="auto"/>
          <w:color w:val="auto"/>
        </w:rPr>
        <w:t>Section 6.02</w:t>
      </w:r>
      <w:r>
        <w:rPr>
          <w:rFonts w:ascii="Arial" w:cs="Arial" w:eastAsia="Arial" w:hAnsi="Arial"/>
          <w:sz w:val="21"/>
          <w:szCs w:val="21"/>
          <w:color w:val="auto"/>
        </w:rPr>
        <w:t xml:space="preserve"> or (b) transactions contemplated by any Permitted Receivables Facility Documents.</w:t>
      </w:r>
    </w:p>
    <w:p>
      <w:pPr>
        <w:spacing w:after="0" w:line="200" w:lineRule="exact"/>
        <w:rPr>
          <w:sz w:val="20"/>
          <w:szCs w:val="20"/>
          <w:color w:val="auto"/>
        </w:rPr>
      </w:pPr>
    </w:p>
    <w:p>
      <w:pPr>
        <w:jc w:val="both"/>
        <w:ind w:left="60" w:firstLine="642"/>
        <w:spacing w:after="0" w:line="222" w:lineRule="auto"/>
        <w:rPr>
          <w:sz w:val="20"/>
          <w:szCs w:val="20"/>
          <w:color w:val="auto"/>
        </w:rPr>
      </w:pPr>
      <w:r>
        <w:rPr>
          <w:rFonts w:ascii="Arial" w:cs="Arial" w:eastAsia="Arial" w:hAnsi="Arial"/>
          <w:sz w:val="21"/>
          <w:szCs w:val="21"/>
          <w:color w:val="auto"/>
        </w:rPr>
        <w:t xml:space="preserve">SECTION 6.09. </w:t>
      </w:r>
      <w:r>
        <w:rPr>
          <w:rFonts w:ascii="Arial" w:cs="Arial" w:eastAsia="Arial" w:hAnsi="Arial"/>
          <w:sz w:val="21"/>
          <w:szCs w:val="21"/>
          <w:u w:val="single" w:color="auto"/>
          <w:color w:val="auto"/>
        </w:rPr>
        <w:t>Burdensome Agreements</w:t>
      </w:r>
      <w:r>
        <w:rPr>
          <w:rFonts w:ascii="Arial" w:cs="Arial" w:eastAsia="Arial" w:hAnsi="Arial"/>
          <w:sz w:val="21"/>
          <w:szCs w:val="21"/>
          <w:color w:val="auto"/>
        </w:rPr>
        <w:t xml:space="preserve">. Enter into any Contractual Obligation (other than this Agreement or any other Loan Document) that (a) limits the ability (i) of any Subsidiary to make Restricted Payments to Borrower or any Subsidiary Guarantor or to otherwise transfer property to Borrower or any Subsidiary Guarantor, (ii) of any Subsidiary to Guarantee the Indebtedness of Borrower or (iii) of Borrower or any Subsidiary to create, incur, assume or suffer to exist Liens on property of such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clause (iii)</w:t>
      </w:r>
      <w:r>
        <w:rPr>
          <w:rFonts w:ascii="Arial" w:cs="Arial" w:eastAsia="Arial" w:hAnsi="Arial"/>
          <w:sz w:val="21"/>
          <w:szCs w:val="21"/>
          <w:color w:val="auto"/>
        </w:rPr>
        <w:t xml:space="preserve"> shall not prohibit any negative pledge incurred or provided in favor of any holder of Indebtedness permitted under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color w:val="auto"/>
        </w:rPr>
        <w:t>113</w:t>
      </w:r>
    </w:p>
    <w:p>
      <w:pPr>
        <w:sectPr>
          <w:pgSz w:w="11900" w:h="16838" w:orient="portrait"/>
          <w:cols w:equalWidth="0" w:num="1">
            <w:col w:w="11040"/>
          </w:cols>
          <w:pgMar w:left="400" w:top="1440" w:right="459" w:bottom="1440" w:gutter="0" w:footer="0" w:header="0"/>
        </w:sectPr>
      </w:pPr>
    </w:p>
    <w:bookmarkStart w:id="203" w:name="page204"/>
    <w:bookmarkEnd w:id="203"/>
    <w:p>
      <w:pPr>
        <w:spacing w:after="0" w:line="194" w:lineRule="exact"/>
        <w:rPr>
          <w:sz w:val="20"/>
          <w:szCs w:val="20"/>
          <w:color w:val="auto"/>
        </w:rPr>
      </w:pPr>
    </w:p>
    <w:p>
      <w:pPr>
        <w:jc w:val="both"/>
        <w:ind w:left="60" w:right="120"/>
        <w:spacing w:after="0" w:line="227" w:lineRule="auto"/>
        <w:rPr>
          <w:sz w:val="20"/>
          <w:szCs w:val="20"/>
          <w:color w:val="auto"/>
        </w:rPr>
      </w:pPr>
      <w:r>
        <w:rPr>
          <w:rFonts w:ascii="Arial" w:cs="Arial" w:eastAsia="Arial" w:hAnsi="Arial"/>
          <w:sz w:val="21"/>
          <w:szCs w:val="21"/>
          <w:color w:val="auto"/>
        </w:rPr>
        <w:t>Section 6.03(e) solely to the extent any such negative pledge relates to the property financed by or the subject of such Indebtedness; or (b) requires the grant of a Lien to secure an obligation of such Person if a Lien is granted to secure another obligation of such Person; provided that the foregoing shall not apply to customary restrictions and conditions contained in Permitted Receivables Facility Documents.</w:t>
      </w:r>
    </w:p>
    <w:p>
      <w:pPr>
        <w:spacing w:after="0" w:line="171"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6.10.</w:t>
      </w:r>
      <w:r>
        <w:rPr>
          <w:sz w:val="20"/>
          <w:szCs w:val="20"/>
          <w:color w:val="auto"/>
        </w:rPr>
        <w:tab/>
      </w:r>
      <w:r>
        <w:rPr>
          <w:rFonts w:ascii="Arial" w:cs="Arial" w:eastAsia="Arial" w:hAnsi="Arial"/>
          <w:sz w:val="23"/>
          <w:szCs w:val="23"/>
          <w:b w:val="1"/>
          <w:bCs w:val="1"/>
          <w:u w:val="single" w:color="auto"/>
          <w:color w:val="auto"/>
        </w:rPr>
        <w:t>[</w:t>
      </w:r>
      <w:r>
        <w:rPr>
          <w:rFonts w:ascii="Arial" w:cs="Arial" w:eastAsia="Arial" w:hAnsi="Arial"/>
          <w:sz w:val="19"/>
          <w:szCs w:val="19"/>
          <w:u w:val="single" w:color="auto"/>
          <w:color w:val="auto"/>
        </w:rPr>
        <w:t>Reserved</w:t>
      </w:r>
      <w:r>
        <w:rPr>
          <w:rFonts w:ascii="Arial" w:cs="Arial" w:eastAsia="Arial" w:hAnsi="Arial"/>
          <w:sz w:val="23"/>
          <w:szCs w:val="23"/>
          <w:b w:val="1"/>
          <w:bCs w:val="1"/>
          <w:u w:val="single" w:color="auto"/>
          <w:color w:val="auto"/>
        </w:rPr>
        <w:t>]</w:t>
      </w:r>
      <w:r>
        <w:rPr>
          <w:rFonts w:ascii="Arial" w:cs="Arial" w:eastAsia="Arial" w:hAnsi="Arial"/>
          <w:sz w:val="19"/>
          <w:szCs w:val="19"/>
          <w:color w:val="auto"/>
        </w:rPr>
        <w:t>.</w:t>
      </w:r>
    </w:p>
    <w:p>
      <w:pPr>
        <w:spacing w:after="0" w:line="206" w:lineRule="exact"/>
        <w:rPr>
          <w:sz w:val="20"/>
          <w:szCs w:val="20"/>
          <w:color w:val="auto"/>
        </w:rPr>
      </w:pPr>
    </w:p>
    <w:p>
      <w:pPr>
        <w:jc w:val="both"/>
        <w:ind w:left="60" w:right="120" w:firstLine="642"/>
        <w:spacing w:after="0" w:line="221" w:lineRule="auto"/>
        <w:rPr>
          <w:sz w:val="20"/>
          <w:szCs w:val="20"/>
          <w:color w:val="auto"/>
        </w:rPr>
      </w:pPr>
      <w:r>
        <w:rPr>
          <w:rFonts w:ascii="Arial" w:cs="Arial" w:eastAsia="Arial" w:hAnsi="Arial"/>
          <w:sz w:val="21"/>
          <w:szCs w:val="21"/>
          <w:color w:val="auto"/>
        </w:rPr>
        <w:t xml:space="preserve">SECTION 6.11. </w:t>
      </w:r>
      <w:r>
        <w:rPr>
          <w:rFonts w:ascii="Arial" w:cs="Arial" w:eastAsia="Arial" w:hAnsi="Arial"/>
          <w:sz w:val="21"/>
          <w:szCs w:val="21"/>
          <w:u w:val="single" w:color="auto"/>
          <w:color w:val="auto"/>
        </w:rPr>
        <w:t>Prepayment of Subordinated Indebtedness</w:t>
      </w:r>
      <w:r>
        <w:rPr>
          <w:rFonts w:ascii="Arial" w:cs="Arial" w:eastAsia="Arial" w:hAnsi="Arial"/>
          <w:sz w:val="21"/>
          <w:szCs w:val="21"/>
          <w:color w:val="auto"/>
        </w:rPr>
        <w:t>. Prepay any Subordinated Indebtedness; provided, however, that so long as no Default then exists or would result from any such prepayment, the Borrower may make any prepayment of any Subordinated Indebtedness at any time when the Total Consolidated Debt Leverage Ratio is less than 3.50 –to– 1.00, such compliance to be evidenced by the Borrower to the reasonable satisfaction of the Administrative Agent and to be determined on a pro forma basis to include such payment (and for the avoidance of doubt, giving effect to any Indebtedness incurred in connection therewith) as if such payment had been made on the first day of the most recent four fiscal quarter period for which Financials have been delivered.</w:t>
      </w:r>
    </w:p>
    <w:p>
      <w:pPr>
        <w:spacing w:after="0" w:line="267"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ARTICLE VII</w:t>
      </w: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21"/>
          <w:szCs w:val="21"/>
          <w:u w:val="single" w:color="auto"/>
          <w:color w:val="auto"/>
        </w:rPr>
        <w:t>Events of Default</w:t>
      </w:r>
    </w:p>
    <w:p>
      <w:pPr>
        <w:spacing w:after="0" w:line="228"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1"/>
          <w:szCs w:val="21"/>
          <w:color w:val="auto"/>
        </w:rPr>
        <w:t>SECTION 7.01.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The following events shall each constitute an “</w:t>
      </w:r>
      <w:r>
        <w:rPr>
          <w:rFonts w:ascii="Arial" w:cs="Arial" w:eastAsia="Arial" w:hAnsi="Arial"/>
          <w:sz w:val="19"/>
          <w:szCs w:val="19"/>
          <w:b w:val="1"/>
          <w:bCs w:val="1"/>
          <w:i w:val="1"/>
          <w:iCs w:val="1"/>
          <w:color w:val="auto"/>
        </w:rPr>
        <w:t>Event of Default</w:t>
      </w:r>
      <w:r>
        <w:rPr>
          <w:rFonts w:ascii="Arial" w:cs="Arial" w:eastAsia="Arial" w:hAnsi="Arial"/>
          <w:sz w:val="19"/>
          <w:szCs w:val="19"/>
          <w:color w:val="auto"/>
        </w:rPr>
        <w:t>” hereunder:</w:t>
      </w:r>
    </w:p>
    <w:p>
      <w:pPr>
        <w:spacing w:after="0" w:line="214" w:lineRule="exact"/>
        <w:rPr>
          <w:sz w:val="20"/>
          <w:szCs w:val="20"/>
          <w:color w:val="auto"/>
        </w:rPr>
      </w:pPr>
    </w:p>
    <w:p>
      <w:pPr>
        <w:jc w:val="both"/>
        <w:ind w:left="60" w:right="120" w:firstLine="635"/>
        <w:spacing w:after="0"/>
        <w:tabs>
          <w:tab w:leader="none" w:pos="1155"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Non-Payment</w:t>
      </w:r>
      <w:r>
        <w:rPr>
          <w:rFonts w:ascii="Arial" w:cs="Arial" w:eastAsia="Arial" w:hAnsi="Arial"/>
          <w:sz w:val="19"/>
          <w:szCs w:val="19"/>
          <w:color w:val="auto"/>
        </w:rPr>
        <w:t>. The Borrower or any other Loan Party fails to pay (i) when and as required to be paid herein, and in the Agreed Currency required hereunder, any amount of principal of any principal of any Loan or any reimbursement obligation in respect of any LC Disbursement, or (ii) within three (3) days after the same becomes due, any interest on any Loan or any fee or any other amount (other than an amount referred to in preceding clause (i)) due hereunder, or (iii) within five</w:t>
      </w:r>
    </w:p>
    <w:p>
      <w:pPr>
        <w:spacing w:after="0" w:line="1" w:lineRule="exact"/>
        <w:rPr>
          <w:rFonts w:ascii="Arial" w:cs="Arial" w:eastAsia="Arial" w:hAnsi="Arial"/>
          <w:sz w:val="19"/>
          <w:szCs w:val="19"/>
          <w:color w:val="auto"/>
        </w:rPr>
      </w:pPr>
    </w:p>
    <w:p>
      <w:pPr>
        <w:ind w:left="360" w:hanging="308"/>
        <w:spacing w:after="0"/>
        <w:tabs>
          <w:tab w:leader="none" w:pos="360" w:val="left"/>
        </w:tabs>
        <w:numPr>
          <w:ilvl w:val="0"/>
          <w:numId w:val="166"/>
        </w:numPr>
        <w:rPr>
          <w:rFonts w:ascii="Arial" w:cs="Arial" w:eastAsia="Arial" w:hAnsi="Arial"/>
          <w:sz w:val="21"/>
          <w:szCs w:val="21"/>
          <w:color w:val="auto"/>
        </w:rPr>
      </w:pPr>
      <w:r>
        <w:rPr>
          <w:rFonts w:ascii="Arial" w:cs="Arial" w:eastAsia="Arial" w:hAnsi="Arial"/>
          <w:sz w:val="21"/>
          <w:szCs w:val="21"/>
          <w:color w:val="auto"/>
        </w:rPr>
        <w:t>days after the same becomes due, any other amount payable hereunder or under any other Loan Document; or</w:t>
      </w:r>
    </w:p>
    <w:p>
      <w:pPr>
        <w:spacing w:after="0" w:line="209" w:lineRule="exact"/>
        <w:rPr>
          <w:rFonts w:ascii="Arial" w:cs="Arial" w:eastAsia="Arial" w:hAnsi="Arial"/>
          <w:sz w:val="21"/>
          <w:szCs w:val="21"/>
          <w:color w:val="auto"/>
        </w:rPr>
      </w:pPr>
    </w:p>
    <w:p>
      <w:pPr>
        <w:jc w:val="both"/>
        <w:ind w:left="60" w:right="120" w:firstLine="635"/>
        <w:spacing w:after="0" w:line="224" w:lineRule="auto"/>
        <w:tabs>
          <w:tab w:leader="none" w:pos="1207" w:val="left"/>
        </w:tabs>
        <w:numPr>
          <w:ilvl w:val="1"/>
          <w:numId w:val="166"/>
        </w:numPr>
        <w:rPr>
          <w:rFonts w:ascii="Arial" w:cs="Arial" w:eastAsia="Arial" w:hAnsi="Arial"/>
          <w:sz w:val="21"/>
          <w:szCs w:val="21"/>
          <w:color w:val="auto"/>
        </w:rPr>
      </w:pPr>
      <w:r>
        <w:rPr>
          <w:rFonts w:ascii="Arial" w:cs="Arial" w:eastAsia="Arial" w:hAnsi="Arial"/>
          <w:sz w:val="21"/>
          <w:szCs w:val="21"/>
          <w:u w:val="single" w:color="auto"/>
          <w:color w:val="auto"/>
        </w:rPr>
        <w:t>Specific Covenants</w:t>
      </w:r>
      <w:r>
        <w:rPr>
          <w:rFonts w:ascii="Arial" w:cs="Arial" w:eastAsia="Arial" w:hAnsi="Arial"/>
          <w:sz w:val="21"/>
          <w:szCs w:val="21"/>
          <w:color w:val="auto"/>
        </w:rPr>
        <w:t xml:space="preserve">. The Borrower fails to perform or observe any term, covenant or agreement contained in any of Sections 5.01, 5.02, 5.03, 5.05, 5.07, 5.08, 5.10, 5.11, 5.12, 5.13 or 5.19; or the Borrower fails to perform or observe any term, covenant or agreement contained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or any “Event of Default” occurs under the Security Agreement, or any Subsidiary Guarantor fails to perform or observe any term, covenant or agreement contained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of the Subsidiary Guaranty; or</w:t>
      </w:r>
    </w:p>
    <w:p>
      <w:pPr>
        <w:spacing w:after="0" w:line="200" w:lineRule="exact"/>
        <w:rPr>
          <w:rFonts w:ascii="Arial" w:cs="Arial" w:eastAsia="Arial" w:hAnsi="Arial"/>
          <w:sz w:val="21"/>
          <w:szCs w:val="21"/>
          <w:color w:val="auto"/>
        </w:rPr>
      </w:pPr>
    </w:p>
    <w:p>
      <w:pPr>
        <w:jc w:val="both"/>
        <w:ind w:left="60" w:firstLine="635"/>
        <w:spacing w:after="0" w:line="222" w:lineRule="auto"/>
        <w:tabs>
          <w:tab w:leader="none" w:pos="1262" w:val="left"/>
        </w:tabs>
        <w:numPr>
          <w:ilvl w:val="1"/>
          <w:numId w:val="166"/>
        </w:numPr>
        <w:rPr>
          <w:rFonts w:ascii="Arial" w:cs="Arial" w:eastAsia="Arial" w:hAnsi="Arial"/>
          <w:sz w:val="21"/>
          <w:szCs w:val="21"/>
          <w:color w:val="auto"/>
        </w:rPr>
      </w:pPr>
      <w:r>
        <w:rPr>
          <w:rFonts w:ascii="Arial" w:cs="Arial" w:eastAsia="Arial" w:hAnsi="Arial"/>
          <w:sz w:val="21"/>
          <w:szCs w:val="21"/>
          <w:u w:val="single" w:color="auto"/>
          <w:color w:val="auto"/>
        </w:rPr>
        <w:t>Other Defaults</w:t>
      </w:r>
      <w:r>
        <w:rPr>
          <w:rFonts w:ascii="Arial" w:cs="Arial" w:eastAsia="Arial" w:hAnsi="Arial"/>
          <w:sz w:val="21"/>
          <w:szCs w:val="21"/>
          <w:color w:val="auto"/>
        </w:rPr>
        <w:t xml:space="preserve">. Any Loan Party fails to perform or observe any other covenant or agreement (not specified in </w:t>
      </w:r>
      <w:r>
        <w:rPr>
          <w:rFonts w:ascii="Arial" w:cs="Arial" w:eastAsia="Arial" w:hAnsi="Arial"/>
          <w:sz w:val="21"/>
          <w:szCs w:val="21"/>
          <w:u w:val="single" w:color="auto"/>
          <w:color w:val="auto"/>
        </w:rPr>
        <w:t>subsection (a) or (b)</w:t>
      </w:r>
      <w:r>
        <w:rPr>
          <w:rFonts w:ascii="Arial" w:cs="Arial" w:eastAsia="Arial" w:hAnsi="Arial"/>
          <w:sz w:val="21"/>
          <w:szCs w:val="21"/>
          <w:color w:val="auto"/>
        </w:rPr>
        <w:t xml:space="preserve"> above) contained in this Agreement or any other Loan Document on its part to be performed or observed and such failure continues for thirty (30) days after written notice thereof from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failure is susceptible of cure but cannot reasonably be cured within such thirty (30) day period and provided further that the applicable Loan Party shall have commenced to cure such failure within such thirty (30) day period and thereafter diligently and expeditiously proceeds to cure the same,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color w:val="auto"/>
        </w:rPr>
        <w:t>114</w:t>
      </w:r>
    </w:p>
    <w:p>
      <w:pPr>
        <w:sectPr>
          <w:pgSz w:w="11900" w:h="16838" w:orient="portrait"/>
          <w:cols w:equalWidth="0" w:num="1">
            <w:col w:w="11160"/>
          </w:cols>
          <w:pgMar w:left="400" w:top="1440" w:right="339" w:bottom="1440" w:gutter="0" w:footer="0" w:header="0"/>
        </w:sectPr>
      </w:pPr>
    </w:p>
    <w:bookmarkStart w:id="204" w:name="page205"/>
    <w:bookmarkEnd w:id="204"/>
    <w:p>
      <w:pPr>
        <w:spacing w:after="0" w:line="194" w:lineRule="exact"/>
        <w:rPr>
          <w:sz w:val="20"/>
          <w:szCs w:val="20"/>
          <w:color w:val="auto"/>
        </w:rPr>
      </w:pPr>
    </w:p>
    <w:p>
      <w:pPr>
        <w:ind w:left="60" w:right="120"/>
        <w:spacing w:after="0" w:line="295" w:lineRule="auto"/>
        <w:rPr>
          <w:sz w:val="20"/>
          <w:szCs w:val="20"/>
          <w:color w:val="auto"/>
        </w:rPr>
      </w:pPr>
      <w:r>
        <w:rPr>
          <w:rFonts w:ascii="Arial" w:cs="Arial" w:eastAsia="Arial" w:hAnsi="Arial"/>
          <w:sz w:val="19"/>
          <w:szCs w:val="19"/>
          <w:color w:val="auto"/>
        </w:rPr>
        <w:t>such thirty (30) day period shall be extended for such time as is reasonably necessary for such Loan Party, in the exercise of due diligence, to cure such failure (but in any event not more than ninety (90) days total from receipt of such written notice); or</w:t>
      </w:r>
    </w:p>
    <w:p>
      <w:pPr>
        <w:spacing w:after="0" w:line="133" w:lineRule="exact"/>
        <w:rPr>
          <w:sz w:val="20"/>
          <w:szCs w:val="20"/>
          <w:color w:val="auto"/>
        </w:rPr>
      </w:pPr>
    </w:p>
    <w:p>
      <w:pPr>
        <w:jc w:val="both"/>
        <w:ind w:left="60" w:right="120" w:firstLine="635"/>
        <w:spacing w:after="0" w:line="220" w:lineRule="auto"/>
        <w:tabs>
          <w:tab w:leader="none" w:pos="1221" w:val="left"/>
        </w:tabs>
        <w:numPr>
          <w:ilvl w:val="0"/>
          <w:numId w:val="167"/>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Any representation, warranty, certification or statement of fact made or deemed made by or on behalf of the Borrower or any other Loan Party herein, in any other Loan Document, or in any document delivered in connection herewith or therewith, shall be (i) with respect to any such representation, warranty, certification or statement of fact which contains a materiality qualification or is qualified by the occurrence of a Material Adverse Effect or similar language, incorrect or misleading in any respect when made or deemed made, and (ii) with respect to any such representation, warranty, certification or statement of fact which does not contain a materiality qualification and is not qualified by the occurrence of a Material Adverse Effect or similar language, incorrect or misleading in any material respect when made or deemed made; or</w:t>
      </w:r>
    </w:p>
    <w:p>
      <w:pPr>
        <w:spacing w:after="0" w:line="199" w:lineRule="exact"/>
        <w:rPr>
          <w:rFonts w:ascii="Arial" w:cs="Arial" w:eastAsia="Arial" w:hAnsi="Arial"/>
          <w:sz w:val="21"/>
          <w:szCs w:val="21"/>
          <w:color w:val="auto"/>
        </w:rPr>
      </w:pPr>
    </w:p>
    <w:p>
      <w:pPr>
        <w:jc w:val="both"/>
        <w:ind w:left="60" w:firstLine="635"/>
        <w:spacing w:after="0" w:line="239" w:lineRule="auto"/>
        <w:tabs>
          <w:tab w:leader="none" w:pos="1168"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Cross-Default</w:t>
      </w:r>
      <w:r>
        <w:rPr>
          <w:rFonts w:ascii="Arial" w:cs="Arial" w:eastAsia="Arial" w:hAnsi="Arial"/>
          <w:sz w:val="19"/>
          <w:szCs w:val="19"/>
          <w:color w:val="auto"/>
        </w:rPr>
        <w:t>. (i) The Borrower or any Subsidiary (A) fails to make any payment when due (whether by scheduled maturity, required prepayment, acceleration, demand, or otherwise) in respect of any Indebtedness or Guarantee (other than Indebtedness hereunder and Indebtedness under Swap Agreements), such failed payment having an aggregate principal amount (including any payments owing due to acceleration caused by such failed payment)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Administrative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Agreement an Early Termination Date (as defined in such Swap Agreement) resulting from (A) any event of default under such Swap Contract as to which the Borrower or any Subsidiary is the “Defaulting Party” (as such term is defined in such Swap Agreement) or (B) any “Termination Event” (as so defined) under such Swap Agreement as to which the Borrower or any Subsidiary is an “Affected Party” (as so defined) and, in either event, the Swap Termination Value owed by the Borrower or such Subsidiary as a result thereof is greater than the Threshold Amount; or</w:t>
      </w:r>
    </w:p>
    <w:p>
      <w:pPr>
        <w:spacing w:after="0" w:line="205" w:lineRule="exact"/>
        <w:rPr>
          <w:rFonts w:ascii="Arial" w:cs="Arial" w:eastAsia="Arial" w:hAnsi="Arial"/>
          <w:sz w:val="19"/>
          <w:szCs w:val="19"/>
          <w:color w:val="auto"/>
        </w:rPr>
      </w:pPr>
    </w:p>
    <w:p>
      <w:pPr>
        <w:jc w:val="both"/>
        <w:ind w:left="60" w:right="120" w:firstLine="635"/>
        <w:spacing w:after="0" w:line="220" w:lineRule="auto"/>
        <w:tabs>
          <w:tab w:leader="none" w:pos="1158" w:val="left"/>
        </w:tabs>
        <w:numPr>
          <w:ilvl w:val="0"/>
          <w:numId w:val="167"/>
        </w:numPr>
        <w:rPr>
          <w:rFonts w:ascii="Arial" w:cs="Arial" w:eastAsia="Arial" w:hAnsi="Arial"/>
          <w:sz w:val="21"/>
          <w:szCs w:val="21"/>
          <w:color w:val="auto"/>
        </w:rPr>
      </w:pPr>
      <w:r>
        <w:rPr>
          <w:rFonts w:ascii="Arial" w:cs="Arial" w:eastAsia="Arial" w:hAnsi="Arial"/>
          <w:sz w:val="21"/>
          <w:szCs w:val="21"/>
          <w:u w:val="single" w:color="auto"/>
          <w:color w:val="auto"/>
        </w:rPr>
        <w:t>Insolvency Proceedings, Etc</w:t>
      </w:r>
      <w:r>
        <w:rPr>
          <w:rFonts w:ascii="Arial" w:cs="Arial" w:eastAsia="Arial" w:hAnsi="Arial"/>
          <w:sz w:val="21"/>
          <w:szCs w:val="21"/>
          <w:color w:val="auto"/>
        </w:rPr>
        <w:t>. Any Loan Party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115</w:t>
      </w:r>
    </w:p>
    <w:p>
      <w:pPr>
        <w:sectPr>
          <w:pgSz w:w="11900" w:h="16838" w:orient="portrait"/>
          <w:cols w:equalWidth="0" w:num="1">
            <w:col w:w="11160"/>
          </w:cols>
          <w:pgMar w:left="400" w:top="1440" w:right="339" w:bottom="1440" w:gutter="0" w:footer="0" w:header="0"/>
        </w:sectPr>
      </w:pPr>
    </w:p>
    <w:bookmarkStart w:id="205" w:name="page206"/>
    <w:bookmarkEnd w:id="205"/>
    <w:p>
      <w:pPr>
        <w:spacing w:after="0" w:line="193" w:lineRule="exact"/>
        <w:rPr>
          <w:sz w:val="20"/>
          <w:szCs w:val="20"/>
          <w:color w:val="auto"/>
        </w:rPr>
      </w:pPr>
    </w:p>
    <w:p>
      <w:pPr>
        <w:ind w:left="60" w:right="120" w:firstLine="635"/>
        <w:spacing w:after="0" w:line="222" w:lineRule="auto"/>
        <w:tabs>
          <w:tab w:leader="none" w:pos="1221" w:val="left"/>
        </w:tabs>
        <w:numPr>
          <w:ilvl w:val="1"/>
          <w:numId w:val="168"/>
        </w:numPr>
        <w:rPr>
          <w:rFonts w:ascii="Arial" w:cs="Arial" w:eastAsia="Arial" w:hAnsi="Arial"/>
          <w:sz w:val="21"/>
          <w:szCs w:val="21"/>
          <w:color w:val="auto"/>
        </w:rPr>
      </w:pPr>
      <w:r>
        <w:rPr>
          <w:rFonts w:ascii="Arial" w:cs="Arial" w:eastAsia="Arial" w:hAnsi="Arial"/>
          <w:sz w:val="21"/>
          <w:szCs w:val="21"/>
          <w:u w:val="single" w:color="auto"/>
          <w:color w:val="auto"/>
        </w:rPr>
        <w:t>Inability to Pay Debts; Attachment</w:t>
      </w:r>
      <w:r>
        <w:rPr>
          <w:rFonts w:ascii="Arial" w:cs="Arial" w:eastAsia="Arial" w:hAnsi="Arial"/>
          <w:sz w:val="21"/>
          <w:szCs w:val="21"/>
          <w:color w:val="auto"/>
        </w:rPr>
        <w:t>. (i) The Borrower or any Subsidiary becomes unable or admits in writing its inability or fails generally to pay its debts as they become due, or</w:t>
      </w:r>
    </w:p>
    <w:p>
      <w:pPr>
        <w:ind w:left="60" w:right="120" w:hanging="8"/>
        <w:spacing w:after="0" w:line="250" w:lineRule="auto"/>
        <w:tabs>
          <w:tab w:leader="none" w:pos="388"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any writ or warrant of attachment or execution or similar process is issued or levied against all or any material part of the property of any such Person and is not released, vacated or fully bonded within thirty (30) days after its issue or levy; or</w:t>
      </w:r>
    </w:p>
    <w:p>
      <w:pPr>
        <w:spacing w:after="0" w:line="173" w:lineRule="exact"/>
        <w:rPr>
          <w:rFonts w:ascii="Arial" w:cs="Arial" w:eastAsia="Arial" w:hAnsi="Arial"/>
          <w:sz w:val="20"/>
          <w:szCs w:val="20"/>
          <w:color w:val="auto"/>
        </w:rPr>
      </w:pPr>
    </w:p>
    <w:p>
      <w:pPr>
        <w:jc w:val="both"/>
        <w:ind w:left="60" w:right="120" w:firstLine="635"/>
        <w:spacing w:after="0" w:line="220" w:lineRule="auto"/>
        <w:tabs>
          <w:tab w:leader="none" w:pos="1194" w:val="left"/>
        </w:tabs>
        <w:numPr>
          <w:ilvl w:val="1"/>
          <w:numId w:val="169"/>
        </w:numPr>
        <w:rPr>
          <w:rFonts w:ascii="Arial" w:cs="Arial" w:eastAsia="Arial" w:hAnsi="Arial"/>
          <w:sz w:val="21"/>
          <w:szCs w:val="21"/>
          <w:color w:val="auto"/>
        </w:rPr>
      </w:pPr>
      <w:r>
        <w:rPr>
          <w:rFonts w:ascii="Arial" w:cs="Arial" w:eastAsia="Arial" w:hAnsi="Arial"/>
          <w:sz w:val="21"/>
          <w:szCs w:val="21"/>
          <w:u w:val="single" w:color="auto"/>
          <w:color w:val="auto"/>
        </w:rPr>
        <w:t>Judgments</w:t>
      </w:r>
      <w:r>
        <w:rPr>
          <w:rFonts w:ascii="Arial" w:cs="Arial" w:eastAsia="Arial" w:hAnsi="Arial"/>
          <w:sz w:val="21"/>
          <w:szCs w:val="21"/>
          <w:color w:val="auto"/>
        </w:rPr>
        <w:t>. There is entered against the Borrower or any Subsidiary (i) one or more final judgments or orders for the payment of money in an aggregate amount (as to all such judgments or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 that have, or could reasonably be expected to have, individually or in the aggregate, a Material Adverse Effect and, in either case, enforcement proceedings are commenced by any creditor upon such judgment or order and said judgment or order, as applicable, is not satisfied, stayed, or fully-bonded within thirty (30) days of the commencement of said enforcement proceedings; or</w:t>
      </w:r>
    </w:p>
    <w:p>
      <w:pPr>
        <w:spacing w:after="0" w:line="186" w:lineRule="exact"/>
        <w:rPr>
          <w:rFonts w:ascii="Arial" w:cs="Arial" w:eastAsia="Arial" w:hAnsi="Arial"/>
          <w:sz w:val="21"/>
          <w:szCs w:val="21"/>
          <w:color w:val="auto"/>
        </w:rPr>
      </w:pPr>
    </w:p>
    <w:p>
      <w:pPr>
        <w:jc w:val="both"/>
        <w:ind w:left="60" w:firstLine="635"/>
        <w:spacing w:after="0" w:line="222" w:lineRule="auto"/>
        <w:tabs>
          <w:tab w:leader="none" w:pos="1186" w:val="left"/>
        </w:tabs>
        <w:numPr>
          <w:ilvl w:val="1"/>
          <w:numId w:val="169"/>
        </w:numPr>
        <w:rPr>
          <w:rFonts w:ascii="Arial" w:cs="Arial" w:eastAsia="Arial" w:hAnsi="Arial"/>
          <w:sz w:val="21"/>
          <w:szCs w:val="21"/>
          <w:color w:val="auto"/>
        </w:rPr>
      </w:pPr>
      <w:r>
        <w:rPr>
          <w:rFonts w:ascii="Arial" w:cs="Arial" w:eastAsia="Arial" w:hAnsi="Arial"/>
          <w:sz w:val="21"/>
          <w:szCs w:val="21"/>
          <w:u w:val="single" w:color="auto"/>
          <w:color w:val="auto"/>
        </w:rPr>
        <w:t>ERISA</w:t>
      </w:r>
      <w:r>
        <w:rPr>
          <w:rFonts w:ascii="Arial" w:cs="Arial" w:eastAsia="Arial" w:hAnsi="Arial"/>
          <w:sz w:val="21"/>
          <w:szCs w:val="21"/>
          <w:color w:val="auto"/>
        </w:rPr>
        <w:t>. (i) An ERISA Event occurs with respect to a Pension Plan or Multiemployer Plan which has resulted or could reasonably be expected to result in liability of the Borrower under Title IV of ERISA to the Pension Plan, Multiemployer Plan or the PBGC which, either individually or in the aggregate, could reasonably be expected to have a Material Adverse Effect,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201" w:lineRule="exact"/>
        <w:rPr>
          <w:rFonts w:ascii="Arial" w:cs="Arial" w:eastAsia="Arial" w:hAnsi="Arial"/>
          <w:sz w:val="21"/>
          <w:szCs w:val="21"/>
          <w:color w:val="auto"/>
        </w:rPr>
      </w:pPr>
    </w:p>
    <w:p>
      <w:pPr>
        <w:jc w:val="both"/>
        <w:ind w:left="60" w:right="120" w:firstLine="635"/>
        <w:spacing w:after="0" w:line="222" w:lineRule="auto"/>
        <w:tabs>
          <w:tab w:leader="none" w:pos="1240" w:val="left"/>
        </w:tabs>
        <w:numPr>
          <w:ilvl w:val="1"/>
          <w:numId w:val="169"/>
        </w:numPr>
        <w:rPr>
          <w:rFonts w:ascii="Arial" w:cs="Arial" w:eastAsia="Arial" w:hAnsi="Arial"/>
          <w:sz w:val="21"/>
          <w:szCs w:val="21"/>
          <w:color w:val="auto"/>
        </w:rPr>
      </w:pPr>
      <w:r>
        <w:rPr>
          <w:rFonts w:ascii="Arial" w:cs="Arial" w:eastAsia="Arial" w:hAnsi="Arial"/>
          <w:sz w:val="21"/>
          <w:szCs w:val="21"/>
          <w:u w:val="single" w:color="auto"/>
          <w:color w:val="auto"/>
        </w:rPr>
        <w:t>Invalidity of Loan Documents</w:t>
      </w:r>
      <w:r>
        <w:rPr>
          <w:rFonts w:ascii="Arial" w:cs="Arial" w:eastAsia="Arial" w:hAnsi="Arial"/>
          <w:sz w:val="21"/>
          <w:szCs w:val="21"/>
          <w:color w:val="auto"/>
        </w:rPr>
        <w:t>. This Agreement, any Collateral Document, or the Subsidiary Guaranty or any provision thereof,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Loan Document or any provision thereof; or any Loan Party denies that it has any or further liability or obligation under any Loan Document, or purports to revoke, terminate or rescind any Loan Document or any provision thereof; or</w:t>
      </w:r>
    </w:p>
    <w:p>
      <w:pPr>
        <w:spacing w:after="0" w:line="201" w:lineRule="exact"/>
        <w:rPr>
          <w:rFonts w:ascii="Arial" w:cs="Arial" w:eastAsia="Arial" w:hAnsi="Arial"/>
          <w:sz w:val="21"/>
          <w:szCs w:val="21"/>
          <w:color w:val="auto"/>
        </w:rPr>
      </w:pPr>
    </w:p>
    <w:p>
      <w:pPr>
        <w:ind w:left="60" w:right="120" w:firstLine="635"/>
        <w:spacing w:after="0" w:line="244" w:lineRule="auto"/>
        <w:tabs>
          <w:tab w:leader="none" w:pos="1288" w:val="left"/>
        </w:tabs>
        <w:numPr>
          <w:ilvl w:val="1"/>
          <w:numId w:val="169"/>
        </w:numPr>
        <w:rPr>
          <w:rFonts w:ascii="Arial" w:cs="Arial" w:eastAsia="Arial" w:hAnsi="Arial"/>
          <w:sz w:val="21"/>
          <w:szCs w:val="21"/>
          <w:color w:val="auto"/>
        </w:rPr>
      </w:pPr>
      <w:r>
        <w:rPr>
          <w:rFonts w:ascii="Arial" w:cs="Arial" w:eastAsia="Arial" w:hAnsi="Arial"/>
          <w:sz w:val="21"/>
          <w:szCs w:val="21"/>
          <w:u w:val="single" w:color="auto"/>
          <w:color w:val="auto"/>
        </w:rPr>
        <w:t>Change of Control</w:t>
      </w:r>
      <w:r>
        <w:rPr>
          <w:rFonts w:ascii="Arial" w:cs="Arial" w:eastAsia="Arial" w:hAnsi="Arial"/>
          <w:sz w:val="21"/>
          <w:szCs w:val="21"/>
          <w:color w:val="auto"/>
        </w:rPr>
        <w:t>. There occurs any Change of Control with respect to the Borrower and/or any Subsidiary Guarantor except as expressly permitted by Section 6.04 or Section 6.05.</w:t>
      </w:r>
    </w:p>
    <w:p>
      <w:pPr>
        <w:spacing w:after="0" w:line="179" w:lineRule="exact"/>
        <w:rPr>
          <w:sz w:val="20"/>
          <w:szCs w:val="20"/>
          <w:color w:val="auto"/>
        </w:rPr>
      </w:pPr>
    </w:p>
    <w:p>
      <w:pPr>
        <w:jc w:val="both"/>
        <w:ind w:left="60" w:right="120" w:firstLine="642"/>
        <w:spacing w:after="0" w:line="227" w:lineRule="auto"/>
        <w:rPr>
          <w:sz w:val="20"/>
          <w:szCs w:val="20"/>
          <w:color w:val="auto"/>
        </w:rPr>
      </w:pPr>
      <w:r>
        <w:rPr>
          <w:rFonts w:ascii="Arial" w:cs="Arial" w:eastAsia="Arial" w:hAnsi="Arial"/>
          <w:sz w:val="21"/>
          <w:szCs w:val="21"/>
          <w:color w:val="auto"/>
        </w:rPr>
        <w:t xml:space="preserve">SECTION 7.02. </w:t>
      </w:r>
      <w:r>
        <w:rPr>
          <w:rFonts w:ascii="Arial" w:cs="Arial" w:eastAsia="Arial" w:hAnsi="Arial"/>
          <w:sz w:val="21"/>
          <w:szCs w:val="21"/>
          <w:u w:val="single" w:color="auto"/>
          <w:color w:val="auto"/>
        </w:rPr>
        <w:t>Remedies Upon an Event of Default</w:t>
      </w:r>
      <w:r>
        <w:rPr>
          <w:rFonts w:ascii="Arial" w:cs="Arial" w:eastAsia="Arial" w:hAnsi="Arial"/>
          <w:sz w:val="21"/>
          <w:szCs w:val="21"/>
          <w:color w:val="auto"/>
        </w:rPr>
        <w:t>. If an Event of Default occurs (other than an event with respect to the Borrower described in Sections 7.01(f)), and at any time thereafter during the continuance of such Event of Default, the Administrative Agent may with the consent of the Required Lenders, and shall at the request of the Required Lenders, by notice to the Borrower, take any or all of the following actions, at the same or different times:</w:t>
      </w:r>
    </w:p>
    <w:p>
      <w:pPr>
        <w:spacing w:after="0" w:line="199"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19"/>
          <w:szCs w:val="19"/>
          <w:color w:val="auto"/>
        </w:rPr>
        <w:t>terminate the Commitments, and thereupon the Commitments shall terminate immediately;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color w:val="auto"/>
        </w:rPr>
        <w:t>116</w:t>
      </w:r>
    </w:p>
    <w:p>
      <w:pPr>
        <w:sectPr>
          <w:pgSz w:w="11900" w:h="16838" w:orient="portrait"/>
          <w:cols w:equalWidth="0" w:num="1">
            <w:col w:w="11160"/>
          </w:cols>
          <w:pgMar w:left="400" w:top="1440" w:right="339" w:bottom="1440" w:gutter="0" w:footer="0" w:header="0"/>
        </w:sectPr>
      </w:pPr>
    </w:p>
    <w:bookmarkStart w:id="206" w:name="page207"/>
    <w:bookmarkEnd w:id="206"/>
    <w:p>
      <w:pPr>
        <w:spacing w:after="0" w:line="194" w:lineRule="exact"/>
        <w:rPr>
          <w:sz w:val="20"/>
          <w:szCs w:val="20"/>
          <w:color w:val="auto"/>
        </w:rPr>
      </w:pPr>
    </w:p>
    <w:p>
      <w:pPr>
        <w:jc w:val="both"/>
        <w:ind w:left="60" w:firstLine="635"/>
        <w:spacing w:after="0" w:line="236" w:lineRule="auto"/>
        <w:tabs>
          <w:tab w:leader="none" w:pos="120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of the Borrower accrued hereunder and under any other Loan Document, shall become due and payable immediately, without presentment, demand, protest or other notice of any kind, all of which are hereby waived by the Borrower;</w:t>
      </w:r>
    </w:p>
    <w:p>
      <w:pPr>
        <w:spacing w:after="0" w:line="182" w:lineRule="exact"/>
        <w:rPr>
          <w:rFonts w:ascii="Arial" w:cs="Arial" w:eastAsia="Arial" w:hAnsi="Arial"/>
          <w:sz w:val="20"/>
          <w:szCs w:val="20"/>
          <w:color w:val="auto"/>
        </w:rPr>
      </w:pPr>
    </w:p>
    <w:p>
      <w:pPr>
        <w:ind w:left="1140" w:hanging="445"/>
        <w:spacing w:after="0"/>
        <w:tabs>
          <w:tab w:leader="none" w:pos="114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require that the Borrower provide cash collateral as required in Section 2.06(j); and</w:t>
      </w:r>
    </w:p>
    <w:p>
      <w:pPr>
        <w:spacing w:after="0" w:line="227" w:lineRule="exact"/>
        <w:rPr>
          <w:rFonts w:ascii="Arial" w:cs="Arial" w:eastAsia="Arial" w:hAnsi="Arial"/>
          <w:sz w:val="21"/>
          <w:szCs w:val="21"/>
          <w:color w:val="auto"/>
        </w:rPr>
      </w:pPr>
    </w:p>
    <w:p>
      <w:pPr>
        <w:ind w:left="60" w:right="20" w:firstLine="635"/>
        <w:spacing w:after="0" w:line="244" w:lineRule="auto"/>
        <w:tabs>
          <w:tab w:leader="none" w:pos="1202" w:val="left"/>
        </w:tabs>
        <w:numPr>
          <w:ilvl w:val="0"/>
          <w:numId w:val="170"/>
        </w:numPr>
        <w:rPr>
          <w:rFonts w:ascii="Arial" w:cs="Arial" w:eastAsia="Arial" w:hAnsi="Arial"/>
          <w:sz w:val="21"/>
          <w:szCs w:val="21"/>
          <w:color w:val="auto"/>
        </w:rPr>
      </w:pPr>
      <w:r>
        <w:rPr>
          <w:rFonts w:ascii="Arial" w:cs="Arial" w:eastAsia="Arial" w:hAnsi="Arial"/>
          <w:sz w:val="21"/>
          <w:szCs w:val="21"/>
          <w:color w:val="auto"/>
        </w:rPr>
        <w:t>exercise on behalf of itself, the Lenders and the Issuing Banks all rights and remedies available to it, the Lenders and the Issuing Banks under the Loan Documents and applicable law.</w:t>
      </w:r>
    </w:p>
    <w:p>
      <w:pPr>
        <w:spacing w:after="0" w:line="193" w:lineRule="exact"/>
        <w:rPr>
          <w:sz w:val="20"/>
          <w:szCs w:val="20"/>
          <w:color w:val="auto"/>
        </w:rPr>
      </w:pPr>
    </w:p>
    <w:p>
      <w:pPr>
        <w:jc w:val="both"/>
        <w:ind w:left="60" w:firstLine="642"/>
        <w:spacing w:after="0" w:line="247" w:lineRule="auto"/>
        <w:rPr>
          <w:sz w:val="20"/>
          <w:szCs w:val="20"/>
          <w:color w:val="auto"/>
        </w:rPr>
      </w:pPr>
      <w:r>
        <w:rPr>
          <w:rFonts w:ascii="Arial" w:cs="Arial" w:eastAsia="Arial" w:hAnsi="Arial"/>
          <w:sz w:val="19"/>
          <w:szCs w:val="19"/>
          <w:color w:val="auto"/>
        </w:rPr>
        <w:t>If an Event of Default described in Sections 7.01(f) occurs with respect to the Borrower, the Commitments shall automatically terminate and the principal of the Loans then outstanding and cash collateral for the LC Exposure, together with accrued interest thereon and all fees and other Secured Obligations accrued hereunder and under any other Loan Document including any break funding payment or prepayment premium, shall automatically become due and payable, and the obligation of the Borrower to cash collateralize the LC Exposure as provided in clause (c) above shall automatically become effective, in each case, without presentment, demand, protest or other notice of any kind, all of which are hereby waived by the Borrower.</w:t>
      </w:r>
    </w:p>
    <w:p>
      <w:pPr>
        <w:spacing w:after="0" w:line="179"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0"/>
          <w:szCs w:val="20"/>
          <w:color w:val="auto"/>
        </w:rPr>
        <w:t>In addition to any other rights and remedies granted to the Administrative Agent and the Lenders in the Loan Documents, the Administrative Agent on behalf of the Secured Parties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Subsidiaries. The Borrower further agrees on behalf of itself and its Subsidiaries, at the Administrative Agent’s request, to assemble the Collateral and make it available to the Administrative Agent at places which the Administrative Agent shall reasonably select, whether at the premises of the Borrower, another Loan Party or elsewhere.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color w:val="auto"/>
        </w:rPr>
        <w:t>117</w:t>
      </w:r>
    </w:p>
    <w:p>
      <w:pPr>
        <w:sectPr>
          <w:pgSz w:w="11900" w:h="16838" w:orient="portrait"/>
          <w:cols w:equalWidth="0" w:num="1">
            <w:col w:w="11040"/>
          </w:cols>
          <w:pgMar w:left="400" w:top="1440" w:right="459" w:bottom="1440" w:gutter="0" w:footer="0" w:header="0"/>
        </w:sectPr>
      </w:pPr>
    </w:p>
    <w:bookmarkStart w:id="207" w:name="page208"/>
    <w:bookmarkEnd w:id="207"/>
    <w:p>
      <w:pPr>
        <w:spacing w:after="0" w:line="194" w:lineRule="exact"/>
        <w:rPr>
          <w:sz w:val="20"/>
          <w:szCs w:val="20"/>
          <w:color w:val="auto"/>
        </w:rPr>
      </w:pPr>
    </w:p>
    <w:p>
      <w:pPr>
        <w:jc w:val="both"/>
        <w:ind w:left="60"/>
        <w:spacing w:after="0" w:line="229" w:lineRule="auto"/>
        <w:rPr>
          <w:sz w:val="20"/>
          <w:szCs w:val="20"/>
          <w:color w:val="auto"/>
        </w:rPr>
      </w:pPr>
      <w:r>
        <w:rPr>
          <w:rFonts w:ascii="Arial" w:cs="Arial" w:eastAsia="Arial" w:hAnsi="Arial"/>
          <w:sz w:val="20"/>
          <w:szCs w:val="20"/>
          <w:color w:val="auto"/>
        </w:rPr>
        <w:t>Administrative Agent shall apply the net proceeds of any action taken by it pursuant to this Article VII,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such order as the Administrative Agent may elect, and only after such application and after the payment by the Administrative Agent of any other amount required by any provision of law, including Section 9-615(a)(3) of the UCC, need the Administrative Agent account for the surplus, if any, to any Loan Party. To the extent permitted by applicable law, the Borrower on behalf of itself and its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187" w:lineRule="exact"/>
        <w:rPr>
          <w:sz w:val="20"/>
          <w:szCs w:val="20"/>
          <w:color w:val="auto"/>
        </w:rPr>
      </w:pPr>
    </w:p>
    <w:p>
      <w:pPr>
        <w:jc w:val="both"/>
        <w:ind w:left="60" w:firstLine="642"/>
        <w:spacing w:after="0" w:line="232" w:lineRule="auto"/>
        <w:rPr>
          <w:sz w:val="20"/>
          <w:szCs w:val="20"/>
          <w:color w:val="auto"/>
        </w:rPr>
      </w:pPr>
      <w:r>
        <w:rPr>
          <w:rFonts w:ascii="Arial" w:cs="Arial" w:eastAsia="Arial" w:hAnsi="Arial"/>
          <w:sz w:val="21"/>
          <w:szCs w:val="21"/>
          <w:color w:val="auto"/>
        </w:rPr>
        <w:t xml:space="preserve">SECTION 7.03. </w:t>
      </w:r>
      <w:r>
        <w:rPr>
          <w:rFonts w:ascii="Arial" w:cs="Arial" w:eastAsia="Arial" w:hAnsi="Arial"/>
          <w:sz w:val="21"/>
          <w:szCs w:val="21"/>
          <w:u w:val="single" w:color="auto"/>
          <w:color w:val="auto"/>
        </w:rPr>
        <w:t>Application of Payments</w:t>
      </w:r>
      <w:r>
        <w:rPr>
          <w:rFonts w:ascii="Arial" w:cs="Arial" w:eastAsia="Arial" w:hAnsi="Arial"/>
          <w:sz w:val="21"/>
          <w:szCs w:val="21"/>
          <w:color w:val="auto"/>
        </w:rPr>
        <w:t>. Notwithstanding anything herein to the contrary, following the occurrence and during the continuance of an Event of Default, and notice thereof to the Administrative Agent by the Borrower or the Required Lenders:</w:t>
      </w:r>
    </w:p>
    <w:p>
      <w:pPr>
        <w:spacing w:after="0" w:line="198" w:lineRule="exact"/>
        <w:rPr>
          <w:sz w:val="20"/>
          <w:szCs w:val="20"/>
          <w:color w:val="auto"/>
        </w:rPr>
      </w:pPr>
    </w:p>
    <w:p>
      <w:pPr>
        <w:ind w:left="60" w:right="580" w:firstLine="635"/>
        <w:spacing w:after="0" w:line="244" w:lineRule="auto"/>
        <w:tabs>
          <w:tab w:leader="none" w:pos="1155" w:val="left"/>
        </w:tabs>
        <w:numPr>
          <w:ilvl w:val="0"/>
          <w:numId w:val="171"/>
        </w:numPr>
        <w:rPr>
          <w:rFonts w:ascii="Arial" w:cs="Arial" w:eastAsia="Arial" w:hAnsi="Arial"/>
          <w:sz w:val="21"/>
          <w:szCs w:val="21"/>
          <w:color w:val="auto"/>
        </w:rPr>
      </w:pPr>
      <w:r>
        <w:rPr>
          <w:rFonts w:ascii="Arial" w:cs="Arial" w:eastAsia="Arial" w:hAnsi="Arial"/>
          <w:sz w:val="21"/>
          <w:szCs w:val="21"/>
          <w:color w:val="auto"/>
        </w:rPr>
        <w:t>all payments received on account of the Secured Obligations shall, subject to Section 2.20, be applied by the Administrative Agent as follows:</w:t>
      </w:r>
    </w:p>
    <w:p>
      <w:pPr>
        <w:spacing w:after="0" w:line="192" w:lineRule="exact"/>
        <w:rPr>
          <w:rFonts w:ascii="Arial" w:cs="Arial" w:eastAsia="Arial" w:hAnsi="Arial"/>
          <w:sz w:val="21"/>
          <w:szCs w:val="21"/>
          <w:color w:val="auto"/>
        </w:rPr>
      </w:pPr>
    </w:p>
    <w:p>
      <w:pPr>
        <w:jc w:val="both"/>
        <w:ind w:left="700" w:firstLine="1283"/>
        <w:spacing w:after="0" w:line="227" w:lineRule="auto"/>
        <w:tabs>
          <w:tab w:leader="none" w:pos="2430" w:val="left"/>
        </w:tabs>
        <w:numPr>
          <w:ilvl w:val="1"/>
          <w:numId w:val="171"/>
        </w:numPr>
        <w:rPr>
          <w:rFonts w:ascii="Arial" w:cs="Arial" w:eastAsia="Arial" w:hAnsi="Arial"/>
          <w:sz w:val="21"/>
          <w:szCs w:val="21"/>
          <w:color w:val="auto"/>
        </w:rPr>
      </w:pPr>
      <w:r>
        <w:rPr>
          <w:rFonts w:ascii="Arial" w:cs="Arial" w:eastAsia="Arial" w:hAnsi="Arial"/>
          <w:sz w:val="21"/>
          <w:szCs w:val="21"/>
          <w:u w:val="single" w:color="auto"/>
          <w:color w:val="auto"/>
        </w:rPr>
        <w:t>first</w:t>
      </w:r>
      <w:r>
        <w:rPr>
          <w:rFonts w:ascii="Arial" w:cs="Arial" w:eastAsia="Arial" w:hAnsi="Arial"/>
          <w:sz w:val="21"/>
          <w:szCs w:val="21"/>
          <w:color w:val="auto"/>
        </w:rPr>
        <w:t>, to payment of that portion of the Secured Obligations constituting fees, indemnities, expenses and other amounts payable to the Administrative Agent (including fees and disbursements and other charges of counsel to the Administrative Agent payable under Section 9.03 and amounts pursuant to Section 2.12(c) payable to the Administrative Agent in its capacity as such);</w:t>
      </w:r>
    </w:p>
    <w:p>
      <w:pPr>
        <w:spacing w:after="0" w:line="185" w:lineRule="exact"/>
        <w:rPr>
          <w:rFonts w:ascii="Arial" w:cs="Arial" w:eastAsia="Arial" w:hAnsi="Arial"/>
          <w:sz w:val="21"/>
          <w:szCs w:val="21"/>
          <w:color w:val="auto"/>
        </w:rPr>
      </w:pPr>
    </w:p>
    <w:p>
      <w:pPr>
        <w:jc w:val="both"/>
        <w:ind w:left="700" w:firstLine="1283"/>
        <w:spacing w:after="0" w:line="250" w:lineRule="auto"/>
        <w:tabs>
          <w:tab w:leader="none" w:pos="2678" w:val="left"/>
        </w:tabs>
        <w:numPr>
          <w:ilvl w:val="1"/>
          <w:numId w:val="171"/>
        </w:numPr>
        <w:rPr>
          <w:rFonts w:ascii="Arial" w:cs="Arial" w:eastAsia="Arial" w:hAnsi="Arial"/>
          <w:sz w:val="19"/>
          <w:szCs w:val="19"/>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to payment of that portion of the Secured Obligations constituting fees, expenses, indemnities and other amounts (other than principal, reimbursement obligations in respect of LC Disbursements, interest and Letter of Credit fees) payable to the Lenders and the Issuing Banks (including fees and disbursements and other charges of counsel to the Lenders and the Issuing Banks payable under Section 9.03) arising under the Loan Documents, ratably among them in proportion to the respective amounts described in this clause (ii) payable to them;</w:t>
      </w:r>
    </w:p>
    <w:p>
      <w:pPr>
        <w:spacing w:after="0" w:line="189" w:lineRule="exact"/>
        <w:rPr>
          <w:rFonts w:ascii="Arial" w:cs="Arial" w:eastAsia="Arial" w:hAnsi="Arial"/>
          <w:sz w:val="19"/>
          <w:szCs w:val="19"/>
          <w:color w:val="auto"/>
        </w:rPr>
      </w:pPr>
    </w:p>
    <w:p>
      <w:pPr>
        <w:jc w:val="both"/>
        <w:ind w:left="700" w:firstLine="1283"/>
        <w:spacing w:after="0" w:line="246" w:lineRule="auto"/>
        <w:tabs>
          <w:tab w:leader="none" w:pos="2536" w:val="left"/>
        </w:tabs>
        <w:numPr>
          <w:ilvl w:val="1"/>
          <w:numId w:val="171"/>
        </w:numPr>
        <w:rPr>
          <w:rFonts w:ascii="Arial" w:cs="Arial" w:eastAsia="Arial" w:hAnsi="Arial"/>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payment of that portion of the Secured Obligations constituting accrued and unpaid Letter of Credit fees and charges and interest on the Loans and unreimbursed LC Disbursements, ratably among the Lenders and the Issuing Banks in proportion to the respective amounts described in this clause (iii) payable to them;</w:t>
      </w:r>
    </w:p>
    <w:p>
      <w:pPr>
        <w:spacing w:after="0" w:line="190" w:lineRule="exact"/>
        <w:rPr>
          <w:rFonts w:ascii="Arial" w:cs="Arial" w:eastAsia="Arial" w:hAnsi="Arial"/>
          <w:sz w:val="20"/>
          <w:szCs w:val="20"/>
          <w:color w:val="auto"/>
        </w:rPr>
      </w:pPr>
    </w:p>
    <w:p>
      <w:pPr>
        <w:jc w:val="both"/>
        <w:ind w:left="700" w:firstLine="1283"/>
        <w:spacing w:after="0" w:line="224" w:lineRule="auto"/>
        <w:tabs>
          <w:tab w:leader="none" w:pos="2551" w:val="left"/>
        </w:tabs>
        <w:numPr>
          <w:ilvl w:val="1"/>
          <w:numId w:val="171"/>
        </w:numPr>
        <w:rPr>
          <w:rFonts w:ascii="Arial" w:cs="Arial" w:eastAsia="Arial" w:hAnsi="Arial"/>
          <w:sz w:val="21"/>
          <w:szCs w:val="21"/>
          <w:color w:val="auto"/>
        </w:rPr>
      </w:pPr>
      <w:r>
        <w:rPr>
          <w:rFonts w:ascii="Arial" w:cs="Arial" w:eastAsia="Arial" w:hAnsi="Arial"/>
          <w:sz w:val="21"/>
          <w:szCs w:val="21"/>
          <w:u w:val="single" w:color="auto"/>
          <w:color w:val="auto"/>
        </w:rPr>
        <w:t>fourth</w:t>
      </w:r>
      <w:r>
        <w:rPr>
          <w:rFonts w:ascii="Arial" w:cs="Arial" w:eastAsia="Arial" w:hAnsi="Arial"/>
          <w:sz w:val="21"/>
          <w:szCs w:val="21"/>
          <w:color w:val="auto"/>
        </w:rPr>
        <w:t>, (A) to payment of that portion of the Secured Obligations constituting unpaid principal of the Loans and unreimbursed LC Disbursements and any other amounts owing with respect to Banking Services Obligations and Swap Obligations and (B) to cash collateralize that portion of LC Exposure comprising the undrawn amount of Letters of Credit to the extent not otherwise cash collateralized by the Borrower pursuant to Section 2.06 or 2.20, ratably among the Lenders and the Issuing Banks in proportion to</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color w:val="auto"/>
        </w:rPr>
        <w:t>118</w:t>
      </w:r>
    </w:p>
    <w:p>
      <w:pPr>
        <w:sectPr>
          <w:pgSz w:w="11900" w:h="16838" w:orient="portrait"/>
          <w:cols w:equalWidth="0" w:num="1">
            <w:col w:w="11040"/>
          </w:cols>
          <w:pgMar w:left="400" w:top="1440" w:right="459" w:bottom="1440" w:gutter="0" w:footer="0" w:header="0"/>
        </w:sectPr>
      </w:pPr>
    </w:p>
    <w:bookmarkStart w:id="208" w:name="page209"/>
    <w:bookmarkEnd w:id="208"/>
    <w:p>
      <w:pPr>
        <w:spacing w:after="0" w:line="194" w:lineRule="exact"/>
        <w:rPr>
          <w:sz w:val="20"/>
          <w:szCs w:val="20"/>
          <w:color w:val="auto"/>
        </w:rPr>
      </w:pPr>
    </w:p>
    <w:p>
      <w:pPr>
        <w:jc w:val="both"/>
        <w:ind w:left="700"/>
        <w:spacing w:after="0" w:line="216" w:lineRule="auto"/>
        <w:rPr>
          <w:sz w:val="20"/>
          <w:szCs w:val="20"/>
          <w:color w:val="auto"/>
        </w:rPr>
      </w:pPr>
      <w:r>
        <w:rPr>
          <w:rFonts w:ascii="Arial" w:cs="Arial" w:eastAsia="Arial" w:hAnsi="Arial"/>
          <w:sz w:val="21"/>
          <w:szCs w:val="21"/>
          <w:color w:val="auto"/>
        </w:rPr>
        <w:t xml:space="preserve">the respective amounts described in this clause (iv) payable to them;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(x) any such amounts applied pursuant to subclause (B) above shall be paid to the Administrative Agent for the ratable account of the applicable Issuing Banks to cash collateralize Secured Obligations in respect of Letters of Credit, (y) subject to Section 2.06 or 2.20, amounts used to cash collateralize the aggregate amount of Letters of Credit pursuant to this clause (iv) shall be used to satisfy drawings under such Letters of Credit as they occur and</w:t>
      </w:r>
    </w:p>
    <w:p>
      <w:pPr>
        <w:spacing w:after="0" w:line="4" w:lineRule="exact"/>
        <w:rPr>
          <w:sz w:val="20"/>
          <w:szCs w:val="20"/>
          <w:color w:val="auto"/>
        </w:rPr>
      </w:pPr>
    </w:p>
    <w:p>
      <w:pPr>
        <w:ind w:left="700" w:hanging="4"/>
        <w:spacing w:after="0" w:line="233" w:lineRule="auto"/>
        <w:tabs>
          <w:tab w:leader="none" w:pos="993" w:val="left"/>
        </w:tabs>
        <w:numPr>
          <w:ilvl w:val="0"/>
          <w:numId w:val="172"/>
        </w:numPr>
        <w:rPr>
          <w:rFonts w:ascii="Arial" w:cs="Arial" w:eastAsia="Arial" w:hAnsi="Arial"/>
          <w:sz w:val="21"/>
          <w:szCs w:val="21"/>
          <w:color w:val="auto"/>
        </w:rPr>
      </w:pPr>
      <w:r>
        <w:rPr>
          <w:rFonts w:ascii="Arial" w:cs="Arial" w:eastAsia="Arial" w:hAnsi="Arial"/>
          <w:sz w:val="21"/>
          <w:szCs w:val="21"/>
          <w:color w:val="auto"/>
        </w:rPr>
        <w:t>upon the expiration of any Letter of Credit (without any pending drawings), the pro rata share of cash collateral shall be distributed to the other Obligations, if any, in the order set forth in this Section 7.03;</w:t>
      </w:r>
    </w:p>
    <w:p>
      <w:pPr>
        <w:spacing w:after="0" w:line="183" w:lineRule="exact"/>
        <w:rPr>
          <w:rFonts w:ascii="Arial" w:cs="Arial" w:eastAsia="Arial" w:hAnsi="Arial"/>
          <w:sz w:val="21"/>
          <w:szCs w:val="21"/>
          <w:color w:val="auto"/>
        </w:rPr>
      </w:pPr>
    </w:p>
    <w:p>
      <w:pPr>
        <w:jc w:val="both"/>
        <w:ind w:left="700" w:firstLine="1283"/>
        <w:spacing w:after="0" w:line="246" w:lineRule="auto"/>
        <w:tabs>
          <w:tab w:leader="none" w:pos="2585" w:val="left"/>
        </w:tabs>
        <w:numPr>
          <w:ilvl w:val="1"/>
          <w:numId w:val="172"/>
        </w:numPr>
        <w:rPr>
          <w:rFonts w:ascii="Arial" w:cs="Arial" w:eastAsia="Arial" w:hAnsi="Arial"/>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to the payment in full of all other Secured Obligations, in each case ratably among the Administrative Agent, the Lenders and the Issuing Banks based upon the respective aggregate amounts of all such Secured Obligations owing to them in accordance with the respective amounts thereof then due and payable; and</w:t>
      </w:r>
    </w:p>
    <w:p>
      <w:pPr>
        <w:spacing w:after="0" w:line="190" w:lineRule="exact"/>
        <w:rPr>
          <w:rFonts w:ascii="Arial" w:cs="Arial" w:eastAsia="Arial" w:hAnsi="Arial"/>
          <w:sz w:val="20"/>
          <w:szCs w:val="20"/>
          <w:color w:val="auto"/>
        </w:rPr>
      </w:pPr>
    </w:p>
    <w:p>
      <w:pPr>
        <w:ind w:left="700" w:right="20" w:firstLine="1283"/>
        <w:spacing w:after="0" w:line="244" w:lineRule="auto"/>
        <w:tabs>
          <w:tab w:leader="none" w:pos="2524" w:val="left"/>
        </w:tabs>
        <w:numPr>
          <w:ilvl w:val="1"/>
          <w:numId w:val="172"/>
        </w:numPr>
        <w:rPr>
          <w:rFonts w:ascii="Arial" w:cs="Arial" w:eastAsia="Arial" w:hAnsi="Arial"/>
          <w:sz w:val="21"/>
          <w:szCs w:val="21"/>
          <w:color w:val="auto"/>
        </w:rPr>
      </w:pPr>
      <w:r>
        <w:rPr>
          <w:rFonts w:ascii="Arial" w:cs="Arial" w:eastAsia="Arial" w:hAnsi="Arial"/>
          <w:sz w:val="21"/>
          <w:szCs w:val="21"/>
          <w:u w:val="single" w:color="auto"/>
          <w:color w:val="auto"/>
        </w:rPr>
        <w:t>finally</w:t>
      </w:r>
      <w:r>
        <w:rPr>
          <w:rFonts w:ascii="Arial" w:cs="Arial" w:eastAsia="Arial" w:hAnsi="Arial"/>
          <w:sz w:val="21"/>
          <w:szCs w:val="21"/>
          <w:color w:val="auto"/>
        </w:rPr>
        <w:t>, the balance, if any, after all Secured Obligations have been indefeasibly paid in full, to the Borrower or as otherwise required by law; and</w:t>
      </w:r>
    </w:p>
    <w:p>
      <w:pPr>
        <w:spacing w:after="0" w:line="193" w:lineRule="exact"/>
        <w:rPr>
          <w:sz w:val="20"/>
          <w:szCs w:val="20"/>
          <w:color w:val="auto"/>
        </w:rPr>
      </w:pPr>
    </w:p>
    <w:p>
      <w:pPr>
        <w:jc w:val="both"/>
        <w:ind w:left="60" w:firstLine="635"/>
        <w:spacing w:after="0" w:line="232" w:lineRule="auto"/>
        <w:tabs>
          <w:tab w:leader="none" w:pos="1007" w:val="left"/>
        </w:tabs>
        <w:numPr>
          <w:ilvl w:val="0"/>
          <w:numId w:val="173"/>
        </w:numPr>
        <w:rPr>
          <w:rFonts w:ascii="Arial" w:cs="Arial" w:eastAsia="Arial" w:hAnsi="Arial"/>
          <w:sz w:val="21"/>
          <w:szCs w:val="21"/>
          <w:color w:val="auto"/>
        </w:rPr>
      </w:pPr>
      <w:r>
        <w:rPr>
          <w:rFonts w:ascii="Arial" w:cs="Arial" w:eastAsia="Arial" w:hAnsi="Arial"/>
          <w:sz w:val="21"/>
          <w:szCs w:val="21"/>
          <w:color w:val="auto"/>
        </w:rPr>
        <w:t>if any amount remains on deposit as cash collateral after all Letters of Credit have either been fully drawn or expired (without any pending drawings), such remaining amount shall be applied to the other Secured Obligations, if any, in the order set forth above.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ARTICLE VIII</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1"/>
          <w:szCs w:val="21"/>
          <w:u w:val="single" w:color="auto"/>
          <w:color w:val="auto"/>
        </w:rPr>
        <w:t>The Administrative Agent</w:t>
      </w:r>
    </w:p>
    <w:p>
      <w:pPr>
        <w:spacing w:after="0" w:line="228" w:lineRule="exact"/>
        <w:rPr>
          <w:sz w:val="20"/>
          <w:szCs w:val="20"/>
          <w:color w:val="auto"/>
        </w:rPr>
      </w:pPr>
    </w:p>
    <w:p>
      <w:pPr>
        <w:jc w:val="both"/>
        <w:ind w:left="60" w:firstLine="642"/>
        <w:spacing w:after="0" w:line="219"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u w:val="single" w:color="auto"/>
          <w:color w:val="auto"/>
        </w:rPr>
        <w:t>Authorization and Action</w:t>
      </w:r>
      <w:r>
        <w:rPr>
          <w:rFonts w:ascii="Arial" w:cs="Arial" w:eastAsia="Arial" w:hAnsi="Arial"/>
          <w:sz w:val="21"/>
          <w:szCs w:val="21"/>
          <w:color w:val="auto"/>
        </w:rPr>
        <w:t>. (a) Each Lender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202" w:lineRule="exact"/>
        <w:rPr>
          <w:sz w:val="20"/>
          <w:szCs w:val="20"/>
          <w:color w:val="auto"/>
        </w:rPr>
      </w:pPr>
    </w:p>
    <w:p>
      <w:pPr>
        <w:jc w:val="both"/>
        <w:ind w:left="60" w:firstLine="635"/>
        <w:spacing w:after="0" w:line="232" w:lineRule="auto"/>
        <w:tabs>
          <w:tab w:leader="none" w:pos="120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Administrative Agent shall not be required to take any action that (i) the Administrative Agent in good faith believes exposes it to liability unless the Administrative Agent receives an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color w:val="auto"/>
        </w:rPr>
        <w:t>119</w:t>
      </w:r>
    </w:p>
    <w:p>
      <w:pPr>
        <w:sectPr>
          <w:pgSz w:w="11900" w:h="16838" w:orient="portrait"/>
          <w:cols w:equalWidth="0" w:num="1">
            <w:col w:w="11040"/>
          </w:cols>
          <w:pgMar w:left="400" w:top="1440" w:right="459" w:bottom="1440" w:gutter="0" w:footer="0" w:header="0"/>
        </w:sectPr>
      </w:pPr>
    </w:p>
    <w:bookmarkStart w:id="209" w:name="page210"/>
    <w:bookmarkEnd w:id="209"/>
    <w:p>
      <w:pPr>
        <w:spacing w:after="0" w:line="194" w:lineRule="exact"/>
        <w:rPr>
          <w:sz w:val="20"/>
          <w:szCs w:val="20"/>
          <w:color w:val="auto"/>
        </w:rPr>
      </w:pPr>
    </w:p>
    <w:p>
      <w:pPr>
        <w:jc w:val="both"/>
        <w:ind w:left="60" w:right="120"/>
        <w:spacing w:after="0"/>
        <w:rPr>
          <w:sz w:val="20"/>
          <w:szCs w:val="20"/>
          <w:color w:val="auto"/>
        </w:rPr>
      </w:pPr>
      <w:r>
        <w:rPr>
          <w:rFonts w:ascii="Arial" w:cs="Arial" w:eastAsia="Arial" w:hAnsi="Arial"/>
          <w:sz w:val="19"/>
          <w:szCs w:val="19"/>
          <w:color w:val="auto"/>
        </w:rPr>
        <w:t xml:space="preserve">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9" w:lineRule="exact"/>
        <w:rPr>
          <w:sz w:val="20"/>
          <w:szCs w:val="20"/>
          <w:color w:val="auto"/>
        </w:rPr>
      </w:pPr>
    </w:p>
    <w:p>
      <w:pPr>
        <w:jc w:val="both"/>
        <w:ind w:left="60" w:right="120" w:firstLine="635"/>
        <w:spacing w:after="0" w:line="227" w:lineRule="auto"/>
        <w:tabs>
          <w:tab w:leader="none" w:pos="1158" w:val="left"/>
        </w:tabs>
        <w:numPr>
          <w:ilvl w:val="0"/>
          <w:numId w:val="175"/>
        </w:numPr>
        <w:rPr>
          <w:rFonts w:ascii="Arial" w:cs="Arial" w:eastAsia="Arial" w:hAnsi="Arial"/>
          <w:sz w:val="21"/>
          <w:szCs w:val="21"/>
          <w:color w:val="auto"/>
        </w:rPr>
      </w:pPr>
      <w:r>
        <w:rPr>
          <w:rFonts w:ascii="Arial" w:cs="Arial" w:eastAsia="Arial" w:hAnsi="Arial"/>
          <w:sz w:val="21"/>
          <w:szCs w:val="21"/>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85" w:lineRule="exact"/>
        <w:rPr>
          <w:rFonts w:ascii="Arial" w:cs="Arial" w:eastAsia="Arial" w:hAnsi="Arial"/>
          <w:sz w:val="21"/>
          <w:szCs w:val="21"/>
          <w:color w:val="auto"/>
        </w:rPr>
      </w:pPr>
    </w:p>
    <w:p>
      <w:pPr>
        <w:jc w:val="both"/>
        <w:ind w:left="700" w:firstLine="1283"/>
        <w:spacing w:after="0" w:line="229" w:lineRule="auto"/>
        <w:tabs>
          <w:tab w:leader="none" w:pos="2404" w:val="left"/>
        </w:tabs>
        <w:numPr>
          <w:ilvl w:val="1"/>
          <w:numId w:val="175"/>
        </w:numPr>
        <w:rPr>
          <w:rFonts w:ascii="Arial" w:cs="Arial" w:eastAsia="Arial" w:hAnsi="Arial"/>
          <w:sz w:val="20"/>
          <w:szCs w:val="20"/>
          <w:color w:val="auto"/>
        </w:rPr>
      </w:pPr>
      <w:r>
        <w:rPr>
          <w:rFonts w:ascii="Arial" w:cs="Arial" w:eastAsia="Arial" w:hAnsi="Arial"/>
          <w:sz w:val="20"/>
          <w:szCs w:val="20"/>
          <w:color w:val="auto"/>
        </w:rPr>
        <w:t>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91" w:lineRule="exact"/>
        <w:rPr>
          <w:rFonts w:ascii="Arial" w:cs="Arial" w:eastAsia="Arial" w:hAnsi="Arial"/>
          <w:sz w:val="20"/>
          <w:szCs w:val="20"/>
          <w:color w:val="auto"/>
        </w:rPr>
      </w:pPr>
    </w:p>
    <w:p>
      <w:pPr>
        <w:jc w:val="both"/>
        <w:ind w:left="700" w:right="140" w:firstLine="1283"/>
        <w:spacing w:after="0" w:line="232" w:lineRule="auto"/>
        <w:tabs>
          <w:tab w:leader="none" w:pos="2631" w:val="left"/>
        </w:tabs>
        <w:numPr>
          <w:ilvl w:val="1"/>
          <w:numId w:val="175"/>
        </w:numPr>
        <w:rPr>
          <w:rFonts w:ascii="Arial" w:cs="Arial" w:eastAsia="Arial" w:hAnsi="Arial"/>
          <w:sz w:val="21"/>
          <w:szCs w:val="21"/>
          <w:color w:val="auto"/>
        </w:rPr>
      </w:pPr>
      <w:r>
        <w:rPr>
          <w:rFonts w:ascii="Arial" w:cs="Arial" w:eastAsia="Arial" w:hAnsi="Arial"/>
          <w:sz w:val="21"/>
          <w:szCs w:val="21"/>
          <w:color w:val="auto"/>
        </w:rPr>
        <w:t>nothing in this Agreement or any Loan Document shall require the Administrative Agent to account to any Lender for any sum or the profit element of any sum received by the Administrative Agent for its own account;</w:t>
      </w:r>
    </w:p>
    <w:p>
      <w:pPr>
        <w:spacing w:after="0" w:line="197" w:lineRule="exact"/>
        <w:rPr>
          <w:rFonts w:ascii="Arial" w:cs="Arial" w:eastAsia="Arial" w:hAnsi="Arial"/>
          <w:sz w:val="21"/>
          <w:szCs w:val="21"/>
          <w:color w:val="auto"/>
        </w:rPr>
      </w:pPr>
    </w:p>
    <w:p>
      <w:pPr>
        <w:jc w:val="both"/>
        <w:ind w:left="60" w:right="120" w:firstLine="635"/>
        <w:spacing w:after="0" w:line="239" w:lineRule="auto"/>
        <w:tabs>
          <w:tab w:leader="none" w:pos="117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120</w:t>
      </w:r>
    </w:p>
    <w:p>
      <w:pPr>
        <w:sectPr>
          <w:pgSz w:w="11900" w:h="16838" w:orient="portrait"/>
          <w:cols w:equalWidth="0" w:num="1">
            <w:col w:w="11160"/>
          </w:cols>
          <w:pgMar w:left="400" w:top="1440" w:right="339" w:bottom="1440" w:gutter="0" w:footer="0" w:header="0"/>
        </w:sectPr>
      </w:pPr>
    </w:p>
    <w:bookmarkStart w:id="210" w:name="page211"/>
    <w:bookmarkEnd w:id="210"/>
    <w:p>
      <w:pPr>
        <w:spacing w:after="0" w:line="194" w:lineRule="exact"/>
        <w:rPr>
          <w:sz w:val="20"/>
          <w:szCs w:val="20"/>
          <w:color w:val="auto"/>
        </w:rPr>
      </w:pPr>
    </w:p>
    <w:p>
      <w:pPr>
        <w:jc w:val="both"/>
        <w:ind w:left="60" w:right="120"/>
        <w:spacing w:after="0" w:line="239" w:lineRule="auto"/>
        <w:rPr>
          <w:sz w:val="20"/>
          <w:szCs w:val="20"/>
          <w:color w:val="auto"/>
        </w:rPr>
      </w:pPr>
      <w:r>
        <w:rPr>
          <w:rFonts w:ascii="Arial" w:cs="Arial" w:eastAsia="Arial" w:hAnsi="Arial"/>
          <w:sz w:val="20"/>
          <w:szCs w:val="20"/>
          <w:color w:val="auto"/>
        </w:rPr>
        <w:t>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83" w:lineRule="exact"/>
        <w:rPr>
          <w:sz w:val="20"/>
          <w:szCs w:val="20"/>
          <w:color w:val="auto"/>
        </w:rPr>
      </w:pPr>
    </w:p>
    <w:p>
      <w:pPr>
        <w:jc w:val="both"/>
        <w:ind w:left="60" w:firstLine="635"/>
        <w:spacing w:after="0" w:line="232" w:lineRule="auto"/>
        <w:tabs>
          <w:tab w:leader="none" w:pos="1181" w:val="left"/>
        </w:tabs>
        <w:numPr>
          <w:ilvl w:val="0"/>
          <w:numId w:val="176"/>
        </w:numPr>
        <w:rPr>
          <w:rFonts w:ascii="Arial" w:cs="Arial" w:eastAsia="Arial" w:hAnsi="Arial"/>
          <w:sz w:val="21"/>
          <w:szCs w:val="21"/>
          <w:color w:val="auto"/>
        </w:rPr>
      </w:pPr>
      <w:r>
        <w:rPr>
          <w:rFonts w:ascii="Arial" w:cs="Arial" w:eastAsia="Arial" w:hAnsi="Arial"/>
          <w:sz w:val="21"/>
          <w:szCs w:val="21"/>
          <w:color w:val="auto"/>
        </w:rPr>
        <w:t>None of any Syndication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97" w:lineRule="exact"/>
        <w:rPr>
          <w:rFonts w:ascii="Arial" w:cs="Arial" w:eastAsia="Arial" w:hAnsi="Arial"/>
          <w:sz w:val="21"/>
          <w:szCs w:val="21"/>
          <w:color w:val="auto"/>
        </w:rPr>
      </w:pPr>
    </w:p>
    <w:p>
      <w:pPr>
        <w:jc w:val="both"/>
        <w:ind w:left="60" w:right="120" w:firstLine="635"/>
        <w:spacing w:after="0" w:line="236" w:lineRule="auto"/>
        <w:tabs>
          <w:tab w:leader="none" w:pos="1234"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2" w:lineRule="exact"/>
        <w:rPr>
          <w:rFonts w:ascii="Arial" w:cs="Arial" w:eastAsia="Arial" w:hAnsi="Arial"/>
          <w:sz w:val="20"/>
          <w:szCs w:val="20"/>
          <w:color w:val="auto"/>
        </w:rPr>
      </w:pPr>
    </w:p>
    <w:p>
      <w:pPr>
        <w:jc w:val="both"/>
        <w:ind w:left="700" w:right="120" w:firstLine="1283"/>
        <w:spacing w:after="0" w:line="224" w:lineRule="auto"/>
        <w:tabs>
          <w:tab w:leader="none" w:pos="2482" w:val="left"/>
        </w:tabs>
        <w:numPr>
          <w:ilvl w:val="1"/>
          <w:numId w:val="176"/>
        </w:numPr>
        <w:rPr>
          <w:rFonts w:ascii="Arial" w:cs="Arial" w:eastAsia="Arial" w:hAnsi="Arial"/>
          <w:sz w:val="21"/>
          <w:szCs w:val="21"/>
          <w:color w:val="auto"/>
        </w:rPr>
      </w:pPr>
      <w:r>
        <w:rPr>
          <w:rFonts w:ascii="Arial" w:cs="Arial" w:eastAsia="Arial" w:hAnsi="Arial"/>
          <w:sz w:val="21"/>
          <w:szCs w:val="21"/>
          <w:color w:val="auto"/>
        </w:rPr>
        <w:t>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186" w:lineRule="exact"/>
        <w:rPr>
          <w:rFonts w:ascii="Arial" w:cs="Arial" w:eastAsia="Arial" w:hAnsi="Arial"/>
          <w:sz w:val="21"/>
          <w:szCs w:val="21"/>
          <w:color w:val="auto"/>
        </w:rPr>
      </w:pPr>
    </w:p>
    <w:p>
      <w:pPr>
        <w:ind w:left="700" w:right="120" w:firstLine="1283"/>
        <w:spacing w:after="0" w:line="244" w:lineRule="auto"/>
        <w:tabs>
          <w:tab w:leader="none" w:pos="2501" w:val="left"/>
        </w:tabs>
        <w:numPr>
          <w:ilvl w:val="1"/>
          <w:numId w:val="176"/>
        </w:numPr>
        <w:rPr>
          <w:rFonts w:ascii="Arial" w:cs="Arial" w:eastAsia="Arial" w:hAnsi="Arial"/>
          <w:sz w:val="21"/>
          <w:szCs w:val="21"/>
          <w:color w:val="auto"/>
        </w:rPr>
      </w:pPr>
      <w:r>
        <w:rPr>
          <w:rFonts w:ascii="Arial" w:cs="Arial" w:eastAsia="Arial" w:hAnsi="Arial"/>
          <w:sz w:val="21"/>
          <w:szCs w:val="21"/>
          <w:color w:val="auto"/>
        </w:rPr>
        <w:t>to collect and receive any monies or other property payable or deliverable on any such claims and to distribute the same;</w:t>
      </w:r>
    </w:p>
    <w:p>
      <w:pPr>
        <w:spacing w:after="0" w:line="193" w:lineRule="exact"/>
        <w:rPr>
          <w:sz w:val="20"/>
          <w:szCs w:val="20"/>
          <w:color w:val="auto"/>
        </w:rPr>
      </w:pPr>
    </w:p>
    <w:p>
      <w:pPr>
        <w:jc w:val="both"/>
        <w:ind w:left="60" w:right="120"/>
        <w:spacing w:after="0" w:line="219" w:lineRule="auto"/>
        <w:rPr>
          <w:sz w:val="20"/>
          <w:szCs w:val="20"/>
          <w:color w:val="auto"/>
        </w:rPr>
      </w:pPr>
      <w:r>
        <w:rPr>
          <w:rFonts w:ascii="Arial" w:cs="Arial" w:eastAsia="Arial" w:hAnsi="Arial"/>
          <w:sz w:val="21"/>
          <w:szCs w:val="21"/>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88" w:lineRule="exact"/>
        <w:rPr>
          <w:sz w:val="20"/>
          <w:szCs w:val="20"/>
          <w:color w:val="auto"/>
        </w:rPr>
      </w:pPr>
    </w:p>
    <w:p>
      <w:pPr>
        <w:jc w:val="both"/>
        <w:ind w:left="60" w:firstLine="635"/>
        <w:spacing w:after="0" w:line="239" w:lineRule="auto"/>
        <w:tabs>
          <w:tab w:leader="none" w:pos="1234"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121</w:t>
      </w:r>
    </w:p>
    <w:p>
      <w:pPr>
        <w:sectPr>
          <w:pgSz w:w="11900" w:h="16838" w:orient="portrait"/>
          <w:cols w:equalWidth="0" w:num="1">
            <w:col w:w="11160"/>
          </w:cols>
          <w:pgMar w:left="400" w:top="1440" w:right="339" w:bottom="1440" w:gutter="0" w:footer="0" w:header="0"/>
        </w:sectPr>
      </w:pPr>
    </w:p>
    <w:bookmarkStart w:id="211" w:name="page212"/>
    <w:bookmarkEnd w:id="211"/>
    <w:p>
      <w:pPr>
        <w:spacing w:after="0" w:line="194" w:lineRule="exact"/>
        <w:rPr>
          <w:sz w:val="20"/>
          <w:szCs w:val="20"/>
          <w:color w:val="auto"/>
        </w:rPr>
      </w:pPr>
    </w:p>
    <w:p>
      <w:pPr>
        <w:ind w:left="60" w:right="60"/>
        <w:spacing w:after="0" w:line="244" w:lineRule="auto"/>
        <w:rPr>
          <w:sz w:val="20"/>
          <w:szCs w:val="20"/>
          <w:color w:val="auto"/>
        </w:rPr>
      </w:pPr>
      <w:r>
        <w:rPr>
          <w:rFonts w:ascii="Arial" w:cs="Arial" w:eastAsia="Arial" w:hAnsi="Arial"/>
          <w:sz w:val="21"/>
          <w:szCs w:val="21"/>
          <w:color w:val="auto"/>
        </w:rPr>
        <w:t>deemed, by its acceptance of the benefits of the Collateral and of the Guarantees of the Secured Obligations provided under the Loan Documents, to have agreed to the provisions of this Article.</w:t>
      </w:r>
    </w:p>
    <w:p>
      <w:pPr>
        <w:spacing w:after="0" w:line="179" w:lineRule="exact"/>
        <w:rPr>
          <w:sz w:val="20"/>
          <w:szCs w:val="20"/>
          <w:color w:val="auto"/>
        </w:rPr>
      </w:pPr>
    </w:p>
    <w:p>
      <w:pPr>
        <w:jc w:val="both"/>
        <w:ind w:left="60" w:firstLine="642"/>
        <w:spacing w:after="0"/>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Administrative Agent’s Reliance, Limitation of Liability, Etc</w:t>
      </w:r>
      <w:r>
        <w:rPr>
          <w:rFonts w:ascii="Arial" w:cs="Arial" w:eastAsia="Arial" w:hAnsi="Arial"/>
          <w:sz w:val="19"/>
          <w:szCs w:val="19"/>
          <w:color w:val="auto"/>
        </w:rPr>
        <w:t>.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85" w:lineRule="exact"/>
        <w:rPr>
          <w:sz w:val="20"/>
          <w:szCs w:val="20"/>
          <w:color w:val="auto"/>
        </w:rPr>
      </w:pPr>
    </w:p>
    <w:p>
      <w:pPr>
        <w:jc w:val="both"/>
        <w:ind w:left="60" w:firstLine="635"/>
        <w:spacing w:after="0" w:line="239" w:lineRule="auto"/>
        <w:tabs>
          <w:tab w:leader="none" w:pos="1301"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Notwithstanding anything herein to the contrary, the Administrative Agent shall not be liable for, or be responsible for any Liabilities, costs or expenses suffered by the Borrower, any Subsidiary, any Lender or any Issuing Bank as a result of, any determination of the Revolving Credit Exposure, any of the component amounts thereof or any portion thereof attributable to each Lender or Issuing Bank, or any Exchange Rate or calculation of any Dollar Equivalent.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122</w:t>
      </w:r>
    </w:p>
    <w:p>
      <w:pPr>
        <w:sectPr>
          <w:pgSz w:w="11900" w:h="16838" w:orient="portrait"/>
          <w:cols w:equalWidth="0" w:num="1">
            <w:col w:w="11040"/>
          </w:cols>
          <w:pgMar w:left="400" w:top="1440" w:right="459" w:bottom="1440" w:gutter="0" w:footer="0" w:header="0"/>
        </w:sectPr>
      </w:pPr>
    </w:p>
    <w:bookmarkStart w:id="212" w:name="page213"/>
    <w:bookmarkEnd w:id="212"/>
    <w:p>
      <w:pPr>
        <w:spacing w:after="0" w:line="194" w:lineRule="exact"/>
        <w:rPr>
          <w:sz w:val="20"/>
          <w:szCs w:val="20"/>
          <w:color w:val="auto"/>
        </w:rPr>
      </w:pPr>
    </w:p>
    <w:p>
      <w:pPr>
        <w:jc w:val="both"/>
        <w:ind w:left="60" w:firstLine="635"/>
        <w:spacing w:after="0" w:line="237" w:lineRule="auto"/>
        <w:tabs>
          <w:tab w:leader="none" w:pos="1241" w:val="left"/>
        </w:tabs>
        <w:numPr>
          <w:ilvl w:val="1"/>
          <w:numId w:val="179"/>
        </w:numPr>
        <w:rPr>
          <w:rFonts w:ascii="Arial" w:cs="Arial" w:eastAsia="Arial" w:hAnsi="Arial"/>
          <w:sz w:val="19"/>
          <w:szCs w:val="19"/>
          <w:color w:val="auto"/>
        </w:rPr>
      </w:pPr>
      <w:r>
        <w:rPr>
          <w:rFonts w:ascii="Arial" w:cs="Arial" w:eastAsia="Arial" w:hAnsi="Arial"/>
          <w:sz w:val="19"/>
          <w:szCs w:val="19"/>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w:t>
      </w:r>
    </w:p>
    <w:p>
      <w:pPr>
        <w:spacing w:after="0" w:line="3" w:lineRule="exact"/>
        <w:rPr>
          <w:rFonts w:ascii="Arial" w:cs="Arial" w:eastAsia="Arial" w:hAnsi="Arial"/>
          <w:sz w:val="19"/>
          <w:szCs w:val="19"/>
          <w:color w:val="auto"/>
        </w:rPr>
      </w:pPr>
    </w:p>
    <w:p>
      <w:pPr>
        <w:jc w:val="both"/>
        <w:ind w:left="60" w:hanging="8"/>
        <w:spacing w:after="0" w:line="232" w:lineRule="auto"/>
        <w:tabs>
          <w:tab w:leader="none" w:pos="597" w:val="left"/>
        </w:tabs>
        <w:numPr>
          <w:ilvl w:val="0"/>
          <w:numId w:val="180"/>
        </w:numPr>
        <w:rPr>
          <w:rFonts w:ascii="Arial" w:cs="Arial" w:eastAsia="Arial" w:hAnsi="Arial"/>
          <w:sz w:val="20"/>
          <w:szCs w:val="20"/>
          <w:color w:val="auto"/>
        </w:rPr>
      </w:pPr>
      <w:r>
        <w:rPr>
          <w:rFonts w:ascii="Arial" w:cs="Arial" w:eastAsia="Arial" w:hAnsi="Arial"/>
          <w:sz w:val="20"/>
          <w:szCs w:val="20"/>
          <w:color w:val="auto"/>
        </w:rPr>
        <w:t>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98" w:lineRule="exact"/>
        <w:rPr>
          <w:sz w:val="20"/>
          <w:szCs w:val="20"/>
          <w:color w:val="auto"/>
        </w:rPr>
      </w:pPr>
    </w:p>
    <w:p>
      <w:pPr>
        <w:jc w:val="both"/>
        <w:ind w:left="60" w:firstLine="642"/>
        <w:spacing w:after="0" w:line="254" w:lineRule="auto"/>
        <w:rPr>
          <w:sz w:val="20"/>
          <w:szCs w:val="20"/>
          <w:color w:val="auto"/>
        </w:rPr>
      </w:pPr>
      <w:r>
        <w:rPr>
          <w:rFonts w:ascii="Arial" w:cs="Arial" w:eastAsia="Arial" w:hAnsi="Arial"/>
          <w:sz w:val="21"/>
          <w:szCs w:val="21"/>
          <w:color w:val="auto"/>
        </w:rPr>
        <w:t xml:space="preserve">SECTION 8.03. </w:t>
      </w:r>
      <w:r>
        <w:rPr>
          <w:rFonts w:ascii="Arial" w:cs="Arial" w:eastAsia="Arial" w:hAnsi="Arial"/>
          <w:sz w:val="21"/>
          <w:szCs w:val="21"/>
          <w:u w:val="single" w:color="auto"/>
          <w:color w:val="auto"/>
        </w:rPr>
        <w:t>Posting of Communications</w:t>
      </w:r>
      <w:r>
        <w:rPr>
          <w:rFonts w:ascii="Arial" w:cs="Arial" w:eastAsia="Arial" w:hAnsi="Arial"/>
          <w:sz w:val="21"/>
          <w:szCs w:val="21"/>
          <w:color w:val="auto"/>
        </w:rPr>
        <w:t>. (a) The Borrower agrees that the Administrative Agent may, but shall not be obligated to, make any Communications available to the Lenders and the Issuing Banks by posting the Communications on IntraLinks</w:t>
      </w:r>
      <w:r>
        <w:rPr>
          <w:rFonts w:ascii="Arial" w:cs="Arial" w:eastAsia="Arial" w:hAnsi="Arial"/>
          <w:sz w:val="14"/>
          <w:szCs w:val="14"/>
          <w:color w:val="auto"/>
        </w:rPr>
        <w:t>TM</w:t>
      </w:r>
      <w:r>
        <w:rPr>
          <w:rFonts w:ascii="Arial" w:cs="Arial" w:eastAsia="Arial" w:hAnsi="Arial"/>
          <w:sz w:val="21"/>
          <w:szCs w:val="21"/>
          <w:color w:val="auto"/>
        </w:rPr>
        <w:t>, DebtDomain, SyndTrak, ClearPar or any other electronic platform chosen by the Administrative Agent to be its electronic transmission system (the “</w:t>
      </w:r>
      <w:r>
        <w:rPr>
          <w:rFonts w:ascii="Arial" w:cs="Arial" w:eastAsia="Arial" w:hAnsi="Arial"/>
          <w:sz w:val="21"/>
          <w:szCs w:val="21"/>
          <w:b w:val="1"/>
          <w:bCs w:val="1"/>
          <w:i w:val="1"/>
          <w:iCs w:val="1"/>
          <w:color w:val="auto"/>
        </w:rPr>
        <w:t>Approved Electronic Platform</w:t>
      </w:r>
      <w:r>
        <w:rPr>
          <w:rFonts w:ascii="Arial" w:cs="Arial" w:eastAsia="Arial" w:hAnsi="Arial"/>
          <w:sz w:val="21"/>
          <w:szCs w:val="21"/>
          <w:color w:val="auto"/>
        </w:rPr>
        <w:t>”).</w:t>
      </w:r>
    </w:p>
    <w:p>
      <w:pPr>
        <w:spacing w:after="0" w:line="198" w:lineRule="exact"/>
        <w:rPr>
          <w:sz w:val="20"/>
          <w:szCs w:val="20"/>
          <w:color w:val="auto"/>
        </w:rPr>
      </w:pPr>
    </w:p>
    <w:p>
      <w:pPr>
        <w:jc w:val="both"/>
        <w:ind w:left="60" w:firstLine="635"/>
        <w:spacing w:after="0" w:line="218" w:lineRule="auto"/>
        <w:tabs>
          <w:tab w:leader="none" w:pos="1281" w:val="left"/>
        </w:tabs>
        <w:numPr>
          <w:ilvl w:val="0"/>
          <w:numId w:val="181"/>
        </w:numPr>
        <w:rPr>
          <w:rFonts w:ascii="Arial" w:cs="Arial" w:eastAsia="Arial" w:hAnsi="Arial"/>
          <w:sz w:val="21"/>
          <w:szCs w:val="21"/>
          <w:color w:val="auto"/>
        </w:rPr>
      </w:pPr>
      <w:r>
        <w:rPr>
          <w:rFonts w:ascii="Arial" w:cs="Arial" w:eastAsia="Arial" w:hAnsi="Arial"/>
          <w:sz w:val="21"/>
          <w:szCs w:val="21"/>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spacing w:after="0" w:line="192" w:lineRule="exact"/>
        <w:rPr>
          <w:rFonts w:ascii="Arial" w:cs="Arial" w:eastAsia="Arial" w:hAnsi="Arial"/>
          <w:sz w:val="21"/>
          <w:szCs w:val="21"/>
          <w:color w:val="auto"/>
        </w:rPr>
      </w:pPr>
    </w:p>
    <w:p>
      <w:pPr>
        <w:jc w:val="both"/>
        <w:ind w:left="60" w:firstLine="635"/>
        <w:spacing w:after="0" w:line="224" w:lineRule="auto"/>
        <w:tabs>
          <w:tab w:leader="none" w:pos="1247"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color w:val="auto"/>
        </w:rPr>
        <w:t>123</w:t>
      </w:r>
    </w:p>
    <w:p>
      <w:pPr>
        <w:sectPr>
          <w:pgSz w:w="11900" w:h="16838" w:orient="portrait"/>
          <w:cols w:equalWidth="0" w:num="1">
            <w:col w:w="11040"/>
          </w:cols>
          <w:pgMar w:left="400" w:top="1440" w:right="459" w:bottom="1440" w:gutter="0" w:footer="0" w:header="0"/>
        </w:sectPr>
      </w:pPr>
    </w:p>
    <w:bookmarkStart w:id="213" w:name="page214"/>
    <w:bookmarkEnd w:id="213"/>
    <w:p>
      <w:pPr>
        <w:spacing w:after="0" w:line="194" w:lineRule="exact"/>
        <w:rPr>
          <w:sz w:val="20"/>
          <w:szCs w:val="20"/>
          <w:color w:val="auto"/>
        </w:rPr>
      </w:pPr>
    </w:p>
    <w:p>
      <w:pPr>
        <w:jc w:val="both"/>
        <w:ind w:left="60" w:right="120"/>
        <w:spacing w:after="0" w:line="218" w:lineRule="auto"/>
        <w:rPr>
          <w:sz w:val="20"/>
          <w:szCs w:val="20"/>
          <w:color w:val="auto"/>
        </w:rPr>
      </w:pPr>
      <w:r>
        <w:rPr>
          <w:rFonts w:ascii="Arial" w:cs="Arial" w:eastAsia="Arial" w:hAnsi="Arial"/>
          <w:sz w:val="21"/>
          <w:szCs w:val="21"/>
          <w:color w:val="auto"/>
        </w:rPr>
        <w:t>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SYNDICATION AGENT OR ANY OF THEIR RESPECTIVE RELATED PARTIES (COLLECTIVELY, “</w:t>
      </w:r>
      <w:r>
        <w:rPr>
          <w:rFonts w:ascii="Arial" w:cs="Arial" w:eastAsia="Arial" w:hAnsi="Arial"/>
          <w:sz w:val="21"/>
          <w:szCs w:val="21"/>
          <w:b w:val="1"/>
          <w:bCs w:val="1"/>
          <w:i w:val="1"/>
          <w:iCs w:val="1"/>
          <w:color w:val="auto"/>
        </w:rPr>
        <w:t>APPLICABLE PARTIES</w:t>
      </w:r>
      <w:r>
        <w:rPr>
          <w:rFonts w:ascii="Arial" w:cs="Arial" w:eastAsia="Arial" w:hAnsi="Arial"/>
          <w:sz w:val="21"/>
          <w:szCs w:val="21"/>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88" w:lineRule="exact"/>
        <w:rPr>
          <w:sz w:val="20"/>
          <w:szCs w:val="20"/>
          <w:color w:val="auto"/>
        </w:rPr>
      </w:pPr>
    </w:p>
    <w:p>
      <w:pPr>
        <w:jc w:val="both"/>
        <w:ind w:left="60" w:right="120"/>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Communications</w:t>
      </w:r>
      <w:r>
        <w:rPr>
          <w:rFonts w:ascii="Arial" w:cs="Arial" w:eastAsia="Arial" w:hAnsi="Arial"/>
          <w:sz w:val="21"/>
          <w:szCs w:val="21"/>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86" w:lineRule="exact"/>
        <w:rPr>
          <w:sz w:val="20"/>
          <w:szCs w:val="20"/>
          <w:color w:val="auto"/>
        </w:rPr>
      </w:pPr>
    </w:p>
    <w:p>
      <w:pPr>
        <w:jc w:val="both"/>
        <w:ind w:left="60" w:right="120" w:firstLine="635"/>
        <w:spacing w:after="0" w:line="222" w:lineRule="auto"/>
        <w:tabs>
          <w:tab w:leader="none" w:pos="1272" w:val="left"/>
        </w:tabs>
        <w:numPr>
          <w:ilvl w:val="0"/>
          <w:numId w:val="182"/>
        </w:numPr>
        <w:rPr>
          <w:rFonts w:ascii="Arial" w:cs="Arial" w:eastAsia="Arial" w:hAnsi="Arial"/>
          <w:sz w:val="21"/>
          <w:szCs w:val="21"/>
          <w:color w:val="auto"/>
        </w:rPr>
      </w:pPr>
      <w:r>
        <w:rPr>
          <w:rFonts w:ascii="Arial" w:cs="Arial" w:eastAsia="Arial" w:hAnsi="Arial"/>
          <w:sz w:val="21"/>
          <w:szCs w:val="21"/>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201" w:lineRule="exact"/>
        <w:rPr>
          <w:rFonts w:ascii="Arial" w:cs="Arial" w:eastAsia="Arial" w:hAnsi="Arial"/>
          <w:sz w:val="21"/>
          <w:szCs w:val="21"/>
          <w:color w:val="auto"/>
        </w:rPr>
      </w:pPr>
    </w:p>
    <w:p>
      <w:pPr>
        <w:jc w:val="both"/>
        <w:ind w:left="60" w:firstLine="635"/>
        <w:spacing w:after="0" w:line="265" w:lineRule="auto"/>
        <w:tabs>
          <w:tab w:leader="none" w:pos="1231" w:val="left"/>
        </w:tabs>
        <w:numPr>
          <w:ilvl w:val="0"/>
          <w:numId w:val="182"/>
        </w:numPr>
        <w:rPr>
          <w:rFonts w:ascii="Arial" w:cs="Arial" w:eastAsia="Arial" w:hAnsi="Arial"/>
          <w:sz w:val="19"/>
          <w:szCs w:val="19"/>
          <w:color w:val="auto"/>
        </w:rPr>
      </w:pPr>
      <w:r>
        <w:rPr>
          <w:rFonts w:ascii="Arial" w:cs="Arial" w:eastAsia="Arial" w:hAnsi="Arial"/>
          <w:sz w:val="19"/>
          <w:szCs w:val="19"/>
          <w:color w:val="auto"/>
        </w:rPr>
        <w:t>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74" w:lineRule="exact"/>
        <w:rPr>
          <w:rFonts w:ascii="Arial" w:cs="Arial" w:eastAsia="Arial" w:hAnsi="Arial"/>
          <w:sz w:val="19"/>
          <w:szCs w:val="19"/>
          <w:color w:val="auto"/>
        </w:rPr>
      </w:pPr>
    </w:p>
    <w:p>
      <w:pPr>
        <w:ind w:left="60" w:right="140" w:firstLine="635"/>
        <w:spacing w:after="0" w:line="268" w:lineRule="auto"/>
        <w:tabs>
          <w:tab w:leader="none" w:pos="1168" w:val="left"/>
        </w:tabs>
        <w:numPr>
          <w:ilvl w:val="0"/>
          <w:numId w:val="182"/>
        </w:numPr>
        <w:rPr>
          <w:rFonts w:ascii="Arial" w:cs="Arial" w:eastAsia="Arial" w:hAnsi="Arial"/>
          <w:sz w:val="20"/>
          <w:szCs w:val="20"/>
          <w:color w:val="auto"/>
        </w:rPr>
      </w:pPr>
      <w:r>
        <w:rPr>
          <w:rFonts w:ascii="Arial" w:cs="Arial" w:eastAsia="Arial" w:hAnsi="Arial"/>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57" w:lineRule="exact"/>
        <w:rPr>
          <w:sz w:val="20"/>
          <w:szCs w:val="20"/>
          <w:color w:val="auto"/>
        </w:rPr>
      </w:pPr>
    </w:p>
    <w:p>
      <w:pPr>
        <w:jc w:val="both"/>
        <w:ind w:left="60" w:right="120" w:firstLine="642"/>
        <w:spacing w:after="0" w:line="221"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u w:val="single" w:color="auto"/>
          <w:color w:val="auto"/>
        </w:rPr>
        <w:t>The Administrative Agent Individually</w:t>
      </w:r>
      <w:r>
        <w:rPr>
          <w:rFonts w:ascii="Arial" w:cs="Arial" w:eastAsia="Arial" w:hAnsi="Arial"/>
          <w:sz w:val="21"/>
          <w:szCs w:val="21"/>
          <w:color w:val="auto"/>
        </w:rPr>
        <w:t>. With respect to its Commitment, Loans (including Swingline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124</w:t>
      </w:r>
    </w:p>
    <w:p>
      <w:pPr>
        <w:sectPr>
          <w:pgSz w:w="11900" w:h="16838" w:orient="portrait"/>
          <w:cols w:equalWidth="0" w:num="1">
            <w:col w:w="11160"/>
          </w:cols>
          <w:pgMar w:left="400" w:top="1440" w:right="339" w:bottom="1440" w:gutter="0" w:footer="0" w:header="0"/>
        </w:sectPr>
      </w:pPr>
    </w:p>
    <w:bookmarkStart w:id="214" w:name="page215"/>
    <w:bookmarkEnd w:id="214"/>
    <w:p>
      <w:pPr>
        <w:spacing w:after="0" w:line="194" w:lineRule="exact"/>
        <w:rPr>
          <w:sz w:val="20"/>
          <w:szCs w:val="20"/>
          <w:color w:val="auto"/>
        </w:rPr>
      </w:pPr>
    </w:p>
    <w:p>
      <w:pPr>
        <w:jc w:val="both"/>
        <w:ind w:left="60"/>
        <w:spacing w:after="0" w:line="227" w:lineRule="auto"/>
        <w:rPr>
          <w:sz w:val="20"/>
          <w:szCs w:val="20"/>
          <w:color w:val="auto"/>
        </w:rPr>
      </w:pPr>
      <w:r>
        <w:rPr>
          <w:rFonts w:ascii="Arial" w:cs="Arial" w:eastAsia="Arial" w:hAnsi="Arial"/>
          <w:sz w:val="21"/>
          <w:szCs w:val="21"/>
          <w:color w:val="auto"/>
        </w:rPr>
        <w:t>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w:t>
      </w:r>
    </w:p>
    <w:p>
      <w:pPr>
        <w:spacing w:after="0" w:line="186"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0"/>
          <w:szCs w:val="20"/>
          <w:color w:val="auto"/>
        </w:rPr>
        <w:t xml:space="preserve">SECTION 8.05. </w:t>
      </w:r>
      <w:r>
        <w:rPr>
          <w:rFonts w:ascii="Arial" w:cs="Arial" w:eastAsia="Arial" w:hAnsi="Arial"/>
          <w:sz w:val="20"/>
          <w:szCs w:val="20"/>
          <w:u w:val="single" w:color="auto"/>
          <w:color w:val="auto"/>
        </w:rPr>
        <w:t>Successor Administrative Agent</w:t>
      </w:r>
      <w:r>
        <w:rPr>
          <w:rFonts w:ascii="Arial" w:cs="Arial" w:eastAsia="Arial" w:hAnsi="Arial"/>
          <w:sz w:val="20"/>
          <w:szCs w:val="20"/>
          <w:color w:val="auto"/>
        </w:rPr>
        <w:t>. (a) 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93" w:lineRule="exact"/>
        <w:rPr>
          <w:sz w:val="20"/>
          <w:szCs w:val="20"/>
          <w:color w:val="auto"/>
        </w:rPr>
      </w:pPr>
    </w:p>
    <w:p>
      <w:pPr>
        <w:jc w:val="both"/>
        <w:ind w:left="60" w:firstLine="635"/>
        <w:spacing w:after="0" w:line="227" w:lineRule="auto"/>
        <w:tabs>
          <w:tab w:leader="none" w:pos="1025" w:val="left"/>
        </w:tabs>
        <w:numPr>
          <w:ilvl w:val="0"/>
          <w:numId w:val="183"/>
        </w:numPr>
        <w:rPr>
          <w:rFonts w:ascii="Arial" w:cs="Arial" w:eastAsia="Arial" w:hAnsi="Arial"/>
          <w:sz w:val="20"/>
          <w:szCs w:val="20"/>
          <w:color w:val="auto"/>
        </w:rPr>
      </w:pPr>
      <w:r>
        <w:rPr>
          <w:rFonts w:ascii="Arial" w:cs="Arial" w:eastAsia="Arial" w:hAnsi="Arial"/>
          <w:sz w:val="20"/>
          <w:szCs w:val="20"/>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all payments required to be made hereunder or under any other Loan Document to the Administrative Agent for the account of any Person other than the Administrative Agent shall be made directly to</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color w:val="auto"/>
        </w:rPr>
        <w:t>125</w:t>
      </w:r>
    </w:p>
    <w:p>
      <w:pPr>
        <w:sectPr>
          <w:pgSz w:w="11900" w:h="16838" w:orient="portrait"/>
          <w:cols w:equalWidth="0" w:num="1">
            <w:col w:w="11040"/>
          </w:cols>
          <w:pgMar w:left="400" w:top="1440" w:right="459" w:bottom="1440" w:gutter="0" w:footer="0" w:header="0"/>
        </w:sectPr>
      </w:pPr>
    </w:p>
    <w:bookmarkStart w:id="215" w:name="page216"/>
    <w:bookmarkEnd w:id="215"/>
    <w:p>
      <w:pPr>
        <w:spacing w:after="0" w:line="194" w:lineRule="exact"/>
        <w:rPr>
          <w:sz w:val="20"/>
          <w:szCs w:val="20"/>
          <w:color w:val="auto"/>
        </w:rPr>
      </w:pPr>
    </w:p>
    <w:p>
      <w:pPr>
        <w:jc w:val="both"/>
        <w:ind w:left="60"/>
        <w:spacing w:after="0" w:line="232" w:lineRule="auto"/>
        <w:rPr>
          <w:sz w:val="20"/>
          <w:szCs w:val="20"/>
          <w:color w:val="auto"/>
        </w:rPr>
      </w:pPr>
      <w:r>
        <w:rPr>
          <w:rFonts w:ascii="Arial" w:cs="Arial" w:eastAsia="Arial" w:hAnsi="Arial"/>
          <w:sz w:val="20"/>
          <w:szCs w:val="20"/>
          <w:color w:val="auto"/>
        </w:rPr>
        <w:t>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w:t>
      </w:r>
    </w:p>
    <w:p>
      <w:pPr>
        <w:spacing w:after="0" w:line="186" w:lineRule="exact"/>
        <w:rPr>
          <w:sz w:val="20"/>
          <w:szCs w:val="20"/>
          <w:color w:val="auto"/>
        </w:rPr>
      </w:pPr>
    </w:p>
    <w:p>
      <w:pPr>
        <w:jc w:val="both"/>
        <w:ind w:left="60" w:firstLine="642"/>
        <w:spacing w:after="0" w:line="239"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u w:val="single" w:color="auto"/>
          <w:color w:val="auto"/>
        </w:rPr>
        <w:t>Acknowledgments of Lenders and Issuing Banks</w:t>
      </w:r>
      <w:r>
        <w:rPr>
          <w:rFonts w:ascii="Arial" w:cs="Arial" w:eastAsia="Arial" w:hAnsi="Arial"/>
          <w:sz w:val="19"/>
          <w:szCs w:val="19"/>
          <w:color w:val="auto"/>
        </w:rPr>
        <w:t>. (a) 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any Syndication Agent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Syndication Agent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6" w:lineRule="exact"/>
        <w:rPr>
          <w:sz w:val="20"/>
          <w:szCs w:val="20"/>
          <w:color w:val="auto"/>
        </w:rPr>
      </w:pPr>
    </w:p>
    <w:p>
      <w:pPr>
        <w:jc w:val="both"/>
        <w:ind w:left="60" w:firstLine="635"/>
        <w:spacing w:after="0" w:line="224" w:lineRule="auto"/>
        <w:tabs>
          <w:tab w:leader="none" w:pos="1208" w:val="left"/>
        </w:tabs>
        <w:numPr>
          <w:ilvl w:val="0"/>
          <w:numId w:val="184"/>
        </w:numPr>
        <w:rPr>
          <w:rFonts w:ascii="Arial" w:cs="Arial" w:eastAsia="Arial" w:hAnsi="Arial"/>
          <w:sz w:val="21"/>
          <w:szCs w:val="21"/>
          <w:color w:val="auto"/>
        </w:rPr>
      </w:pPr>
      <w:r>
        <w:rPr>
          <w:rFonts w:ascii="Arial" w:cs="Arial" w:eastAsia="Arial" w:hAnsi="Arial"/>
          <w:sz w:val="21"/>
          <w:szCs w:val="21"/>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200" w:lineRule="exact"/>
        <w:rPr>
          <w:rFonts w:ascii="Arial" w:cs="Arial" w:eastAsia="Arial" w:hAnsi="Arial"/>
          <w:sz w:val="21"/>
          <w:szCs w:val="21"/>
          <w:color w:val="auto"/>
        </w:rPr>
      </w:pPr>
    </w:p>
    <w:p>
      <w:pPr>
        <w:jc w:val="both"/>
        <w:ind w:left="60" w:firstLine="635"/>
        <w:spacing w:after="0" w:line="239" w:lineRule="auto"/>
        <w:tabs>
          <w:tab w:leader="none" w:pos="1227" w:val="left"/>
        </w:tabs>
        <w:numPr>
          <w:ilvl w:val="0"/>
          <w:numId w:val="184"/>
        </w:numPr>
        <w:rPr>
          <w:rFonts w:ascii="Arial" w:cs="Arial" w:eastAsia="Arial" w:hAnsi="Arial"/>
          <w:sz w:val="20"/>
          <w:szCs w:val="20"/>
          <w:color w:val="auto"/>
        </w:rPr>
      </w:pPr>
      <w:r>
        <w:rPr>
          <w:rFonts w:ascii="Arial" w:cs="Arial" w:eastAsia="Arial" w:hAnsi="Arial"/>
          <w:sz w:val="20"/>
          <w:szCs w:val="20"/>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20"/>
          <w:szCs w:val="20"/>
          <w:b w:val="1"/>
          <w:bCs w:val="1"/>
          <w:i w:val="1"/>
          <w:iCs w:val="1"/>
          <w:color w:val="auto"/>
        </w:rPr>
        <w:t>Payment</w:t>
      </w:r>
      <w:r>
        <w:rPr>
          <w:rFonts w:ascii="Arial" w:cs="Arial" w:eastAsia="Arial" w:hAnsi="Arial"/>
          <w:sz w:val="20"/>
          <w:szCs w:val="20"/>
          <w:color w:val="auto"/>
        </w:rPr>
        <w:t>”) were erroneously transmitted to such Lender (whether or not known to such Lender),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126</w:t>
      </w:r>
    </w:p>
    <w:p>
      <w:pPr>
        <w:sectPr>
          <w:pgSz w:w="11900" w:h="16838" w:orient="portrait"/>
          <w:cols w:equalWidth="0" w:num="1">
            <w:col w:w="11040"/>
          </w:cols>
          <w:pgMar w:left="400" w:top="1440" w:right="459" w:bottom="1440" w:gutter="0" w:footer="0" w:header="0"/>
        </w:sectPr>
      </w:pPr>
    </w:p>
    <w:bookmarkStart w:id="216" w:name="page217"/>
    <w:bookmarkEnd w:id="216"/>
    <w:p>
      <w:pPr>
        <w:spacing w:after="0" w:line="194" w:lineRule="exact"/>
        <w:rPr>
          <w:sz w:val="20"/>
          <w:szCs w:val="20"/>
          <w:color w:val="auto"/>
        </w:rPr>
      </w:pPr>
    </w:p>
    <w:p>
      <w:pPr>
        <w:jc w:val="both"/>
        <w:ind w:left="60" w:right="120"/>
        <w:spacing w:after="0" w:line="229" w:lineRule="auto"/>
        <w:rPr>
          <w:sz w:val="20"/>
          <w:szCs w:val="20"/>
          <w:color w:val="auto"/>
        </w:rPr>
      </w:pPr>
      <w:r>
        <w:rPr>
          <w:rFonts w:ascii="Arial" w:cs="Arial" w:eastAsia="Arial" w:hAnsi="Arial"/>
          <w:sz w:val="20"/>
          <w:szCs w:val="20"/>
          <w:color w:val="auto"/>
        </w:rPr>
        <w:t>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spacing w:after="0" w:line="192" w:lineRule="exact"/>
        <w:rPr>
          <w:sz w:val="20"/>
          <w:szCs w:val="20"/>
          <w:color w:val="auto"/>
        </w:rPr>
      </w:pPr>
    </w:p>
    <w:p>
      <w:pPr>
        <w:jc w:val="both"/>
        <w:ind w:left="60" w:right="120" w:firstLine="1278"/>
        <w:spacing w:after="0" w:line="241" w:lineRule="auto"/>
        <w:tabs>
          <w:tab w:leader="none" w:pos="1827" w:val="left"/>
        </w:tabs>
        <w:numPr>
          <w:ilvl w:val="0"/>
          <w:numId w:val="185"/>
        </w:numPr>
        <w:rPr>
          <w:rFonts w:ascii="Arial" w:cs="Arial" w:eastAsia="Arial" w:hAnsi="Arial"/>
          <w:sz w:val="19"/>
          <w:szCs w:val="19"/>
          <w:color w:val="auto"/>
        </w:rPr>
      </w:pPr>
      <w:r>
        <w:rPr>
          <w:rFonts w:ascii="Arial" w:cs="Arial" w:eastAsia="Arial" w:hAnsi="Arial"/>
          <w:sz w:val="19"/>
          <w:szCs w:val="19"/>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9"/>
          <w:szCs w:val="19"/>
          <w:b w:val="1"/>
          <w:bCs w:val="1"/>
          <w:i w:val="1"/>
          <w:iCs w:val="1"/>
          <w:color w:val="auto"/>
        </w:rPr>
        <w:t>Payment Notice</w:t>
      </w:r>
      <w:r>
        <w:rPr>
          <w:rFonts w:ascii="Arial" w:cs="Arial" w:eastAsia="Arial" w:hAnsi="Arial"/>
          <w:sz w:val="19"/>
          <w:szCs w:val="19"/>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200" w:lineRule="exact"/>
        <w:rPr>
          <w:rFonts w:ascii="Arial" w:cs="Arial" w:eastAsia="Arial" w:hAnsi="Arial"/>
          <w:sz w:val="19"/>
          <w:szCs w:val="19"/>
          <w:color w:val="auto"/>
        </w:rPr>
      </w:pPr>
    </w:p>
    <w:p>
      <w:pPr>
        <w:jc w:val="both"/>
        <w:ind w:left="60" w:firstLine="1278"/>
        <w:spacing w:after="0" w:line="224" w:lineRule="auto"/>
        <w:tabs>
          <w:tab w:leader="none" w:pos="1980" w:val="left"/>
        </w:tabs>
        <w:numPr>
          <w:ilvl w:val="0"/>
          <w:numId w:val="185"/>
        </w:numPr>
        <w:rPr>
          <w:rFonts w:ascii="Arial" w:cs="Arial" w:eastAsia="Arial" w:hAnsi="Arial"/>
          <w:sz w:val="21"/>
          <w:szCs w:val="21"/>
          <w:color w:val="auto"/>
        </w:rPr>
      </w:pPr>
      <w:r>
        <w:rPr>
          <w:rFonts w:ascii="Arial" w:cs="Arial" w:eastAsia="Arial" w:hAnsi="Arial"/>
          <w:sz w:val="21"/>
          <w:szCs w:val="21"/>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spacing w:after="0" w:line="267" w:lineRule="exact"/>
        <w:rPr>
          <w:rFonts w:ascii="Arial" w:cs="Arial" w:eastAsia="Arial" w:hAnsi="Arial"/>
          <w:sz w:val="21"/>
          <w:szCs w:val="21"/>
          <w:color w:val="auto"/>
        </w:rPr>
      </w:pPr>
    </w:p>
    <w:p>
      <w:pPr>
        <w:jc w:val="both"/>
        <w:ind w:left="60" w:right="120" w:firstLine="1278"/>
        <w:spacing w:after="0" w:line="232" w:lineRule="auto"/>
        <w:tabs>
          <w:tab w:leader="none" w:pos="1977" w:val="left"/>
        </w:tabs>
        <w:numPr>
          <w:ilvl w:val="0"/>
          <w:numId w:val="185"/>
        </w:numPr>
        <w:rPr>
          <w:rFonts w:ascii="Arial" w:cs="Arial" w:eastAsia="Arial" w:hAnsi="Arial"/>
          <w:sz w:val="21"/>
          <w:szCs w:val="21"/>
          <w:color w:val="auto"/>
        </w:rPr>
      </w:pPr>
      <w:r>
        <w:rPr>
          <w:rFonts w:ascii="Arial" w:cs="Arial" w:eastAsia="Arial" w:hAnsi="Arial"/>
          <w:sz w:val="21"/>
          <w:szCs w:val="21"/>
          <w:color w:val="auto"/>
        </w:rPr>
        <w:t>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98" w:lineRule="exact"/>
        <w:rPr>
          <w:sz w:val="20"/>
          <w:szCs w:val="20"/>
          <w:color w:val="auto"/>
        </w:rPr>
      </w:pPr>
    </w:p>
    <w:p>
      <w:pPr>
        <w:jc w:val="both"/>
        <w:ind w:left="60" w:right="120" w:firstLine="642"/>
        <w:spacing w:after="0" w:line="227"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u w:val="single" w:color="auto"/>
          <w:color w:val="auto"/>
        </w:rPr>
        <w:t>Collateral Matters</w:t>
      </w:r>
      <w:r>
        <w:rPr>
          <w:rFonts w:ascii="Arial" w:cs="Arial" w:eastAsia="Arial" w:hAnsi="Arial"/>
          <w:sz w:val="21"/>
          <w:szCs w:val="21"/>
          <w:color w:val="auto"/>
        </w:rPr>
        <w:t>. (a) 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127</w:t>
      </w:r>
    </w:p>
    <w:p>
      <w:pPr>
        <w:sectPr>
          <w:pgSz w:w="11900" w:h="16838" w:orient="portrait"/>
          <w:cols w:equalWidth="0" w:num="1">
            <w:col w:w="11160"/>
          </w:cols>
          <w:pgMar w:left="400" w:top="1440" w:right="339" w:bottom="1440" w:gutter="0" w:footer="0" w:header="0"/>
        </w:sectPr>
      </w:pPr>
    </w:p>
    <w:bookmarkStart w:id="217" w:name="page218"/>
    <w:bookmarkEnd w:id="217"/>
    <w:p>
      <w:pPr>
        <w:spacing w:after="0" w:line="194" w:lineRule="exact"/>
        <w:rPr>
          <w:sz w:val="20"/>
          <w:szCs w:val="20"/>
          <w:color w:val="auto"/>
        </w:rPr>
      </w:pPr>
    </w:p>
    <w:p>
      <w:pPr>
        <w:ind w:left="60"/>
        <w:spacing w:after="0"/>
        <w:rPr>
          <w:sz w:val="20"/>
          <w:szCs w:val="20"/>
          <w:color w:val="auto"/>
        </w:rPr>
      </w:pPr>
      <w:r>
        <w:rPr>
          <w:rFonts w:ascii="Arial" w:cs="Arial" w:eastAsia="Arial" w:hAnsi="Arial"/>
          <w:sz w:val="21"/>
          <w:szCs w:val="21"/>
          <w:color w:val="auto"/>
        </w:rPr>
        <w:t>exercised solely by the Administrative Agent on behalf of the Secured Parties in accordance with the terms thereof.</w:t>
      </w:r>
    </w:p>
    <w:p>
      <w:pPr>
        <w:spacing w:after="0" w:line="214" w:lineRule="exact"/>
        <w:rPr>
          <w:sz w:val="20"/>
          <w:szCs w:val="20"/>
          <w:color w:val="auto"/>
        </w:rPr>
      </w:pPr>
    </w:p>
    <w:p>
      <w:pPr>
        <w:jc w:val="both"/>
        <w:ind w:left="60" w:firstLine="635"/>
        <w:spacing w:after="0" w:line="231" w:lineRule="auto"/>
        <w:tabs>
          <w:tab w:leader="none" w:pos="1216" w:val="left"/>
        </w:tabs>
        <w:numPr>
          <w:ilvl w:val="0"/>
          <w:numId w:val="186"/>
        </w:numPr>
        <w:rPr>
          <w:rFonts w:ascii="Arial" w:cs="Arial" w:eastAsia="Arial" w:hAnsi="Arial"/>
          <w:sz w:val="20"/>
          <w:szCs w:val="20"/>
          <w:color w:val="auto"/>
        </w:rPr>
      </w:pPr>
      <w:r>
        <w:rPr>
          <w:rFonts w:ascii="Arial" w:cs="Arial" w:eastAsia="Arial" w:hAnsi="Arial"/>
          <w:sz w:val="20"/>
          <w:szCs w:val="20"/>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Banking Services Agreement or Swap Agreement in respect of Swap Obligations,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99" w:lineRule="exact"/>
        <w:rPr>
          <w:rFonts w:ascii="Arial" w:cs="Arial" w:eastAsia="Arial" w:hAnsi="Arial"/>
          <w:sz w:val="20"/>
          <w:szCs w:val="20"/>
          <w:color w:val="auto"/>
        </w:rPr>
      </w:pPr>
    </w:p>
    <w:p>
      <w:pPr>
        <w:jc w:val="both"/>
        <w:ind w:left="60" w:firstLine="635"/>
        <w:spacing w:after="0" w:line="224" w:lineRule="auto"/>
        <w:tabs>
          <w:tab w:leader="none" w:pos="1158"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200" w:lineRule="exact"/>
        <w:rPr>
          <w:sz w:val="20"/>
          <w:szCs w:val="20"/>
          <w:color w:val="auto"/>
        </w:rPr>
      </w:pPr>
    </w:p>
    <w:p>
      <w:pPr>
        <w:jc w:val="both"/>
        <w:ind w:left="60" w:firstLine="642"/>
        <w:spacing w:after="0" w:line="238" w:lineRule="auto"/>
        <w:rPr>
          <w:sz w:val="20"/>
          <w:szCs w:val="20"/>
          <w:color w:val="auto"/>
        </w:rPr>
      </w:pPr>
      <w:r>
        <w:rPr>
          <w:rFonts w:ascii="Arial" w:cs="Arial" w:eastAsia="Arial" w:hAnsi="Arial"/>
          <w:sz w:val="19"/>
          <w:szCs w:val="19"/>
          <w:color w:val="auto"/>
        </w:rPr>
        <w:t xml:space="preserve">SECTION 8.08. </w:t>
      </w:r>
      <w:r>
        <w:rPr>
          <w:rFonts w:ascii="Arial" w:cs="Arial" w:eastAsia="Arial" w:hAnsi="Arial"/>
          <w:sz w:val="19"/>
          <w:szCs w:val="19"/>
          <w:u w:val="single" w:color="auto"/>
          <w:color w:val="auto"/>
        </w:rPr>
        <w:t>Credit Bidding</w:t>
      </w:r>
      <w:r>
        <w:rPr>
          <w:rFonts w:ascii="Arial" w:cs="Arial" w:eastAsia="Arial" w:hAnsi="Arial"/>
          <w:sz w:val="19"/>
          <w:szCs w:val="19"/>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color w:val="auto"/>
        </w:rPr>
        <w:t>128</w:t>
      </w:r>
    </w:p>
    <w:p>
      <w:pPr>
        <w:sectPr>
          <w:pgSz w:w="11900" w:h="16838" w:orient="portrait"/>
          <w:cols w:equalWidth="0" w:num="1">
            <w:col w:w="11040"/>
          </w:cols>
          <w:pgMar w:left="400" w:top="1440" w:right="459" w:bottom="1440" w:gutter="0" w:footer="0" w:header="0"/>
        </w:sectPr>
      </w:pPr>
    </w:p>
    <w:bookmarkStart w:id="218" w:name="page219"/>
    <w:bookmarkEnd w:id="218"/>
    <w:p>
      <w:pPr>
        <w:spacing w:after="0" w:line="194" w:lineRule="exact"/>
        <w:rPr>
          <w:sz w:val="20"/>
          <w:szCs w:val="20"/>
          <w:color w:val="auto"/>
        </w:rPr>
      </w:pPr>
    </w:p>
    <w:p>
      <w:pPr>
        <w:jc w:val="both"/>
        <w:ind w:left="60" w:right="20"/>
        <w:spacing w:after="0" w:line="217" w:lineRule="auto"/>
        <w:rPr>
          <w:sz w:val="20"/>
          <w:szCs w:val="20"/>
          <w:color w:val="auto"/>
        </w:rPr>
      </w:pPr>
      <w:r>
        <w:rPr>
          <w:rFonts w:ascii="Arial" w:cs="Arial" w:eastAsia="Arial" w:hAnsi="Arial"/>
          <w:sz w:val="21"/>
          <w:szCs w:val="21"/>
          <w:color w:val="auto"/>
        </w:rPr>
        <w:t>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w:t>
      </w:r>
    </w:p>
    <w:p>
      <w:pPr>
        <w:spacing w:after="0" w:line="3" w:lineRule="exact"/>
        <w:rPr>
          <w:sz w:val="20"/>
          <w:szCs w:val="20"/>
          <w:color w:val="auto"/>
        </w:rPr>
      </w:pPr>
    </w:p>
    <w:p>
      <w:pPr>
        <w:jc w:val="both"/>
        <w:ind w:left="60" w:hanging="8"/>
        <w:spacing w:after="0" w:line="238" w:lineRule="auto"/>
        <w:tabs>
          <w:tab w:leader="none" w:pos="671"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91" w:lineRule="exact"/>
        <w:rPr>
          <w:sz w:val="20"/>
          <w:szCs w:val="20"/>
          <w:color w:val="auto"/>
        </w:rPr>
      </w:pPr>
    </w:p>
    <w:p>
      <w:pPr>
        <w:jc w:val="both"/>
        <w:ind w:left="60" w:firstLine="642"/>
        <w:spacing w:after="0" w:line="224" w:lineRule="auto"/>
        <w:rPr>
          <w:sz w:val="20"/>
          <w:szCs w:val="20"/>
          <w:color w:val="auto"/>
        </w:rPr>
      </w:pPr>
      <w:r>
        <w:rPr>
          <w:rFonts w:ascii="Arial" w:cs="Arial" w:eastAsia="Arial" w:hAnsi="Arial"/>
          <w:sz w:val="21"/>
          <w:szCs w:val="21"/>
          <w:color w:val="auto"/>
        </w:rPr>
        <w:t xml:space="preserve">SECTION 8.09. </w:t>
      </w:r>
      <w:r>
        <w:rPr>
          <w:rFonts w:ascii="Arial" w:cs="Arial" w:eastAsia="Arial" w:hAnsi="Arial"/>
          <w:sz w:val="21"/>
          <w:szCs w:val="21"/>
          <w:u w:val="single" w:color="auto"/>
          <w:color w:val="auto"/>
        </w:rPr>
        <w:t>Certain ERISA Matters</w:t>
      </w:r>
      <w:r>
        <w:rPr>
          <w:rFonts w:ascii="Arial" w:cs="Arial" w:eastAsia="Arial" w:hAnsi="Arial"/>
          <w:sz w:val="21"/>
          <w:szCs w:val="21"/>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87" w:lineRule="exact"/>
        <w:rPr>
          <w:sz w:val="20"/>
          <w:szCs w:val="20"/>
          <w:color w:val="auto"/>
        </w:rPr>
      </w:pPr>
    </w:p>
    <w:p>
      <w:pPr>
        <w:ind w:left="700" w:right="20" w:firstLine="1283"/>
        <w:spacing w:after="0" w:line="244" w:lineRule="auto"/>
        <w:tabs>
          <w:tab w:leader="none" w:pos="2422" w:val="left"/>
        </w:tabs>
        <w:numPr>
          <w:ilvl w:val="0"/>
          <w:numId w:val="188"/>
        </w:numPr>
        <w:rPr>
          <w:rFonts w:ascii="Arial" w:cs="Arial" w:eastAsia="Arial" w:hAnsi="Arial"/>
          <w:sz w:val="21"/>
          <w:szCs w:val="21"/>
          <w:color w:val="auto"/>
        </w:rPr>
      </w:pPr>
      <w:r>
        <w:rPr>
          <w:rFonts w:ascii="Arial" w:cs="Arial" w:eastAsia="Arial" w:hAnsi="Arial"/>
          <w:sz w:val="21"/>
          <w:szCs w:val="21"/>
          <w:color w:val="auto"/>
        </w:rPr>
        <w:t>such Lender is not using “plan assets” (within the meaning of the Plan Asset Regulations) of one or more Benefit Plans in connection with the Loans, the Letters of Credit or the Commitments,</w:t>
      </w:r>
    </w:p>
    <w:p>
      <w:pPr>
        <w:spacing w:after="0" w:line="192" w:lineRule="exact"/>
        <w:rPr>
          <w:rFonts w:ascii="Arial" w:cs="Arial" w:eastAsia="Arial" w:hAnsi="Arial"/>
          <w:sz w:val="21"/>
          <w:szCs w:val="21"/>
          <w:color w:val="auto"/>
        </w:rPr>
      </w:pPr>
    </w:p>
    <w:p>
      <w:pPr>
        <w:jc w:val="both"/>
        <w:ind w:left="700" w:firstLine="1283"/>
        <w:spacing w:after="0" w:line="245" w:lineRule="auto"/>
        <w:tabs>
          <w:tab w:leader="none" w:pos="2481"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96- 23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1"/>
          <w:szCs w:val="21"/>
          <w:color w:val="auto"/>
        </w:rPr>
        <w:t>129</w:t>
      </w:r>
    </w:p>
    <w:p>
      <w:pPr>
        <w:sectPr>
          <w:pgSz w:w="11900" w:h="16838" w:orient="portrait"/>
          <w:cols w:equalWidth="0" w:num="1">
            <w:col w:w="11040"/>
          </w:cols>
          <w:pgMar w:left="400" w:top="1440" w:right="459" w:bottom="1440" w:gutter="0" w:footer="0" w:header="0"/>
        </w:sectPr>
      </w:pPr>
    </w:p>
    <w:bookmarkStart w:id="219" w:name="page220"/>
    <w:bookmarkEnd w:id="219"/>
    <w:p>
      <w:pPr>
        <w:spacing w:after="0" w:line="193" w:lineRule="exact"/>
        <w:rPr>
          <w:sz w:val="20"/>
          <w:szCs w:val="20"/>
          <w:color w:val="auto"/>
        </w:rPr>
      </w:pPr>
    </w:p>
    <w:p>
      <w:pPr>
        <w:jc w:val="both"/>
        <w:ind w:left="700" w:firstLine="1283"/>
        <w:spacing w:after="0" w:line="239" w:lineRule="auto"/>
        <w:tabs>
          <w:tab w:leader="none" w:pos="2659" w:val="left"/>
        </w:tabs>
        <w:numPr>
          <w:ilvl w:val="1"/>
          <w:numId w:val="189"/>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spacing w:after="0" w:line="2" w:lineRule="exact"/>
        <w:rPr>
          <w:rFonts w:ascii="Arial" w:cs="Arial" w:eastAsia="Arial" w:hAnsi="Arial"/>
          <w:sz w:val="19"/>
          <w:szCs w:val="19"/>
          <w:color w:val="auto"/>
        </w:rPr>
      </w:pPr>
    </w:p>
    <w:p>
      <w:pPr>
        <w:jc w:val="both"/>
        <w:ind w:left="700" w:hanging="4"/>
        <w:spacing w:after="0" w:line="226" w:lineRule="auto"/>
        <w:tabs>
          <w:tab w:leader="none" w:pos="1013" w:val="left"/>
        </w:tabs>
        <w:numPr>
          <w:ilvl w:val="0"/>
          <w:numId w:val="190"/>
        </w:numPr>
        <w:rPr>
          <w:rFonts w:ascii="Arial" w:cs="Arial" w:eastAsia="Arial" w:hAnsi="Arial"/>
          <w:sz w:val="21"/>
          <w:szCs w:val="21"/>
          <w:color w:val="auto"/>
        </w:rPr>
      </w:pPr>
      <w:r>
        <w:rPr>
          <w:rFonts w:ascii="Arial" w:cs="Arial" w:eastAsia="Arial" w:hAnsi="Arial"/>
          <w:sz w:val="21"/>
          <w:szCs w:val="21"/>
          <w:color w:val="auto"/>
        </w:rPr>
        <w:t>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5" w:lineRule="exact"/>
        <w:rPr>
          <w:sz w:val="20"/>
          <w:szCs w:val="20"/>
          <w:color w:val="auto"/>
        </w:rPr>
      </w:pPr>
    </w:p>
    <w:p>
      <w:pPr>
        <w:ind w:left="700" w:right="140" w:firstLine="1283"/>
        <w:spacing w:after="0" w:line="244" w:lineRule="auto"/>
        <w:tabs>
          <w:tab w:leader="none" w:pos="2697" w:val="left"/>
        </w:tabs>
        <w:numPr>
          <w:ilvl w:val="1"/>
          <w:numId w:val="191"/>
        </w:numPr>
        <w:rPr>
          <w:rFonts w:ascii="Arial" w:cs="Arial" w:eastAsia="Arial" w:hAnsi="Arial"/>
          <w:sz w:val="21"/>
          <w:szCs w:val="21"/>
          <w:color w:val="auto"/>
        </w:rPr>
      </w:pPr>
      <w:r>
        <w:rPr>
          <w:rFonts w:ascii="Arial" w:cs="Arial" w:eastAsia="Arial" w:hAnsi="Arial"/>
          <w:sz w:val="21"/>
          <w:szCs w:val="21"/>
          <w:color w:val="auto"/>
        </w:rPr>
        <w:t>such other representation, warranty and covenant as may be agreed in writing between the Administrative Agent, in its sole discretion, and such Lender.</w:t>
      </w:r>
    </w:p>
    <w:p>
      <w:pPr>
        <w:spacing w:after="0" w:line="192" w:lineRule="exact"/>
        <w:rPr>
          <w:rFonts w:ascii="Arial" w:cs="Arial" w:eastAsia="Arial" w:hAnsi="Arial"/>
          <w:sz w:val="21"/>
          <w:szCs w:val="21"/>
          <w:color w:val="auto"/>
        </w:rPr>
      </w:pPr>
    </w:p>
    <w:p>
      <w:pPr>
        <w:jc w:val="both"/>
        <w:ind w:left="60" w:right="120" w:firstLine="635"/>
        <w:spacing w:after="0" w:line="230" w:lineRule="auto"/>
        <w:tabs>
          <w:tab w:leader="none" w:pos="1211" w:val="left"/>
        </w:tabs>
        <w:numPr>
          <w:ilvl w:val="0"/>
          <w:numId w:val="192"/>
        </w:numPr>
        <w:rPr>
          <w:rFonts w:ascii="Arial" w:cs="Arial" w:eastAsia="Arial" w:hAnsi="Arial"/>
          <w:sz w:val="20"/>
          <w:szCs w:val="20"/>
          <w:color w:val="auto"/>
        </w:rPr>
      </w:pPr>
      <w:r>
        <w:rPr>
          <w:rFonts w:ascii="Arial" w:cs="Arial" w:eastAsia="Arial" w:hAnsi="Arial"/>
          <w:sz w:val="20"/>
          <w:szCs w:val="20"/>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none of the Administrative Agent, or any Arranger, any Syndication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hereto or thereto).</w:t>
      </w:r>
    </w:p>
    <w:p>
      <w:pPr>
        <w:spacing w:after="0" w:line="269"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ARTICLE IX</w:t>
      </w:r>
    </w:p>
    <w:p>
      <w:pPr>
        <w:spacing w:after="0" w:line="214" w:lineRule="exact"/>
        <w:rPr>
          <w:sz w:val="20"/>
          <w:szCs w:val="20"/>
          <w:color w:val="auto"/>
        </w:rPr>
      </w:pPr>
    </w:p>
    <w:p>
      <w:pPr>
        <w:ind w:left="4920"/>
        <w:spacing w:after="0"/>
        <w:rPr>
          <w:sz w:val="20"/>
          <w:szCs w:val="20"/>
          <w:color w:val="auto"/>
        </w:rPr>
      </w:pPr>
      <w:r>
        <w:rPr>
          <w:rFonts w:ascii="Arial" w:cs="Arial" w:eastAsia="Arial" w:hAnsi="Arial"/>
          <w:sz w:val="21"/>
          <w:szCs w:val="21"/>
          <w:u w:val="single" w:color="auto"/>
          <w:color w:val="auto"/>
        </w:rPr>
        <w:t>Miscellaneous</w:t>
      </w:r>
    </w:p>
    <w:p>
      <w:pPr>
        <w:spacing w:after="0" w:line="228" w:lineRule="exact"/>
        <w:rPr>
          <w:sz w:val="20"/>
          <w:szCs w:val="20"/>
          <w:color w:val="auto"/>
        </w:rPr>
      </w:pPr>
    </w:p>
    <w:p>
      <w:pPr>
        <w:jc w:val="both"/>
        <w:ind w:left="60" w:right="120" w:firstLine="642"/>
        <w:spacing w:after="0" w:line="227" w:lineRule="auto"/>
        <w:rPr>
          <w:sz w:val="20"/>
          <w:szCs w:val="20"/>
          <w:color w:val="auto"/>
        </w:rPr>
      </w:pPr>
      <w:r>
        <w:rPr>
          <w:rFonts w:ascii="Arial" w:cs="Arial" w:eastAsia="Arial" w:hAnsi="Arial"/>
          <w:sz w:val="21"/>
          <w:szCs w:val="21"/>
          <w:color w:val="auto"/>
        </w:rPr>
        <w:t xml:space="preserve">SECTION 9.01. </w:t>
      </w:r>
      <w:r>
        <w:rPr>
          <w:rFonts w:ascii="Arial" w:cs="Arial" w:eastAsia="Arial" w:hAnsi="Arial"/>
          <w:sz w:val="21"/>
          <w:szCs w:val="21"/>
          <w:u w:val="single" w:color="auto"/>
          <w:color w:val="auto"/>
        </w:rPr>
        <w:t>Notices</w:t>
      </w:r>
      <w:r>
        <w:rPr>
          <w:rFonts w:ascii="Arial" w:cs="Arial" w:eastAsia="Arial" w:hAnsi="Arial"/>
          <w:sz w:val="21"/>
          <w:szCs w:val="21"/>
          <w:color w:val="auto"/>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186" w:lineRule="exact"/>
        <w:rPr>
          <w:sz w:val="20"/>
          <w:szCs w:val="20"/>
          <w:color w:val="auto"/>
        </w:rPr>
      </w:pPr>
    </w:p>
    <w:p>
      <w:pPr>
        <w:jc w:val="both"/>
        <w:ind w:left="700" w:right="120" w:firstLine="1283"/>
        <w:spacing w:after="0" w:line="222" w:lineRule="auto"/>
        <w:tabs>
          <w:tab w:leader="none" w:pos="242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if to the Borrower, to it at Mistras Group, Inc., 195 Clarksville Road, Princeton Junction, NJ 08550, Attention: Edward Prajzner, EVP, CFO and Treasurer, (Telephone: 609-716-4102) (Email: Edward.prajzner@mistrasgroup.com) and Attention: Michael Keefe, EVP, General Counsel and Secretary (Telephone: 609-716-4128) (Email: Michael.keefe@mistrasgroup.com); with a copy to: Kramer Levin Naftalis &amp; Frankel LLP, 1177 Avenue of the Americas, New York, NY 10036, Attention: Richard E. Farley (Telephone: (212) 715-9106) (E-mail: rfarley@kramerlevin.com);</w:t>
      </w:r>
    </w:p>
    <w:p>
      <w:pPr>
        <w:spacing w:after="0" w:line="201" w:lineRule="exact"/>
        <w:rPr>
          <w:rFonts w:ascii="Arial" w:cs="Arial" w:eastAsia="Arial" w:hAnsi="Arial"/>
          <w:sz w:val="21"/>
          <w:szCs w:val="21"/>
          <w:color w:val="auto"/>
        </w:rPr>
      </w:pPr>
    </w:p>
    <w:p>
      <w:pPr>
        <w:ind w:left="700" w:right="140" w:firstLine="1283"/>
        <w:spacing w:after="0" w:line="244" w:lineRule="auto"/>
        <w:tabs>
          <w:tab w:leader="none" w:pos="2484" w:val="left"/>
        </w:tabs>
        <w:numPr>
          <w:ilvl w:val="0"/>
          <w:numId w:val="193"/>
        </w:numPr>
        <w:rPr>
          <w:rFonts w:ascii="Arial" w:cs="Arial" w:eastAsia="Arial" w:hAnsi="Arial"/>
          <w:sz w:val="21"/>
          <w:szCs w:val="21"/>
          <w:color w:val="auto"/>
        </w:rPr>
      </w:pPr>
      <w:r>
        <w:rPr>
          <w:rFonts w:ascii="Arial" w:cs="Arial" w:eastAsia="Arial" w:hAnsi="Arial"/>
          <w:sz w:val="21"/>
          <w:szCs w:val="21"/>
          <w:color w:val="auto"/>
        </w:rPr>
        <w:t>if to the Administrative Agent, to JPMorgan Chase Bank, N.A., Loan and Agency Services Group, 10 South Dearborn, L2 Floor, Chicago, Illinois 60603,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color w:val="auto"/>
        </w:rPr>
        <w:t>130</w:t>
      </w:r>
    </w:p>
    <w:p>
      <w:pPr>
        <w:sectPr>
          <w:pgSz w:w="11900" w:h="16838" w:orient="portrait"/>
          <w:cols w:equalWidth="0" w:num="1">
            <w:col w:w="11160"/>
          </w:cols>
          <w:pgMar w:left="400" w:top="1440" w:right="339" w:bottom="1440" w:gutter="0" w:footer="0" w:header="0"/>
        </w:sectPr>
      </w:pPr>
    </w:p>
    <w:bookmarkStart w:id="220" w:name="page221"/>
    <w:bookmarkEnd w:id="220"/>
    <w:p>
      <w:pPr>
        <w:spacing w:after="0" w:line="194" w:lineRule="exact"/>
        <w:rPr>
          <w:sz w:val="20"/>
          <w:szCs w:val="20"/>
          <w:color w:val="auto"/>
        </w:rPr>
      </w:pPr>
    </w:p>
    <w:p>
      <w:pPr>
        <w:jc w:val="both"/>
        <w:ind w:left="700" w:right="140" w:firstLine="2507"/>
        <w:spacing w:after="0" w:line="244" w:lineRule="auto"/>
        <w:rPr>
          <w:sz w:val="20"/>
          <w:szCs w:val="20"/>
          <w:color w:val="auto"/>
        </w:rPr>
      </w:pPr>
      <w:r>
        <w:rPr>
          <w:rFonts w:ascii="Arial" w:cs="Arial" w:eastAsia="Arial" w:hAnsi="Arial"/>
          <w:sz w:val="21"/>
          <w:szCs w:val="21"/>
          <w:color w:val="auto"/>
        </w:rPr>
        <w:t>Attention of Tiara Smith (Facsimile No. 844-490-5663) (Email address for purposes of notices pursuant to Article II permitted to be delivered by electronic mail: tiara.n.smith@jpmorgan.com);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-220980</wp:posOffset>
            </wp:positionV>
            <wp:extent cx="15919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1591945" cy="8255"/>
                    </a:xfrm>
                    <a:prstGeom prst="rect">
                      <a:avLst/>
                    </a:prstGeom>
                    <a:noFill/>
                  </pic:spPr>
                </pic:pic>
              </a:graphicData>
            </a:graphic>
          </wp:anchor>
        </w:drawing>
      </w:r>
    </w:p>
    <w:p>
      <w:pPr>
        <w:spacing w:after="0" w:line="159" w:lineRule="exact"/>
        <w:rPr>
          <w:sz w:val="20"/>
          <w:szCs w:val="20"/>
          <w:color w:val="auto"/>
        </w:rPr>
      </w:pPr>
    </w:p>
    <w:p>
      <w:pPr>
        <w:jc w:val="both"/>
        <w:ind w:left="700" w:right="120" w:firstLine="1287"/>
        <w:spacing w:after="0" w:line="227" w:lineRule="auto"/>
        <w:rPr>
          <w:sz w:val="20"/>
          <w:szCs w:val="20"/>
          <w:color w:val="auto"/>
        </w:rPr>
      </w:pPr>
      <w:r>
        <w:rPr>
          <w:rFonts w:ascii="Arial" w:cs="Arial" w:eastAsia="Arial" w:hAnsi="Arial"/>
          <w:sz w:val="21"/>
          <w:szCs w:val="21"/>
          <w:color w:val="auto"/>
        </w:rPr>
        <w:t>(iii) if to JPMorgan Chase Bank, N.A. in its capacity as an Issuing Bank, to it at 10 South Dearborn, L2 Floor, Chicago, Illinois 60603, (Facsimile No. 214- 307- 6874) (Email address for purposes of notices pursuant to Article II permitted to be delivered by electronic mail: chicago.lc.agency.activity.team@jpmorgan.com);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-480695</wp:posOffset>
            </wp:positionV>
            <wp:extent cx="26301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79" w:lineRule="exact"/>
        <w:rPr>
          <w:sz w:val="20"/>
          <w:szCs w:val="20"/>
          <w:color w:val="auto"/>
        </w:rPr>
      </w:pPr>
    </w:p>
    <w:p>
      <w:pPr>
        <w:jc w:val="both"/>
        <w:ind w:left="700" w:right="120" w:firstLine="1283"/>
        <w:spacing w:after="0" w:line="246" w:lineRule="auto"/>
        <w:tabs>
          <w:tab w:leader="none" w:pos="2599" w:val="left"/>
        </w:tabs>
        <w:numPr>
          <w:ilvl w:val="0"/>
          <w:numId w:val="194"/>
        </w:numPr>
        <w:rPr>
          <w:rFonts w:ascii="Arial" w:cs="Arial" w:eastAsia="Arial" w:hAnsi="Arial"/>
          <w:sz w:val="20"/>
          <w:szCs w:val="20"/>
          <w:color w:val="auto"/>
        </w:rPr>
      </w:pPr>
      <w:r>
        <w:rPr>
          <w:rFonts w:ascii="Arial" w:cs="Arial" w:eastAsia="Arial" w:hAnsi="Arial"/>
          <w:sz w:val="20"/>
          <w:szCs w:val="20"/>
          <w:color w:val="auto"/>
        </w:rPr>
        <w:t>if to the Swingline Lender, to it at JPMorgan Chase Bank, N.A., 10 South Dearborn, L2 Floor, Chicago, Illinois 60603, Attention of Tiara Smith (Facsimile No. 844-490-5663) (Email address for purposes of notices pursuant to Article II permitted to be delivered by electronic mail: tiara.n.smith@jpmorgan.com); and</w:t>
      </w:r>
    </w:p>
    <w:p>
      <w:pPr>
        <w:spacing w:after="0" w:line="190" w:lineRule="exact"/>
        <w:rPr>
          <w:rFonts w:ascii="Arial" w:cs="Arial" w:eastAsia="Arial" w:hAnsi="Arial"/>
          <w:sz w:val="20"/>
          <w:szCs w:val="20"/>
          <w:color w:val="auto"/>
        </w:rPr>
      </w:pPr>
    </w:p>
    <w:p>
      <w:pPr>
        <w:ind w:left="700" w:right="140" w:firstLine="1283"/>
        <w:spacing w:after="0" w:line="244" w:lineRule="auto"/>
        <w:tabs>
          <w:tab w:leader="none" w:pos="2497" w:val="left"/>
        </w:tabs>
        <w:numPr>
          <w:ilvl w:val="0"/>
          <w:numId w:val="194"/>
        </w:numPr>
        <w:rPr>
          <w:rFonts w:ascii="Arial" w:cs="Arial" w:eastAsia="Arial" w:hAnsi="Arial"/>
          <w:sz w:val="21"/>
          <w:szCs w:val="21"/>
          <w:color w:val="auto"/>
        </w:rPr>
      </w:pPr>
      <w:r>
        <w:rPr>
          <w:rFonts w:ascii="Arial" w:cs="Arial" w:eastAsia="Arial" w:hAnsi="Arial"/>
          <w:sz w:val="21"/>
          <w:szCs w:val="21"/>
          <w:color w:val="auto"/>
        </w:rPr>
        <w:t>if to any other Lender (including any other Issuing Bank or Swingline Lender), to it at its address (or telecopy number) set forth in its Administrative Questionnaire.</w:t>
      </w:r>
    </w:p>
    <w:p>
      <w:pPr>
        <w:spacing w:after="0" w:line="179" w:lineRule="exact"/>
        <w:rPr>
          <w:sz w:val="20"/>
          <w:szCs w:val="20"/>
          <w:color w:val="auto"/>
        </w:rPr>
      </w:pPr>
    </w:p>
    <w:p>
      <w:pPr>
        <w:jc w:val="both"/>
        <w:ind w:left="60" w:right="120"/>
        <w:spacing w:after="0" w:line="224" w:lineRule="auto"/>
        <w:rPr>
          <w:sz w:val="20"/>
          <w:szCs w:val="20"/>
          <w:color w:val="auto"/>
        </w:rPr>
      </w:pPr>
      <w:r>
        <w:rPr>
          <w:rFonts w:ascii="Arial" w:cs="Arial" w:eastAsia="Arial" w:hAnsi="Arial"/>
          <w:sz w:val="21"/>
          <w:szCs w:val="21"/>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200" w:lineRule="exact"/>
        <w:rPr>
          <w:sz w:val="20"/>
          <w:szCs w:val="20"/>
          <w:color w:val="auto"/>
        </w:rPr>
      </w:pPr>
    </w:p>
    <w:p>
      <w:pPr>
        <w:jc w:val="both"/>
        <w:ind w:left="60" w:right="120" w:firstLine="635"/>
        <w:spacing w:after="0" w:line="234" w:lineRule="auto"/>
        <w:tabs>
          <w:tab w:leader="none" w:pos="1191"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Notices and other communications to the Borrower, any Loan Party, the Lenders and the Issuing Banks hereunder may be delivered or furnished by using Approved Electronic Platforms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196" w:lineRule="exact"/>
        <w:rPr>
          <w:rFonts w:ascii="Arial" w:cs="Arial" w:eastAsia="Arial" w:hAnsi="Arial"/>
          <w:sz w:val="20"/>
          <w:szCs w:val="20"/>
          <w:color w:val="auto"/>
        </w:rPr>
      </w:pPr>
    </w:p>
    <w:p>
      <w:pPr>
        <w:jc w:val="both"/>
        <w:ind w:left="60" w:firstLine="635"/>
        <w:spacing w:after="0" w:line="231" w:lineRule="auto"/>
        <w:tabs>
          <w:tab w:leader="none" w:pos="1289"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color w:val="auto"/>
        </w:rPr>
        <w:t>131</w:t>
      </w:r>
    </w:p>
    <w:p>
      <w:pPr>
        <w:sectPr>
          <w:pgSz w:w="11900" w:h="16838" w:orient="portrait"/>
          <w:cols w:equalWidth="0" w:num="1">
            <w:col w:w="11160"/>
          </w:cols>
          <w:pgMar w:left="400" w:top="1440" w:right="339" w:bottom="1440" w:gutter="0" w:footer="0" w:header="0"/>
        </w:sectPr>
      </w:pPr>
    </w:p>
    <w:bookmarkStart w:id="221" w:name="page222"/>
    <w:bookmarkEnd w:id="221"/>
    <w:p>
      <w:pPr>
        <w:spacing w:after="0" w:line="194" w:lineRule="exact"/>
        <w:rPr>
          <w:sz w:val="20"/>
          <w:szCs w:val="20"/>
          <w:color w:val="auto"/>
        </w:rPr>
      </w:pPr>
    </w:p>
    <w:p>
      <w:pPr>
        <w:ind w:left="60" w:firstLine="635"/>
        <w:spacing w:after="0" w:line="244" w:lineRule="auto"/>
        <w:tabs>
          <w:tab w:leader="none" w:pos="1195" w:val="left"/>
        </w:tabs>
        <w:numPr>
          <w:ilvl w:val="0"/>
          <w:numId w:val="196"/>
        </w:numPr>
        <w:rPr>
          <w:rFonts w:ascii="Arial" w:cs="Arial" w:eastAsia="Arial" w:hAnsi="Arial"/>
          <w:sz w:val="21"/>
          <w:szCs w:val="21"/>
          <w:color w:val="auto"/>
        </w:rPr>
      </w:pPr>
      <w:r>
        <w:rPr>
          <w:rFonts w:ascii="Arial" w:cs="Arial" w:eastAsia="Arial" w:hAnsi="Arial"/>
          <w:sz w:val="21"/>
          <w:szCs w:val="21"/>
          <w:color w:val="auto"/>
        </w:rPr>
        <w:t>Any party hereto may change its address or telecopy number for notices and other communications hereunder by notice to the other parties hereto.</w:t>
      </w:r>
    </w:p>
    <w:p>
      <w:pPr>
        <w:spacing w:after="0" w:line="179" w:lineRule="exact"/>
        <w:rPr>
          <w:sz w:val="20"/>
          <w:szCs w:val="20"/>
          <w:color w:val="auto"/>
        </w:rPr>
      </w:pPr>
    </w:p>
    <w:p>
      <w:pPr>
        <w:jc w:val="both"/>
        <w:ind w:left="60" w:firstLine="642"/>
        <w:spacing w:after="0" w:line="229" w:lineRule="auto"/>
        <w:rPr>
          <w:sz w:val="20"/>
          <w:szCs w:val="20"/>
          <w:color w:val="auto"/>
        </w:rPr>
      </w:pPr>
      <w:r>
        <w:rPr>
          <w:rFonts w:ascii="Arial" w:cs="Arial" w:eastAsia="Arial" w:hAnsi="Arial"/>
          <w:sz w:val="20"/>
          <w:szCs w:val="20"/>
          <w:color w:val="auto"/>
        </w:rPr>
        <w:t xml:space="preserve">SECTION 9.02. </w:t>
      </w:r>
      <w:r>
        <w:rPr>
          <w:rFonts w:ascii="Arial" w:cs="Arial" w:eastAsia="Arial" w:hAnsi="Arial"/>
          <w:sz w:val="20"/>
          <w:szCs w:val="20"/>
          <w:u w:val="single" w:color="auto"/>
          <w:color w:val="auto"/>
        </w:rPr>
        <w:t>Waivers; Amendments</w:t>
      </w:r>
      <w:r>
        <w:rPr>
          <w:rFonts w:ascii="Arial" w:cs="Arial" w:eastAsia="Arial" w:hAnsi="Arial"/>
          <w:sz w:val="20"/>
          <w:szCs w:val="20"/>
          <w:color w:val="auto"/>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7" w:lineRule="exact"/>
        <w:rPr>
          <w:sz w:val="20"/>
          <w:szCs w:val="20"/>
          <w:color w:val="auto"/>
        </w:rPr>
      </w:pPr>
    </w:p>
    <w:p>
      <w:pPr>
        <w:jc w:val="both"/>
        <w:ind w:left="60" w:firstLine="635"/>
        <w:spacing w:after="0"/>
        <w:tabs>
          <w:tab w:leader="none" w:pos="119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Except as provided in Section 2.22 with respect to an Incremental Term Loan Amendment, and subject to Section 2.14(b) and (c) and clauses (c) and (e) below,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w:t>
      </w:r>
    </w:p>
    <w:p>
      <w:pPr>
        <w:spacing w:after="0" w:line="1" w:lineRule="exact"/>
        <w:rPr>
          <w:rFonts w:ascii="Arial" w:cs="Arial" w:eastAsia="Arial" w:hAnsi="Arial"/>
          <w:sz w:val="19"/>
          <w:szCs w:val="19"/>
          <w:color w:val="auto"/>
        </w:rPr>
      </w:pPr>
    </w:p>
    <w:p>
      <w:pPr>
        <w:jc w:val="both"/>
        <w:ind w:left="60" w:hanging="8"/>
        <w:spacing w:after="0" w:line="235" w:lineRule="auto"/>
        <w:tabs>
          <w:tab w:leader="none" w:pos="322"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(ii)),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(other than any reduction of the amount of, or any extension of the payment date for, the mandatory prepayments required under Section 2.11(d), in each case which shall only require the approval of the Required Lenders), (iv) change Section 2.09(c) or 2.18(b) or (d) or any other provision of this Agreement that includes pro rata sharing provisions, in each case, in a manner that would alter the ratable reduction of Commitments or the pro rata sharing of payments required thereby, without the written consent of each Lender, (v) change the payment waterfall provisions of Section 2.20(b) or</w:t>
      </w:r>
    </w:p>
    <w:p>
      <w:pPr>
        <w:spacing w:after="0" w:line="6" w:lineRule="exact"/>
        <w:rPr>
          <w:rFonts w:ascii="Arial" w:cs="Arial" w:eastAsia="Arial" w:hAnsi="Arial"/>
          <w:sz w:val="19"/>
          <w:szCs w:val="19"/>
          <w:color w:val="auto"/>
        </w:rPr>
      </w:pPr>
    </w:p>
    <w:p>
      <w:pPr>
        <w:ind w:left="60"/>
        <w:spacing w:after="0" w:line="213" w:lineRule="auto"/>
        <w:rPr>
          <w:rFonts w:ascii="Arial" w:cs="Arial" w:eastAsia="Arial" w:hAnsi="Arial"/>
          <w:sz w:val="19"/>
          <w:szCs w:val="19"/>
          <w:color w:val="auto"/>
        </w:rPr>
      </w:pPr>
      <w:r>
        <w:rPr>
          <w:rFonts w:ascii="Arial" w:cs="Arial" w:eastAsia="Arial" w:hAnsi="Arial"/>
          <w:sz w:val="21"/>
          <w:szCs w:val="21"/>
          <w:color w:val="auto"/>
        </w:rPr>
        <w:t>7.03 or any other payment waterfall in this Agreement without the written consent of each Lender,</w:t>
      </w:r>
    </w:p>
    <w:p>
      <w:pPr>
        <w:jc w:val="both"/>
        <w:ind w:left="60" w:hanging="8"/>
        <w:spacing w:after="0" w:line="230" w:lineRule="auto"/>
        <w:tabs>
          <w:tab w:leader="none" w:pos="711" w:val="left"/>
        </w:tabs>
        <w:numPr>
          <w:ilvl w:val="0"/>
          <w:numId w:val="199"/>
        </w:numPr>
        <w:rPr>
          <w:rFonts w:ascii="Arial" w:cs="Arial" w:eastAsia="Arial" w:hAnsi="Arial"/>
          <w:sz w:val="20"/>
          <w:szCs w:val="20"/>
          <w:color w:val="auto"/>
        </w:rPr>
      </w:pPr>
      <w:r>
        <w:rPr>
          <w:rFonts w:ascii="Arial" w:cs="Arial" w:eastAsia="Arial" w:hAnsi="Arial"/>
          <w:sz w:val="20"/>
          <w:szCs w:val="20"/>
          <w:color w:val="auto"/>
        </w:rPr>
        <w:t>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to be parties to an Incremental Term Loan Amendment, Incremental Term Loans may be included in the determination of Required Lenders on substantially the same basis as the Commitments and existing Loans are included on the Effective Date), (vii) (x) release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color w:val="auto"/>
        </w:rPr>
        <w:t>132</w:t>
      </w:r>
    </w:p>
    <w:p>
      <w:pPr>
        <w:sectPr>
          <w:pgSz w:w="11900" w:h="16838" w:orient="portrait"/>
          <w:cols w:equalWidth="0" w:num="1">
            <w:col w:w="11040"/>
          </w:cols>
          <w:pgMar w:left="400" w:top="1440" w:right="459" w:bottom="1440" w:gutter="0" w:footer="0" w:header="0"/>
        </w:sectPr>
      </w:pPr>
    </w:p>
    <w:bookmarkStart w:id="222" w:name="page223"/>
    <w:bookmarkEnd w:id="222"/>
    <w:p>
      <w:pPr>
        <w:spacing w:after="0" w:line="193" w:lineRule="exact"/>
        <w:rPr>
          <w:sz w:val="20"/>
          <w:szCs w:val="20"/>
          <w:color w:val="auto"/>
        </w:rPr>
      </w:pPr>
    </w:p>
    <w:p>
      <w:pPr>
        <w:jc w:val="both"/>
        <w:ind w:left="60"/>
        <w:spacing w:after="0" w:line="227" w:lineRule="auto"/>
        <w:rPr>
          <w:sz w:val="20"/>
          <w:szCs w:val="20"/>
          <w:color w:val="auto"/>
        </w:rPr>
      </w:pPr>
      <w:r>
        <w:rPr>
          <w:rFonts w:ascii="Arial" w:cs="Arial" w:eastAsia="Arial" w:hAnsi="Arial"/>
          <w:sz w:val="20"/>
          <w:szCs w:val="20"/>
          <w:color w:val="auto"/>
        </w:rPr>
        <w:t xml:space="preserve">the Borrower from its obligations under Article X or (y) release all or substantially all of the Subsidiary Guarantors from their obligations under the Subsidiary Guaranty, in each case, without the written consent of each Lender, (viii) except as provided in clause (d) of this Section or in any Collateral Document, release all or substantially all of the Collateral, without the written consent of each Lender, or (ix) (x) subordinate, or have the effect of subordinating, the Secured Obligations hereunder to any other Indebtedness or (y) subordinate, or have the effect of subordinating, the Liens securing the Secured Obligations to Liens securing any other Indebtedness, in each case, without the prior written consent of each Lender directly affected thereby;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(it being understood that any change to Section 2.20 shall require the consent of the Administrative Agent, each Issuing Bank and each Swingline Lender);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no such agreement shall amend or modify the provisions of Section 2.06 without the prior written consent of the Administrative Agent and the Issuing Banks.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spacing w:after="0" w:line="196" w:lineRule="exact"/>
        <w:rPr>
          <w:sz w:val="20"/>
          <w:szCs w:val="20"/>
          <w:color w:val="auto"/>
        </w:rPr>
      </w:pPr>
    </w:p>
    <w:p>
      <w:pPr>
        <w:jc w:val="both"/>
        <w:ind w:left="60" w:firstLine="635"/>
        <w:spacing w:after="0" w:line="232" w:lineRule="auto"/>
        <w:tabs>
          <w:tab w:leader="none" w:pos="1189" w:val="left"/>
        </w:tabs>
        <w:numPr>
          <w:ilvl w:val="0"/>
          <w:numId w:val="200"/>
        </w:numPr>
        <w:rPr>
          <w:rFonts w:ascii="Arial" w:cs="Arial" w:eastAsia="Arial" w:hAnsi="Arial"/>
          <w:sz w:val="20"/>
          <w:szCs w:val="20"/>
          <w:color w:val="auto"/>
        </w:rPr>
      </w:pPr>
      <w:r>
        <w:rPr>
          <w:rFonts w:ascii="Arial" w:cs="Arial" w:eastAsia="Arial" w:hAnsi="Arial"/>
          <w:sz w:val="20"/>
          <w:szCs w:val="20"/>
          <w:color w:val="auto"/>
        </w:rPr>
        <w:t>Notwithstanding the foregoing, this Agreement and any other Loan Document may be amended (or amended and restated) with the written consent of the Required Lenders, the Administrative Agent and the Borrower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the initial Term Loans, Incremental Term Loans and the accrued interest and fees in respect thereof and (y) to include appropriately the Lenders holding such credit facilities in any determination of the Required Lenders and Lenders.</w:t>
      </w:r>
    </w:p>
    <w:p>
      <w:pPr>
        <w:spacing w:after="0" w:line="186" w:lineRule="exact"/>
        <w:rPr>
          <w:rFonts w:ascii="Arial" w:cs="Arial" w:eastAsia="Arial" w:hAnsi="Arial"/>
          <w:sz w:val="20"/>
          <w:szCs w:val="20"/>
          <w:color w:val="auto"/>
        </w:rPr>
      </w:pPr>
    </w:p>
    <w:p>
      <w:pPr>
        <w:jc w:val="both"/>
        <w:ind w:left="60" w:firstLine="635"/>
        <w:spacing w:after="0" w:line="241" w:lineRule="auto"/>
        <w:tabs>
          <w:tab w:leader="none" w:pos="1265"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Lenders hereby irrevocably authorize the Administrative Agent, at its option and in its sole discretion, to release any Liens granted to the Administrative Agent by the Loan Parties on any Collateral (i) upon the termination of all the Commitments, payment and satisfaction in full in cash of all Secured Obligations (other than Unliquidated Obligations), and the cash collateralization of all Unliquidated Obligations in a manner satisfactory to the Administrative Agent, (ii) constituting property being sold or disposed of if the Borrower certifies to the Administrative Agent that the sale or disposition is made in compliance with the terms of this Agreement (and the Administrative Agent may rely conclusively on any such certificate, without further inquiry), (iii) constituting property leased to the Borrower or any Subsidiary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133</w:t>
      </w:r>
    </w:p>
    <w:p>
      <w:pPr>
        <w:sectPr>
          <w:pgSz w:w="11900" w:h="16838" w:orient="portrait"/>
          <w:cols w:equalWidth="0" w:num="1">
            <w:col w:w="11040"/>
          </w:cols>
          <w:pgMar w:left="400" w:top="1440" w:right="459" w:bottom="1440" w:gutter="0" w:footer="0" w:header="0"/>
        </w:sectPr>
      </w:pPr>
    </w:p>
    <w:bookmarkStart w:id="223" w:name="page224"/>
    <w:bookmarkEnd w:id="223"/>
    <w:p>
      <w:pPr>
        <w:spacing w:after="0" w:line="193" w:lineRule="exact"/>
        <w:rPr>
          <w:sz w:val="20"/>
          <w:szCs w:val="20"/>
          <w:color w:val="auto"/>
        </w:rPr>
      </w:pPr>
    </w:p>
    <w:p>
      <w:pPr>
        <w:jc w:val="both"/>
        <w:ind w:left="60" w:right="140" w:firstLine="635"/>
        <w:spacing w:after="0" w:line="224" w:lineRule="auto"/>
        <w:tabs>
          <w:tab w:leader="none" w:pos="1369"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7"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9.03.</w:t>
      </w:r>
      <w:r>
        <w:rPr>
          <w:sz w:val="20"/>
          <w:szCs w:val="20"/>
          <w:color w:val="auto"/>
        </w:rPr>
        <w:tab/>
      </w:r>
      <w:r>
        <w:rPr>
          <w:rFonts w:ascii="Arial" w:cs="Arial" w:eastAsia="Arial" w:hAnsi="Arial"/>
          <w:sz w:val="20"/>
          <w:szCs w:val="20"/>
          <w:u w:val="single" w:color="auto"/>
          <w:color w:val="auto"/>
        </w:rPr>
        <w:t>Expenses; Limitation of Liability; Indemnity, Etc</w:t>
      </w:r>
      <w:r>
        <w:rPr>
          <w:rFonts w:ascii="Arial" w:cs="Arial" w:eastAsia="Arial" w:hAnsi="Arial"/>
          <w:sz w:val="20"/>
          <w:szCs w:val="20"/>
          <w:color w:val="auto"/>
        </w:rPr>
        <w:t>.</w:t>
      </w:r>
    </w:p>
    <w:p>
      <w:pPr>
        <w:spacing w:after="0" w:line="228" w:lineRule="exact"/>
        <w:rPr>
          <w:sz w:val="20"/>
          <w:szCs w:val="20"/>
          <w:color w:val="auto"/>
        </w:rPr>
      </w:pPr>
    </w:p>
    <w:p>
      <w:pPr>
        <w:jc w:val="both"/>
        <w:ind w:left="60" w:firstLine="635"/>
        <w:spacing w:after="0" w:line="241" w:lineRule="auto"/>
        <w:tabs>
          <w:tab w:leader="none" w:pos="1209"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Borrower shall pay (i) all reasonable out-of-pocket expenses incurred by the Administrative Agent and its Affiliates, including the reasonable fees, charges and disbursements of counsel for the Administrative Agent,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out-of-pocket expenses incurred by the Administrative Agent, any Issuing Bank or any Lender, including the fees, charges and disbursements of any counsel for the Administrative Agent, any Issuing Bank or any Lender, in connection with the enforcement or protection of its rights in connection with this Agreement and the other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82" w:lineRule="exact"/>
        <w:rPr>
          <w:rFonts w:ascii="Arial" w:cs="Arial" w:eastAsia="Arial" w:hAnsi="Arial"/>
          <w:sz w:val="19"/>
          <w:szCs w:val="19"/>
          <w:color w:val="auto"/>
        </w:rPr>
      </w:pPr>
    </w:p>
    <w:p>
      <w:pPr>
        <w:jc w:val="both"/>
        <w:ind w:left="60" w:right="120" w:firstLine="635"/>
        <w:spacing w:after="0" w:line="228" w:lineRule="auto"/>
        <w:tabs>
          <w:tab w:leader="none" w:pos="1221"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Limitation of Liability</w:t>
      </w:r>
      <w:r>
        <w:rPr>
          <w:rFonts w:ascii="Arial" w:cs="Arial" w:eastAsia="Arial" w:hAnsi="Arial"/>
          <w:sz w:val="20"/>
          <w:szCs w:val="20"/>
          <w:color w:val="auto"/>
        </w:rPr>
        <w:t>. To the extent permitted by applicable law (i) the Borrower and any Loan Party shall not assert, and the Borrower and each Loan Party hereby waives, any claim against the Administrative Agent, any Arranger, any Syndication Agent, any Issuing Bank and any Lender, and any Related Party of any of the foregoing Persons (each such Person being called a “</w:t>
      </w:r>
      <w:r>
        <w:rPr>
          <w:rFonts w:ascii="Arial" w:cs="Arial" w:eastAsia="Arial" w:hAnsi="Arial"/>
          <w:sz w:val="20"/>
          <w:szCs w:val="20"/>
          <w:b w:val="1"/>
          <w:bCs w:val="1"/>
          <w:i w:val="1"/>
          <w:iCs w:val="1"/>
          <w:color w:val="auto"/>
        </w:rPr>
        <w:t>Lender-Related Person</w:t>
      </w:r>
      <w:r>
        <w:rPr>
          <w:rFonts w:ascii="Arial" w:cs="Arial" w:eastAsia="Arial" w:hAnsi="Arial"/>
          <w:sz w:val="20"/>
          <w:szCs w:val="20"/>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nothing in this Section 9.03(b) shall relieve the Borrower or any Loan Party of any obligation it may have to indemnify an Indemnitee, as provided in Section 9.03(c), against any special, indirect, consequential or punitive damages asserted against such Indemnitee by a third party.</w:t>
      </w:r>
    </w:p>
    <w:p>
      <w:pPr>
        <w:spacing w:after="0" w:line="273" w:lineRule="exact"/>
        <w:rPr>
          <w:rFonts w:ascii="Arial" w:cs="Arial" w:eastAsia="Arial" w:hAnsi="Arial"/>
          <w:sz w:val="20"/>
          <w:szCs w:val="20"/>
          <w:color w:val="auto"/>
        </w:rPr>
      </w:pPr>
    </w:p>
    <w:p>
      <w:pPr>
        <w:jc w:val="both"/>
        <w:ind w:left="60" w:right="140" w:firstLine="635"/>
        <w:spacing w:after="0" w:line="227" w:lineRule="auto"/>
        <w:tabs>
          <w:tab w:leader="none" w:pos="1168" w:val="left"/>
        </w:tabs>
        <w:numPr>
          <w:ilvl w:val="0"/>
          <w:numId w:val="202"/>
        </w:numPr>
        <w:rPr>
          <w:rFonts w:ascii="Arial" w:cs="Arial" w:eastAsia="Arial" w:hAnsi="Arial"/>
          <w:sz w:val="21"/>
          <w:szCs w:val="21"/>
          <w:color w:val="auto"/>
        </w:rPr>
      </w:pPr>
      <w:r>
        <w:rPr>
          <w:rFonts w:ascii="Arial" w:cs="Arial" w:eastAsia="Arial" w:hAnsi="Arial"/>
          <w:sz w:val="21"/>
          <w:szCs w:val="21"/>
          <w:u w:val="single" w:color="auto"/>
          <w:color w:val="auto"/>
        </w:rPr>
        <w:t>Indemnity</w:t>
      </w:r>
      <w:r>
        <w:rPr>
          <w:rFonts w:ascii="Arial" w:cs="Arial" w:eastAsia="Arial" w:hAnsi="Arial"/>
          <w:sz w:val="21"/>
          <w:szCs w:val="21"/>
          <w:color w:val="auto"/>
        </w:rPr>
        <w:t>. The Borrower shall indemnify the Administrative Agent, each Arranger, each Syndication Agent, each Issuing Bank and each Lender, and each Related Party of any of the foregoing Persons (each such Person being called an “</w:t>
      </w:r>
      <w:r>
        <w:rPr>
          <w:rFonts w:ascii="Arial" w:cs="Arial" w:eastAsia="Arial" w:hAnsi="Arial"/>
          <w:sz w:val="21"/>
          <w:szCs w:val="21"/>
          <w:b w:val="1"/>
          <w:bCs w:val="1"/>
          <w:i w:val="1"/>
          <w:iCs w:val="1"/>
          <w:color w:val="auto"/>
        </w:rPr>
        <w:t>Indemnitee</w:t>
      </w:r>
      <w:r>
        <w:rPr>
          <w:rFonts w:ascii="Arial" w:cs="Arial" w:eastAsia="Arial" w:hAnsi="Arial"/>
          <w:sz w:val="21"/>
          <w:szCs w:val="21"/>
          <w:color w:val="auto"/>
        </w:rPr>
        <w:t>”) against, and hold each Indemnitee harmless from, any and all Liabilities and related expenses, including the fees,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134</w:t>
      </w:r>
    </w:p>
    <w:p>
      <w:pPr>
        <w:sectPr>
          <w:pgSz w:w="11900" w:h="16838" w:orient="portrait"/>
          <w:cols w:equalWidth="0" w:num="1">
            <w:col w:w="11160"/>
          </w:cols>
          <w:pgMar w:left="400" w:top="1440" w:right="339" w:bottom="1440" w:gutter="0" w:footer="0" w:header="0"/>
        </w:sectPr>
      </w:pPr>
    </w:p>
    <w:bookmarkStart w:id="224" w:name="page225"/>
    <w:bookmarkEnd w:id="224"/>
    <w:p>
      <w:pPr>
        <w:spacing w:after="0" w:line="194" w:lineRule="exact"/>
        <w:rPr>
          <w:sz w:val="20"/>
          <w:szCs w:val="20"/>
          <w:color w:val="auto"/>
        </w:rPr>
      </w:pPr>
    </w:p>
    <w:p>
      <w:pPr>
        <w:jc w:val="both"/>
        <w:ind w:left="60"/>
        <w:spacing w:after="0" w:line="239" w:lineRule="auto"/>
        <w:rPr>
          <w:sz w:val="20"/>
          <w:szCs w:val="20"/>
          <w:color w:val="auto"/>
        </w:rPr>
      </w:pPr>
      <w:r>
        <w:rPr>
          <w:rFonts w:ascii="Arial" w:cs="Arial" w:eastAsia="Arial" w:hAnsi="Arial"/>
          <w:sz w:val="19"/>
          <w:szCs w:val="19"/>
          <w:color w:val="auto"/>
        </w:rPr>
        <w:t xml:space="preserve">charges and disbursements of any counsel for any Indemnitee, incurred by or asserted against any Indemnitee arising out of, in connection with, or as a result of (i) the execution or delivery of this Agreement, any other Loan Document, or any agreement or instrument contemplated hereby or thereby, (ii) the performance by the parties hereto of their respective obligations hereunder or thereunder or the consummation of the Transactions or any other transactions contemplated hereby, (iii)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(iv) any actual or alleged presence or release of Hazardous Materials on or from any property owned or operated by the Borrower or any of its Subsidiaries, or any Environmental Liability related in any way to the Borrower or any of its Subsidiaries, or (v) any actual or prospective Proceeding relating to any of the foregoing, whether or not such Proceeding is brought by the Borrower or any other Loan Party or its or their respective equity holders, Affiliates, creditors or any other third Person and whether based on contract, tort or any other theory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the gross negligence or willful misconduct of such Indemnitee. This Section 9.03(c) shall not apply with respect to Taxes other than any Taxes that represent losses, claims or damages arising from any non-Tax claim.</w:t>
      </w:r>
    </w:p>
    <w:p>
      <w:pPr>
        <w:spacing w:after="0" w:line="195" w:lineRule="exact"/>
        <w:rPr>
          <w:sz w:val="20"/>
          <w:szCs w:val="20"/>
          <w:color w:val="auto"/>
        </w:rPr>
      </w:pPr>
    </w:p>
    <w:p>
      <w:pPr>
        <w:jc w:val="both"/>
        <w:ind w:left="60" w:firstLine="635"/>
        <w:spacing w:after="0" w:line="227" w:lineRule="auto"/>
        <w:tabs>
          <w:tab w:leader="none" w:pos="1247"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Lender Reimbursement</w:t>
      </w:r>
      <w:r>
        <w:rPr>
          <w:rFonts w:ascii="Arial" w:cs="Arial" w:eastAsia="Arial" w:hAnsi="Arial"/>
          <w:sz w:val="20"/>
          <w:szCs w:val="20"/>
          <w:color w:val="auto"/>
        </w:rPr>
        <w:t>. Each Lender severally agrees to pay any amount required to be paid by the Borrower under paragraphs (a), (b) or (c) of this Section 9.03 to the Administrative Agent, each Issuing Bank and each Swingline Lender, and each Related Party of any of the foregoing Persons (each, an “</w:t>
      </w:r>
      <w:r>
        <w:rPr>
          <w:rFonts w:ascii="Arial" w:cs="Arial" w:eastAsia="Arial" w:hAnsi="Arial"/>
          <w:sz w:val="20"/>
          <w:szCs w:val="20"/>
          <w:b w:val="1"/>
          <w:bCs w:val="1"/>
          <w:i w:val="1"/>
          <w:iCs w:val="1"/>
          <w:color w:val="auto"/>
        </w:rPr>
        <w:t>Agent Related Person</w:t>
      </w:r>
      <w:r>
        <w:rPr>
          <w:rFonts w:ascii="Arial" w:cs="Arial" w:eastAsia="Arial" w:hAnsi="Arial"/>
          <w:sz w:val="20"/>
          <w:szCs w:val="20"/>
          <w:color w:val="auto"/>
        </w:rPr>
        <w:t xml:space="preserve">”)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 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 Related Person under or in connection with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unreimbursed expense or Liability or related expense, as the case may be, was incurred by or asserted against such Agent Related Person in its capacity as such;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 Related Party’s gross negligence or willful misconduct. The agreements in this Section shall survive the termination of this Agreement and the payment of the Loans and all other amounts payable hereunder.</w:t>
      </w:r>
    </w:p>
    <w:p>
      <w:pPr>
        <w:spacing w:after="0" w:line="186" w:lineRule="exact"/>
        <w:rPr>
          <w:rFonts w:ascii="Arial" w:cs="Arial" w:eastAsia="Arial" w:hAnsi="Arial"/>
          <w:sz w:val="20"/>
          <w:szCs w:val="20"/>
          <w:color w:val="auto"/>
        </w:rPr>
      </w:pPr>
    </w:p>
    <w:p>
      <w:pPr>
        <w:ind w:left="1140" w:hanging="445"/>
        <w:spacing w:after="0"/>
        <w:tabs>
          <w:tab w:leader="none" w:pos="1140"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9.03 shall be payable promptly after written demand therefor.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1"/>
          <w:szCs w:val="21"/>
          <w:color w:val="auto"/>
        </w:rPr>
        <w:t>135</w:t>
      </w:r>
    </w:p>
    <w:p>
      <w:pPr>
        <w:sectPr>
          <w:pgSz w:w="11900" w:h="16838" w:orient="portrait"/>
          <w:cols w:equalWidth="0" w:num="1">
            <w:col w:w="11040"/>
          </w:cols>
          <w:pgMar w:left="400" w:top="1440" w:right="459" w:bottom="1440" w:gutter="0" w:footer="0" w:header="0"/>
        </w:sectPr>
      </w:pPr>
    </w:p>
    <w:bookmarkStart w:id="225" w:name="page226"/>
    <w:bookmarkEnd w:id="225"/>
    <w:p>
      <w:pPr>
        <w:spacing w:after="0" w:line="194" w:lineRule="exact"/>
        <w:rPr>
          <w:sz w:val="20"/>
          <w:szCs w:val="20"/>
          <w:color w:val="auto"/>
        </w:rPr>
      </w:pPr>
    </w:p>
    <w:p>
      <w:pPr>
        <w:jc w:val="both"/>
        <w:ind w:left="60" w:firstLine="642"/>
        <w:spacing w:after="0" w:line="238" w:lineRule="auto"/>
        <w:rPr>
          <w:sz w:val="20"/>
          <w:szCs w:val="20"/>
          <w:color w:val="auto"/>
        </w:rPr>
      </w:pPr>
      <w:r>
        <w:rPr>
          <w:rFonts w:ascii="Arial" w:cs="Arial" w:eastAsia="Arial" w:hAnsi="Arial"/>
          <w:sz w:val="19"/>
          <w:szCs w:val="19"/>
          <w:color w:val="auto"/>
        </w:rPr>
        <w:t xml:space="preserve">SECTION 9.04.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(a)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paragraph</w:t>
      </w:r>
    </w:p>
    <w:p>
      <w:pPr>
        <w:spacing w:after="0" w:line="1" w:lineRule="exact"/>
        <w:rPr>
          <w:sz w:val="20"/>
          <w:szCs w:val="20"/>
          <w:color w:val="auto"/>
        </w:rPr>
      </w:pPr>
    </w:p>
    <w:p>
      <w:pPr>
        <w:ind w:left="60" w:hanging="8"/>
        <w:spacing w:after="0" w:line="275" w:lineRule="auto"/>
        <w:tabs>
          <w:tab w:leader="none" w:pos="364" w:val="left"/>
        </w:tabs>
        <w:numPr>
          <w:ilvl w:val="0"/>
          <w:numId w:val="204"/>
        </w:numPr>
        <w:rPr>
          <w:rFonts w:ascii="Arial" w:cs="Arial" w:eastAsia="Arial" w:hAnsi="Arial"/>
          <w:sz w:val="19"/>
          <w:szCs w:val="19"/>
          <w:color w:val="auto"/>
        </w:rPr>
      </w:pPr>
      <w:r>
        <w:rPr>
          <w:rFonts w:ascii="Arial" w:cs="Arial" w:eastAsia="Arial" w:hAnsi="Arial"/>
          <w:sz w:val="19"/>
          <w:szCs w:val="19"/>
          <w:color w:val="auto"/>
        </w:rPr>
        <w:t>of this Section) and, to the extent expressly contemplated hereby, the Related Parties of each of the Administrative Agent, the Issuing Banks and the Lenders) any legal or equitable right, remedy or claim under or by reason of this Agreement.</w:t>
      </w:r>
    </w:p>
    <w:p>
      <w:pPr>
        <w:spacing w:after="0" w:line="151" w:lineRule="exact"/>
        <w:rPr>
          <w:rFonts w:ascii="Arial" w:cs="Arial" w:eastAsia="Arial" w:hAnsi="Arial"/>
          <w:sz w:val="19"/>
          <w:szCs w:val="19"/>
          <w:color w:val="auto"/>
        </w:rPr>
      </w:pPr>
    </w:p>
    <w:p>
      <w:pPr>
        <w:jc w:val="both"/>
        <w:ind w:left="60" w:firstLine="635"/>
        <w:spacing w:after="0" w:line="227" w:lineRule="auto"/>
        <w:tabs>
          <w:tab w:leader="none" w:pos="1228" w:val="left"/>
        </w:tabs>
        <w:numPr>
          <w:ilvl w:val="1"/>
          <w:numId w:val="204"/>
        </w:numPr>
        <w:rPr>
          <w:rFonts w:ascii="Arial" w:cs="Arial" w:eastAsia="Arial" w:hAnsi="Arial"/>
          <w:sz w:val="21"/>
          <w:szCs w:val="21"/>
          <w:color w:val="auto"/>
        </w:rPr>
      </w:pPr>
      <w:r>
        <w:rPr>
          <w:rFonts w:ascii="Arial" w:cs="Arial" w:eastAsia="Arial" w:hAnsi="Arial"/>
          <w:sz w:val="21"/>
          <w:szCs w:val="21"/>
          <w:color w:val="auto"/>
        </w:rPr>
        <w:t>(i)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of:</w:t>
      </w:r>
    </w:p>
    <w:p>
      <w:pPr>
        <w:spacing w:after="0" w:line="199" w:lineRule="exact"/>
        <w:rPr>
          <w:rFonts w:ascii="Arial" w:cs="Arial" w:eastAsia="Arial" w:hAnsi="Arial"/>
          <w:sz w:val="21"/>
          <w:szCs w:val="21"/>
          <w:color w:val="auto"/>
        </w:rPr>
      </w:pPr>
    </w:p>
    <w:p>
      <w:pPr>
        <w:jc w:val="both"/>
        <w:ind w:left="700" w:firstLine="639"/>
        <w:spacing w:after="0" w:line="219" w:lineRule="auto"/>
        <w:tabs>
          <w:tab w:leader="none" w:pos="1882" w:val="left"/>
        </w:tabs>
        <w:numPr>
          <w:ilvl w:val="3"/>
          <w:numId w:val="204"/>
        </w:numPr>
        <w:rPr>
          <w:rFonts w:ascii="Arial" w:cs="Arial" w:eastAsia="Arial" w:hAnsi="Arial"/>
          <w:sz w:val="21"/>
          <w:szCs w:val="21"/>
          <w:color w:val="auto"/>
        </w:rPr>
      </w:pPr>
      <w:r>
        <w:rPr>
          <w:rFonts w:ascii="Arial" w:cs="Arial" w:eastAsia="Arial" w:hAnsi="Arial"/>
          <w:sz w:val="21"/>
          <w:szCs w:val="21"/>
          <w:color w:val="auto"/>
        </w:rPr>
        <w:t xml:space="preserve">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be deemed to have consented to an assignment of all or a portion of the Loans or Commitments unless it shall have objected thereto by written notice to the Administrative Agent within ten</w:t>
      </w:r>
    </w:p>
    <w:p>
      <w:pPr>
        <w:jc w:val="both"/>
        <w:ind w:left="700" w:hanging="4"/>
        <w:spacing w:after="0" w:line="226" w:lineRule="auto"/>
        <w:tabs>
          <w:tab w:leader="none" w:pos="1141" w:val="left"/>
        </w:tabs>
        <w:numPr>
          <w:ilvl w:val="2"/>
          <w:numId w:val="204"/>
        </w:numPr>
        <w:rPr>
          <w:rFonts w:ascii="Arial" w:cs="Arial" w:eastAsia="Arial" w:hAnsi="Arial"/>
          <w:sz w:val="21"/>
          <w:szCs w:val="21"/>
          <w:color w:val="auto"/>
        </w:rPr>
      </w:pPr>
      <w:r>
        <w:rPr>
          <w:rFonts w:ascii="Arial" w:cs="Arial" w:eastAsia="Arial" w:hAnsi="Arial"/>
          <w:sz w:val="21"/>
          <w:szCs w:val="21"/>
          <w:color w:val="auto"/>
        </w:rPr>
        <w:t xml:space="preserve">Business Days after having received notice thereof,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no consent of the Borrower shall be required for an assignment to a Lender, an Affiliate of a Lender, an Approved Fund or, if an Event of Default has occurred and is continuing, any other assignee;</w:t>
      </w:r>
    </w:p>
    <w:p>
      <w:pPr>
        <w:spacing w:after="0" w:line="197" w:lineRule="exact"/>
        <w:rPr>
          <w:rFonts w:ascii="Arial" w:cs="Arial" w:eastAsia="Arial" w:hAnsi="Arial"/>
          <w:sz w:val="21"/>
          <w:szCs w:val="21"/>
          <w:color w:val="auto"/>
        </w:rPr>
      </w:pPr>
    </w:p>
    <w:p>
      <w:pPr>
        <w:ind w:left="700" w:firstLine="639"/>
        <w:spacing w:after="0" w:line="268" w:lineRule="auto"/>
        <w:tabs>
          <w:tab w:leader="none" w:pos="1897" w:val="left"/>
        </w:tabs>
        <w:numPr>
          <w:ilvl w:val="3"/>
          <w:numId w:val="205"/>
        </w:numPr>
        <w:rPr>
          <w:rFonts w:ascii="Arial" w:cs="Arial" w:eastAsia="Arial" w:hAnsi="Arial"/>
          <w:sz w:val="20"/>
          <w:szCs w:val="20"/>
          <w:color w:val="auto"/>
        </w:rPr>
      </w:pPr>
      <w:r>
        <w:rPr>
          <w:rFonts w:ascii="Arial" w:cs="Arial" w:eastAsia="Arial" w:hAnsi="Arial"/>
          <w:sz w:val="20"/>
          <w:szCs w:val="20"/>
          <w:color w:val="auto"/>
        </w:rPr>
        <w:t xml:space="preserve">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Administrative Agent shall be required for an assignment of all or any portion of a Term Loan to a Lender, an Affiliate of a Lender or an Approved Fund;</w:t>
      </w:r>
    </w:p>
    <w:p>
      <w:pPr>
        <w:spacing w:after="0" w:line="156" w:lineRule="exact"/>
        <w:rPr>
          <w:rFonts w:ascii="Arial" w:cs="Arial" w:eastAsia="Arial" w:hAnsi="Arial"/>
          <w:sz w:val="20"/>
          <w:szCs w:val="20"/>
          <w:color w:val="auto"/>
        </w:rPr>
      </w:pPr>
    </w:p>
    <w:p>
      <w:pPr>
        <w:ind w:left="700" w:right="20" w:firstLine="639"/>
        <w:spacing w:after="0" w:line="244" w:lineRule="auto"/>
        <w:tabs>
          <w:tab w:leader="none" w:pos="1844" w:val="left"/>
        </w:tabs>
        <w:numPr>
          <w:ilvl w:val="3"/>
          <w:numId w:val="205"/>
        </w:numPr>
        <w:rPr>
          <w:rFonts w:ascii="Arial" w:cs="Arial" w:eastAsia="Arial" w:hAnsi="Arial"/>
          <w:sz w:val="21"/>
          <w:szCs w:val="21"/>
          <w:color w:val="auto"/>
        </w:rPr>
      </w:pPr>
      <w:r>
        <w:rPr>
          <w:rFonts w:ascii="Arial" w:cs="Arial" w:eastAsia="Arial" w:hAnsi="Arial"/>
          <w:sz w:val="21"/>
          <w:szCs w:val="21"/>
          <w:color w:val="auto"/>
        </w:rPr>
        <w:t xml:space="preserve">each Issuing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consent of the Issuing Banks shall be required for an assignment of all or any portion of a Term Loan; and</w:t>
      </w:r>
    </w:p>
    <w:p>
      <w:pPr>
        <w:spacing w:after="0" w:line="192" w:lineRule="exact"/>
        <w:rPr>
          <w:rFonts w:ascii="Arial" w:cs="Arial" w:eastAsia="Arial" w:hAnsi="Arial"/>
          <w:sz w:val="21"/>
          <w:szCs w:val="21"/>
          <w:color w:val="auto"/>
        </w:rPr>
      </w:pPr>
    </w:p>
    <w:p>
      <w:pPr>
        <w:ind w:left="700" w:firstLine="639"/>
        <w:spacing w:after="0" w:line="244" w:lineRule="auto"/>
        <w:tabs>
          <w:tab w:leader="none" w:pos="2001" w:val="left"/>
        </w:tabs>
        <w:numPr>
          <w:ilvl w:val="3"/>
          <w:numId w:val="205"/>
        </w:numPr>
        <w:rPr>
          <w:rFonts w:ascii="Arial" w:cs="Arial" w:eastAsia="Arial" w:hAnsi="Arial"/>
          <w:sz w:val="21"/>
          <w:szCs w:val="21"/>
          <w:color w:val="auto"/>
        </w:rPr>
      </w:pPr>
      <w:r>
        <w:rPr>
          <w:rFonts w:ascii="Arial" w:cs="Arial" w:eastAsia="Arial" w:hAnsi="Arial"/>
          <w:sz w:val="21"/>
          <w:szCs w:val="21"/>
          <w:color w:val="auto"/>
        </w:rPr>
        <w:t xml:space="preserve">each Swingline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consent of the Swingline Lenders shall be required for an assignment of all or any portion of a Term Loan.</w:t>
      </w:r>
    </w:p>
    <w:p>
      <w:pPr>
        <w:spacing w:after="0" w:line="193" w:lineRule="exact"/>
        <w:rPr>
          <w:sz w:val="20"/>
          <w:szCs w:val="20"/>
          <w:color w:val="auto"/>
        </w:rPr>
      </w:pPr>
    </w:p>
    <w:p>
      <w:pPr>
        <w:ind w:left="2440" w:hanging="457"/>
        <w:spacing w:after="0"/>
        <w:tabs>
          <w:tab w:leader="none" w:pos="2440" w:val="left"/>
        </w:tabs>
        <w:numPr>
          <w:ilvl w:val="1"/>
          <w:numId w:val="206"/>
        </w:numPr>
        <w:rPr>
          <w:rFonts w:ascii="Arial" w:cs="Arial" w:eastAsia="Arial" w:hAnsi="Arial"/>
          <w:sz w:val="21"/>
          <w:szCs w:val="21"/>
          <w:color w:val="auto"/>
        </w:rPr>
      </w:pPr>
      <w:r>
        <w:rPr>
          <w:rFonts w:ascii="Arial" w:cs="Arial" w:eastAsia="Arial" w:hAnsi="Arial"/>
          <w:sz w:val="21"/>
          <w:szCs w:val="21"/>
          <w:color w:val="auto"/>
        </w:rPr>
        <w:t>Assignments shall be subject to the following additional conditions:</w:t>
      </w:r>
    </w:p>
    <w:p>
      <w:pPr>
        <w:spacing w:after="0" w:line="214" w:lineRule="exact"/>
        <w:rPr>
          <w:rFonts w:ascii="Arial" w:cs="Arial" w:eastAsia="Arial" w:hAnsi="Arial"/>
          <w:sz w:val="21"/>
          <w:szCs w:val="21"/>
          <w:color w:val="auto"/>
        </w:rPr>
      </w:pPr>
    </w:p>
    <w:p>
      <w:pPr>
        <w:jc w:val="both"/>
        <w:ind w:left="700" w:firstLine="639"/>
        <w:spacing w:after="0" w:line="216" w:lineRule="auto"/>
        <w:tabs>
          <w:tab w:leader="none" w:pos="1924" w:val="left"/>
        </w:tabs>
        <w:numPr>
          <w:ilvl w:val="0"/>
          <w:numId w:val="207"/>
        </w:numPr>
        <w:rPr>
          <w:rFonts w:ascii="Arial" w:cs="Arial" w:eastAsia="Arial" w:hAnsi="Arial"/>
          <w:sz w:val="21"/>
          <w:szCs w:val="21"/>
          <w:color w:val="auto"/>
        </w:rPr>
      </w:pPr>
      <w:r>
        <w:rPr>
          <w:rFonts w:ascii="Arial" w:cs="Arial" w:eastAsia="Arial" w:hAnsi="Arial"/>
          <w:sz w:val="21"/>
          <w:szCs w:val="21"/>
          <w:color w:val="auto"/>
        </w:rPr>
        <w:t>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(or, in the case of a Term Loan,</w:t>
      </w:r>
    </w:p>
    <w:p>
      <w:pPr>
        <w:spacing w:after="0" w:line="3" w:lineRule="exact"/>
        <w:rPr>
          <w:rFonts w:ascii="Arial" w:cs="Arial" w:eastAsia="Arial" w:hAnsi="Arial"/>
          <w:sz w:val="21"/>
          <w:szCs w:val="21"/>
          <w:color w:val="auto"/>
        </w:rPr>
      </w:pPr>
    </w:p>
    <w:p>
      <w:pPr>
        <w:ind w:left="700"/>
        <w:spacing w:after="0"/>
        <w:rPr>
          <w:rFonts w:ascii="Arial" w:cs="Arial" w:eastAsia="Arial" w:hAnsi="Arial"/>
          <w:sz w:val="21"/>
          <w:szCs w:val="21"/>
          <w:color w:val="auto"/>
        </w:rPr>
      </w:pPr>
      <w:r>
        <w:rPr>
          <w:rFonts w:ascii="Arial" w:cs="Arial" w:eastAsia="Arial" w:hAnsi="Arial"/>
          <w:sz w:val="21"/>
          <w:szCs w:val="21"/>
          <w:color w:val="auto"/>
        </w:rPr>
        <w:t>$500,000) unless each of the Borrower and the Administrative Agent otherwise consent;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color w:val="auto"/>
        </w:rPr>
        <w:t>136</w:t>
      </w:r>
    </w:p>
    <w:p>
      <w:pPr>
        <w:sectPr>
          <w:pgSz w:w="11900" w:h="16838" w:orient="portrait"/>
          <w:cols w:equalWidth="0" w:num="1">
            <w:col w:w="11040"/>
          </w:cols>
          <w:pgMar w:left="400" w:top="1440" w:right="459" w:bottom="1440" w:gutter="0" w:footer="0" w:header="0"/>
        </w:sectPr>
      </w:pPr>
    </w:p>
    <w:bookmarkStart w:id="226" w:name="page227"/>
    <w:bookmarkEnd w:id="226"/>
    <w:p>
      <w:pPr>
        <w:spacing w:after="0" w:line="194" w:lineRule="exact"/>
        <w:rPr>
          <w:sz w:val="20"/>
          <w:szCs w:val="20"/>
          <w:color w:val="auto"/>
        </w:rPr>
      </w:pPr>
    </w:p>
    <w:p>
      <w:pPr>
        <w:ind w:left="700"/>
        <w:spacing w:after="0"/>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consent of the Borrower shall be required if an Event of Default has occurred and is continuing;</w:t>
      </w:r>
    </w:p>
    <w:p>
      <w:pPr>
        <w:spacing w:after="0" w:line="226" w:lineRule="exact"/>
        <w:rPr>
          <w:sz w:val="20"/>
          <w:szCs w:val="20"/>
          <w:color w:val="auto"/>
        </w:rPr>
      </w:pPr>
    </w:p>
    <w:p>
      <w:pPr>
        <w:jc w:val="both"/>
        <w:ind w:left="700" w:firstLine="639"/>
        <w:spacing w:after="0" w:line="265" w:lineRule="auto"/>
        <w:tabs>
          <w:tab w:leader="none" w:pos="1862"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each partial assignment shall be made as an assignment of a proportionate part of all the assigning Lender’s rights and obligations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shall not be construed to prohibit the assignment of a proportionate part of all the assigning Lender’s rights and obligations in respect of one Class of Commitments or Loans;</w:t>
      </w:r>
    </w:p>
    <w:p>
      <w:pPr>
        <w:spacing w:after="0" w:line="174" w:lineRule="exact"/>
        <w:rPr>
          <w:rFonts w:ascii="Arial" w:cs="Arial" w:eastAsia="Arial" w:hAnsi="Arial"/>
          <w:sz w:val="19"/>
          <w:szCs w:val="19"/>
          <w:color w:val="auto"/>
        </w:rPr>
      </w:pPr>
    </w:p>
    <w:p>
      <w:pPr>
        <w:jc w:val="both"/>
        <w:ind w:left="700" w:right="120" w:firstLine="639"/>
        <w:spacing w:after="0" w:line="236" w:lineRule="auto"/>
        <w:tabs>
          <w:tab w:leader="none" w:pos="1917" w:val="left"/>
        </w:tabs>
        <w:numPr>
          <w:ilvl w:val="0"/>
          <w:numId w:val="208"/>
        </w:numPr>
        <w:rPr>
          <w:rFonts w:ascii="Arial" w:cs="Arial" w:eastAsia="Arial" w:hAnsi="Arial"/>
          <w:sz w:val="20"/>
          <w:szCs w:val="20"/>
          <w:color w:val="auto"/>
        </w:rPr>
      </w:pPr>
      <w:r>
        <w:rPr>
          <w:rFonts w:ascii="Arial" w:cs="Arial" w:eastAsia="Arial" w:hAnsi="Arial"/>
          <w:sz w:val="20"/>
          <w:szCs w:val="20"/>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spacing w:after="0" w:line="182" w:lineRule="exact"/>
        <w:rPr>
          <w:rFonts w:ascii="Arial" w:cs="Arial" w:eastAsia="Arial" w:hAnsi="Arial"/>
          <w:sz w:val="20"/>
          <w:szCs w:val="20"/>
          <w:color w:val="auto"/>
        </w:rPr>
      </w:pPr>
    </w:p>
    <w:p>
      <w:pPr>
        <w:jc w:val="both"/>
        <w:ind w:left="700" w:right="120" w:firstLine="639"/>
        <w:spacing w:after="0" w:line="236" w:lineRule="auto"/>
        <w:tabs>
          <w:tab w:leader="none" w:pos="199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 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jc w:val="both"/>
        <w:ind w:left="60" w:right="120" w:firstLine="1286"/>
        <w:spacing w:after="0" w:line="244" w:lineRule="auto"/>
        <w:rPr>
          <w:sz w:val="20"/>
          <w:szCs w:val="20"/>
          <w:color w:val="auto"/>
        </w:rPr>
      </w:pPr>
      <w:r>
        <w:rPr>
          <w:rFonts w:ascii="Arial" w:cs="Arial" w:eastAsia="Arial" w:hAnsi="Arial"/>
          <w:sz w:val="21"/>
          <w:szCs w:val="21"/>
          <w:color w:val="auto"/>
        </w:rPr>
        <w:t>For the purposes of this Section 9.04(b), the terms “</w:t>
      </w:r>
      <w:r>
        <w:rPr>
          <w:rFonts w:ascii="Arial" w:cs="Arial" w:eastAsia="Arial" w:hAnsi="Arial"/>
          <w:sz w:val="21"/>
          <w:szCs w:val="21"/>
          <w:b w:val="1"/>
          <w:bCs w:val="1"/>
          <w:i w:val="1"/>
          <w:iCs w:val="1"/>
          <w:color w:val="auto"/>
        </w:rPr>
        <w:t>Approved Fund</w:t>
      </w:r>
      <w:r>
        <w:rPr>
          <w:rFonts w:ascii="Arial" w:cs="Arial" w:eastAsia="Arial" w:hAnsi="Arial"/>
          <w:sz w:val="21"/>
          <w:szCs w:val="21"/>
          <w:color w:val="auto"/>
        </w:rPr>
        <w:t>” and “</w:t>
      </w:r>
      <w:r>
        <w:rPr>
          <w:rFonts w:ascii="Arial" w:cs="Arial" w:eastAsia="Arial" w:hAnsi="Arial"/>
          <w:sz w:val="21"/>
          <w:szCs w:val="21"/>
          <w:b w:val="1"/>
          <w:bCs w:val="1"/>
          <w:i w:val="1"/>
          <w:iCs w:val="1"/>
          <w:color w:val="auto"/>
        </w:rPr>
        <w:t>Ineligible Institution</w:t>
      </w:r>
      <w:r>
        <w:rPr>
          <w:rFonts w:ascii="Arial" w:cs="Arial" w:eastAsia="Arial" w:hAnsi="Arial"/>
          <w:sz w:val="21"/>
          <w:szCs w:val="21"/>
          <w:color w:val="auto"/>
        </w:rPr>
        <w:t>” have the following meanings:</w:t>
      </w:r>
    </w:p>
    <w:p>
      <w:pPr>
        <w:spacing w:after="0" w:line="193" w:lineRule="exact"/>
        <w:rPr>
          <w:sz w:val="20"/>
          <w:szCs w:val="20"/>
          <w:color w:val="auto"/>
        </w:rPr>
      </w:pPr>
    </w:p>
    <w:p>
      <w:pPr>
        <w:jc w:val="both"/>
        <w:ind w:left="60" w:right="120" w:firstLine="1286"/>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Approved Fund</w:t>
      </w:r>
      <w:r>
        <w:rPr>
          <w:rFonts w:ascii="Arial" w:cs="Arial" w:eastAsia="Arial" w:hAnsi="Arial"/>
          <w:sz w:val="21"/>
          <w:szCs w:val="21"/>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99" w:lineRule="exact"/>
        <w:rPr>
          <w:sz w:val="20"/>
          <w:szCs w:val="20"/>
          <w:color w:val="auto"/>
        </w:rPr>
      </w:pPr>
    </w:p>
    <w:p>
      <w:pPr>
        <w:jc w:val="both"/>
        <w:ind w:left="60" w:right="120" w:firstLine="1286"/>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Ineligible Institution</w:t>
      </w:r>
      <w:r>
        <w:rPr>
          <w:rFonts w:ascii="Arial" w:cs="Arial" w:eastAsia="Arial" w:hAnsi="Arial"/>
          <w:sz w:val="20"/>
          <w:szCs w:val="20"/>
          <w:color w:val="auto"/>
        </w:rPr>
        <w:t xml:space="preserve">” means (a) a natural person, (b) a Defaulting Lender or its Lender Parent, (c) a holding company, investment vehicle or trust for, or owned and operated for the primary benefit of, a natural person or relative(s) thereof or (d) the Borrower, any of its Subsidiaries or any of its Affiliates;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clause (c),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w:t>
      </w:r>
    </w:p>
    <w:p>
      <w:pPr>
        <w:spacing w:after="0" w:line="186" w:lineRule="exact"/>
        <w:rPr>
          <w:sz w:val="20"/>
          <w:szCs w:val="20"/>
          <w:color w:val="auto"/>
        </w:rPr>
      </w:pPr>
    </w:p>
    <w:p>
      <w:pPr>
        <w:jc w:val="both"/>
        <w:ind w:left="700" w:right="120" w:firstLine="1283"/>
        <w:spacing w:after="0" w:line="232" w:lineRule="auto"/>
        <w:tabs>
          <w:tab w:leader="none" w:pos="2528" w:val="left"/>
        </w:tabs>
        <w:numPr>
          <w:ilvl w:val="0"/>
          <w:numId w:val="209"/>
        </w:numPr>
        <w:rPr>
          <w:rFonts w:ascii="Arial" w:cs="Arial" w:eastAsia="Arial" w:hAnsi="Arial"/>
          <w:sz w:val="21"/>
          <w:szCs w:val="21"/>
          <w:color w:val="auto"/>
        </w:rPr>
      </w:pPr>
      <w:r>
        <w:rPr>
          <w:rFonts w:ascii="Arial" w:cs="Arial" w:eastAsia="Arial" w:hAnsi="Arial"/>
          <w:sz w:val="21"/>
          <w:szCs w:val="21"/>
          <w:color w:val="auto"/>
        </w:rPr>
        <w:t>Subject to acceptance and recording thereof pursuant to paragraph (b)(iv) of this Section, from and after the effective date specified in each Assignment and Assumption the assignee thereunder shall be a party hereto and, to the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137</w:t>
      </w:r>
    </w:p>
    <w:p>
      <w:pPr>
        <w:sectPr>
          <w:pgSz w:w="11900" w:h="16838" w:orient="portrait"/>
          <w:cols w:equalWidth="0" w:num="1">
            <w:col w:w="11160"/>
          </w:cols>
          <w:pgMar w:left="400" w:top="1440" w:right="339" w:bottom="1440" w:gutter="0" w:footer="0" w:header="0"/>
        </w:sectPr>
      </w:pPr>
    </w:p>
    <w:bookmarkStart w:id="227" w:name="page228"/>
    <w:bookmarkEnd w:id="227"/>
    <w:p>
      <w:pPr>
        <w:spacing w:after="0" w:line="194" w:lineRule="exact"/>
        <w:rPr>
          <w:sz w:val="20"/>
          <w:szCs w:val="20"/>
          <w:color w:val="auto"/>
        </w:rPr>
      </w:pPr>
    </w:p>
    <w:p>
      <w:pPr>
        <w:jc w:val="both"/>
        <w:ind w:left="700" w:right="120"/>
        <w:spacing w:after="0" w:line="231" w:lineRule="auto"/>
        <w:rPr>
          <w:sz w:val="20"/>
          <w:szCs w:val="20"/>
          <w:color w:val="auto"/>
        </w:rPr>
      </w:pPr>
      <w:r>
        <w:rPr>
          <w:rFonts w:ascii="Arial" w:cs="Arial" w:eastAsia="Arial" w:hAnsi="Arial"/>
          <w:sz w:val="20"/>
          <w:szCs w:val="20"/>
          <w:color w:val="auto"/>
        </w:rPr>
        <w:t>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86" w:lineRule="exact"/>
        <w:rPr>
          <w:sz w:val="20"/>
          <w:szCs w:val="20"/>
          <w:color w:val="auto"/>
        </w:rPr>
      </w:pPr>
    </w:p>
    <w:p>
      <w:pPr>
        <w:jc w:val="both"/>
        <w:ind w:left="700" w:right="120" w:firstLine="1283"/>
        <w:spacing w:after="0" w:line="219" w:lineRule="auto"/>
        <w:tabs>
          <w:tab w:leader="none" w:pos="2552" w:val="left"/>
        </w:tabs>
        <w:numPr>
          <w:ilvl w:val="1"/>
          <w:numId w:val="210"/>
        </w:numPr>
        <w:rPr>
          <w:rFonts w:ascii="Arial" w:cs="Arial" w:eastAsia="Arial" w:hAnsi="Arial"/>
          <w:sz w:val="21"/>
          <w:szCs w:val="21"/>
          <w:color w:val="auto"/>
        </w:rPr>
      </w:pPr>
      <w:r>
        <w:rPr>
          <w:rFonts w:ascii="Arial" w:cs="Arial" w:eastAsia="Arial" w:hAnsi="Arial"/>
          <w:sz w:val="21"/>
          <w:szCs w:val="21"/>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21"/>
          <w:szCs w:val="21"/>
          <w:b w:val="1"/>
          <w:bCs w:val="1"/>
          <w:i w:val="1"/>
          <w:iCs w:val="1"/>
          <w:color w:val="auto"/>
        </w:rPr>
        <w:t>Register</w:t>
      </w:r>
      <w:r>
        <w:rPr>
          <w:rFonts w:ascii="Arial" w:cs="Arial" w:eastAsia="Arial" w:hAnsi="Arial"/>
          <w:sz w:val="21"/>
          <w:szCs w:val="21"/>
          <w:color w:val="auto"/>
        </w:rPr>
        <w:t>”). The entries in the Register shall be conclusive,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spacing w:after="0" w:line="188" w:lineRule="exact"/>
        <w:rPr>
          <w:rFonts w:ascii="Arial" w:cs="Arial" w:eastAsia="Arial" w:hAnsi="Arial"/>
          <w:sz w:val="21"/>
          <w:szCs w:val="21"/>
          <w:color w:val="auto"/>
        </w:rPr>
      </w:pPr>
    </w:p>
    <w:p>
      <w:pPr>
        <w:jc w:val="both"/>
        <w:ind w:left="700" w:firstLine="1283"/>
        <w:spacing w:after="0" w:line="228" w:lineRule="auto"/>
        <w:tabs>
          <w:tab w:leader="none" w:pos="2571" w:val="left"/>
        </w:tabs>
        <w:numPr>
          <w:ilvl w:val="1"/>
          <w:numId w:val="210"/>
        </w:numPr>
        <w:rPr>
          <w:rFonts w:ascii="Arial" w:cs="Arial" w:eastAsia="Arial" w:hAnsi="Arial"/>
          <w:sz w:val="20"/>
          <w:szCs w:val="20"/>
          <w:color w:val="auto"/>
        </w:rPr>
      </w:pPr>
      <w:r>
        <w:rPr>
          <w:rFonts w:ascii="Arial" w:cs="Arial" w:eastAsia="Arial" w:hAnsi="Arial"/>
          <w:sz w:val="20"/>
          <w:szCs w:val="20"/>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either the assigning Lender or the assignee shall have failed to make any payment required to be made by it pursuant to Section 2.05(c),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3" w:lineRule="exact"/>
        <w:rPr>
          <w:rFonts w:ascii="Arial" w:cs="Arial" w:eastAsia="Arial" w:hAnsi="Arial"/>
          <w:sz w:val="20"/>
          <w:szCs w:val="20"/>
          <w:color w:val="auto"/>
        </w:rPr>
      </w:pPr>
    </w:p>
    <w:p>
      <w:pPr>
        <w:jc w:val="both"/>
        <w:ind w:left="60" w:right="120" w:firstLine="635"/>
        <w:spacing w:after="0" w:line="224" w:lineRule="auto"/>
        <w:tabs>
          <w:tab w:leader="none" w:pos="1181" w:val="left"/>
        </w:tabs>
        <w:numPr>
          <w:ilvl w:val="0"/>
          <w:numId w:val="211"/>
        </w:numPr>
        <w:rPr>
          <w:rFonts w:ascii="Arial" w:cs="Arial" w:eastAsia="Arial" w:hAnsi="Arial"/>
          <w:sz w:val="21"/>
          <w:szCs w:val="21"/>
          <w:color w:val="auto"/>
        </w:rPr>
      </w:pPr>
      <w:r>
        <w:rPr>
          <w:rFonts w:ascii="Arial" w:cs="Arial" w:eastAsia="Arial" w:hAnsi="Arial"/>
          <w:sz w:val="21"/>
          <w:szCs w:val="21"/>
          <w:color w:val="auto"/>
        </w:rPr>
        <w:t>Any Lender may, without the consent of, or notice to, the Borrower, the Administrative Agent, the Issuing Banks or the Swingline Lenders, sell participations to one or more banks or other entities (a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 xml:space="preserve">”), other than an Ineligible Institution, in all or a portion of such Lender’s rights and/or obligations under this Agreement (including all or a portion of its Commitment and/or the Loans owing to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such Lender’s obligations under this Agreement shall remain unchanged; (B) such Lender shall remain solely responsible to the other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color w:val="auto"/>
        </w:rPr>
        <w:t>138</w:t>
      </w:r>
    </w:p>
    <w:p>
      <w:pPr>
        <w:sectPr>
          <w:pgSz w:w="11900" w:h="16838" w:orient="portrait"/>
          <w:cols w:equalWidth="0" w:num="1">
            <w:col w:w="11160"/>
          </w:cols>
          <w:pgMar w:left="400" w:top="1440" w:right="339" w:bottom="1440" w:gutter="0" w:footer="0" w:header="0"/>
        </w:sectPr>
      </w:pPr>
    </w:p>
    <w:bookmarkStart w:id="228" w:name="page229"/>
    <w:bookmarkEnd w:id="228"/>
    <w:p>
      <w:pPr>
        <w:spacing w:after="0" w:line="193" w:lineRule="exact"/>
        <w:rPr>
          <w:sz w:val="20"/>
          <w:szCs w:val="20"/>
          <w:color w:val="auto"/>
        </w:rPr>
      </w:pPr>
    </w:p>
    <w:p>
      <w:pPr>
        <w:jc w:val="both"/>
        <w:ind w:left="60"/>
        <w:spacing w:after="0" w:line="238" w:lineRule="auto"/>
        <w:rPr>
          <w:sz w:val="20"/>
          <w:szCs w:val="20"/>
          <w:color w:val="auto"/>
        </w:rPr>
      </w:pPr>
      <w:r>
        <w:rPr>
          <w:rFonts w:ascii="Arial" w:cs="Arial" w:eastAsia="Arial" w:hAnsi="Arial"/>
          <w:sz w:val="19"/>
          <w:szCs w:val="19"/>
          <w:color w:val="auto"/>
        </w:rPr>
        <w:t xml:space="preserve">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w:t>
      </w:r>
    </w:p>
    <w:p>
      <w:pPr>
        <w:spacing w:after="0" w:line="3" w:lineRule="exact"/>
        <w:rPr>
          <w:sz w:val="20"/>
          <w:szCs w:val="20"/>
          <w:color w:val="auto"/>
        </w:rPr>
      </w:pPr>
    </w:p>
    <w:p>
      <w:pPr>
        <w:jc w:val="both"/>
        <w:ind w:left="60"/>
        <w:spacing w:after="0" w:line="223" w:lineRule="auto"/>
        <w:rPr>
          <w:sz w:val="20"/>
          <w:szCs w:val="20"/>
          <w:color w:val="auto"/>
        </w:rPr>
      </w:pPr>
      <w:r>
        <w:rPr>
          <w:rFonts w:ascii="Arial" w:cs="Arial" w:eastAsia="Arial" w:hAnsi="Arial"/>
          <w:sz w:val="20"/>
          <w:szCs w:val="20"/>
          <w:color w:val="auto"/>
        </w:rPr>
        <w:t xml:space="preserve">2.16 and 2.17 (subject to the requirements and limitations therein, including the requirements under Sections 2.17(f) (it being understood that the documentation required under Section 2.17(f) shall be delivered to the participating Lender and the information)) to the same extent as if it were a Lender and had acquired its interest by assignment pursuant to paragraph (b) of this Section;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Participant (A) agrees to be subject to the provisions of Sections</w:t>
      </w:r>
    </w:p>
    <w:p>
      <w:pPr>
        <w:spacing w:after="0" w:line="3" w:lineRule="exact"/>
        <w:rPr>
          <w:sz w:val="20"/>
          <w:szCs w:val="20"/>
          <w:color w:val="auto"/>
        </w:rPr>
      </w:pPr>
    </w:p>
    <w:p>
      <w:pPr>
        <w:jc w:val="both"/>
        <w:ind w:left="60"/>
        <w:spacing w:after="0" w:line="238" w:lineRule="auto"/>
        <w:rPr>
          <w:sz w:val="20"/>
          <w:szCs w:val="20"/>
          <w:color w:val="auto"/>
        </w:rPr>
      </w:pPr>
      <w:r>
        <w:rPr>
          <w:rFonts w:ascii="Arial" w:cs="Arial" w:eastAsia="Arial" w:hAnsi="Arial"/>
          <w:sz w:val="19"/>
          <w:szCs w:val="19"/>
          <w:color w:val="auto"/>
        </w:rPr>
        <w:t xml:space="preserve">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agrees to be subject to Section 2.18(d) as though it were a Lender. Each Lender that sells a participation shall, acting solely for this purpose as a non- 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b w:val="1"/>
          <w:bCs w:val="1"/>
          <w:i w:val="1"/>
          <w:iCs w:val="1"/>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5f.103- 1(c)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4" w:lineRule="exact"/>
        <w:rPr>
          <w:sz w:val="20"/>
          <w:szCs w:val="20"/>
          <w:color w:val="auto"/>
        </w:rPr>
      </w:pPr>
    </w:p>
    <w:p>
      <w:pPr>
        <w:jc w:val="both"/>
        <w:ind w:left="60" w:firstLine="635"/>
        <w:spacing w:after="0" w:line="224" w:lineRule="auto"/>
        <w:tabs>
          <w:tab w:leader="none" w:pos="1271" w:val="left"/>
        </w:tabs>
        <w:numPr>
          <w:ilvl w:val="0"/>
          <w:numId w:val="212"/>
        </w:numPr>
        <w:rPr>
          <w:rFonts w:ascii="Arial" w:cs="Arial" w:eastAsia="Arial" w:hAnsi="Arial"/>
          <w:sz w:val="21"/>
          <w:szCs w:val="21"/>
          <w:color w:val="auto"/>
        </w:rPr>
      </w:pPr>
      <w:r>
        <w:rPr>
          <w:rFonts w:ascii="Arial" w:cs="Arial" w:eastAsia="Arial" w:hAnsi="Arial"/>
          <w:sz w:val="21"/>
          <w:szCs w:val="21"/>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color w:val="auto"/>
        </w:rPr>
        <w:t>139</w:t>
      </w:r>
    </w:p>
    <w:p>
      <w:pPr>
        <w:sectPr>
          <w:pgSz w:w="11900" w:h="16838" w:orient="portrait"/>
          <w:cols w:equalWidth="0" w:num="1">
            <w:col w:w="11040"/>
          </w:cols>
          <w:pgMar w:left="400" w:top="1440" w:right="459" w:bottom="1440" w:gutter="0" w:footer="0" w:header="0"/>
        </w:sectPr>
      </w:pPr>
    </w:p>
    <w:bookmarkStart w:id="229" w:name="page230"/>
    <w:bookmarkEnd w:id="229"/>
    <w:p>
      <w:pPr>
        <w:spacing w:after="0" w:line="194" w:lineRule="exact"/>
        <w:rPr>
          <w:sz w:val="20"/>
          <w:szCs w:val="20"/>
          <w:color w:val="auto"/>
        </w:rPr>
      </w:pPr>
    </w:p>
    <w:p>
      <w:pPr>
        <w:jc w:val="both"/>
        <w:ind w:left="60" w:firstLine="642"/>
        <w:spacing w:after="0" w:line="241"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Survival</w:t>
      </w:r>
      <w:r>
        <w:rPr>
          <w:rFonts w:ascii="Arial" w:cs="Arial" w:eastAsia="Arial" w:hAnsi="Arial"/>
          <w:sz w:val="19"/>
          <w:szCs w:val="19"/>
          <w:color w:val="auto"/>
        </w:rPr>
        <w:t>. All covenants, agreements, representations and warranties made by the Loan Parties in the Loan Documents and in the certificates or other instruments delivered in connection with or pursuant to this Agreement or any other Loan Documents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82" w:lineRule="exact"/>
        <w:rPr>
          <w:sz w:val="20"/>
          <w:szCs w:val="20"/>
          <w:color w:val="auto"/>
        </w:rPr>
      </w:pPr>
    </w:p>
    <w:p>
      <w:pPr>
        <w:jc w:val="both"/>
        <w:ind w:left="60" w:firstLine="642"/>
        <w:spacing w:after="0" w:line="229" w:lineRule="auto"/>
        <w:rPr>
          <w:sz w:val="20"/>
          <w:szCs w:val="20"/>
          <w:color w:val="auto"/>
        </w:rPr>
      </w:pPr>
      <w:r>
        <w:rPr>
          <w:rFonts w:ascii="Arial" w:cs="Arial" w:eastAsia="Arial" w:hAnsi="Arial"/>
          <w:sz w:val="20"/>
          <w:szCs w:val="20"/>
          <w:color w:val="auto"/>
        </w:rPr>
        <w:t xml:space="preserve">SECTION 9.06. </w:t>
      </w:r>
      <w:r>
        <w:rPr>
          <w:rFonts w:ascii="Arial" w:cs="Arial" w:eastAsia="Arial" w:hAnsi="Arial"/>
          <w:sz w:val="20"/>
          <w:szCs w:val="20"/>
          <w:u w:val="single" w:color="auto"/>
          <w:color w:val="auto"/>
        </w:rPr>
        <w:t>Counterparts; Integration; Effectiveness; Electronic Execution</w:t>
      </w:r>
      <w:r>
        <w:rPr>
          <w:rFonts w:ascii="Arial" w:cs="Arial" w:eastAsia="Arial" w:hAnsi="Arial"/>
          <w:sz w:val="20"/>
          <w:szCs w:val="20"/>
          <w:color w:val="auto"/>
        </w:rPr>
        <w:t>.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reductions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92" w:lineRule="exact"/>
        <w:rPr>
          <w:sz w:val="20"/>
          <w:szCs w:val="20"/>
          <w:color w:val="auto"/>
        </w:rPr>
      </w:pPr>
    </w:p>
    <w:p>
      <w:pPr>
        <w:ind w:left="1000" w:hanging="305"/>
        <w:spacing w:after="0"/>
        <w:tabs>
          <w:tab w:leader="none" w:pos="1000" w:val="left"/>
        </w:tabs>
        <w:numPr>
          <w:ilvl w:val="1"/>
          <w:numId w:val="213"/>
        </w:numPr>
        <w:rPr>
          <w:rFonts w:ascii="Arial" w:cs="Arial" w:eastAsia="Arial" w:hAnsi="Arial"/>
          <w:sz w:val="19"/>
          <w:szCs w:val="19"/>
          <w:color w:val="auto"/>
        </w:rPr>
      </w:pPr>
      <w:r>
        <w:rPr>
          <w:rFonts w:ascii="Arial" w:cs="Arial" w:eastAsia="Arial" w:hAnsi="Arial"/>
          <w:sz w:val="19"/>
          <w:szCs w:val="19"/>
          <w:color w:val="auto"/>
        </w:rPr>
        <w:t>Delivery of an executed counterpart of a signature page of (x) this Agreement, (y) any other Loan Document and/or</w:t>
      </w:r>
    </w:p>
    <w:p>
      <w:pPr>
        <w:spacing w:after="0" w:line="13" w:lineRule="exact"/>
        <w:rPr>
          <w:rFonts w:ascii="Arial" w:cs="Arial" w:eastAsia="Arial" w:hAnsi="Arial"/>
          <w:sz w:val="19"/>
          <w:szCs w:val="19"/>
          <w:color w:val="auto"/>
        </w:rPr>
      </w:pPr>
    </w:p>
    <w:p>
      <w:pPr>
        <w:jc w:val="both"/>
        <w:ind w:left="60" w:hanging="8"/>
        <w:spacing w:after="0" w:line="227" w:lineRule="auto"/>
        <w:tabs>
          <w:tab w:leader="none" w:pos="398" w:val="left"/>
        </w:tabs>
        <w:numPr>
          <w:ilvl w:val="0"/>
          <w:numId w:val="214"/>
        </w:numPr>
        <w:rPr>
          <w:rFonts w:ascii="Arial" w:cs="Arial" w:eastAsia="Arial" w:hAnsi="Arial"/>
          <w:sz w:val="20"/>
          <w:szCs w:val="20"/>
          <w:color w:val="auto"/>
        </w:rPr>
      </w:pPr>
      <w:r>
        <w:rPr>
          <w:rFonts w:ascii="Arial" w:cs="Arial" w:eastAsia="Arial" w:hAnsi="Arial"/>
          <w:sz w:val="20"/>
          <w:szCs w:val="20"/>
          <w:color w:val="auto"/>
        </w:rPr>
        <w:t>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Arial" w:cs="Arial" w:eastAsia="Arial" w:hAnsi="Arial"/>
          <w:sz w:val="20"/>
          <w:szCs w:val="20"/>
          <w:b w:val="1"/>
          <w:bCs w:val="1"/>
          <w:i w:val="1"/>
          <w:iCs w:val="1"/>
          <w:color w:val="auto"/>
        </w:rPr>
        <w:t>Ancillary Document</w:t>
      </w:r>
      <w:r>
        <w:rPr>
          <w:rFonts w:ascii="Arial" w:cs="Arial" w:eastAsia="Arial" w:hAnsi="Arial"/>
          <w:sz w:val="20"/>
          <w:szCs w:val="20"/>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color w:val="auto"/>
        </w:rPr>
        <w:t>140</w:t>
      </w:r>
    </w:p>
    <w:p>
      <w:pPr>
        <w:sectPr>
          <w:pgSz w:w="11900" w:h="16838" w:orient="portrait"/>
          <w:cols w:equalWidth="0" w:num="1">
            <w:col w:w="11040"/>
          </w:cols>
          <w:pgMar w:left="400" w:top="1440" w:right="459" w:bottom="1440" w:gutter="0" w:footer="0" w:header="0"/>
        </w:sectPr>
      </w:pPr>
    </w:p>
    <w:bookmarkStart w:id="230" w:name="page231"/>
    <w:bookmarkEnd w:id="230"/>
    <w:p>
      <w:pPr>
        <w:spacing w:after="0" w:line="194" w:lineRule="exact"/>
        <w:rPr>
          <w:sz w:val="20"/>
          <w:szCs w:val="20"/>
          <w:color w:val="auto"/>
        </w:rPr>
      </w:pPr>
    </w:p>
    <w:p>
      <w:pPr>
        <w:jc w:val="both"/>
        <w:ind w:left="60"/>
        <w:spacing w:after="0" w:line="225" w:lineRule="auto"/>
        <w:rPr>
          <w:sz w:val="20"/>
          <w:szCs w:val="20"/>
          <w:color w:val="auto"/>
        </w:rPr>
      </w:pPr>
      <w:r>
        <w:rPr>
          <w:rFonts w:ascii="Arial" w:cs="Arial" w:eastAsia="Arial" w:hAnsi="Arial"/>
          <w:sz w:val="20"/>
          <w:szCs w:val="20"/>
          <w:color w:val="auto"/>
        </w:rPr>
        <w:t>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(i)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w:t>
      </w:r>
    </w:p>
    <w:p>
      <w:pPr>
        <w:jc w:val="both"/>
        <w:ind w:left="60" w:hanging="8"/>
        <w:spacing w:after="0" w:line="218" w:lineRule="auto"/>
        <w:tabs>
          <w:tab w:leader="none" w:pos="455" w:val="left"/>
        </w:tabs>
        <w:numPr>
          <w:ilvl w:val="0"/>
          <w:numId w:val="215"/>
        </w:numPr>
        <w:rPr>
          <w:rFonts w:ascii="Arial" w:cs="Arial" w:eastAsia="Arial" w:hAnsi="Arial"/>
          <w:sz w:val="21"/>
          <w:szCs w:val="21"/>
          <w:color w:val="auto"/>
        </w:rPr>
      </w:pPr>
      <w:r>
        <w:rPr>
          <w:rFonts w:ascii="Arial" w:cs="Arial" w:eastAsia="Arial" w:hAnsi="Arial"/>
          <w:sz w:val="21"/>
          <w:szCs w:val="21"/>
          <w:color w:val="auto"/>
        </w:rPr>
        <w:t>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184" w:lineRule="exact"/>
        <w:rPr>
          <w:sz w:val="20"/>
          <w:szCs w:val="20"/>
          <w:color w:val="auto"/>
        </w:rPr>
      </w:pPr>
    </w:p>
    <w:p>
      <w:pPr>
        <w:jc w:val="both"/>
        <w:ind w:left="60" w:firstLine="642"/>
        <w:spacing w:after="0" w:line="227" w:lineRule="auto"/>
        <w:rPr>
          <w:sz w:val="20"/>
          <w:szCs w:val="20"/>
          <w:color w:val="auto"/>
        </w:rPr>
      </w:pPr>
      <w:r>
        <w:rPr>
          <w:rFonts w:ascii="Arial" w:cs="Arial" w:eastAsia="Arial" w:hAnsi="Arial"/>
          <w:sz w:val="21"/>
          <w:szCs w:val="21"/>
          <w:color w:val="auto"/>
        </w:rPr>
        <w:t xml:space="preserve">SECTION 9.07.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99" w:lineRule="exact"/>
        <w:rPr>
          <w:sz w:val="20"/>
          <w:szCs w:val="20"/>
          <w:color w:val="auto"/>
        </w:rPr>
      </w:pPr>
    </w:p>
    <w:p>
      <w:pPr>
        <w:jc w:val="both"/>
        <w:ind w:left="60" w:firstLine="642"/>
        <w:spacing w:after="0" w:line="231" w:lineRule="auto"/>
        <w:rPr>
          <w:sz w:val="20"/>
          <w:szCs w:val="20"/>
          <w:color w:val="auto"/>
        </w:rPr>
      </w:pPr>
      <w:r>
        <w:rPr>
          <w:rFonts w:ascii="Arial" w:cs="Arial" w:eastAsia="Arial" w:hAnsi="Arial"/>
          <w:sz w:val="20"/>
          <w:szCs w:val="20"/>
          <w:color w:val="auto"/>
        </w:rPr>
        <w:t xml:space="preserve">SECTION 9.08. </w:t>
      </w:r>
      <w:r>
        <w:rPr>
          <w:rFonts w:ascii="Arial" w:cs="Arial" w:eastAsia="Arial" w:hAnsi="Arial"/>
          <w:sz w:val="20"/>
          <w:szCs w:val="20"/>
          <w:u w:val="single" w:color="auto"/>
          <w:color w:val="auto"/>
        </w:rPr>
        <w:t>Right of Setoff</w:t>
      </w:r>
      <w:r>
        <w:rPr>
          <w:rFonts w:ascii="Arial" w:cs="Arial" w:eastAsia="Arial" w:hAnsi="Arial"/>
          <w:sz w:val="20"/>
          <w:szCs w:val="20"/>
          <w:color w:val="auto"/>
        </w:rPr>
        <w:t>. If an Event of Default shall have occurred and be continuing, each Lender, each Issuing Bank, and each of their respective Affiliates is hereby authorized at any time and from time to time, to the fullest extent permitted by law, to setoff and apply any and all deposits (general or special, time or demand, provisional or final and in whatever currency denominated) at any time held, and other obligations at any time owing, by such Lender, such Issuing Bank or any such Affiliate, to or for the credit or the account of the Borrower or any Subsidiary Guarantor against any and all of the Secured Obligations now or hereafter existing under this Agreement or any other Loan Document to such Lender or such Issuing Bank or their respective Affiliates, irrespective of whether or not such Lender, Issuing Bank or Affiliate shall have made any demand under this Agreement or any other Loan Document and although such</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color w:val="auto"/>
        </w:rPr>
        <w:t>141</w:t>
      </w:r>
    </w:p>
    <w:p>
      <w:pPr>
        <w:sectPr>
          <w:pgSz w:w="11900" w:h="16838" w:orient="portrait"/>
          <w:cols w:equalWidth="0" w:num="1">
            <w:col w:w="11040"/>
          </w:cols>
          <w:pgMar w:left="400" w:top="1440" w:right="459" w:bottom="1440" w:gutter="0" w:footer="0" w:header="0"/>
        </w:sectPr>
      </w:pPr>
    </w:p>
    <w:bookmarkStart w:id="231" w:name="page232"/>
    <w:bookmarkEnd w:id="231"/>
    <w:p>
      <w:pPr>
        <w:spacing w:after="0" w:line="194" w:lineRule="exact"/>
        <w:rPr>
          <w:sz w:val="20"/>
          <w:szCs w:val="20"/>
          <w:color w:val="auto"/>
        </w:rPr>
      </w:pPr>
    </w:p>
    <w:p>
      <w:pPr>
        <w:jc w:val="both"/>
        <w:ind w:left="60"/>
        <w:spacing w:after="0" w:line="218" w:lineRule="auto"/>
        <w:rPr>
          <w:sz w:val="20"/>
          <w:szCs w:val="20"/>
          <w:color w:val="auto"/>
        </w:rPr>
      </w:pPr>
      <w:r>
        <w:rPr>
          <w:rFonts w:ascii="Arial" w:cs="Arial" w:eastAsia="Arial" w:hAnsi="Arial"/>
          <w:sz w:val="21"/>
          <w:szCs w:val="21"/>
          <w:color w:val="auto"/>
        </w:rPr>
        <w:t xml:space="preserve">obligations may be contingent or unmatured or are owed to a branch office or Affiliate of such Lender or such Issuing Bank different from the branch office or Affiliate holding such deposit or obligated on such indebtedness;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that any Defaulting Lender shall exercise any such right of setoff, (x) all amounts so setoff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Issuing Bank agrees to notify the Borrower and the Administrative Agent promptly after any such setoff and application;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give such notice shall not affect the validity of such setoff and application.</w:t>
      </w:r>
    </w:p>
    <w:p>
      <w:pPr>
        <w:spacing w:after="0" w:line="183" w:lineRule="exact"/>
        <w:rPr>
          <w:sz w:val="20"/>
          <w:szCs w:val="20"/>
          <w:color w:val="auto"/>
        </w:rPr>
      </w:pPr>
    </w:p>
    <w:p>
      <w:pPr>
        <w:jc w:val="both"/>
        <w:ind w:left="60" w:right="20" w:firstLine="642"/>
        <w:spacing w:after="0" w:line="244" w:lineRule="auto"/>
        <w:rPr>
          <w:sz w:val="20"/>
          <w:szCs w:val="20"/>
          <w:color w:val="auto"/>
        </w:rPr>
      </w:pPr>
      <w:r>
        <w:rPr>
          <w:rFonts w:ascii="Arial" w:cs="Arial" w:eastAsia="Arial" w:hAnsi="Arial"/>
          <w:sz w:val="21"/>
          <w:szCs w:val="21"/>
          <w:color w:val="auto"/>
        </w:rPr>
        <w:t xml:space="preserve">SECTION 9.09. </w:t>
      </w:r>
      <w:r>
        <w:rPr>
          <w:rFonts w:ascii="Arial" w:cs="Arial" w:eastAsia="Arial" w:hAnsi="Arial"/>
          <w:sz w:val="21"/>
          <w:szCs w:val="21"/>
          <w:u w:val="single" w:color="auto"/>
          <w:color w:val="auto"/>
        </w:rPr>
        <w:t>Governing Law; Jurisdiction; Consent to Service of Process</w:t>
      </w:r>
      <w:r>
        <w:rPr>
          <w:rFonts w:ascii="Arial" w:cs="Arial" w:eastAsia="Arial" w:hAnsi="Arial"/>
          <w:sz w:val="21"/>
          <w:szCs w:val="21"/>
          <w:color w:val="auto"/>
        </w:rPr>
        <w:t>. (a) This Agreement and the other Loan Documents shall be construed in accordance with and governed by the law of the State of New York.</w:t>
      </w:r>
    </w:p>
    <w:p>
      <w:pPr>
        <w:spacing w:after="0" w:line="179" w:lineRule="exact"/>
        <w:rPr>
          <w:sz w:val="20"/>
          <w:szCs w:val="20"/>
          <w:color w:val="auto"/>
        </w:rPr>
      </w:pPr>
    </w:p>
    <w:p>
      <w:pPr>
        <w:jc w:val="both"/>
        <w:ind w:left="60" w:firstLine="635"/>
        <w:spacing w:after="0" w:line="224" w:lineRule="auto"/>
        <w:tabs>
          <w:tab w:leader="none" w:pos="1426" w:val="left"/>
        </w:tabs>
        <w:numPr>
          <w:ilvl w:val="0"/>
          <w:numId w:val="216"/>
        </w:numPr>
        <w:rPr>
          <w:rFonts w:ascii="Arial" w:cs="Arial" w:eastAsia="Arial" w:hAnsi="Arial"/>
          <w:sz w:val="21"/>
          <w:szCs w:val="21"/>
          <w:color w:val="auto"/>
        </w:rPr>
      </w:pPr>
      <w:r>
        <w:rPr>
          <w:rFonts w:ascii="Arial" w:cs="Arial" w:eastAsia="Arial" w:hAnsi="Arial"/>
          <w:sz w:val="21"/>
          <w:szCs w:val="21"/>
          <w:color w:val="auto"/>
        </w:rPr>
        <w:t>Each of the Lenders and the Administrative Agent hereby irrevocably and unconditionally agrees that, notwithstanding the governing law provisions of any applicable Loan Document, any claims brought against the Administrative Agent by any Lender or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200" w:lineRule="exact"/>
        <w:rPr>
          <w:rFonts w:ascii="Arial" w:cs="Arial" w:eastAsia="Arial" w:hAnsi="Arial"/>
          <w:sz w:val="21"/>
          <w:szCs w:val="21"/>
          <w:color w:val="auto"/>
        </w:rPr>
      </w:pPr>
    </w:p>
    <w:p>
      <w:pPr>
        <w:jc w:val="both"/>
        <w:ind w:left="60" w:firstLine="635"/>
        <w:spacing w:after="0" w:line="227" w:lineRule="auto"/>
        <w:tabs>
          <w:tab w:leader="none" w:pos="1300" w:val="left"/>
        </w:tabs>
        <w:numPr>
          <w:ilvl w:val="0"/>
          <w:numId w:val="216"/>
        </w:numPr>
        <w:rPr>
          <w:rFonts w:ascii="Arial" w:cs="Arial" w:eastAsia="Arial" w:hAnsi="Arial"/>
          <w:sz w:val="20"/>
          <w:szCs w:val="20"/>
          <w:color w:val="auto"/>
        </w:rPr>
      </w:pPr>
      <w:r>
        <w:rPr>
          <w:rFonts w:ascii="Arial" w:cs="Arial" w:eastAsia="Arial" w:hAnsi="Arial"/>
          <w:sz w:val="20"/>
          <w:szCs w:val="20"/>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(i) affect any right that the Administrative Agent, any Issuing Bank or any Lender may otherwise have to bring any action or proceeding relating to this Agreement against the Borrower,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4-A- 105(1)(b), and 5-116(b), UCP 600 Article 3 and ISP98 Rule 2.02, and URDG 758 Article 3(a), 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color w:val="auto"/>
        </w:rPr>
        <w:t>142</w:t>
      </w:r>
    </w:p>
    <w:p>
      <w:pPr>
        <w:sectPr>
          <w:pgSz w:w="11900" w:h="16838" w:orient="portrait"/>
          <w:cols w:equalWidth="0" w:num="1">
            <w:col w:w="11040"/>
          </w:cols>
          <w:pgMar w:left="400" w:top="1440" w:right="459" w:bottom="1440" w:gutter="0" w:footer="0" w:header="0"/>
        </w:sectPr>
      </w:pPr>
    </w:p>
    <w:bookmarkStart w:id="232" w:name="page233"/>
    <w:bookmarkEnd w:id="232"/>
    <w:p>
      <w:pPr>
        <w:spacing w:after="0" w:line="194" w:lineRule="exact"/>
        <w:rPr>
          <w:sz w:val="20"/>
          <w:szCs w:val="20"/>
          <w:color w:val="auto"/>
        </w:rPr>
      </w:pPr>
    </w:p>
    <w:p>
      <w:pPr>
        <w:jc w:val="both"/>
        <w:ind w:left="60" w:right="20" w:hanging="8"/>
        <w:spacing w:after="0" w:line="227" w:lineRule="auto"/>
        <w:tabs>
          <w:tab w:leader="none" w:pos="438" w:val="left"/>
        </w:tabs>
        <w:numPr>
          <w:ilvl w:val="0"/>
          <w:numId w:val="217"/>
        </w:numPr>
        <w:rPr>
          <w:rFonts w:ascii="Arial" w:cs="Arial" w:eastAsia="Arial" w:hAnsi="Arial"/>
          <w:sz w:val="21"/>
          <w:szCs w:val="21"/>
          <w:color w:val="auto"/>
        </w:rPr>
      </w:pPr>
      <w:r>
        <w:rPr>
          <w:rFonts w:ascii="Arial" w:cs="Arial" w:eastAsia="Arial" w:hAnsi="Arial"/>
          <w:sz w:val="21"/>
          <w:szCs w:val="21"/>
          <w:color w:val="auto"/>
        </w:rPr>
        <w:t>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185" w:lineRule="exact"/>
        <w:rPr>
          <w:rFonts w:ascii="Arial" w:cs="Arial" w:eastAsia="Arial" w:hAnsi="Arial"/>
          <w:sz w:val="21"/>
          <w:szCs w:val="21"/>
          <w:color w:val="auto"/>
        </w:rPr>
      </w:pPr>
    </w:p>
    <w:p>
      <w:pPr>
        <w:jc w:val="both"/>
        <w:ind w:left="60" w:firstLine="635"/>
        <w:spacing w:after="0" w:line="224" w:lineRule="auto"/>
        <w:tabs>
          <w:tab w:leader="none" w:pos="1216" w:val="left"/>
        </w:tabs>
        <w:numPr>
          <w:ilvl w:val="1"/>
          <w:numId w:val="217"/>
        </w:numPr>
        <w:rPr>
          <w:rFonts w:ascii="Arial" w:cs="Arial" w:eastAsia="Arial" w:hAnsi="Arial"/>
          <w:sz w:val="21"/>
          <w:szCs w:val="21"/>
          <w:color w:val="auto"/>
        </w:rPr>
      </w:pPr>
      <w:r>
        <w:rPr>
          <w:rFonts w:ascii="Arial" w:cs="Arial" w:eastAsia="Arial" w:hAnsi="Arial"/>
          <w:sz w:val="21"/>
          <w:szCs w:val="21"/>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267" w:lineRule="exact"/>
        <w:rPr>
          <w:rFonts w:ascii="Arial" w:cs="Arial" w:eastAsia="Arial" w:hAnsi="Arial"/>
          <w:sz w:val="21"/>
          <w:szCs w:val="21"/>
          <w:color w:val="auto"/>
        </w:rPr>
      </w:pPr>
    </w:p>
    <w:p>
      <w:pPr>
        <w:jc w:val="both"/>
        <w:ind w:left="60" w:firstLine="635"/>
        <w:spacing w:after="0" w:line="232" w:lineRule="auto"/>
        <w:tabs>
          <w:tab w:leader="none" w:pos="1252" w:val="left"/>
        </w:tabs>
        <w:numPr>
          <w:ilvl w:val="1"/>
          <w:numId w:val="217"/>
        </w:numPr>
        <w:rPr>
          <w:rFonts w:ascii="Arial" w:cs="Arial" w:eastAsia="Arial" w:hAnsi="Arial"/>
          <w:sz w:val="21"/>
          <w:szCs w:val="21"/>
          <w:color w:val="auto"/>
        </w:rPr>
      </w:pPr>
      <w:r>
        <w:rPr>
          <w:rFonts w:ascii="Arial" w:cs="Arial" w:eastAsia="Arial" w:hAnsi="Arial"/>
          <w:sz w:val="21"/>
          <w:szCs w:val="21"/>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98" w:lineRule="exact"/>
        <w:rPr>
          <w:sz w:val="20"/>
          <w:szCs w:val="20"/>
          <w:color w:val="auto"/>
        </w:rPr>
      </w:pPr>
    </w:p>
    <w:p>
      <w:pPr>
        <w:jc w:val="both"/>
        <w:ind w:left="60" w:firstLine="642"/>
        <w:spacing w:after="0" w:line="218"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06" w:lineRule="exact"/>
        <w:rPr>
          <w:sz w:val="20"/>
          <w:szCs w:val="20"/>
          <w:color w:val="auto"/>
        </w:rPr>
      </w:pPr>
    </w:p>
    <w:p>
      <w:pPr>
        <w:jc w:val="both"/>
        <w:ind w:left="60" w:right="20" w:firstLine="642"/>
        <w:spacing w:after="0" w:line="232" w:lineRule="auto"/>
        <w:rPr>
          <w:sz w:val="20"/>
          <w:szCs w:val="20"/>
          <w:color w:val="auto"/>
        </w:rPr>
      </w:pPr>
      <w:r>
        <w:rPr>
          <w:rFonts w:ascii="Arial" w:cs="Arial" w:eastAsia="Arial" w:hAnsi="Arial"/>
          <w:sz w:val="21"/>
          <w:szCs w:val="21"/>
          <w:color w:val="auto"/>
        </w:rPr>
        <w:t xml:space="preserve">SECTION 9.11. </w:t>
      </w:r>
      <w:r>
        <w:rPr>
          <w:rFonts w:ascii="Arial" w:cs="Arial" w:eastAsia="Arial" w:hAnsi="Arial"/>
          <w:sz w:val="21"/>
          <w:szCs w:val="21"/>
          <w:u w:val="single" w:color="auto"/>
          <w:color w:val="auto"/>
        </w:rPr>
        <w:t>Headings</w:t>
      </w:r>
      <w:r>
        <w:rPr>
          <w:rFonts w:ascii="Arial" w:cs="Arial" w:eastAsia="Arial" w:hAnsi="Arial"/>
          <w:sz w:val="21"/>
          <w:szCs w:val="21"/>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4" w:lineRule="exact"/>
        <w:rPr>
          <w:sz w:val="20"/>
          <w:szCs w:val="20"/>
          <w:color w:val="auto"/>
        </w:rPr>
      </w:pPr>
    </w:p>
    <w:p>
      <w:pPr>
        <w:jc w:val="both"/>
        <w:ind w:left="60" w:firstLine="642"/>
        <w:spacing w:after="0" w:line="238"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Administrative Agent, the Issuing Banks and the Lenders agrees to maintain the confidentiality of the Information (as defined below), except that Information may be disclosed (a) to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w:t>
      </w:r>
    </w:p>
    <w:p>
      <w:pPr>
        <w:spacing w:after="0" w:line="3" w:lineRule="exact"/>
        <w:rPr>
          <w:sz w:val="20"/>
          <w:szCs w:val="20"/>
          <w:color w:val="auto"/>
        </w:rPr>
      </w:pPr>
    </w:p>
    <w:p>
      <w:pPr>
        <w:ind w:left="60" w:right="20" w:hanging="8"/>
        <w:spacing w:after="0" w:line="233" w:lineRule="auto"/>
        <w:tabs>
          <w:tab w:leader="none" w:pos="367" w:val="left"/>
        </w:tabs>
        <w:numPr>
          <w:ilvl w:val="0"/>
          <w:numId w:val="218"/>
        </w:numPr>
        <w:rPr>
          <w:rFonts w:ascii="Arial" w:cs="Arial" w:eastAsia="Arial" w:hAnsi="Arial"/>
          <w:sz w:val="21"/>
          <w:szCs w:val="21"/>
          <w:color w:val="auto"/>
        </w:rPr>
      </w:pPr>
      <w:r>
        <w:rPr>
          <w:rFonts w:ascii="Arial" w:cs="Arial" w:eastAsia="Arial" w:hAnsi="Arial"/>
          <w:sz w:val="21"/>
          <w:szCs w:val="21"/>
          <w:color w:val="auto"/>
        </w:rPr>
        <w:t>in connection with the exercise of any remedies under this Agreement or any other Loan Document or any suit, action or proceeding relating to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1"/>
          <w:szCs w:val="21"/>
          <w:color w:val="auto"/>
        </w:rPr>
        <w:t>143</w:t>
      </w:r>
    </w:p>
    <w:p>
      <w:pPr>
        <w:sectPr>
          <w:pgSz w:w="11900" w:h="16838" w:orient="portrait"/>
          <w:cols w:equalWidth="0" w:num="1">
            <w:col w:w="11040"/>
          </w:cols>
          <w:pgMar w:left="400" w:top="1440" w:right="459" w:bottom="1440" w:gutter="0" w:footer="0" w:header="0"/>
        </w:sectPr>
      </w:pPr>
    </w:p>
    <w:bookmarkStart w:id="233" w:name="page234"/>
    <w:bookmarkEnd w:id="233"/>
    <w:p>
      <w:pPr>
        <w:spacing w:after="0" w:line="194" w:lineRule="exact"/>
        <w:rPr>
          <w:sz w:val="20"/>
          <w:szCs w:val="20"/>
          <w:color w:val="auto"/>
        </w:rPr>
      </w:pPr>
    </w:p>
    <w:p>
      <w:pPr>
        <w:jc w:val="both"/>
        <w:ind w:left="60"/>
        <w:spacing w:after="0" w:line="215" w:lineRule="auto"/>
        <w:rPr>
          <w:sz w:val="20"/>
          <w:szCs w:val="20"/>
          <w:color w:val="auto"/>
        </w:rPr>
      </w:pPr>
      <w:r>
        <w:rPr>
          <w:rFonts w:ascii="Arial" w:cs="Arial" w:eastAsia="Arial" w:hAnsi="Arial"/>
          <w:sz w:val="21"/>
          <w:szCs w:val="21"/>
          <w:color w:val="auto"/>
        </w:rPr>
        <w:t>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w:t>
      </w:r>
    </w:p>
    <w:p>
      <w:pPr>
        <w:spacing w:after="0" w:line="5" w:lineRule="exact"/>
        <w:rPr>
          <w:sz w:val="20"/>
          <w:szCs w:val="20"/>
          <w:color w:val="auto"/>
        </w:rPr>
      </w:pPr>
    </w:p>
    <w:p>
      <w:pPr>
        <w:jc w:val="both"/>
        <w:ind w:left="60" w:hanging="8"/>
        <w:spacing w:after="0" w:line="227" w:lineRule="auto"/>
        <w:tabs>
          <w:tab w:leader="none" w:pos="5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with the consent of the Borrower or (i) to the extent such Information (i) becomes publicly available other than as a result of a breach of this Section or (ii) becomes available to the Administrative Agent, any Issuing Bank or any Lender on a non-confidential basis from a source other than the Borrower. For the purposes of this Section, “</w:t>
      </w:r>
      <w:r>
        <w:rPr>
          <w:rFonts w:ascii="Arial" w:cs="Arial" w:eastAsia="Arial" w:hAnsi="Arial"/>
          <w:sz w:val="20"/>
          <w:szCs w:val="20"/>
          <w:b w:val="1"/>
          <w:bCs w:val="1"/>
          <w:i w:val="1"/>
          <w:iCs w:val="1"/>
          <w:color w:val="auto"/>
        </w:rPr>
        <w:t>Information</w:t>
      </w:r>
      <w:r>
        <w:rPr>
          <w:rFonts w:ascii="Arial" w:cs="Arial" w:eastAsia="Arial" w:hAnsi="Arial"/>
          <w:sz w:val="20"/>
          <w:szCs w:val="20"/>
          <w:color w:val="auto"/>
        </w:rPr>
        <w:t xml:space="preserve">” means all information received from the Borrower relating to the Borrower or its business, other than any such information that is available to the Administrative Agent, any Issuing Bank or any Lender on a non-confidential basis prior to disclosure by the Borrower and other than information pertaining to this Agreement routinely provided by arrangers to data service providers, including league table providers, that serve the lending industry;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0"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9.13.</w:t>
      </w:r>
      <w:r>
        <w:rPr>
          <w:sz w:val="20"/>
          <w:szCs w:val="20"/>
          <w:color w:val="auto"/>
        </w:rPr>
        <w:tab/>
      </w:r>
      <w:r>
        <w:rPr>
          <w:rFonts w:ascii="Arial" w:cs="Arial" w:eastAsia="Arial" w:hAnsi="Arial"/>
          <w:sz w:val="20"/>
          <w:szCs w:val="20"/>
          <w:u w:val="single" w:color="auto"/>
          <w:color w:val="auto"/>
        </w:rPr>
        <w:t>Material Non-Public Information</w:t>
      </w:r>
      <w:r>
        <w:rPr>
          <w:rFonts w:ascii="Arial" w:cs="Arial" w:eastAsia="Arial" w:hAnsi="Arial"/>
          <w:sz w:val="20"/>
          <w:szCs w:val="20"/>
          <w:color w:val="auto"/>
        </w:rPr>
        <w:t>.</w:t>
      </w:r>
    </w:p>
    <w:p>
      <w:pPr>
        <w:spacing w:after="0" w:line="214" w:lineRule="exact"/>
        <w:rPr>
          <w:sz w:val="20"/>
          <w:szCs w:val="20"/>
          <w:color w:val="auto"/>
        </w:rPr>
      </w:pPr>
    </w:p>
    <w:p>
      <w:pPr>
        <w:jc w:val="both"/>
        <w:ind w:left="60" w:firstLine="635"/>
        <w:spacing w:after="0" w:line="234" w:lineRule="auto"/>
        <w:tabs>
          <w:tab w:leader="none" w:pos="1212" w:val="left"/>
        </w:tabs>
        <w:numPr>
          <w:ilvl w:val="0"/>
          <w:numId w:val="220"/>
        </w:numPr>
        <w:rPr>
          <w:rFonts w:ascii="Arial" w:cs="Arial" w:eastAsia="Arial" w:hAnsi="Arial"/>
          <w:sz w:val="20"/>
          <w:szCs w:val="20"/>
          <w:color w:val="auto"/>
        </w:rPr>
      </w:pPr>
      <w:r>
        <w:rPr>
          <w:rFonts w:ascii="Arial" w:cs="Arial" w:eastAsia="Arial" w:hAnsi="Arial"/>
          <w:sz w:val="20"/>
          <w:szCs w:val="20"/>
          <w:color w:val="auto"/>
        </w:rPr>
        <w:t>EACH LENDER ACKNOWLEDGES THAT INFORMATION AS DEFINED IN SECTION 9.12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 PUBLIC INFORMATION IN ACCORDANCE WITH THOSE PROCEDURES AND APPLICABLE LAW, INCLUDING FEDERAL AND STATE SECURITIES LAWS.</w:t>
      </w:r>
    </w:p>
    <w:p>
      <w:pPr>
        <w:spacing w:after="0" w:line="196" w:lineRule="exact"/>
        <w:rPr>
          <w:rFonts w:ascii="Arial" w:cs="Arial" w:eastAsia="Arial" w:hAnsi="Arial"/>
          <w:sz w:val="20"/>
          <w:szCs w:val="20"/>
          <w:color w:val="auto"/>
        </w:rPr>
      </w:pPr>
    </w:p>
    <w:p>
      <w:pPr>
        <w:jc w:val="both"/>
        <w:ind w:left="60" w:firstLine="635"/>
        <w:spacing w:after="0" w:line="231" w:lineRule="auto"/>
        <w:tabs>
          <w:tab w:leader="none" w:pos="1238" w:val="left"/>
        </w:tabs>
        <w:numPr>
          <w:ilvl w:val="0"/>
          <w:numId w:val="220"/>
        </w:numPr>
        <w:rPr>
          <w:rFonts w:ascii="Arial" w:cs="Arial" w:eastAsia="Arial" w:hAnsi="Arial"/>
          <w:sz w:val="20"/>
          <w:szCs w:val="20"/>
          <w:color w:val="auto"/>
        </w:rPr>
      </w:pPr>
      <w:r>
        <w:rPr>
          <w:rFonts w:ascii="Arial" w:cs="Arial" w:eastAsia="Arial" w:hAnsi="Arial"/>
          <w:sz w:val="20"/>
          <w:szCs w:val="20"/>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color w:val="auto"/>
        </w:rPr>
        <w:t>144</w:t>
      </w:r>
    </w:p>
    <w:p>
      <w:pPr>
        <w:sectPr>
          <w:pgSz w:w="11900" w:h="16838" w:orient="portrait"/>
          <w:cols w:equalWidth="0" w:num="1">
            <w:col w:w="11040"/>
          </w:cols>
          <w:pgMar w:left="400" w:top="1440" w:right="459" w:bottom="1440" w:gutter="0" w:footer="0" w:header="0"/>
        </w:sectPr>
      </w:pPr>
    </w:p>
    <w:bookmarkStart w:id="234" w:name="page235"/>
    <w:bookmarkEnd w:id="234"/>
    <w:p>
      <w:pPr>
        <w:spacing w:after="0" w:line="194" w:lineRule="exact"/>
        <w:rPr>
          <w:sz w:val="20"/>
          <w:szCs w:val="20"/>
          <w:color w:val="auto"/>
        </w:rPr>
      </w:pPr>
    </w:p>
    <w:p>
      <w:pPr>
        <w:jc w:val="both"/>
        <w:ind w:left="60" w:firstLine="642"/>
        <w:spacing w:after="0" w:line="237" w:lineRule="auto"/>
        <w:rPr>
          <w:sz w:val="20"/>
          <w:szCs w:val="20"/>
          <w:color w:val="auto"/>
        </w:rPr>
      </w:pPr>
      <w:r>
        <w:rPr>
          <w:rFonts w:ascii="Arial" w:cs="Arial" w:eastAsia="Arial" w:hAnsi="Arial"/>
          <w:sz w:val="19"/>
          <w:szCs w:val="19"/>
          <w:color w:val="auto"/>
        </w:rPr>
        <w:t xml:space="preserve">SECTION 9.14.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9"/>
          <w:szCs w:val="19"/>
          <w:b w:val="1"/>
          <w:bCs w:val="1"/>
          <w:i w:val="1"/>
          <w:iCs w:val="1"/>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b w:val="1"/>
          <w:bCs w:val="1"/>
          <w:i w:val="1"/>
          <w:iCs w:val="1"/>
          <w:color w:val="auto"/>
        </w:rPr>
        <w:t>Maximum Rate</w:t>
      </w:r>
      <w:r>
        <w:rPr>
          <w:rFonts w:ascii="Arial" w:cs="Arial" w:eastAsia="Arial" w:hAnsi="Arial"/>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1"/>
          <w:szCs w:val="21"/>
          <w:color w:val="auto"/>
        </w:rPr>
        <w:t>such Lender.</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5290820</wp:posOffset>
            </wp:positionH>
            <wp:positionV relativeFrom="paragraph">
              <wp:posOffset>-14605</wp:posOffset>
            </wp:positionV>
            <wp:extent cx="508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29" w:lineRule="exact"/>
        <w:rPr>
          <w:sz w:val="20"/>
          <w:szCs w:val="20"/>
          <w:color w:val="auto"/>
        </w:rPr>
      </w:pPr>
    </w:p>
    <w:p>
      <w:pPr>
        <w:jc w:val="both"/>
        <w:ind w:left="60" w:firstLine="642"/>
        <w:spacing w:after="0" w:line="229" w:lineRule="auto"/>
        <w:rPr>
          <w:sz w:val="20"/>
          <w:szCs w:val="20"/>
          <w:color w:val="auto"/>
        </w:rPr>
      </w:pPr>
      <w:r>
        <w:rPr>
          <w:rFonts w:ascii="Arial" w:cs="Arial" w:eastAsia="Arial" w:hAnsi="Arial"/>
          <w:sz w:val="20"/>
          <w:szCs w:val="20"/>
          <w:color w:val="auto"/>
        </w:rPr>
        <w:t xml:space="preserve">SECTION 9.15. </w:t>
      </w:r>
      <w:r>
        <w:rPr>
          <w:rFonts w:ascii="Arial" w:cs="Arial" w:eastAsia="Arial" w:hAnsi="Arial"/>
          <w:sz w:val="20"/>
          <w:szCs w:val="20"/>
          <w:u w:val="single" w:color="auto"/>
          <w:color w:val="auto"/>
        </w:rPr>
        <w:t>No Fiduciary Duty, etc</w:t>
      </w:r>
      <w:r>
        <w:rPr>
          <w:rFonts w:ascii="Arial" w:cs="Arial" w:eastAsia="Arial" w:hAnsi="Arial"/>
          <w:sz w:val="20"/>
          <w:szCs w:val="20"/>
          <w:color w:val="auto"/>
        </w:rPr>
        <w:t>. (a)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187" w:lineRule="exact"/>
        <w:rPr>
          <w:sz w:val="20"/>
          <w:szCs w:val="20"/>
          <w:color w:val="auto"/>
        </w:rPr>
      </w:pPr>
    </w:p>
    <w:p>
      <w:pPr>
        <w:jc w:val="both"/>
        <w:ind w:left="60" w:firstLine="635"/>
        <w:spacing w:after="0" w:line="219" w:lineRule="auto"/>
        <w:tabs>
          <w:tab w:leader="none" w:pos="1297" w:val="left"/>
        </w:tabs>
        <w:numPr>
          <w:ilvl w:val="0"/>
          <w:numId w:val="221"/>
        </w:numPr>
        <w:rPr>
          <w:rFonts w:ascii="Arial" w:cs="Arial" w:eastAsia="Arial" w:hAnsi="Arial"/>
          <w:sz w:val="21"/>
          <w:szCs w:val="21"/>
          <w:color w:val="auto"/>
        </w:rPr>
      </w:pPr>
      <w:r>
        <w:rPr>
          <w:rFonts w:ascii="Arial" w:cs="Arial" w:eastAsia="Arial" w:hAnsi="Arial"/>
          <w:sz w:val="21"/>
          <w:szCs w:val="21"/>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8" w:lineRule="exact"/>
        <w:rPr>
          <w:rFonts w:ascii="Arial" w:cs="Arial" w:eastAsia="Arial" w:hAnsi="Arial"/>
          <w:sz w:val="21"/>
          <w:szCs w:val="21"/>
          <w:color w:val="auto"/>
        </w:rPr>
      </w:pPr>
    </w:p>
    <w:p>
      <w:pPr>
        <w:jc w:val="both"/>
        <w:ind w:left="60" w:firstLine="635"/>
        <w:spacing w:after="0" w:line="222" w:lineRule="auto"/>
        <w:tabs>
          <w:tab w:leader="none" w:pos="1205" w:val="left"/>
        </w:tabs>
        <w:numPr>
          <w:ilvl w:val="0"/>
          <w:numId w:val="221"/>
        </w:numPr>
        <w:rPr>
          <w:rFonts w:ascii="Arial" w:cs="Arial" w:eastAsia="Arial" w:hAnsi="Arial"/>
          <w:sz w:val="21"/>
          <w:szCs w:val="21"/>
          <w:color w:val="auto"/>
        </w:rPr>
      </w:pPr>
      <w:r>
        <w:rPr>
          <w:rFonts w:ascii="Arial" w:cs="Arial" w:eastAsia="Arial" w:hAnsi="Arial"/>
          <w:sz w:val="21"/>
          <w:szCs w:val="21"/>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or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or its Subsidiaries in connection with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color w:val="auto"/>
        </w:rPr>
        <w:t>145</w:t>
      </w:r>
    </w:p>
    <w:p>
      <w:pPr>
        <w:sectPr>
          <w:pgSz w:w="11900" w:h="16838" w:orient="portrait"/>
          <w:cols w:equalWidth="0" w:num="1">
            <w:col w:w="11040"/>
          </w:cols>
          <w:pgMar w:left="400" w:top="1440" w:right="459" w:bottom="1440" w:gutter="0" w:footer="0" w:header="0"/>
        </w:sectPr>
      </w:pPr>
    </w:p>
    <w:bookmarkStart w:id="235" w:name="page236"/>
    <w:bookmarkEnd w:id="235"/>
    <w:p>
      <w:pPr>
        <w:spacing w:after="0" w:line="194" w:lineRule="exact"/>
        <w:rPr>
          <w:sz w:val="20"/>
          <w:szCs w:val="20"/>
          <w:color w:val="auto"/>
        </w:rPr>
      </w:pPr>
    </w:p>
    <w:p>
      <w:pPr>
        <w:jc w:val="both"/>
        <w:ind w:left="133" w:right="120"/>
        <w:spacing w:after="0" w:line="227" w:lineRule="auto"/>
        <w:rPr>
          <w:sz w:val="20"/>
          <w:szCs w:val="20"/>
          <w:color w:val="auto"/>
        </w:rPr>
      </w:pPr>
      <w:r>
        <w:rPr>
          <w:rFonts w:ascii="Arial" w:cs="Arial" w:eastAsia="Arial" w:hAnsi="Arial"/>
          <w:sz w:val="21"/>
          <w:szCs w:val="21"/>
          <w:color w:val="auto"/>
        </w:rPr>
        <w:t>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186" w:lineRule="exact"/>
        <w:rPr>
          <w:sz w:val="20"/>
          <w:szCs w:val="20"/>
          <w:color w:val="auto"/>
        </w:rPr>
      </w:pPr>
    </w:p>
    <w:p>
      <w:pPr>
        <w:jc w:val="both"/>
        <w:ind w:left="133" w:right="120" w:firstLine="642"/>
        <w:spacing w:after="0" w:line="255" w:lineRule="auto"/>
        <w:rPr>
          <w:sz w:val="20"/>
          <w:szCs w:val="20"/>
          <w:color w:val="auto"/>
        </w:rPr>
      </w:pPr>
      <w:r>
        <w:rPr>
          <w:rFonts w:ascii="Arial" w:cs="Arial" w:eastAsia="Arial" w:hAnsi="Arial"/>
          <w:sz w:val="19"/>
          <w:szCs w:val="19"/>
          <w:color w:val="auto"/>
        </w:rPr>
        <w:t xml:space="preserve">SECTION 9.16.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Lender that is subject to the requirements of the USA PATRIOT Act of 2001 (the “</w:t>
      </w:r>
      <w:r>
        <w:rPr>
          <w:rFonts w:ascii="Arial" w:cs="Arial" w:eastAsia="Arial" w:hAnsi="Arial"/>
          <w:sz w:val="19"/>
          <w:szCs w:val="19"/>
          <w:b w:val="1"/>
          <w:bCs w:val="1"/>
          <w:i w:val="1"/>
          <w:iCs w:val="1"/>
          <w:color w:val="auto"/>
        </w:rPr>
        <w:t>Patriot Act</w:t>
      </w:r>
      <w:r>
        <w:rPr>
          <w:rFonts w:ascii="Arial" w:cs="Arial" w:eastAsia="Arial" w:hAnsi="Arial"/>
          <w:sz w:val="19"/>
          <w:szCs w:val="19"/>
          <w:color w:val="auto"/>
        </w:rPr>
        <w: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184" w:lineRule="exact"/>
        <w:rPr>
          <w:sz w:val="20"/>
          <w:szCs w:val="20"/>
          <w:color w:val="auto"/>
        </w:rPr>
      </w:pPr>
    </w:p>
    <w:p>
      <w:pPr>
        <w:jc w:val="both"/>
        <w:ind w:left="133" w:right="120" w:firstLine="642"/>
        <w:spacing w:after="0" w:line="224" w:lineRule="auto"/>
        <w:rPr>
          <w:sz w:val="20"/>
          <w:szCs w:val="20"/>
          <w:color w:val="auto"/>
        </w:rPr>
      </w:pPr>
      <w:r>
        <w:rPr>
          <w:rFonts w:ascii="Arial" w:cs="Arial" w:eastAsia="Arial" w:hAnsi="Arial"/>
          <w:sz w:val="21"/>
          <w:szCs w:val="21"/>
          <w:color w:val="auto"/>
        </w:rPr>
        <w:t xml:space="preserve">SECTION 9.17. </w:t>
      </w:r>
      <w:r>
        <w:rPr>
          <w:rFonts w:ascii="Arial" w:cs="Arial" w:eastAsia="Arial" w:hAnsi="Arial"/>
          <w:sz w:val="21"/>
          <w:szCs w:val="21"/>
          <w:u w:val="single" w:color="auto"/>
          <w:color w:val="auto"/>
        </w:rPr>
        <w:t>Acknowledgment and Consent to Bail-In of Affected Financial Institutions</w:t>
      </w:r>
      <w:r>
        <w:rPr>
          <w:rFonts w:ascii="Arial" w:cs="Arial" w:eastAsia="Arial" w:hAnsi="Arial"/>
          <w:sz w:val="21"/>
          <w:szCs w:val="21"/>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ind w:left="133" w:right="140" w:firstLine="635"/>
        <w:spacing w:after="0" w:line="268" w:lineRule="auto"/>
        <w:tabs>
          <w:tab w:leader="none" w:pos="1307" w:val="left"/>
        </w:tabs>
        <w:numPr>
          <w:ilvl w:val="1"/>
          <w:numId w:val="222"/>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6" w:lineRule="exact"/>
        <w:rPr>
          <w:rFonts w:ascii="Arial" w:cs="Arial" w:eastAsia="Arial" w:hAnsi="Arial"/>
          <w:sz w:val="20"/>
          <w:szCs w:val="20"/>
          <w:color w:val="auto"/>
        </w:rPr>
      </w:pPr>
    </w:p>
    <w:p>
      <w:pPr>
        <w:ind w:left="4053" w:hanging="466"/>
        <w:spacing w:after="0"/>
        <w:tabs>
          <w:tab w:leader="none" w:pos="4053" w:val="left"/>
        </w:tabs>
        <w:numPr>
          <w:ilvl w:val="3"/>
          <w:numId w:val="222"/>
        </w:numPr>
        <w:rPr>
          <w:rFonts w:ascii="Arial" w:cs="Arial" w:eastAsia="Arial" w:hAnsi="Arial"/>
          <w:sz w:val="21"/>
          <w:szCs w:val="21"/>
          <w:color w:val="auto"/>
        </w:rPr>
      </w:pPr>
      <w:r>
        <w:rPr>
          <w:rFonts w:ascii="Arial" w:cs="Arial" w:eastAsia="Arial" w:hAnsi="Arial"/>
          <w:sz w:val="21"/>
          <w:szCs w:val="21"/>
          <w:color w:val="auto"/>
        </w:rPr>
        <w:t>the effects of any Bail-In Action on any such liability, including, if applicable:</w:t>
      </w:r>
    </w:p>
    <w:p>
      <w:pPr>
        <w:spacing w:after="0" w:line="227" w:lineRule="exact"/>
        <w:rPr>
          <w:rFonts w:ascii="Arial" w:cs="Arial" w:eastAsia="Arial" w:hAnsi="Arial"/>
          <w:sz w:val="21"/>
          <w:szCs w:val="21"/>
          <w:color w:val="auto"/>
        </w:rPr>
      </w:pPr>
    </w:p>
    <w:p>
      <w:pPr>
        <w:ind w:left="413" w:hanging="413"/>
        <w:spacing w:after="0"/>
        <w:tabs>
          <w:tab w:leader="none" w:pos="413" w:val="left"/>
        </w:tabs>
        <w:numPr>
          <w:ilvl w:val="0"/>
          <w:numId w:val="223"/>
        </w:numPr>
        <w:rPr>
          <w:rFonts w:ascii="Arial" w:cs="Arial" w:eastAsia="Arial" w:hAnsi="Arial"/>
          <w:sz w:val="21"/>
          <w:szCs w:val="21"/>
          <w:color w:val="auto"/>
        </w:rPr>
      </w:pPr>
      <w:r>
        <w:rPr>
          <w:rFonts w:ascii="Arial" w:cs="Arial" w:eastAsia="Arial" w:hAnsi="Arial"/>
          <w:sz w:val="21"/>
          <w:szCs w:val="21"/>
          <w:color w:val="auto"/>
        </w:rPr>
        <w:t>a reduction in full or in part or cancellation of any such liability;</w:t>
      </w:r>
    </w:p>
    <w:p>
      <w:pPr>
        <w:spacing w:after="0" w:line="227" w:lineRule="exact"/>
        <w:rPr>
          <w:rFonts w:ascii="Arial" w:cs="Arial" w:eastAsia="Arial" w:hAnsi="Arial"/>
          <w:sz w:val="21"/>
          <w:szCs w:val="21"/>
          <w:color w:val="auto"/>
        </w:rPr>
      </w:pPr>
    </w:p>
    <w:p>
      <w:pPr>
        <w:jc w:val="both"/>
        <w:ind w:left="773" w:firstLine="1283"/>
        <w:spacing w:after="0" w:line="227" w:lineRule="auto"/>
        <w:tabs>
          <w:tab w:leader="none" w:pos="2610" w:val="left"/>
        </w:tabs>
        <w:numPr>
          <w:ilvl w:val="2"/>
          <w:numId w:val="223"/>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5" w:lineRule="exact"/>
        <w:rPr>
          <w:rFonts w:ascii="Arial" w:cs="Arial" w:eastAsia="Arial" w:hAnsi="Arial"/>
          <w:sz w:val="21"/>
          <w:szCs w:val="21"/>
          <w:color w:val="auto"/>
        </w:rPr>
      </w:pPr>
    </w:p>
    <w:p>
      <w:pPr>
        <w:ind w:left="773" w:right="140" w:firstLine="1283"/>
        <w:spacing w:after="0" w:line="244" w:lineRule="auto"/>
        <w:tabs>
          <w:tab w:leader="none" w:pos="2633" w:val="left"/>
        </w:tabs>
        <w:numPr>
          <w:ilvl w:val="2"/>
          <w:numId w:val="223"/>
        </w:numPr>
        <w:rPr>
          <w:rFonts w:ascii="Arial" w:cs="Arial" w:eastAsia="Arial" w:hAnsi="Arial"/>
          <w:sz w:val="21"/>
          <w:szCs w:val="21"/>
          <w:color w:val="auto"/>
        </w:rPr>
      </w:pPr>
      <w:r>
        <w:rPr>
          <w:rFonts w:ascii="Arial" w:cs="Arial" w:eastAsia="Arial" w:hAnsi="Arial"/>
          <w:sz w:val="21"/>
          <w:szCs w:val="21"/>
          <w:color w:val="auto"/>
        </w:rPr>
        <w:t>the variation of the terms of such liability in connection with the exercise of the Write-Down and Conversion Powers of the applicable Resolution Authority.</w:t>
      </w:r>
    </w:p>
    <w:p>
      <w:pPr>
        <w:spacing w:after="0" w:line="193" w:lineRule="exact"/>
        <w:rPr>
          <w:sz w:val="20"/>
          <w:szCs w:val="20"/>
          <w:color w:val="auto"/>
        </w:rPr>
      </w:pPr>
    </w:p>
    <w:p>
      <w:pPr>
        <w:jc w:val="both"/>
        <w:ind w:left="133" w:right="120" w:firstLine="642"/>
        <w:spacing w:after="0"/>
        <w:rPr>
          <w:sz w:val="20"/>
          <w:szCs w:val="20"/>
          <w:color w:val="auto"/>
        </w:rPr>
      </w:pPr>
      <w:r>
        <w:rPr>
          <w:rFonts w:ascii="Arial" w:cs="Arial" w:eastAsia="Arial" w:hAnsi="Arial"/>
          <w:sz w:val="19"/>
          <w:szCs w:val="19"/>
          <w:color w:val="auto"/>
        </w:rPr>
        <w:t xml:space="preserve">SECTION 9.18. </w:t>
      </w:r>
      <w:r>
        <w:rPr>
          <w:rFonts w:ascii="Arial" w:cs="Arial" w:eastAsia="Arial" w:hAnsi="Arial"/>
          <w:sz w:val="19"/>
          <w:szCs w:val="19"/>
          <w:u w:val="single" w:color="auto"/>
          <w:color w:val="auto"/>
        </w:rPr>
        <w:t>Acknowledgment Regarding Any Supported QFCs</w:t>
      </w:r>
      <w:r>
        <w:rPr>
          <w:rFonts w:ascii="Arial" w:cs="Arial" w:eastAsia="Arial" w:hAnsi="Arial"/>
          <w:sz w:val="19"/>
          <w:szCs w:val="19"/>
          <w:color w:val="auto"/>
        </w:rPr>
        <w:t>. To the extent that the Loan Documents provide support, through a guarantee or otherwise, for Swap Agreements or any other agreement or instrument that is a QFC (such support “</w:t>
      </w:r>
      <w:r>
        <w:rPr>
          <w:rFonts w:ascii="Arial" w:cs="Arial" w:eastAsia="Arial" w:hAnsi="Arial"/>
          <w:sz w:val="19"/>
          <w:szCs w:val="19"/>
          <w:b w:val="1"/>
          <w:bCs w:val="1"/>
          <w:i w:val="1"/>
          <w:iCs w:val="1"/>
          <w:color w:val="auto"/>
        </w:rPr>
        <w:t>QFC Credit Support</w:t>
      </w:r>
      <w:r>
        <w:rPr>
          <w:rFonts w:ascii="Arial" w:cs="Arial" w:eastAsia="Arial" w:hAnsi="Arial"/>
          <w:sz w:val="19"/>
          <w:szCs w:val="19"/>
          <w:color w:val="auto"/>
        </w:rPr>
        <w:t>” and each such QFC a “</w:t>
      </w:r>
      <w:r>
        <w:rPr>
          <w:rFonts w:ascii="Arial" w:cs="Arial" w:eastAsia="Arial" w:hAnsi="Arial"/>
          <w:sz w:val="19"/>
          <w:szCs w:val="19"/>
          <w:b w:val="1"/>
          <w:bCs w:val="1"/>
          <w:i w:val="1"/>
          <w:iCs w:val="1"/>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w:t>
      </w:r>
    </w:p>
    <w:p>
      <w:pPr>
        <w:spacing w:after="0" w:line="2" w:lineRule="exact"/>
        <w:rPr>
          <w:sz w:val="20"/>
          <w:szCs w:val="20"/>
          <w:color w:val="auto"/>
        </w:rPr>
      </w:pPr>
    </w:p>
    <w:p>
      <w:pPr>
        <w:jc w:val="both"/>
        <w:ind w:left="133" w:right="120" w:hanging="8"/>
        <w:spacing w:after="0" w:line="234" w:lineRule="auto"/>
        <w:tabs>
          <w:tab w:leader="none" w:pos="338" w:val="left"/>
        </w:tabs>
        <w:numPr>
          <w:ilvl w:val="0"/>
          <w:numId w:val="224"/>
        </w:numPr>
        <w:rPr>
          <w:rFonts w:ascii="Arial" w:cs="Arial" w:eastAsia="Arial" w:hAnsi="Arial"/>
          <w:sz w:val="20"/>
          <w:szCs w:val="20"/>
          <w:color w:val="auto"/>
        </w:rPr>
      </w:pPr>
      <w:r>
        <w:rPr>
          <w:rFonts w:ascii="Arial" w:cs="Arial" w:eastAsia="Arial" w:hAnsi="Arial"/>
          <w:sz w:val="20"/>
          <w:szCs w:val="20"/>
          <w:color w:val="auto"/>
        </w:rPr>
        <w:t>of the Dodd-Frank Wall Street Reform and Consumer Protection Act (together with the regulations promulgated thereunder, the “</w:t>
      </w:r>
      <w:r>
        <w:rPr>
          <w:rFonts w:ascii="Arial" w:cs="Arial" w:eastAsia="Arial" w:hAnsi="Arial"/>
          <w:sz w:val="20"/>
          <w:szCs w:val="20"/>
          <w:b w:val="1"/>
          <w:bCs w:val="1"/>
          <w:i w:val="1"/>
          <w:iCs w:val="1"/>
          <w:color w:val="auto"/>
        </w:rPr>
        <w:t>U.S. Special Resolution Regimes</w:t>
      </w:r>
      <w:r>
        <w:rPr>
          <w:rFonts w:ascii="Arial" w:cs="Arial" w:eastAsia="Arial" w:hAnsi="Arial"/>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3"/>
        <w:spacing w:after="0"/>
        <w:rPr>
          <w:sz w:val="20"/>
          <w:szCs w:val="20"/>
          <w:color w:val="auto"/>
        </w:rPr>
      </w:pPr>
      <w:r>
        <w:rPr>
          <w:rFonts w:ascii="Arial" w:cs="Arial" w:eastAsia="Arial" w:hAnsi="Arial"/>
          <w:sz w:val="21"/>
          <w:szCs w:val="21"/>
          <w:color w:val="auto"/>
        </w:rPr>
        <w:t>146</w:t>
      </w:r>
    </w:p>
    <w:p>
      <w:pPr>
        <w:sectPr>
          <w:pgSz w:w="11900" w:h="16838" w:orient="portrait"/>
          <w:cols w:equalWidth="0" w:num="1">
            <w:col w:w="11233"/>
          </w:cols>
          <w:pgMar w:left="327" w:top="1440" w:right="339" w:bottom="1440" w:gutter="0" w:footer="0" w:header="0"/>
        </w:sectPr>
      </w:pPr>
    </w:p>
    <w:bookmarkStart w:id="236" w:name="page237"/>
    <w:bookmarkEnd w:id="236"/>
    <w:p>
      <w:pPr>
        <w:spacing w:after="0" w:line="194" w:lineRule="exact"/>
        <w:rPr>
          <w:sz w:val="20"/>
          <w:szCs w:val="20"/>
          <w:color w:val="auto"/>
        </w:rPr>
      </w:pPr>
    </w:p>
    <w:p>
      <w:pPr>
        <w:jc w:val="both"/>
        <w:ind w:left="60" w:firstLine="642"/>
        <w:spacing w:after="0"/>
        <w:rPr>
          <w:sz w:val="20"/>
          <w:szCs w:val="20"/>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b w:val="1"/>
          <w:bCs w:val="1"/>
          <w:i w:val="1"/>
          <w:iCs w:val="1"/>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9" w:lineRule="exact"/>
        <w:rPr>
          <w:sz w:val="20"/>
          <w:szCs w:val="20"/>
          <w:color w:val="auto"/>
        </w:rPr>
      </w:pPr>
    </w:p>
    <w:p>
      <w:pPr>
        <w:ind w:left="700"/>
        <w:spacing w:after="0"/>
        <w:tabs>
          <w:tab w:leader="none" w:pos="2280" w:val="left"/>
        </w:tabs>
        <w:rPr>
          <w:sz w:val="20"/>
          <w:szCs w:val="20"/>
          <w:color w:val="auto"/>
        </w:rPr>
      </w:pPr>
      <w:r>
        <w:rPr>
          <w:rFonts w:ascii="Arial" w:cs="Arial" w:eastAsia="Arial" w:hAnsi="Arial"/>
          <w:sz w:val="21"/>
          <w:szCs w:val="21"/>
          <w:color w:val="auto"/>
        </w:rPr>
        <w:t>SECTION 9.19.</w:t>
      </w:r>
      <w:r>
        <w:rPr>
          <w:sz w:val="20"/>
          <w:szCs w:val="20"/>
          <w:color w:val="auto"/>
        </w:rPr>
        <w:tab/>
      </w:r>
      <w:r>
        <w:rPr>
          <w:rFonts w:ascii="Arial" w:cs="Arial" w:eastAsia="Arial" w:hAnsi="Arial"/>
          <w:sz w:val="19"/>
          <w:szCs w:val="19"/>
          <w:u w:val="single" w:color="auto"/>
          <w:color w:val="auto"/>
        </w:rPr>
        <w:t>Releases of Subsidiary Guarantors</w:t>
      </w:r>
      <w:r>
        <w:rPr>
          <w:rFonts w:ascii="Arial" w:cs="Arial" w:eastAsia="Arial" w:hAnsi="Arial"/>
          <w:sz w:val="19"/>
          <w:szCs w:val="19"/>
          <w:color w:val="auto"/>
        </w:rPr>
        <w:t>.</w:t>
      </w:r>
    </w:p>
    <w:p>
      <w:pPr>
        <w:spacing w:after="0" w:line="214" w:lineRule="exact"/>
        <w:rPr>
          <w:sz w:val="20"/>
          <w:szCs w:val="20"/>
          <w:color w:val="auto"/>
        </w:rPr>
      </w:pPr>
    </w:p>
    <w:p>
      <w:pPr>
        <w:jc w:val="both"/>
        <w:ind w:left="60" w:firstLine="1278"/>
        <w:spacing w:after="0" w:line="220" w:lineRule="auto"/>
        <w:tabs>
          <w:tab w:leader="none" w:pos="1809" w:val="left"/>
        </w:tabs>
        <w:numPr>
          <w:ilvl w:val="0"/>
          <w:numId w:val="225"/>
        </w:numPr>
        <w:rPr>
          <w:rFonts w:ascii="Arial" w:cs="Arial" w:eastAsia="Arial" w:hAnsi="Arial"/>
          <w:sz w:val="21"/>
          <w:szCs w:val="21"/>
          <w:color w:val="auto"/>
        </w:rPr>
      </w:pPr>
      <w:r>
        <w:rPr>
          <w:rFonts w:ascii="Arial" w:cs="Arial" w:eastAsia="Arial" w:hAnsi="Arial"/>
          <w:sz w:val="21"/>
          <w:szCs w:val="21"/>
          <w:color w:val="auto"/>
        </w:rPr>
        <w:t xml:space="preserve">A Subsidiary Guarantor shall automatically be released from its obligations under the Subsidiary Guaranty upon the consummation of any transaction permitted by this Agreement as a result of which such Subsidiary Guarantor ceases to be a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99" w:lineRule="exact"/>
        <w:rPr>
          <w:rFonts w:ascii="Arial" w:cs="Arial" w:eastAsia="Arial" w:hAnsi="Arial"/>
          <w:sz w:val="21"/>
          <w:szCs w:val="21"/>
          <w:color w:val="auto"/>
        </w:rPr>
      </w:pPr>
    </w:p>
    <w:p>
      <w:pPr>
        <w:jc w:val="both"/>
        <w:ind w:left="60" w:firstLine="1278"/>
        <w:spacing w:after="0" w:line="232" w:lineRule="auto"/>
        <w:tabs>
          <w:tab w:leader="none" w:pos="1836" w:val="left"/>
        </w:tabs>
        <w:numPr>
          <w:ilvl w:val="0"/>
          <w:numId w:val="225"/>
        </w:numPr>
        <w:rPr>
          <w:rFonts w:ascii="Arial" w:cs="Arial" w:eastAsia="Arial" w:hAnsi="Arial"/>
          <w:sz w:val="21"/>
          <w:szCs w:val="21"/>
          <w:color w:val="auto"/>
        </w:rPr>
      </w:pPr>
      <w:r>
        <w:rPr>
          <w:rFonts w:ascii="Arial" w:cs="Arial" w:eastAsia="Arial" w:hAnsi="Arial"/>
          <w:sz w:val="21"/>
          <w:szCs w:val="21"/>
          <w:color w:val="auto"/>
        </w:rPr>
        <w:t>Further, the Administrative Agent may (and is hereby irrevocably authorized by each Lender to), upon the request of the Borrower, release any Subsidiary Guarantor from its obligations under the Subsidiary Guaranty if such Subsidiary Guarantor is no longer a Material Domestic Subsidiary.</w:t>
      </w:r>
    </w:p>
    <w:p>
      <w:pPr>
        <w:spacing w:after="0" w:line="197" w:lineRule="exact"/>
        <w:rPr>
          <w:rFonts w:ascii="Arial" w:cs="Arial" w:eastAsia="Arial" w:hAnsi="Arial"/>
          <w:sz w:val="21"/>
          <w:szCs w:val="21"/>
          <w:color w:val="auto"/>
        </w:rPr>
      </w:pPr>
    </w:p>
    <w:p>
      <w:pPr>
        <w:jc w:val="both"/>
        <w:ind w:left="60" w:firstLine="1278"/>
        <w:spacing w:after="0" w:line="220" w:lineRule="auto"/>
        <w:tabs>
          <w:tab w:leader="none" w:pos="1804" w:val="left"/>
        </w:tabs>
        <w:numPr>
          <w:ilvl w:val="0"/>
          <w:numId w:val="225"/>
        </w:numPr>
        <w:rPr>
          <w:rFonts w:ascii="Arial" w:cs="Arial" w:eastAsia="Arial" w:hAnsi="Arial"/>
          <w:sz w:val="21"/>
          <w:szCs w:val="21"/>
          <w:color w:val="auto"/>
        </w:rPr>
      </w:pPr>
      <w:r>
        <w:rPr>
          <w:rFonts w:ascii="Arial" w:cs="Arial" w:eastAsia="Arial" w:hAnsi="Arial"/>
          <w:sz w:val="21"/>
          <w:szCs w:val="21"/>
          <w:color w:val="auto"/>
        </w:rPr>
        <w:t>At such time as the principal and interest on the Loans, all LC Disbursements, the fees, expenses and other amounts payable under the Loan Documents and the other Secured Obligations (other than Swap Obligations, Banking Services Obligations, and other Obligations expressly stated to survive such payment and termination) shall have been paid in full in cash, the Commitments shall have been terminated and no Letters of Credit shall be outstanding (or such Letters of Credit shall have been cash collateralized or otherwise supported in a manner acceptable to the applicable Issuing Bank), the Subsidiary Guaranty and all obligations (other than those expressly stated to survive such termination) of each Subsidiary Guarantor thereunder shall automatically terminate, all without delivery of any instrument or performance of any act by any Person.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147</w:t>
      </w:r>
    </w:p>
    <w:p>
      <w:pPr>
        <w:sectPr>
          <w:pgSz w:w="11900" w:h="16838" w:orient="portrait"/>
          <w:cols w:equalWidth="0" w:num="1">
            <w:col w:w="11040"/>
          </w:cols>
          <w:pgMar w:left="400" w:top="1440" w:right="459" w:bottom="1440" w:gutter="0" w:footer="0" w:header="0"/>
        </w:sectPr>
      </w:pPr>
    </w:p>
    <w:bookmarkStart w:id="237" w:name="page238"/>
    <w:bookmarkEnd w:id="237"/>
    <w:p>
      <w:pPr>
        <w:spacing w:after="0" w:line="194" w:lineRule="exact"/>
        <w:rPr>
          <w:sz w:val="20"/>
          <w:szCs w:val="20"/>
          <w:color w:val="auto"/>
        </w:rPr>
      </w:pPr>
    </w:p>
    <w:p>
      <w:pPr>
        <w:jc w:val="both"/>
        <w:ind w:left="60" w:firstLine="642"/>
        <w:spacing w:after="0" w:line="247" w:lineRule="auto"/>
        <w:rPr>
          <w:sz w:val="20"/>
          <w:szCs w:val="20"/>
          <w:color w:val="auto"/>
        </w:rPr>
      </w:pPr>
      <w:r>
        <w:rPr>
          <w:rFonts w:ascii="Arial" w:cs="Arial" w:eastAsia="Arial" w:hAnsi="Arial"/>
          <w:sz w:val="19"/>
          <w:szCs w:val="19"/>
          <w:color w:val="auto"/>
        </w:rPr>
        <w:t xml:space="preserve">SECTION 9.20. </w:t>
      </w:r>
      <w:r>
        <w:rPr>
          <w:rFonts w:ascii="Arial" w:cs="Arial" w:eastAsia="Arial" w:hAnsi="Arial"/>
          <w:sz w:val="19"/>
          <w:szCs w:val="19"/>
          <w:u w:val="single" w:color="auto"/>
          <w:color w:val="auto"/>
        </w:rPr>
        <w:t>Appointment for Perfection</w:t>
      </w:r>
      <w:r>
        <w:rPr>
          <w:rFonts w:ascii="Arial" w:cs="Arial" w:eastAsia="Arial" w:hAnsi="Arial"/>
          <w:sz w:val="19"/>
          <w:szCs w:val="19"/>
          <w:color w:val="auto"/>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X</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1"/>
          <w:szCs w:val="21"/>
          <w:u w:val="single" w:color="auto"/>
          <w:color w:val="auto"/>
        </w:rPr>
        <w:t>Borrower Guarantee</w:t>
      </w:r>
    </w:p>
    <w:p>
      <w:pPr>
        <w:spacing w:after="0" w:line="228" w:lineRule="exact"/>
        <w:rPr>
          <w:sz w:val="20"/>
          <w:szCs w:val="20"/>
          <w:color w:val="auto"/>
        </w:rPr>
      </w:pPr>
    </w:p>
    <w:p>
      <w:pPr>
        <w:jc w:val="both"/>
        <w:ind w:left="60" w:firstLine="1286"/>
        <w:spacing w:after="0" w:line="221" w:lineRule="auto"/>
        <w:rPr>
          <w:sz w:val="20"/>
          <w:szCs w:val="20"/>
          <w:color w:val="auto"/>
        </w:rPr>
      </w:pPr>
      <w:r>
        <w:rPr>
          <w:rFonts w:ascii="Arial" w:cs="Arial" w:eastAsia="Arial" w:hAnsi="Arial"/>
          <w:sz w:val="21"/>
          <w:szCs w:val="21"/>
          <w:color w:val="auto"/>
        </w:rPr>
        <w:t>In order to induce the Lenders to extend credit to the Borrower hereunder and for other good and valuable consideration (the receipt and sufficiency of which are hereby acknowledged), the Borrower hereby absolutely and irrevocably and unconditionally guarantees, as a primary obligor and not merely as a surety, the payment when and as due of the Specified Ancillary Obligations of the Subsidiaries. The Borrower further agrees that the due and punctual payment of such Specified Ancillary Obligations may be extended or renewed, in whole or in part, without notice to or further assent from it, and that it will remain bound upon its guarantee hereunder notwithstanding any such extension or renewal of any such Specified Ancillary Obligation.</w:t>
      </w:r>
    </w:p>
    <w:p>
      <w:pPr>
        <w:spacing w:after="0" w:line="267" w:lineRule="exact"/>
        <w:rPr>
          <w:sz w:val="20"/>
          <w:szCs w:val="20"/>
          <w:color w:val="auto"/>
        </w:rPr>
      </w:pPr>
    </w:p>
    <w:p>
      <w:pPr>
        <w:jc w:val="both"/>
        <w:ind w:left="60" w:firstLine="1286"/>
        <w:spacing w:after="0" w:line="238" w:lineRule="auto"/>
        <w:rPr>
          <w:sz w:val="20"/>
          <w:szCs w:val="20"/>
          <w:color w:val="auto"/>
        </w:rPr>
      </w:pPr>
      <w:r>
        <w:rPr>
          <w:rFonts w:ascii="Arial" w:cs="Arial" w:eastAsia="Arial" w:hAnsi="Arial"/>
          <w:sz w:val="19"/>
          <w:szCs w:val="19"/>
          <w:color w:val="auto"/>
        </w:rPr>
        <w:t>The Borrower waives presentment to, demand of payment from and protest to any Subsidiary of any of the Specified Ancillary Obligations, and also waives notice of acceptance of its obligations and notice of protest for nonpayment. The obligations of the Borrower hereunder shall not be affected by (a) the failure of any applicable Lender (or any of its Affiliates) to assert any claim or demand or to enforce any right or remedy against any Subsidiary under the provisions of any Banking Services Agreement, any Swap Agreement or otherwise; (b) any extension or renewal of any of the Specified Ancillary Obligations; (c) any rescission, waiver, amendment or modification of, or release from, any of the terms or provisions of this Agreement, any other Loan Document, any Banking Services Agreement, any Swap Agreement or other agreement; (d) any default, failure or delay, willful or otherwise, in the performance of any of the Specified Ancillary Obligations; (e) the failure of any applicable Lender (or any of its Affiliates) to take any steps to perfect and maintain any security interest in, or to preserve any rights to, any security or collateral for the Specified Ancillary Obligations, if any; (f) any change in the corporate, partnership or other existence, structure or ownership of any Subsidiary or any other guarantor of any of the Specified Ancillary Obligations; (g) the enforceability or validity of the Specified Ancillary Obligations or any part thereof or the genuineness, enforceability or validity of any agreement relating thereto or with respect to any collateral securing the Specified Ancillary Obligations or any part thereof, or any other invalidity or unenforceability relating to or against any Subsidiary or any other guarantor of any of the Specified Ancillary Obligations, for any reason related to this Agreement, any other Loan Document, any Banking Services Agreement, any Swap Agreement, or any provision of applicable law, decree, order or regulation of any jurisdiction purporting to prohibit the payment by such Subsidiary or any other guarantor of the Specified Ancillary Obligations, of any of the Specified Ancillary Obligations or otherwise affecting any term of any of the Specified Ancillary Obligations; or (h) any other act, omission or delay to do any other act which may or might in any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color w:val="auto"/>
        </w:rPr>
        <w:t>148</w:t>
      </w:r>
    </w:p>
    <w:p>
      <w:pPr>
        <w:sectPr>
          <w:pgSz w:w="11900" w:h="16838" w:orient="portrait"/>
          <w:cols w:equalWidth="0" w:num="1">
            <w:col w:w="11040"/>
          </w:cols>
          <w:pgMar w:left="400" w:top="1440" w:right="459" w:bottom="1440" w:gutter="0" w:footer="0" w:header="0"/>
        </w:sectPr>
      </w:pPr>
    </w:p>
    <w:bookmarkStart w:id="238" w:name="page239"/>
    <w:bookmarkEnd w:id="238"/>
    <w:p>
      <w:pPr>
        <w:spacing w:after="0" w:line="194" w:lineRule="exact"/>
        <w:rPr>
          <w:sz w:val="20"/>
          <w:szCs w:val="20"/>
          <w:color w:val="auto"/>
        </w:rPr>
      </w:pPr>
    </w:p>
    <w:p>
      <w:pPr>
        <w:jc w:val="both"/>
        <w:ind w:left="60"/>
        <w:spacing w:after="0" w:line="244" w:lineRule="auto"/>
        <w:rPr>
          <w:sz w:val="20"/>
          <w:szCs w:val="20"/>
          <w:color w:val="auto"/>
        </w:rPr>
      </w:pPr>
      <w:r>
        <w:rPr>
          <w:rFonts w:ascii="Arial" w:cs="Arial" w:eastAsia="Arial" w:hAnsi="Arial"/>
          <w:sz w:val="21"/>
          <w:szCs w:val="21"/>
          <w:color w:val="auto"/>
        </w:rPr>
        <w:t>manner or to any extent vary the risk of the Borrower or otherwise operate as a discharge of a guarantor as a matter of law or equity or which would impair or eliminate any right of the Borrower to subrogation.</w:t>
      </w:r>
    </w:p>
    <w:p>
      <w:pPr>
        <w:spacing w:after="0" w:line="260" w:lineRule="exact"/>
        <w:rPr>
          <w:sz w:val="20"/>
          <w:szCs w:val="20"/>
          <w:color w:val="auto"/>
        </w:rPr>
      </w:pPr>
    </w:p>
    <w:p>
      <w:pPr>
        <w:jc w:val="both"/>
        <w:ind w:left="60" w:firstLine="1286"/>
        <w:spacing w:after="0" w:line="236" w:lineRule="auto"/>
        <w:rPr>
          <w:sz w:val="20"/>
          <w:szCs w:val="20"/>
          <w:color w:val="auto"/>
        </w:rPr>
      </w:pPr>
      <w:r>
        <w:rPr>
          <w:rFonts w:ascii="Arial" w:cs="Arial" w:eastAsia="Arial" w:hAnsi="Arial"/>
          <w:sz w:val="20"/>
          <w:szCs w:val="20"/>
          <w:color w:val="auto"/>
        </w:rPr>
        <w:t>The Borrower further agrees that its agreement hereunder constitutes a guarantee of payment when due (whether or not any bankruptcy or similar proceeding shall have stayed the accrual or collection of any of the Specified Ancillary Obligations or operated as a discharge thereof) and not merely of collection, and waives any right to require that any resort be had by any applicable Lender (or any of its Affiliates) to any balance of any deposit account or credit on the books of the Administrative Agent, the Issuing Bank or any Lender in favor of any Subsidiary or any other Person.</w:t>
      </w:r>
    </w:p>
    <w:p>
      <w:pPr>
        <w:spacing w:after="0" w:line="183" w:lineRule="exact"/>
        <w:rPr>
          <w:sz w:val="20"/>
          <w:szCs w:val="20"/>
          <w:color w:val="auto"/>
        </w:rPr>
      </w:pPr>
    </w:p>
    <w:p>
      <w:pPr>
        <w:jc w:val="both"/>
        <w:ind w:left="60" w:firstLine="1286"/>
        <w:spacing w:after="0" w:line="227" w:lineRule="auto"/>
        <w:rPr>
          <w:sz w:val="20"/>
          <w:szCs w:val="20"/>
          <w:color w:val="auto"/>
        </w:rPr>
      </w:pPr>
      <w:r>
        <w:rPr>
          <w:rFonts w:ascii="Arial" w:cs="Arial" w:eastAsia="Arial" w:hAnsi="Arial"/>
          <w:sz w:val="21"/>
          <w:szCs w:val="21"/>
          <w:color w:val="auto"/>
        </w:rPr>
        <w:t>The obligations of the Borrower hereunder shall not be subject to any reduction, limitation, impairment or termination for any reason, and shall not be subject to any defense or set-off, counterclaim, recoupment or termination whatsoever, by reason of the invalidity, illegality or unenforceability of any of the Specified Ancillary Obligations, any impossibility in the performance of any of the Specified Ancillary Obligations or otherwise.</w:t>
      </w:r>
    </w:p>
    <w:p>
      <w:pPr>
        <w:spacing w:after="0" w:line="199" w:lineRule="exact"/>
        <w:rPr>
          <w:sz w:val="20"/>
          <w:szCs w:val="20"/>
          <w:color w:val="auto"/>
        </w:rPr>
      </w:pPr>
    </w:p>
    <w:p>
      <w:pPr>
        <w:jc w:val="both"/>
        <w:ind w:left="60" w:firstLine="1286"/>
        <w:spacing w:after="0" w:line="234" w:lineRule="auto"/>
        <w:rPr>
          <w:sz w:val="20"/>
          <w:szCs w:val="20"/>
          <w:color w:val="auto"/>
        </w:rPr>
      </w:pPr>
      <w:r>
        <w:rPr>
          <w:rFonts w:ascii="Arial" w:cs="Arial" w:eastAsia="Arial" w:hAnsi="Arial"/>
          <w:sz w:val="20"/>
          <w:szCs w:val="20"/>
          <w:color w:val="auto"/>
        </w:rPr>
        <w:t>The Borrower further agrees that its obligations hereunder shall constitute a continuing and irrevocable guarantee of all Specified Ancillary Obligations now or hereafter existing and shall continue to be effective or be reinstated, as the case may be, if at any time payment, or any part thereof, of any Specified Ancillary Obligation (including a payment effected through exercise of a right of setoff) is rescinded, or is or must otherwise be restored or returned by any applicable Lender (or any of its Affiliates) upon the insolvency, bankruptcy or reorganization of any Subsidiary or otherwise (including pursuant to any settlement entered into by a holder of Specified Ancillary Obligations in its discretion).</w:t>
      </w:r>
    </w:p>
    <w:p>
      <w:pPr>
        <w:spacing w:after="0" w:line="196" w:lineRule="exact"/>
        <w:rPr>
          <w:sz w:val="20"/>
          <w:szCs w:val="20"/>
          <w:color w:val="auto"/>
        </w:rPr>
      </w:pPr>
    </w:p>
    <w:p>
      <w:pPr>
        <w:jc w:val="both"/>
        <w:ind w:left="60" w:firstLine="1286"/>
        <w:spacing w:after="0" w:line="239" w:lineRule="auto"/>
        <w:rPr>
          <w:sz w:val="20"/>
          <w:szCs w:val="20"/>
          <w:color w:val="auto"/>
        </w:rPr>
      </w:pPr>
      <w:r>
        <w:rPr>
          <w:rFonts w:ascii="Arial" w:cs="Arial" w:eastAsia="Arial" w:hAnsi="Arial"/>
          <w:sz w:val="19"/>
          <w:szCs w:val="19"/>
          <w:color w:val="auto"/>
        </w:rPr>
        <w:t>In furtherance of the foregoing and not in limitation of any other right which any applicable Lender (or any of its Affiliates) may have at law or in equity against the Borrower by virtue hereof, upon the failure of any Subsidiary to pay any Specified Ancillary Obligation when and as the same shall become due, whether at maturity, by acceleration, after notice of prepayment or otherwise, the Borrower hereby promises to and will, upon receipt of written demand by any applicable Lender (or any of its Affiliates), forthwith pay, or cause to be paid, to such applicable Lender (or any of its Affiliates) in cash an amount equal to the unpaid principal amount of such Specified Ancillary Obligations then due, together with accrued and unpaid interest thereon. The Borrower further agrees that if payment in respect of any Specified Ancillary Obligation shall be due in a currency other than Dollars and/or at a place of payment other than New York, Chicago or any other Eurocurrency Payment Office and if, by reason of any Change in Law, disruption of currency or foreign exchange markets, war or civil disturbance or other event, payment of such Specified Ancillary Obligation in such currency or at such place of payment shall be impossible or, in the reasonable judgment of any applicable Lender (or any of its Affiliates), disadvantageous to such applicable Lender (or any of its Affiliates) in any material respect, then, at the election of such applicable Lender, the Borrower shall make payment of such Specified Ancillary Obligation in Dollars (based upon the applicable Equivalent Amount in effect on the date of payment) and/or in New York, Chicago or such other Eurocurrency Payment Office as is designated by such applicable Lender (or its Affiliate) and, as a separate and independent obligation, shall indemnify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color w:val="auto"/>
        </w:rPr>
        <w:t>149</w:t>
      </w:r>
    </w:p>
    <w:p>
      <w:pPr>
        <w:sectPr>
          <w:pgSz w:w="11900" w:h="16838" w:orient="portrait"/>
          <w:cols w:equalWidth="0" w:num="1">
            <w:col w:w="11040"/>
          </w:cols>
          <w:pgMar w:left="400" w:top="1440" w:right="459" w:bottom="1440" w:gutter="0" w:footer="0" w:header="0"/>
        </w:sectPr>
      </w:pPr>
    </w:p>
    <w:bookmarkStart w:id="239" w:name="page240"/>
    <w:bookmarkEnd w:id="239"/>
    <w:p>
      <w:pPr>
        <w:spacing w:after="0" w:line="194" w:lineRule="exact"/>
        <w:rPr>
          <w:sz w:val="20"/>
          <w:szCs w:val="20"/>
          <w:color w:val="auto"/>
        </w:rPr>
      </w:pPr>
    </w:p>
    <w:p>
      <w:pPr>
        <w:ind w:left="60"/>
        <w:spacing w:after="0" w:line="244" w:lineRule="auto"/>
        <w:rPr>
          <w:sz w:val="20"/>
          <w:szCs w:val="20"/>
          <w:color w:val="auto"/>
        </w:rPr>
      </w:pPr>
      <w:r>
        <w:rPr>
          <w:rFonts w:ascii="Arial" w:cs="Arial" w:eastAsia="Arial" w:hAnsi="Arial"/>
          <w:sz w:val="21"/>
          <w:szCs w:val="21"/>
          <w:color w:val="auto"/>
        </w:rPr>
        <w:t>such applicable Lender (and any of its Affiliates) against any losses or reasonable out-of-pocket expenses that it shall sustain as a result of such alternative payment.</w:t>
      </w:r>
    </w:p>
    <w:p>
      <w:pPr>
        <w:spacing w:after="0" w:line="179" w:lineRule="exact"/>
        <w:rPr>
          <w:sz w:val="20"/>
          <w:szCs w:val="20"/>
          <w:color w:val="auto"/>
        </w:rPr>
      </w:pPr>
    </w:p>
    <w:p>
      <w:pPr>
        <w:jc w:val="both"/>
        <w:ind w:left="60" w:right="100" w:firstLine="1286"/>
        <w:spacing w:after="0" w:line="227" w:lineRule="auto"/>
        <w:rPr>
          <w:sz w:val="20"/>
          <w:szCs w:val="20"/>
          <w:color w:val="auto"/>
        </w:rPr>
      </w:pPr>
      <w:r>
        <w:rPr>
          <w:rFonts w:ascii="Arial" w:cs="Arial" w:eastAsia="Arial" w:hAnsi="Arial"/>
          <w:sz w:val="21"/>
          <w:szCs w:val="21"/>
          <w:color w:val="auto"/>
        </w:rPr>
        <w:t>Upon payment by the Borrower of any sums as provided above, all rights of the Borrower against any Subsidiary arising as a result thereof by way of right of subrogation or otherwise shall in all respects be subordinated and junior in right of payment to the prior indefeasible payment in full in cash of all the Specified Ancillary Obligations owed by such Subsidiary to the applicable Lender (or its applicable Affiliates).</w:t>
      </w:r>
    </w:p>
    <w:p>
      <w:pPr>
        <w:spacing w:after="0" w:line="199" w:lineRule="exact"/>
        <w:rPr>
          <w:sz w:val="20"/>
          <w:szCs w:val="20"/>
          <w:color w:val="auto"/>
        </w:rPr>
      </w:pPr>
    </w:p>
    <w:p>
      <w:pPr>
        <w:jc w:val="both"/>
        <w:ind w:left="60" w:right="120" w:firstLine="1286"/>
        <w:spacing w:after="0" w:line="244" w:lineRule="auto"/>
        <w:rPr>
          <w:sz w:val="20"/>
          <w:szCs w:val="20"/>
          <w:color w:val="auto"/>
        </w:rPr>
      </w:pPr>
      <w:r>
        <w:rPr>
          <w:rFonts w:ascii="Arial" w:cs="Arial" w:eastAsia="Arial" w:hAnsi="Arial"/>
          <w:sz w:val="21"/>
          <w:szCs w:val="21"/>
          <w:color w:val="auto"/>
        </w:rPr>
        <w:t>Nothing shall discharge or satisfy the liability of the Borrower hereunder except the full performance and payment in cash of the Secured Obligations.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150</w:t>
      </w:r>
    </w:p>
    <w:p>
      <w:pPr>
        <w:sectPr>
          <w:pgSz w:w="11900" w:h="16838" w:orient="portrait"/>
          <w:cols w:equalWidth="0" w:num="1">
            <w:col w:w="11140"/>
          </w:cols>
          <w:pgMar w:left="400" w:top="1440" w:right="359" w:bottom="1440" w:gutter="0" w:footer="0" w:header="0"/>
        </w:sectPr>
      </w:pPr>
    </w:p>
    <w:bookmarkStart w:id="240" w:name="page241"/>
    <w:bookmarkEnd w:id="240"/>
    <w:p>
      <w:pPr>
        <w:ind w:firstLine="642"/>
        <w:spacing w:after="0" w:line="297" w:lineRule="auto"/>
        <w:rPr>
          <w:sz w:val="20"/>
          <w:szCs w:val="20"/>
          <w:color w:val="auto"/>
        </w:rPr>
      </w:pPr>
      <w:r>
        <w:rPr>
          <w:rFonts w:ascii="Arial" w:cs="Arial" w:eastAsia="Arial" w:hAnsi="Arial"/>
          <w:sz w:val="21"/>
          <w:szCs w:val="21"/>
          <w:color w:val="080808"/>
        </w:rPr>
        <w:t>IN WllNESS WHEREOF, the parties hereto have caused this Agreement to be duly executed and delivered by their respective authorized officers as of the day and year first above written.</w:t>
      </w:r>
    </w:p>
    <w:p>
      <w:pPr>
        <w:spacing w:after="0" w:line="166" w:lineRule="exact"/>
        <w:rPr>
          <w:sz w:val="20"/>
          <w:szCs w:val="20"/>
          <w:color w:val="auto"/>
        </w:rPr>
      </w:pPr>
    </w:p>
    <w:p>
      <w:pPr>
        <w:ind w:left="3840"/>
        <w:spacing w:after="0"/>
        <w:rPr>
          <w:sz w:val="20"/>
          <w:szCs w:val="20"/>
          <w:color w:val="auto"/>
        </w:rPr>
      </w:pPr>
      <w:r>
        <w:rPr>
          <w:rFonts w:ascii="Arial" w:cs="Arial" w:eastAsia="Arial" w:hAnsi="Arial"/>
          <w:sz w:val="21"/>
          <w:szCs w:val="21"/>
          <w:color w:val="080808"/>
        </w:rPr>
        <w:t>MISTRAS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362585</wp:posOffset>
            </wp:positionV>
            <wp:extent cx="1932305" cy="400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1932305"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360"/>
        <w:spacing w:after="0"/>
        <w:rPr>
          <w:sz w:val="20"/>
          <w:szCs w:val="20"/>
          <w:color w:val="auto"/>
        </w:rPr>
      </w:pPr>
      <w:r>
        <w:rPr>
          <w:rFonts w:ascii="Arial" w:cs="Arial" w:eastAsia="Arial" w:hAnsi="Arial"/>
          <w:sz w:val="22"/>
          <w:szCs w:val="22"/>
          <w:color w:val="080808"/>
        </w:rPr>
        <w:t>By:</w:t>
      </w:r>
    </w:p>
    <w:p>
      <w:pPr>
        <w:spacing w:after="0" w:line="36" w:lineRule="exact"/>
        <w:rPr>
          <w:sz w:val="20"/>
          <w:szCs w:val="20"/>
          <w:color w:val="auto"/>
        </w:rPr>
      </w:pPr>
    </w:p>
    <w:p>
      <w:pPr>
        <w:ind w:left="4320"/>
        <w:spacing w:after="0"/>
        <w:rPr>
          <w:sz w:val="20"/>
          <w:szCs w:val="20"/>
          <w:color w:val="auto"/>
        </w:rPr>
      </w:pPr>
      <w:r>
        <w:rPr>
          <w:rFonts w:ascii="Arial" w:cs="Arial" w:eastAsia="Arial" w:hAnsi="Arial"/>
          <w:sz w:val="19"/>
          <w:szCs w:val="19"/>
          <w:color w:val="080808"/>
        </w:rPr>
        <w:t>Edward Prajzner</w:t>
      </w:r>
    </w:p>
    <w:p>
      <w:pPr>
        <w:ind w:left="4320"/>
        <w:spacing w:after="0"/>
        <w:rPr>
          <w:sz w:val="20"/>
          <w:szCs w:val="20"/>
          <w:color w:val="auto"/>
        </w:rPr>
      </w:pPr>
      <w:r>
        <w:rPr>
          <w:rFonts w:ascii="Arial" w:cs="Arial" w:eastAsia="Arial" w:hAnsi="Arial"/>
          <w:sz w:val="19"/>
          <w:szCs w:val="19"/>
          <w:color w:val="080808"/>
        </w:rPr>
        <w:t>Chief Financial Officer</w:t>
      </w:r>
    </w:p>
    <w:p>
      <w:pPr>
        <w:spacing w:after="0" w:line="200" w:lineRule="exact"/>
        <w:rPr>
          <w:sz w:val="20"/>
          <w:szCs w:val="20"/>
          <w:color w:val="auto"/>
        </w:rPr>
      </w:pPr>
    </w:p>
    <w:p>
      <w:pPr>
        <w:spacing w:after="0" w:line="254" w:lineRule="exact"/>
        <w:rPr>
          <w:sz w:val="20"/>
          <w:szCs w:val="20"/>
          <w:color w:val="auto"/>
        </w:rPr>
      </w:pPr>
    </w:p>
    <w:p>
      <w:pPr>
        <w:jc w:val="center"/>
        <w:ind w:right="6880"/>
        <w:spacing w:after="0"/>
        <w:rPr>
          <w:sz w:val="20"/>
          <w:szCs w:val="20"/>
          <w:color w:val="auto"/>
        </w:rPr>
      </w:pPr>
      <w:r>
        <w:rPr>
          <w:rFonts w:ascii="Arial" w:cs="Arial" w:eastAsia="Arial" w:hAnsi="Arial"/>
          <w:sz w:val="22"/>
          <w:szCs w:val="22"/>
          <w:i w:val="1"/>
          <w:iCs w:val="1"/>
          <w:color w:val="080808"/>
        </w:rPr>
        <w:t>Signature Page to</w:t>
      </w:r>
    </w:p>
    <w:p>
      <w:pPr>
        <w:spacing w:after="0" w:line="8" w:lineRule="exact"/>
        <w:rPr>
          <w:sz w:val="20"/>
          <w:szCs w:val="20"/>
          <w:color w:val="auto"/>
        </w:rPr>
      </w:pPr>
    </w:p>
    <w:p>
      <w:pPr>
        <w:jc w:val="center"/>
        <w:ind w:right="6880"/>
        <w:spacing w:after="0"/>
        <w:rPr>
          <w:sz w:val="20"/>
          <w:szCs w:val="20"/>
          <w:color w:val="auto"/>
        </w:rPr>
      </w:pPr>
      <w:r>
        <w:rPr>
          <w:rFonts w:ascii="Arial" w:cs="Arial" w:eastAsia="Arial" w:hAnsi="Arial"/>
          <w:sz w:val="22"/>
          <w:szCs w:val="22"/>
          <w:i w:val="1"/>
          <w:iCs w:val="1"/>
          <w:color w:val="080808"/>
        </w:rPr>
        <w:t>Mistras Group, Inc. Credit Agreement</w:t>
      </w:r>
    </w:p>
    <w:p>
      <w:pPr>
        <w:sectPr>
          <w:pgSz w:w="11900" w:h="16838" w:orient="portrait"/>
          <w:cols w:equalWidth="0" w:num="1">
            <w:col w:w="11040"/>
          </w:cols>
          <w:pgMar w:left="420" w:top="1432" w:right="439" w:bottom="1440" w:gutter="0" w:footer="0" w:header="0"/>
        </w:sectPr>
      </w:pPr>
    </w:p>
    <w:bookmarkStart w:id="241" w:name="page242"/>
    <w:bookmarkEnd w:id="241"/>
    <w:p>
      <w:pPr>
        <w:ind w:left="2980"/>
        <w:spacing w:after="0" w:line="244" w:lineRule="auto"/>
        <w:rPr>
          <w:sz w:val="20"/>
          <w:szCs w:val="20"/>
          <w:color w:val="auto"/>
        </w:rPr>
      </w:pPr>
      <w:r>
        <w:rPr>
          <w:rFonts w:ascii="Arial" w:cs="Arial" w:eastAsia="Arial" w:hAnsi="Arial"/>
          <w:sz w:val="21"/>
          <w:szCs w:val="21"/>
          <w:color w:val="231F20"/>
        </w:rPr>
        <w:t>JPMORGAN CHASE BANK, N.A., individually and as Administrative Agent, Issuing Bank and Swingline Lender</w:t>
      </w:r>
    </w:p>
    <w:p>
      <w:pPr>
        <w:spacing w:after="0" w:line="200" w:lineRule="exact"/>
        <w:rPr>
          <w:sz w:val="20"/>
          <w:szCs w:val="20"/>
          <w:color w:val="auto"/>
        </w:rPr>
      </w:pPr>
    </w:p>
    <w:p>
      <w:pPr>
        <w:spacing w:after="0" w:line="221" w:lineRule="exact"/>
        <w:rPr>
          <w:sz w:val="20"/>
          <w:szCs w:val="20"/>
          <w:color w:val="auto"/>
        </w:rPr>
      </w:pPr>
    </w:p>
    <w:p>
      <w:pPr>
        <w:ind w:left="2980"/>
        <w:spacing w:after="0"/>
        <w:rPr>
          <w:sz w:val="20"/>
          <w:szCs w:val="20"/>
          <w:color w:val="auto"/>
        </w:rPr>
      </w:pPr>
      <w:r>
        <w:rPr>
          <w:rFonts w:ascii="Arial" w:cs="Arial" w:eastAsia="Arial" w:hAnsi="Arial"/>
          <w:sz w:val="21"/>
          <w:szCs w:val="21"/>
          <w:color w:val="231F2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-11430</wp:posOffset>
            </wp:positionV>
            <wp:extent cx="135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6520"/>
        <w:spacing w:after="0"/>
        <w:rPr>
          <w:sz w:val="20"/>
          <w:szCs w:val="20"/>
          <w:color w:val="auto"/>
        </w:rPr>
      </w:pPr>
      <w:r>
        <w:rPr>
          <w:rFonts w:ascii="Arial" w:cs="Arial" w:eastAsia="Arial" w:hAnsi="Arial"/>
          <w:sz w:val="21"/>
          <w:szCs w:val="21"/>
          <w:i w:val="1"/>
          <w:iCs w:val="1"/>
          <w:color w:val="231F20"/>
        </w:rPr>
        <w:t>Signature Page to</w:t>
      </w:r>
    </w:p>
    <w:p>
      <w:pPr>
        <w:jc w:val="center"/>
        <w:ind w:right="6520"/>
        <w:spacing w:after="0"/>
        <w:rPr>
          <w:sz w:val="20"/>
          <w:szCs w:val="20"/>
          <w:color w:val="auto"/>
        </w:rPr>
      </w:pPr>
      <w:r>
        <w:rPr>
          <w:rFonts w:ascii="Arial" w:cs="Arial" w:eastAsia="Arial" w:hAnsi="Arial"/>
          <w:sz w:val="19"/>
          <w:szCs w:val="19"/>
          <w:i w:val="1"/>
          <w:iCs w:val="1"/>
          <w:color w:val="231F20"/>
        </w:rPr>
        <w:t>Mistras Group, Inc. Credit Agreement</w:t>
      </w:r>
    </w:p>
    <w:p>
      <w:pPr>
        <w:sectPr>
          <w:pgSz w:w="11900" w:h="16838" w:orient="portrait"/>
          <w:cols w:equalWidth="0" w:num="1">
            <w:col w:w="9780"/>
          </w:cols>
          <w:pgMar w:left="960" w:top="1392" w:right="1159" w:bottom="1440" w:gutter="0" w:footer="0" w:header="0"/>
        </w:sectPr>
      </w:pPr>
    </w:p>
    <w:bookmarkStart w:id="242" w:name="page243"/>
    <w:bookmarkEnd w:id="242"/>
    <w:p>
      <w:pPr>
        <w:jc w:val="right"/>
        <w:ind w:right="1519"/>
        <w:spacing w:after="0"/>
        <w:tabs>
          <w:tab w:leader="none" w:pos="2940" w:val="left"/>
        </w:tabs>
        <w:rPr>
          <w:sz w:val="20"/>
          <w:szCs w:val="20"/>
          <w:color w:val="auto"/>
        </w:rPr>
      </w:pPr>
      <w:r>
        <w:rPr>
          <w:rFonts w:ascii="Arial" w:cs="Arial" w:eastAsia="Arial" w:hAnsi="Arial"/>
          <w:sz w:val="21"/>
          <w:szCs w:val="21"/>
          <w:color w:val="231F20"/>
        </w:rPr>
        <w:t>Name: Title:</w:t>
      </w:r>
      <w:r>
        <w:rPr>
          <w:sz w:val="20"/>
          <w:szCs w:val="20"/>
          <w:color w:val="auto"/>
        </w:rPr>
        <w:tab/>
      </w:r>
      <w:r>
        <w:rPr>
          <w:rFonts w:ascii="Arial" w:cs="Arial" w:eastAsia="Arial" w:hAnsi="Arial"/>
          <w:sz w:val="19"/>
          <w:szCs w:val="19"/>
          <w:color w:val="231F20"/>
        </w:rPr>
        <w:t>Anthony Galea Executive Director</w:t>
      </w:r>
    </w:p>
    <w:p>
      <w:pPr>
        <w:spacing w:after="0" w:line="393" w:lineRule="exact"/>
        <w:rPr>
          <w:sz w:val="20"/>
          <w:szCs w:val="20"/>
          <w:color w:val="auto"/>
        </w:rPr>
      </w:pPr>
    </w:p>
    <w:p>
      <w:pPr>
        <w:jc w:val="center"/>
        <w:ind w:right="6239"/>
        <w:spacing w:after="0"/>
        <w:rPr>
          <w:sz w:val="20"/>
          <w:szCs w:val="20"/>
          <w:color w:val="auto"/>
        </w:rPr>
      </w:pPr>
      <w:r>
        <w:rPr>
          <w:rFonts w:ascii="Arial" w:cs="Arial" w:eastAsia="Arial" w:hAnsi="Arial"/>
          <w:sz w:val="21"/>
          <w:szCs w:val="21"/>
          <w:i w:val="1"/>
          <w:iCs w:val="1"/>
          <w:color w:val="231F20"/>
        </w:rPr>
        <w:t>Signature Page to</w:t>
      </w:r>
    </w:p>
    <w:p>
      <w:pPr>
        <w:jc w:val="center"/>
        <w:ind w:right="6239"/>
        <w:spacing w:after="0"/>
        <w:rPr>
          <w:sz w:val="20"/>
          <w:szCs w:val="20"/>
          <w:color w:val="auto"/>
        </w:rPr>
      </w:pPr>
      <w:r>
        <w:rPr>
          <w:rFonts w:ascii="Arial" w:cs="Arial" w:eastAsia="Arial" w:hAnsi="Arial"/>
          <w:sz w:val="19"/>
          <w:szCs w:val="19"/>
          <w:i w:val="1"/>
          <w:iCs w:val="1"/>
          <w:color w:val="231F20"/>
        </w:rPr>
        <w:t>Mistras Group, Inc. Credit Agreement</w:t>
      </w:r>
    </w:p>
    <w:p>
      <w:pPr>
        <w:sectPr>
          <w:pgSz w:w="11900" w:h="16838" w:orient="portrait"/>
          <w:cols w:equalWidth="0" w:num="1">
            <w:col w:w="9499"/>
          </w:cols>
          <w:pgMar w:left="960" w:top="748" w:right="1440" w:bottom="1440" w:gutter="0" w:footer="0" w:header="0"/>
        </w:sectPr>
      </w:pPr>
    </w:p>
    <w:bookmarkStart w:id="243" w:name="page244"/>
    <w:bookmarkEnd w:id="243"/>
    <w:p>
      <w:pPr>
        <w:ind w:left="2940"/>
        <w:spacing w:after="0"/>
        <w:rPr>
          <w:sz w:val="20"/>
          <w:szCs w:val="20"/>
          <w:color w:val="auto"/>
        </w:rPr>
      </w:pPr>
      <w:r>
        <w:rPr>
          <w:rFonts w:ascii="Arial" w:cs="Arial" w:eastAsia="Arial" w:hAnsi="Arial"/>
          <w:sz w:val="23"/>
          <w:szCs w:val="23"/>
          <w:color w:val="151515"/>
        </w:rPr>
        <w:drawing>
          <wp:anchor simplePos="0" relativeHeight="251657728" behindDoc="1" locked="0" layoutInCell="0" allowOverlap="1">
            <wp:simplePos x="0" y="0"/>
            <wp:positionH relativeFrom="page">
              <wp:posOffset>2480310</wp:posOffset>
            </wp:positionH>
            <wp:positionV relativeFrom="page">
              <wp:posOffset>880745</wp:posOffset>
            </wp:positionV>
            <wp:extent cx="49237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4923790" cy="8255"/>
                    </a:xfrm>
                    <a:prstGeom prst="rect">
                      <a:avLst/>
                    </a:prstGeom>
                    <a:noFill/>
                  </pic:spPr>
                </pic:pic>
              </a:graphicData>
            </a:graphic>
          </wp:anchor>
        </w:drawing>
        <w:t xml:space="preserve">BANK </w:t>
      </w:r>
      <w:r>
        <w:rPr>
          <w:rFonts w:ascii="Arial" w:cs="Arial" w:eastAsia="Arial" w:hAnsi="Arial"/>
          <w:sz w:val="23"/>
          <w:szCs w:val="23"/>
          <w:color w:val="2D2D2D"/>
        </w:rPr>
        <w:t>OF AMERICA, N.A.,</w:t>
      </w:r>
      <w:r>
        <w:rPr>
          <w:rFonts w:ascii="Arial" w:cs="Arial" w:eastAsia="Arial" w:hAnsi="Arial"/>
          <w:sz w:val="23"/>
          <w:szCs w:val="23"/>
          <w:color w:val="151515"/>
        </w:rPr>
        <w:t xml:space="preserve"> individually </w:t>
      </w:r>
      <w:r>
        <w:rPr>
          <w:rFonts w:ascii="Arial" w:cs="Arial" w:eastAsia="Arial" w:hAnsi="Arial"/>
          <w:sz w:val="23"/>
          <w:szCs w:val="23"/>
          <w:color w:val="2D2D2D"/>
        </w:rPr>
        <w:t>as a</w:t>
      </w:r>
    </w:p>
    <w:p>
      <w:pPr>
        <w:spacing w:after="0" w:line="33" w:lineRule="exact"/>
        <w:rPr>
          <w:sz w:val="20"/>
          <w:szCs w:val="20"/>
          <w:color w:val="auto"/>
        </w:rPr>
      </w:pPr>
    </w:p>
    <w:p>
      <w:pPr>
        <w:ind w:left="2940"/>
        <w:spacing w:after="0"/>
        <w:rPr>
          <w:sz w:val="20"/>
          <w:szCs w:val="20"/>
          <w:color w:val="auto"/>
        </w:rPr>
      </w:pPr>
      <w:r>
        <w:rPr>
          <w:rFonts w:ascii="Arial" w:cs="Arial" w:eastAsia="Arial" w:hAnsi="Arial"/>
          <w:sz w:val="22"/>
          <w:szCs w:val="22"/>
          <w:color w:val="2D2D2D"/>
        </w:rPr>
        <w:t xml:space="preserve">Lender and as </w:t>
      </w:r>
      <w:r>
        <w:rPr>
          <w:rFonts w:ascii="Arial" w:cs="Arial" w:eastAsia="Arial" w:hAnsi="Arial"/>
          <w:sz w:val="43"/>
          <w:szCs w:val="43"/>
          <w:i w:val="1"/>
          <w:iCs w:val="1"/>
          <w:color w:val="444444"/>
        </w:rPr>
        <w:t>J:l)f</w:t>
      </w:r>
      <w:r>
        <w:rPr>
          <w:rFonts w:ascii="Arial" w:cs="Arial" w:eastAsia="Arial" w:hAnsi="Arial"/>
          <w:sz w:val="22"/>
          <w:szCs w:val="22"/>
          <w:color w:val="2D2D2D"/>
        </w:rPr>
        <w:t>• on;gen'jnd_issuing Bank</w:t>
      </w:r>
    </w:p>
    <w:p>
      <w:pPr>
        <w:spacing w:after="0" w:line="150" w:lineRule="exact"/>
        <w:rPr>
          <w:sz w:val="20"/>
          <w:szCs w:val="20"/>
          <w:color w:val="auto"/>
        </w:rPr>
      </w:pPr>
    </w:p>
    <w:p>
      <w:pPr>
        <w:ind w:left="2940"/>
        <w:spacing w:after="0"/>
        <w:tabs>
          <w:tab w:leader="none" w:pos="3460" w:val="left"/>
        </w:tabs>
        <w:rPr>
          <w:sz w:val="20"/>
          <w:szCs w:val="20"/>
          <w:color w:val="auto"/>
        </w:rPr>
      </w:pPr>
      <w:r>
        <w:rPr>
          <w:rFonts w:ascii="Arial" w:cs="Arial" w:eastAsia="Arial" w:hAnsi="Arial"/>
          <w:sz w:val="20"/>
          <w:szCs w:val="20"/>
          <w:color w:val="2D2D2D"/>
        </w:rPr>
        <w:t>By:</w:t>
      </w:r>
      <w:r>
        <w:rPr>
          <w:sz w:val="20"/>
          <w:szCs w:val="20"/>
          <w:color w:val="auto"/>
        </w:rPr>
        <w:tab/>
      </w:r>
      <w:r>
        <w:rPr>
          <w:rFonts w:ascii="Arial" w:cs="Arial" w:eastAsia="Arial" w:hAnsi="Arial"/>
          <w:sz w:val="37"/>
          <w:szCs w:val="37"/>
          <w:i w:val="1"/>
          <w:iCs w:val="1"/>
          <w:color w:val="575757"/>
        </w:rPr>
        <w:t>(z_µ{j'vv'-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2050415</wp:posOffset>
            </wp:positionH>
            <wp:positionV relativeFrom="paragraph">
              <wp:posOffset>-33655</wp:posOffset>
            </wp:positionV>
            <wp:extent cx="134810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1348105" cy="25400"/>
                    </a:xfrm>
                    <a:prstGeom prst="rect">
                      <a:avLst/>
                    </a:prstGeom>
                    <a:noFill/>
                  </pic:spPr>
                </pic:pic>
              </a:graphicData>
            </a:graphic>
          </wp:anchor>
        </w:drawing>
      </w:r>
    </w:p>
    <w:p>
      <w:pPr>
        <w:spacing w:after="0" w:line="23" w:lineRule="exact"/>
        <w:rPr>
          <w:sz w:val="20"/>
          <w:szCs w:val="20"/>
          <w:color w:val="auto"/>
        </w:rPr>
      </w:pPr>
    </w:p>
    <w:p>
      <w:pPr>
        <w:jc w:val="right"/>
        <w:ind w:right="1859"/>
        <w:spacing w:after="0"/>
        <w:rPr>
          <w:sz w:val="20"/>
          <w:szCs w:val="20"/>
          <w:color w:val="auto"/>
        </w:rPr>
      </w:pPr>
      <w:r>
        <w:rPr>
          <w:rFonts w:ascii="Arial" w:cs="Arial" w:eastAsia="Arial" w:hAnsi="Arial"/>
          <w:sz w:val="21"/>
          <w:szCs w:val="21"/>
          <w:color w:val="2D2D2D"/>
        </w:rPr>
        <w:t>Name: Edward Macchi Title: Senior Vice President</w:t>
      </w:r>
    </w:p>
    <w:p>
      <w:pPr>
        <w:spacing w:after="0" w:line="200" w:lineRule="exact"/>
        <w:rPr>
          <w:sz w:val="20"/>
          <w:szCs w:val="20"/>
          <w:color w:val="auto"/>
        </w:rPr>
      </w:pPr>
    </w:p>
    <w:p>
      <w:pPr>
        <w:spacing w:after="0" w:line="397" w:lineRule="exact"/>
        <w:rPr>
          <w:sz w:val="20"/>
          <w:szCs w:val="20"/>
          <w:color w:val="auto"/>
        </w:rPr>
      </w:pPr>
    </w:p>
    <w:p>
      <w:pPr>
        <w:jc w:val="center"/>
        <w:ind w:right="6239"/>
        <w:spacing w:after="0"/>
        <w:rPr>
          <w:sz w:val="20"/>
          <w:szCs w:val="20"/>
          <w:color w:val="auto"/>
        </w:rPr>
      </w:pPr>
      <w:r>
        <w:rPr>
          <w:rFonts w:ascii="Arial" w:cs="Arial" w:eastAsia="Arial" w:hAnsi="Arial"/>
          <w:sz w:val="21"/>
          <w:szCs w:val="21"/>
          <w:i w:val="1"/>
          <w:iCs w:val="1"/>
          <w:color w:val="231F20"/>
        </w:rPr>
        <w:t>Signature Page to</w:t>
      </w:r>
    </w:p>
    <w:p>
      <w:pPr>
        <w:jc w:val="center"/>
        <w:ind w:right="6239"/>
        <w:spacing w:after="0"/>
        <w:rPr>
          <w:sz w:val="20"/>
          <w:szCs w:val="20"/>
          <w:color w:val="auto"/>
        </w:rPr>
      </w:pPr>
      <w:r>
        <w:rPr>
          <w:rFonts w:ascii="Arial" w:cs="Arial" w:eastAsia="Arial" w:hAnsi="Arial"/>
          <w:sz w:val="19"/>
          <w:szCs w:val="19"/>
          <w:i w:val="1"/>
          <w:iCs w:val="1"/>
          <w:color w:val="231F20"/>
        </w:rPr>
        <w:t>Mistras Group, Inc. Credit Agreement</w:t>
      </w:r>
    </w:p>
    <w:p>
      <w:pPr>
        <w:sectPr>
          <w:pgSz w:w="11900" w:h="16838" w:orient="portrait"/>
          <w:cols w:equalWidth="0" w:num="1">
            <w:col w:w="9499"/>
          </w:cols>
          <w:pgMar w:left="960" w:top="1428" w:right="1440" w:bottom="1440" w:gutter="0" w:footer="0" w:header="0"/>
        </w:sectPr>
      </w:pPr>
    </w:p>
    <w:bookmarkStart w:id="244" w:name="page245"/>
    <w:bookmarkEnd w:id="244"/>
    <w:p>
      <w:pPr>
        <w:ind w:left="2360"/>
        <w:spacing w:after="0"/>
        <w:rPr>
          <w:sz w:val="20"/>
          <w:szCs w:val="20"/>
          <w:color w:val="auto"/>
        </w:rPr>
      </w:pPr>
      <w:r>
        <w:rPr>
          <w:rFonts w:ascii="Arial" w:cs="Arial" w:eastAsia="Arial" w:hAnsi="Arial"/>
          <w:sz w:val="18"/>
          <w:szCs w:val="18"/>
          <w:color w:val="4F4F50"/>
        </w:rPr>
        <w:t xml:space="preserve">KeyBank </w:t>
      </w:r>
      <w:r>
        <w:rPr>
          <w:rFonts w:ascii="Arial" w:cs="Arial" w:eastAsia="Arial" w:hAnsi="Arial"/>
          <w:sz w:val="18"/>
          <w:szCs w:val="18"/>
          <w:color w:val="696969"/>
        </w:rPr>
        <w:t>Nationa</w:t>
      </w:r>
      <w:r>
        <w:rPr>
          <w:rFonts w:ascii="Arial" w:cs="Arial" w:eastAsia="Arial" w:hAnsi="Arial"/>
          <w:sz w:val="18"/>
          <w:szCs w:val="18"/>
          <w:color w:val="4F4F50"/>
        </w:rPr>
        <w:t xml:space="preserve">l </w:t>
      </w:r>
      <w:r>
        <w:rPr>
          <w:rFonts w:ascii="Arial" w:cs="Arial" w:eastAsia="Arial" w:hAnsi="Arial"/>
          <w:sz w:val="18"/>
          <w:szCs w:val="18"/>
          <w:color w:val="696969"/>
        </w:rPr>
        <w:t>A</w:t>
      </w:r>
      <w:r>
        <w:rPr>
          <w:rFonts w:ascii="Arial" w:cs="Arial" w:eastAsia="Arial" w:hAnsi="Arial"/>
          <w:sz w:val="18"/>
          <w:szCs w:val="18"/>
          <w:color w:val="4F4F50"/>
        </w:rPr>
        <w:t>s</w:t>
      </w:r>
      <w:r>
        <w:rPr>
          <w:rFonts w:ascii="Arial" w:cs="Arial" w:eastAsia="Arial" w:hAnsi="Arial"/>
          <w:sz w:val="18"/>
          <w:szCs w:val="18"/>
          <w:color w:val="696969"/>
        </w:rPr>
        <w:t>s</w:t>
      </w:r>
      <w:r>
        <w:rPr>
          <w:rFonts w:ascii="Arial" w:cs="Arial" w:eastAsia="Arial" w:hAnsi="Arial"/>
          <w:sz w:val="18"/>
          <w:szCs w:val="18"/>
          <w:color w:val="4F4F50"/>
        </w:rPr>
        <w:t>oc</w:t>
      </w:r>
      <w:r>
        <w:rPr>
          <w:rFonts w:ascii="Arial" w:cs="Arial" w:eastAsia="Arial" w:hAnsi="Arial"/>
          <w:sz w:val="18"/>
          <w:szCs w:val="18"/>
          <w:color w:val="696969"/>
        </w:rPr>
        <w:t>i</w:t>
      </w:r>
      <w:r>
        <w:rPr>
          <w:rFonts w:ascii="Arial" w:cs="Arial" w:eastAsia="Arial" w:hAnsi="Arial"/>
          <w:sz w:val="18"/>
          <w:szCs w:val="18"/>
          <w:color w:val="4F4F50"/>
        </w:rPr>
        <w:t>ation,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370840</wp:posOffset>
            </wp:positionV>
            <wp:extent cx="1694180" cy="400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1694180"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3039"/>
        <w:spacing w:after="0"/>
        <w:rPr>
          <w:sz w:val="20"/>
          <w:szCs w:val="20"/>
          <w:color w:val="auto"/>
        </w:rPr>
      </w:pPr>
      <w:r>
        <w:rPr>
          <w:rFonts w:ascii="Arial" w:cs="Arial" w:eastAsia="Arial" w:hAnsi="Arial"/>
          <w:sz w:val="21"/>
          <w:szCs w:val="21"/>
          <w:color w:val="4F4F50"/>
        </w:rPr>
        <w:t>By:</w:t>
      </w:r>
    </w:p>
    <w:p>
      <w:pPr>
        <w:spacing w:after="0" w:line="18" w:lineRule="exact"/>
        <w:rPr>
          <w:sz w:val="20"/>
          <w:szCs w:val="20"/>
          <w:color w:val="auto"/>
        </w:rPr>
      </w:pPr>
    </w:p>
    <w:p>
      <w:pPr>
        <w:ind w:left="2840"/>
        <w:spacing w:after="0"/>
        <w:rPr>
          <w:sz w:val="20"/>
          <w:szCs w:val="20"/>
          <w:color w:val="auto"/>
        </w:rPr>
      </w:pPr>
      <w:r>
        <w:rPr>
          <w:rFonts w:ascii="Arial" w:cs="Arial" w:eastAsia="Arial" w:hAnsi="Arial"/>
          <w:sz w:val="21"/>
          <w:szCs w:val="21"/>
          <w:color w:val="4F4F50"/>
        </w:rPr>
        <w:t>Nam</w:t>
      </w:r>
      <w:r>
        <w:rPr>
          <w:rFonts w:ascii="Arial" w:cs="Arial" w:eastAsia="Arial" w:hAnsi="Arial"/>
          <w:sz w:val="21"/>
          <w:szCs w:val="21"/>
          <w:color w:val="696969"/>
        </w:rPr>
        <w:t>e:</w:t>
      </w:r>
      <w:r>
        <w:rPr>
          <w:rFonts w:ascii="Arial" w:cs="Arial" w:eastAsia="Arial" w:hAnsi="Arial"/>
          <w:sz w:val="21"/>
          <w:szCs w:val="21"/>
          <w:color w:val="4F4F50"/>
        </w:rPr>
        <w:t xml:space="preserve"> </w:t>
      </w:r>
      <w:r>
        <w:rPr>
          <w:rFonts w:ascii="Arial" w:cs="Arial" w:eastAsia="Arial" w:hAnsi="Arial"/>
          <w:sz w:val="21"/>
          <w:szCs w:val="21"/>
          <w:color w:val="828082"/>
        </w:rPr>
        <w:t>E</w:t>
      </w:r>
      <w:r>
        <w:rPr>
          <w:rFonts w:ascii="Arial" w:cs="Arial" w:eastAsia="Arial" w:hAnsi="Arial"/>
          <w:sz w:val="21"/>
          <w:szCs w:val="21"/>
          <w:color w:val="696969"/>
        </w:rPr>
        <w:t>ric W</w:t>
      </w:r>
      <w:r>
        <w:rPr>
          <w:rFonts w:ascii="Arial" w:cs="Arial" w:eastAsia="Arial" w:hAnsi="Arial"/>
          <w:sz w:val="21"/>
          <w:szCs w:val="21"/>
          <w:color w:val="828082"/>
        </w:rPr>
        <w:t>.</w:t>
      </w:r>
      <w:r>
        <w:rPr>
          <w:rFonts w:ascii="Arial" w:cs="Arial" w:eastAsia="Arial" w:hAnsi="Arial"/>
          <w:sz w:val="21"/>
          <w:szCs w:val="21"/>
          <w:color w:val="4F4F50"/>
        </w:rPr>
        <w:t xml:space="preserve"> Domin Title: </w:t>
      </w:r>
      <w:r>
        <w:rPr>
          <w:rFonts w:ascii="Arial" w:cs="Arial" w:eastAsia="Arial" w:hAnsi="Arial"/>
          <w:sz w:val="21"/>
          <w:szCs w:val="21"/>
          <w:color w:val="696969"/>
        </w:rPr>
        <w:t>VP</w:t>
      </w:r>
    </w:p>
    <w:p>
      <w:pPr>
        <w:sectPr>
          <w:pgSz w:w="11900" w:h="16838" w:orient="portrait"/>
          <w:cols w:equalWidth="0" w:num="1">
            <w:col w:w="9019"/>
          </w:cols>
          <w:pgMar w:left="1440" w:top="1252" w:right="1440" w:bottom="7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4F4F50"/>
        </w:rPr>
        <w:t>Signature Page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4F4F50"/>
        </w:rPr>
        <w:t>Mistras Group, Inc</w:t>
      </w:r>
      <w:r>
        <w:rPr>
          <w:rFonts w:ascii="Arial" w:cs="Arial" w:eastAsia="Arial" w:hAnsi="Arial"/>
          <w:sz w:val="18"/>
          <w:szCs w:val="18"/>
          <w:i w:val="1"/>
          <w:iCs w:val="1"/>
          <w:color w:val="696969"/>
        </w:rPr>
        <w:t>.</w:t>
      </w:r>
      <w:r>
        <w:rPr>
          <w:rFonts w:ascii="Arial" w:cs="Arial" w:eastAsia="Arial" w:hAnsi="Arial"/>
          <w:sz w:val="18"/>
          <w:szCs w:val="18"/>
          <w:i w:val="1"/>
          <w:iCs w:val="1"/>
          <w:color w:val="4F4F50"/>
        </w:rPr>
        <w:t xml:space="preserve"> Credit </w:t>
      </w:r>
      <w:r>
        <w:rPr>
          <w:rFonts w:ascii="Arial" w:cs="Arial" w:eastAsia="Arial" w:hAnsi="Arial"/>
          <w:sz w:val="18"/>
          <w:szCs w:val="18"/>
          <w:i w:val="1"/>
          <w:iCs w:val="1"/>
          <w:color w:val="696969"/>
        </w:rPr>
        <w:t>Ag</w:t>
      </w:r>
      <w:r>
        <w:rPr>
          <w:rFonts w:ascii="Arial" w:cs="Arial" w:eastAsia="Arial" w:hAnsi="Arial"/>
          <w:sz w:val="18"/>
          <w:szCs w:val="18"/>
          <w:i w:val="1"/>
          <w:iCs w:val="1"/>
          <w:color w:val="4F4F50"/>
        </w:rPr>
        <w:t>r</w:t>
      </w:r>
      <w:r>
        <w:rPr>
          <w:rFonts w:ascii="Arial" w:cs="Arial" w:eastAsia="Arial" w:hAnsi="Arial"/>
          <w:sz w:val="18"/>
          <w:szCs w:val="18"/>
          <w:i w:val="1"/>
          <w:iCs w:val="1"/>
          <w:color w:val="696969"/>
        </w:rPr>
        <w:t>ee</w:t>
      </w:r>
      <w:r>
        <w:rPr>
          <w:rFonts w:ascii="Arial" w:cs="Arial" w:eastAsia="Arial" w:hAnsi="Arial"/>
          <w:sz w:val="18"/>
          <w:szCs w:val="18"/>
          <w:i w:val="1"/>
          <w:iCs w:val="1"/>
          <w:color w:val="4F4F50"/>
        </w:rPr>
        <w:t>ment</w:t>
      </w:r>
    </w:p>
    <w:p>
      <w:pPr>
        <w:sectPr>
          <w:pgSz w:w="11900" w:h="16838" w:orient="portrait"/>
          <w:cols w:equalWidth="0" w:num="1">
            <w:col w:w="9019"/>
          </w:cols>
          <w:pgMar w:left="1440" w:top="1252" w:right="1440" w:bottom="761" w:gutter="0" w:footer="0" w:header="0"/>
          <w:type w:val="continuous"/>
        </w:sectPr>
      </w:pPr>
    </w:p>
    <w:bookmarkStart w:id="245" w:name="page246"/>
    <w:bookmarkEnd w:id="245"/>
    <w:p>
      <w:pPr>
        <w:ind w:left="4780"/>
        <w:spacing w:after="0"/>
        <w:rPr>
          <w:sz w:val="20"/>
          <w:szCs w:val="20"/>
          <w:color w:val="auto"/>
        </w:rPr>
      </w:pPr>
      <w:r>
        <w:rPr>
          <w:rFonts w:ascii="Arial" w:cs="Arial" w:eastAsia="Arial" w:hAnsi="Arial"/>
          <w:sz w:val="21"/>
          <w:szCs w:val="21"/>
          <w:b w:val="1"/>
          <w:bCs w:val="1"/>
          <w:color w:val="231F20"/>
        </w:rPr>
        <w:t>TD BANK, N.A.</w:t>
      </w:r>
      <w:r>
        <w:rPr>
          <w:rFonts w:ascii="Arial" w:cs="Arial" w:eastAsia="Arial" w:hAnsi="Arial"/>
          <w:sz w:val="21"/>
          <w:szCs w:val="21"/>
          <w:color w:val="231F20"/>
        </w:rPr>
        <w: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468630</wp:posOffset>
            </wp:positionV>
            <wp:extent cx="2315210" cy="519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2315210" cy="51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8440"/>
        <w:spacing w:after="0"/>
        <w:tabs>
          <w:tab w:leader="none" w:pos="9640" w:val="left"/>
          <w:tab w:leader="none" w:pos="10100" w:val="left"/>
          <w:tab w:leader="none" w:pos="10540" w:val="left"/>
        </w:tabs>
        <w:rPr>
          <w:sz w:val="20"/>
          <w:szCs w:val="20"/>
          <w:color w:val="auto"/>
        </w:rPr>
      </w:pPr>
      <w:r>
        <w:rPr>
          <w:rFonts w:ascii="Arial" w:cs="Arial" w:eastAsia="Arial" w:hAnsi="Arial"/>
          <w:sz w:val="21"/>
          <w:szCs w:val="21"/>
          <w:color w:val="231F20"/>
        </w:rPr>
        <w:t>By:</w:t>
      </w:r>
      <w:r>
        <w:rPr>
          <w:sz w:val="20"/>
          <w:szCs w:val="20"/>
          <w:color w:val="auto"/>
        </w:rPr>
        <w:tab/>
      </w:r>
      <w:r>
        <w:rPr>
          <w:rFonts w:ascii="Arial" w:cs="Arial" w:eastAsia="Arial" w:hAnsi="Arial"/>
          <w:sz w:val="21"/>
          <w:szCs w:val="21"/>
          <w:color w:val="231F20"/>
        </w:rPr>
        <w:t>Na</w:t>
        <w:tab/>
        <w:t>Su</w:t>
      </w:r>
      <w:r>
        <w:rPr>
          <w:sz w:val="20"/>
          <w:szCs w:val="20"/>
          <w:color w:val="auto"/>
        </w:rPr>
        <w:tab/>
      </w:r>
      <w:r>
        <w:rPr>
          <w:rFonts w:ascii="Arial" w:cs="Arial" w:eastAsia="Arial" w:hAnsi="Arial"/>
          <w:sz w:val="19"/>
          <w:szCs w:val="19"/>
          <w:color w:val="231F20"/>
        </w:rPr>
        <w:t>Sc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5552440</wp:posOffset>
            </wp:positionH>
            <wp:positionV relativeFrom="paragraph">
              <wp:posOffset>-5715</wp:posOffset>
            </wp:positionV>
            <wp:extent cx="5448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544830" cy="8255"/>
                    </a:xfrm>
                    <a:prstGeom prst="rect">
                      <a:avLst/>
                    </a:prstGeom>
                    <a:noFill/>
                  </pic:spPr>
                </pic:pic>
              </a:graphicData>
            </a:graphic>
          </wp:anchor>
        </w:drawing>
      </w:r>
    </w:p>
    <w:p>
      <w:pPr>
        <w:ind w:left="5280"/>
        <w:spacing w:after="0" w:line="213" w:lineRule="auto"/>
        <w:rPr>
          <w:sz w:val="20"/>
          <w:szCs w:val="20"/>
          <w:color w:val="auto"/>
        </w:rPr>
      </w:pPr>
      <w:r>
        <w:rPr>
          <w:rFonts w:ascii="Arial" w:cs="Arial" w:eastAsia="Arial" w:hAnsi="Arial"/>
          <w:sz w:val="21"/>
          <w:szCs w:val="21"/>
          <w:color w:val="231F20"/>
        </w:rPr>
        <w:t>tz</w:t>
      </w:r>
    </w:p>
    <w:p>
      <w:pPr>
        <w:ind w:left="5280"/>
        <w:spacing w:after="0"/>
        <w:rPr>
          <w:sz w:val="20"/>
          <w:szCs w:val="20"/>
          <w:color w:val="auto"/>
        </w:rPr>
      </w:pPr>
      <w:r>
        <w:rPr>
          <w:rFonts w:ascii="Arial" w:cs="Arial" w:eastAsia="Arial" w:hAnsi="Arial"/>
          <w:sz w:val="21"/>
          <w:szCs w:val="21"/>
          <w:color w:val="231F20"/>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21"/>
          <w:szCs w:val="21"/>
          <w:i w:val="1"/>
          <w:iCs w:val="1"/>
          <w:color w:val="231F20"/>
        </w:rPr>
        <w:t>Signature Page to</w:t>
      </w:r>
    </w:p>
    <w:p>
      <w:pPr>
        <w:jc w:val="center"/>
        <w:ind w:right="-79"/>
        <w:spacing w:after="0"/>
        <w:rPr>
          <w:sz w:val="20"/>
          <w:szCs w:val="20"/>
          <w:color w:val="auto"/>
        </w:rPr>
      </w:pPr>
      <w:r>
        <w:rPr>
          <w:rFonts w:ascii="Arial" w:cs="Arial" w:eastAsia="Arial" w:hAnsi="Arial"/>
          <w:sz w:val="19"/>
          <w:szCs w:val="19"/>
          <w:i w:val="1"/>
          <w:iCs w:val="1"/>
          <w:color w:val="231F20"/>
        </w:rPr>
        <w:t>Mistras Group, Inc. Credit Agreement</w:t>
      </w:r>
    </w:p>
    <w:p>
      <w:pPr>
        <w:sectPr>
          <w:pgSz w:w="11900" w:h="16838" w:orient="portrait"/>
          <w:cols w:equalWidth="0" w:num="1">
            <w:col w:w="10980"/>
          </w:cols>
          <w:pgMar w:left="420" w:top="1386" w:right="499" w:bottom="228" w:gutter="0" w:footer="0" w:header="0"/>
        </w:sect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231F20"/>
        </w:rPr>
        <w:t>Internal</w:t>
      </w:r>
    </w:p>
    <w:p>
      <w:pPr>
        <w:sectPr>
          <w:pgSz w:w="11900" w:h="16838" w:orient="portrait"/>
          <w:cols w:equalWidth="0" w:num="1">
            <w:col w:w="10980"/>
          </w:cols>
          <w:pgMar w:left="420" w:top="1386" w:right="499" w:bottom="228" w:gutter="0" w:footer="0" w:header="0"/>
          <w:type w:val="continuous"/>
        </w:sectPr>
      </w:pPr>
    </w:p>
    <w:bookmarkStart w:id="246" w:name="page247"/>
    <w:bookmarkEnd w:id="246"/>
    <w:p>
      <w:pPr>
        <w:jc w:val="center"/>
        <w:ind w:right="19"/>
        <w:spacing w:after="0"/>
        <w:rPr>
          <w:sz w:val="20"/>
          <w:szCs w:val="20"/>
          <w:color w:val="auto"/>
        </w:rPr>
      </w:pPr>
      <w:r>
        <w:rPr>
          <w:rFonts w:ascii="Arial" w:cs="Arial" w:eastAsia="Arial" w:hAnsi="Arial"/>
          <w:sz w:val="18"/>
          <w:szCs w:val="18"/>
          <w:color w:val="282828"/>
        </w:rPr>
        <w:t xml:space="preserve">PNC Bank, </w:t>
      </w:r>
      <w:r>
        <w:rPr>
          <w:rFonts w:ascii="Arial" w:cs="Arial" w:eastAsia="Arial" w:hAnsi="Arial"/>
          <w:sz w:val="18"/>
          <w:szCs w:val="18"/>
          <w:color w:val="383638"/>
        </w:rPr>
        <w:t>National Association,</w:t>
      </w:r>
      <w:r>
        <w:rPr>
          <w:rFonts w:ascii="Arial" w:cs="Arial" w:eastAsia="Arial" w:hAnsi="Arial"/>
          <w:sz w:val="18"/>
          <w:szCs w:val="18"/>
          <w:color w:val="282828"/>
        </w:rPr>
        <w:t xml:space="preserve"> as </w:t>
      </w:r>
      <w:r>
        <w:rPr>
          <w:rFonts w:ascii="Arial" w:cs="Arial" w:eastAsia="Arial" w:hAnsi="Arial"/>
          <w:sz w:val="18"/>
          <w:szCs w:val="18"/>
          <w:color w:val="383638"/>
        </w:rPr>
        <w:t>a</w:t>
      </w:r>
      <w:r>
        <w:rPr>
          <w:rFonts w:ascii="Arial" w:cs="Arial" w:eastAsia="Arial" w:hAnsi="Arial"/>
          <w:sz w:val="18"/>
          <w:szCs w:val="18"/>
          <w:color w:val="282828"/>
        </w:rPr>
        <w:t xml:space="preserve"> Lender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60"/>
        <w:spacing w:after="0"/>
        <w:rPr>
          <w:sz w:val="20"/>
          <w:szCs w:val="20"/>
          <w:color w:val="auto"/>
        </w:rPr>
      </w:pPr>
      <w:r>
        <w:rPr>
          <w:rFonts w:ascii="Arial" w:cs="Arial" w:eastAsia="Arial" w:hAnsi="Arial"/>
          <w:sz w:val="23"/>
          <w:szCs w:val="23"/>
          <w:b w:val="1"/>
          <w:bCs w:val="1"/>
          <w:color w:val="282828"/>
        </w:rPr>
        <w:t>By</w:t>
      </w:r>
    </w:p>
    <w:p>
      <w:pPr>
        <w:spacing w:after="0" w:line="103" w:lineRule="exact"/>
        <w:rPr>
          <w:sz w:val="20"/>
          <w:szCs w:val="20"/>
          <w:color w:val="auto"/>
        </w:rPr>
      </w:pPr>
    </w:p>
    <w:p>
      <w:pPr>
        <w:ind w:left="3260"/>
        <w:spacing w:after="0"/>
        <w:rPr>
          <w:sz w:val="20"/>
          <w:szCs w:val="20"/>
          <w:color w:val="auto"/>
        </w:rPr>
      </w:pPr>
      <w:r>
        <w:rPr>
          <w:rFonts w:ascii="Arial" w:cs="Arial" w:eastAsia="Arial" w:hAnsi="Arial"/>
          <w:sz w:val="21"/>
          <w:szCs w:val="21"/>
          <w:color w:val="282828"/>
        </w:rPr>
        <w:t xml:space="preserve">Title: </w:t>
      </w:r>
      <w:r>
        <w:rPr>
          <w:rFonts w:ascii="Arial" w:cs="Arial" w:eastAsia="Arial" w:hAnsi="Arial"/>
          <w:sz w:val="21"/>
          <w:szCs w:val="21"/>
          <w:color w:val="383638"/>
        </w:rPr>
        <w:t>Vice</w:t>
      </w:r>
      <w:r>
        <w:rPr>
          <w:rFonts w:ascii="Arial" w:cs="Arial" w:eastAsia="Arial" w:hAnsi="Arial"/>
          <w:sz w:val="21"/>
          <w:szCs w:val="21"/>
          <w:color w:val="282828"/>
        </w:rPr>
        <w:t xml:space="preserve"> President</w:t>
      </w:r>
    </w:p>
    <w:p>
      <w:pPr>
        <w:spacing w:after="0" w:line="200" w:lineRule="exact"/>
        <w:rPr>
          <w:sz w:val="20"/>
          <w:szCs w:val="20"/>
          <w:color w:val="auto"/>
        </w:rPr>
      </w:pPr>
    </w:p>
    <w:p>
      <w:pPr>
        <w:spacing w:after="0" w:line="233" w:lineRule="exact"/>
        <w:rPr>
          <w:sz w:val="20"/>
          <w:szCs w:val="20"/>
          <w:color w:val="auto"/>
        </w:rPr>
      </w:pPr>
    </w:p>
    <w:p>
      <w:pPr>
        <w:jc w:val="center"/>
        <w:ind w:right="6179"/>
        <w:spacing w:after="0"/>
        <w:rPr>
          <w:sz w:val="20"/>
          <w:szCs w:val="20"/>
          <w:color w:val="auto"/>
        </w:rPr>
      </w:pPr>
      <w:r>
        <w:rPr>
          <w:rFonts w:ascii="Arial" w:cs="Arial" w:eastAsia="Arial" w:hAnsi="Arial"/>
          <w:sz w:val="21"/>
          <w:szCs w:val="21"/>
          <w:i w:val="1"/>
          <w:iCs w:val="1"/>
          <w:color w:val="383638"/>
        </w:rPr>
        <w:t xml:space="preserve">Signature </w:t>
      </w:r>
      <w:r>
        <w:rPr>
          <w:rFonts w:ascii="Arial" w:cs="Arial" w:eastAsia="Arial" w:hAnsi="Arial"/>
          <w:sz w:val="21"/>
          <w:szCs w:val="21"/>
          <w:i w:val="1"/>
          <w:iCs w:val="1"/>
          <w:color w:val="282828"/>
        </w:rPr>
        <w:t>Page</w:t>
      </w:r>
      <w:r>
        <w:rPr>
          <w:rFonts w:ascii="Arial" w:cs="Arial" w:eastAsia="Arial" w:hAnsi="Arial"/>
          <w:sz w:val="21"/>
          <w:szCs w:val="21"/>
          <w:i w:val="1"/>
          <w:iCs w:val="1"/>
          <w:color w:val="383638"/>
        </w:rPr>
        <w:t xml:space="preserve"> to</w:t>
      </w:r>
    </w:p>
    <w:p>
      <w:pPr>
        <w:jc w:val="center"/>
        <w:ind w:right="6179"/>
        <w:spacing w:after="0"/>
        <w:rPr>
          <w:sz w:val="20"/>
          <w:szCs w:val="20"/>
          <w:color w:val="auto"/>
        </w:rPr>
      </w:pPr>
      <w:r>
        <w:rPr>
          <w:rFonts w:ascii="Arial" w:cs="Arial" w:eastAsia="Arial" w:hAnsi="Arial"/>
          <w:sz w:val="18"/>
          <w:szCs w:val="18"/>
          <w:i w:val="1"/>
          <w:iCs w:val="1"/>
          <w:color w:val="383638"/>
        </w:rPr>
        <w:t xml:space="preserve">Mistras Group, </w:t>
      </w:r>
      <w:r>
        <w:rPr>
          <w:rFonts w:ascii="Arial" w:cs="Arial" w:eastAsia="Arial" w:hAnsi="Arial"/>
          <w:sz w:val="18"/>
          <w:szCs w:val="18"/>
          <w:i w:val="1"/>
          <w:iCs w:val="1"/>
          <w:color w:val="282828"/>
        </w:rPr>
        <w:t>Inc.</w:t>
      </w:r>
      <w:r>
        <w:rPr>
          <w:rFonts w:ascii="Arial" w:cs="Arial" w:eastAsia="Arial" w:hAnsi="Arial"/>
          <w:sz w:val="18"/>
          <w:szCs w:val="18"/>
          <w:i w:val="1"/>
          <w:iCs w:val="1"/>
          <w:color w:val="383638"/>
        </w:rPr>
        <w:t xml:space="preserve"> Credit Agreement</w:t>
      </w:r>
    </w:p>
    <w:p>
      <w:pPr>
        <w:sectPr>
          <w:pgSz w:w="11900" w:h="16838" w:orient="portrait"/>
          <w:cols w:equalWidth="0" w:num="1">
            <w:col w:w="9319"/>
          </w:cols>
          <w:pgMar w:left="1140" w:top="1319" w:right="1440" w:bottom="1440" w:gutter="0" w:footer="0" w:header="0"/>
        </w:sectPr>
      </w:pPr>
    </w:p>
    <w:bookmarkStart w:id="247" w:name="page248"/>
    <w:bookmarkEnd w:id="247"/>
    <w:p>
      <w:pPr>
        <w:jc w:val="right"/>
        <w:ind w:right="2379"/>
        <w:spacing w:after="0"/>
        <w:rPr>
          <w:sz w:val="20"/>
          <w:szCs w:val="20"/>
          <w:color w:val="auto"/>
        </w:rPr>
      </w:pPr>
      <w:r>
        <w:rPr>
          <w:rFonts w:ascii="Arial" w:cs="Arial" w:eastAsia="Arial" w:hAnsi="Arial"/>
          <w:sz w:val="21"/>
          <w:szCs w:val="21"/>
          <w:color w:val="262626"/>
        </w:rPr>
        <w:t xml:space="preserve">CITIZENS </w:t>
      </w:r>
      <w:r>
        <w:rPr>
          <w:rFonts w:ascii="Arial" w:cs="Arial" w:eastAsia="Arial" w:hAnsi="Arial"/>
          <w:sz w:val="21"/>
          <w:szCs w:val="21"/>
          <w:color w:val="111111"/>
        </w:rPr>
        <w:t>BANK</w:t>
      </w:r>
      <w:r>
        <w:rPr>
          <w:rFonts w:ascii="Arial" w:cs="Arial" w:eastAsia="Arial" w:hAnsi="Arial"/>
          <w:sz w:val="21"/>
          <w:szCs w:val="21"/>
          <w:color w:val="464646"/>
        </w:rPr>
        <w:t>,</w:t>
      </w:r>
      <w:r>
        <w:rPr>
          <w:rFonts w:ascii="Arial" w:cs="Arial" w:eastAsia="Arial" w:hAnsi="Arial"/>
          <w:sz w:val="21"/>
          <w:szCs w:val="21"/>
          <w:color w:val="262626"/>
        </w:rPr>
        <w:t xml:space="preserve"> N.A.</w:t>
      </w:r>
      <w:r>
        <w:rPr>
          <w:rFonts w:ascii="Arial" w:cs="Arial" w:eastAsia="Arial" w:hAnsi="Arial"/>
          <w:sz w:val="21"/>
          <w:szCs w:val="21"/>
          <w:color w:val="464646"/>
        </w:rPr>
        <w:t>,</w:t>
      </w:r>
      <w:r>
        <w:rPr>
          <w:rFonts w:ascii="Arial" w:cs="Arial" w:eastAsia="Arial" w:hAnsi="Arial"/>
          <w:sz w:val="21"/>
          <w:szCs w:val="21"/>
          <w:color w:val="262626"/>
        </w:rPr>
        <w:t xml:space="preserve"> as a </w:t>
      </w:r>
      <w:r>
        <w:rPr>
          <w:rFonts w:ascii="Arial" w:cs="Arial" w:eastAsia="Arial" w:hAnsi="Arial"/>
          <w:sz w:val="21"/>
          <w:szCs w:val="21"/>
          <w:color w:val="111111"/>
        </w:rPr>
        <w:t>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2649220</wp:posOffset>
            </wp:positionH>
            <wp:positionV relativeFrom="paragraph">
              <wp:posOffset>320040</wp:posOffset>
            </wp:positionV>
            <wp:extent cx="1855470" cy="434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185547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2359"/>
        <w:spacing w:after="0"/>
        <w:rPr>
          <w:sz w:val="20"/>
          <w:szCs w:val="20"/>
          <w:color w:val="auto"/>
        </w:rPr>
      </w:pPr>
      <w:r>
        <w:rPr>
          <w:rFonts w:ascii="Arial" w:cs="Arial" w:eastAsia="Arial" w:hAnsi="Arial"/>
          <w:sz w:val="21"/>
          <w:szCs w:val="21"/>
          <w:color w:val="262626"/>
        </w:rPr>
        <w:t>By:</w:t>
      </w:r>
    </w:p>
    <w:p>
      <w:pPr>
        <w:spacing w:after="0" w:line="200" w:lineRule="exact"/>
        <w:rPr>
          <w:sz w:val="20"/>
          <w:szCs w:val="20"/>
          <w:color w:val="auto"/>
        </w:rPr>
      </w:pPr>
    </w:p>
    <w:p>
      <w:pPr>
        <w:spacing w:after="0" w:line="375" w:lineRule="exact"/>
        <w:rPr>
          <w:sz w:val="20"/>
          <w:szCs w:val="20"/>
          <w:color w:val="auto"/>
        </w:rPr>
      </w:pPr>
    </w:p>
    <w:p>
      <w:pPr>
        <w:jc w:val="center"/>
        <w:ind w:right="6619"/>
        <w:spacing w:after="0"/>
        <w:rPr>
          <w:sz w:val="20"/>
          <w:szCs w:val="20"/>
          <w:color w:val="auto"/>
        </w:rPr>
      </w:pPr>
      <w:r>
        <w:rPr>
          <w:rFonts w:ascii="Arial" w:cs="Arial" w:eastAsia="Arial" w:hAnsi="Arial"/>
          <w:sz w:val="21"/>
          <w:szCs w:val="21"/>
          <w:i w:val="1"/>
          <w:iCs w:val="1"/>
          <w:color w:val="262626"/>
        </w:rPr>
        <w:t xml:space="preserve">Signature Page </w:t>
      </w:r>
      <w:r>
        <w:rPr>
          <w:rFonts w:ascii="Arial" w:cs="Arial" w:eastAsia="Arial" w:hAnsi="Arial"/>
          <w:sz w:val="21"/>
          <w:szCs w:val="21"/>
          <w:i w:val="1"/>
          <w:iCs w:val="1"/>
          <w:color w:val="111111"/>
        </w:rPr>
        <w:t>to</w:t>
      </w:r>
    </w:p>
    <w:p>
      <w:pPr>
        <w:jc w:val="center"/>
        <w:ind w:right="6619"/>
        <w:spacing w:after="0"/>
        <w:rPr>
          <w:sz w:val="20"/>
          <w:szCs w:val="20"/>
          <w:color w:val="auto"/>
        </w:rPr>
      </w:pPr>
      <w:r>
        <w:rPr>
          <w:rFonts w:ascii="Arial" w:cs="Arial" w:eastAsia="Arial" w:hAnsi="Arial"/>
          <w:sz w:val="18"/>
          <w:szCs w:val="18"/>
          <w:i w:val="1"/>
          <w:iCs w:val="1"/>
          <w:color w:val="262626"/>
        </w:rPr>
        <w:t xml:space="preserve">Mistras </w:t>
      </w:r>
      <w:r>
        <w:rPr>
          <w:rFonts w:ascii="Arial" w:cs="Arial" w:eastAsia="Arial" w:hAnsi="Arial"/>
          <w:sz w:val="18"/>
          <w:szCs w:val="18"/>
          <w:i w:val="1"/>
          <w:iCs w:val="1"/>
          <w:color w:val="363636"/>
        </w:rPr>
        <w:t>G</w:t>
      </w:r>
      <w:r>
        <w:rPr>
          <w:rFonts w:ascii="Arial" w:cs="Arial" w:eastAsia="Arial" w:hAnsi="Arial"/>
          <w:sz w:val="18"/>
          <w:szCs w:val="18"/>
          <w:i w:val="1"/>
          <w:iCs w:val="1"/>
          <w:color w:val="111111"/>
        </w:rPr>
        <w:t>roup</w:t>
      </w:r>
      <w:r>
        <w:rPr>
          <w:rFonts w:ascii="Arial" w:cs="Arial" w:eastAsia="Arial" w:hAnsi="Arial"/>
          <w:sz w:val="18"/>
          <w:szCs w:val="18"/>
          <w:i w:val="1"/>
          <w:iCs w:val="1"/>
          <w:color w:val="363636"/>
        </w:rPr>
        <w:t>,</w:t>
      </w:r>
      <w:r>
        <w:rPr>
          <w:rFonts w:ascii="Arial" w:cs="Arial" w:eastAsia="Arial" w:hAnsi="Arial"/>
          <w:sz w:val="18"/>
          <w:szCs w:val="18"/>
          <w:i w:val="1"/>
          <w:iCs w:val="1"/>
          <w:color w:val="262626"/>
        </w:rPr>
        <w:t xml:space="preserve"> Inc. </w:t>
      </w:r>
      <w:r>
        <w:rPr>
          <w:rFonts w:ascii="Arial" w:cs="Arial" w:eastAsia="Arial" w:hAnsi="Arial"/>
          <w:sz w:val="18"/>
          <w:szCs w:val="18"/>
          <w:i w:val="1"/>
          <w:iCs w:val="1"/>
          <w:color w:val="464646"/>
        </w:rPr>
        <w:t>C</w:t>
      </w:r>
      <w:r>
        <w:rPr>
          <w:rFonts w:ascii="Arial" w:cs="Arial" w:eastAsia="Arial" w:hAnsi="Arial"/>
          <w:sz w:val="18"/>
          <w:szCs w:val="18"/>
          <w:i w:val="1"/>
          <w:iCs w:val="1"/>
          <w:color w:val="262626"/>
        </w:rPr>
        <w:t>redit Agreement</w:t>
      </w:r>
    </w:p>
    <w:p>
      <w:pPr>
        <w:sectPr>
          <w:pgSz w:w="11900" w:h="16838" w:orient="portrait"/>
          <w:cols w:equalWidth="0" w:num="1">
            <w:col w:w="9759"/>
          </w:cols>
          <w:pgMar w:left="700" w:top="1365" w:right="1440" w:bottom="1440" w:gutter="0" w:footer="0" w:header="0"/>
        </w:sectPr>
      </w:pPr>
    </w:p>
    <w:bookmarkStart w:id="248" w:name="page249"/>
    <w:bookmarkEnd w:id="248"/>
    <w:p>
      <w:pPr>
        <w:spacing w:after="0" w:line="200" w:lineRule="exact"/>
        <w:rPr>
          <w:sz w:val="20"/>
          <w:szCs w:val="20"/>
          <w:color w:val="auto"/>
        </w:rPr>
      </w:pPr>
    </w:p>
    <w:p>
      <w:pPr>
        <w:spacing w:after="0" w:line="240" w:lineRule="exact"/>
        <w:rPr>
          <w:sz w:val="20"/>
          <w:szCs w:val="20"/>
          <w:color w:val="auto"/>
        </w:rPr>
      </w:pPr>
    </w:p>
    <w:p>
      <w:pPr>
        <w:ind w:left="3500"/>
        <w:spacing w:after="0"/>
        <w:rPr>
          <w:sz w:val="20"/>
          <w:szCs w:val="20"/>
          <w:color w:val="auto"/>
        </w:rPr>
      </w:pPr>
      <w:r>
        <w:rPr>
          <w:rFonts w:ascii="Arial" w:cs="Arial" w:eastAsia="Arial" w:hAnsi="Arial"/>
          <w:sz w:val="20"/>
          <w:szCs w:val="20"/>
          <w:color w:val="2A2A2A"/>
        </w:rPr>
        <w:t xml:space="preserve">City National </w:t>
      </w:r>
      <w:r>
        <w:rPr>
          <w:rFonts w:ascii="Arial" w:cs="Arial" w:eastAsia="Arial" w:hAnsi="Arial"/>
          <w:sz w:val="20"/>
          <w:szCs w:val="20"/>
          <w:color w:val="1A181A"/>
        </w:rPr>
        <w:t>Bank,</w:t>
      </w:r>
      <w:r>
        <w:rPr>
          <w:rFonts w:ascii="Arial" w:cs="Arial" w:eastAsia="Arial" w:hAnsi="Arial"/>
          <w:sz w:val="20"/>
          <w:szCs w:val="20"/>
          <w:color w:val="2A2A2A"/>
        </w:rPr>
        <w:t xml:space="preserve"> as </w:t>
      </w:r>
      <w:r>
        <w:rPr>
          <w:rFonts w:ascii="Arial" w:cs="Arial" w:eastAsia="Arial" w:hAnsi="Arial"/>
          <w:sz w:val="20"/>
          <w:szCs w:val="20"/>
          <w:color w:val="1A181A"/>
        </w:rPr>
        <w:t>a Lender</w:t>
      </w:r>
    </w:p>
    <w:p>
      <w:pPr>
        <w:spacing w:after="0" w:line="204" w:lineRule="exact"/>
        <w:rPr>
          <w:sz w:val="20"/>
          <w:szCs w:val="20"/>
          <w:color w:val="auto"/>
        </w:rPr>
      </w:pPr>
    </w:p>
    <w:p>
      <w:pPr>
        <w:jc w:val="center"/>
        <w:ind w:right="179"/>
        <w:spacing w:after="0"/>
        <w:tabs>
          <w:tab w:leader="none" w:pos="160" w:val="left"/>
          <w:tab w:leader="none" w:pos="480" w:val="left"/>
        </w:tabs>
        <w:rPr>
          <w:sz w:val="20"/>
          <w:szCs w:val="20"/>
          <w:color w:val="auto"/>
        </w:rPr>
      </w:pPr>
      <w:r>
        <w:rPr>
          <w:rFonts w:ascii="Arial" w:cs="Arial" w:eastAsia="Arial" w:hAnsi="Arial"/>
          <w:sz w:val="20"/>
          <w:szCs w:val="20"/>
          <w:color w:val="1A181A"/>
        </w:rPr>
        <w:t>By:</w:t>
      </w:r>
      <w:r>
        <w:rPr>
          <w:sz w:val="20"/>
          <w:szCs w:val="20"/>
          <w:color w:val="auto"/>
        </w:rPr>
        <w:tab/>
      </w:r>
      <w:r>
        <w:rPr>
          <w:rFonts w:ascii="Arial" w:cs="Arial" w:eastAsia="Arial" w:hAnsi="Arial"/>
          <w:sz w:val="52"/>
          <w:szCs w:val="52"/>
          <w:i w:val="1"/>
          <w:iCs w:val="1"/>
          <w:color w:val="362F59"/>
        </w:rPr>
        <w:t>x/J</w:t>
      </w:r>
      <w:r>
        <w:rPr>
          <w:sz w:val="20"/>
          <w:szCs w:val="20"/>
          <w:color w:val="auto"/>
        </w:rPr>
        <w:tab/>
      </w:r>
      <w:r>
        <w:rPr>
          <w:rFonts w:ascii="Arial" w:cs="Arial" w:eastAsia="Arial" w:hAnsi="Arial"/>
          <w:sz w:val="40"/>
          <w:szCs w:val="40"/>
          <w:i w:val="1"/>
          <w:iCs w:val="1"/>
          <w:u w:val="single" w:color="auto"/>
          <w:color w:val="4F487C"/>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-39370</wp:posOffset>
            </wp:positionV>
            <wp:extent cx="71247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2470" cy="25400"/>
                    </a:xfrm>
                    <a:prstGeom prst="rect">
                      <a:avLst/>
                    </a:prstGeom>
                    <a:noFill/>
                  </pic:spPr>
                </pic:pic>
              </a:graphicData>
            </a:graphic>
          </wp:anchor>
        </w:drawing>
      </w:r>
    </w:p>
    <w:p>
      <w:pPr>
        <w:spacing w:after="0" w:line="61" w:lineRule="exact"/>
        <w:rPr>
          <w:sz w:val="20"/>
          <w:szCs w:val="20"/>
          <w:color w:val="auto"/>
        </w:rPr>
      </w:pPr>
    </w:p>
    <w:p>
      <w:pPr>
        <w:ind w:left="3900"/>
        <w:spacing w:after="0"/>
        <w:tabs>
          <w:tab w:leader="none" w:pos="5420" w:val="left"/>
          <w:tab w:leader="none" w:pos="5760" w:val="left"/>
          <w:tab w:leader="none" w:pos="6280" w:val="left"/>
        </w:tabs>
        <w:rPr>
          <w:sz w:val="20"/>
          <w:szCs w:val="20"/>
          <w:color w:val="auto"/>
        </w:rPr>
      </w:pPr>
      <w:r>
        <w:rPr>
          <w:rFonts w:ascii="Arial" w:cs="Arial" w:eastAsia="Arial" w:hAnsi="Arial"/>
          <w:sz w:val="20"/>
          <w:szCs w:val="20"/>
          <w:color w:val="2A2A2A"/>
        </w:rPr>
        <w:t xml:space="preserve">Name: </w:t>
      </w:r>
      <w:r>
        <w:rPr>
          <w:rFonts w:ascii="Arial" w:cs="Arial" w:eastAsia="Arial" w:hAnsi="Arial"/>
          <w:sz w:val="20"/>
          <w:szCs w:val="20"/>
          <w:color w:val="1A181A"/>
        </w:rPr>
        <w:t>Khanh Le</w:t>
      </w:r>
      <w:r>
        <w:rPr>
          <w:rFonts w:ascii="Arial" w:cs="Arial" w:eastAsia="Arial" w:hAnsi="Arial"/>
          <w:sz w:val="20"/>
          <w:szCs w:val="20"/>
          <w:color w:val="5E5760"/>
        </w:rPr>
        <w:tab/>
        <w:t>--</w:t>
      </w:r>
      <w:r>
        <w:rPr>
          <w:rFonts w:ascii="Arial" w:cs="Arial" w:eastAsia="Arial" w:hAnsi="Arial"/>
          <w:sz w:val="20"/>
          <w:szCs w:val="20"/>
          <w:color w:val="B8B5BF"/>
        </w:rPr>
        <w:tab/>
        <w:t>-·- ·</w:t>
      </w:r>
      <w:r>
        <w:rPr>
          <w:sz w:val="20"/>
          <w:szCs w:val="20"/>
          <w:color w:val="auto"/>
        </w:rPr>
        <w:tab/>
      </w:r>
      <w:r>
        <w:rPr>
          <w:rFonts w:ascii="Arial" w:cs="Arial" w:eastAsia="Arial" w:hAnsi="Arial"/>
          <w:sz w:val="17"/>
          <w:szCs w:val="17"/>
          <w:color w:val="2A2A2A"/>
        </w:rPr>
        <w:t xml:space="preserve">Title: </w:t>
      </w:r>
      <w:r>
        <w:rPr>
          <w:rFonts w:ascii="Arial" w:cs="Arial" w:eastAsia="Arial" w:hAnsi="Arial"/>
          <w:sz w:val="17"/>
          <w:szCs w:val="17"/>
          <w:color w:val="1A181A"/>
        </w:rPr>
        <w:t>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-7620</wp:posOffset>
            </wp:positionV>
            <wp:extent cx="5092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1A181A"/>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5E5760"/>
        </w:rPr>
        <w:t xml:space="preserve">Signature </w:t>
      </w:r>
      <w:r>
        <w:rPr>
          <w:rFonts w:ascii="Arial" w:cs="Arial" w:eastAsia="Arial" w:hAnsi="Arial"/>
          <w:sz w:val="20"/>
          <w:szCs w:val="20"/>
          <w:i w:val="1"/>
          <w:iCs w:val="1"/>
          <w:color w:val="463F4B"/>
        </w:rPr>
        <w:t>Page to</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5E5760"/>
        </w:rPr>
        <w:t>Mistras Group</w:t>
      </w:r>
      <w:r>
        <w:rPr>
          <w:rFonts w:ascii="Arial" w:cs="Arial" w:eastAsia="Arial" w:hAnsi="Arial"/>
          <w:sz w:val="17"/>
          <w:szCs w:val="17"/>
          <w:i w:val="1"/>
          <w:iCs w:val="1"/>
          <w:color w:val="9E9AA5"/>
        </w:rPr>
        <w:t>,</w:t>
      </w:r>
      <w:r>
        <w:rPr>
          <w:rFonts w:ascii="Arial" w:cs="Arial" w:eastAsia="Arial" w:hAnsi="Arial"/>
          <w:sz w:val="17"/>
          <w:szCs w:val="17"/>
          <w:i w:val="1"/>
          <w:iCs w:val="1"/>
          <w:color w:val="5E5760"/>
        </w:rPr>
        <w:t xml:space="preserve"> </w:t>
      </w:r>
      <w:r>
        <w:rPr>
          <w:rFonts w:ascii="Arial" w:cs="Arial" w:eastAsia="Arial" w:hAnsi="Arial"/>
          <w:sz w:val="17"/>
          <w:szCs w:val="17"/>
          <w:i w:val="1"/>
          <w:iCs w:val="1"/>
          <w:color w:val="463F4B"/>
        </w:rPr>
        <w:t>Inc.</w:t>
      </w:r>
      <w:r>
        <w:rPr>
          <w:rFonts w:ascii="Arial" w:cs="Arial" w:eastAsia="Arial" w:hAnsi="Arial"/>
          <w:sz w:val="17"/>
          <w:szCs w:val="17"/>
          <w:i w:val="1"/>
          <w:iCs w:val="1"/>
          <w:color w:val="5E5760"/>
        </w:rPr>
        <w:t xml:space="preserve"> C</w:t>
      </w:r>
      <w:r>
        <w:rPr>
          <w:rFonts w:ascii="Arial" w:cs="Arial" w:eastAsia="Arial" w:hAnsi="Arial"/>
          <w:sz w:val="17"/>
          <w:szCs w:val="17"/>
          <w:i w:val="1"/>
          <w:iCs w:val="1"/>
          <w:color w:val="2A2A2A"/>
        </w:rPr>
        <w:t>r</w:t>
      </w:r>
      <w:r>
        <w:rPr>
          <w:rFonts w:ascii="Arial" w:cs="Arial" w:eastAsia="Arial" w:hAnsi="Arial"/>
          <w:sz w:val="17"/>
          <w:szCs w:val="17"/>
          <w:i w:val="1"/>
          <w:iCs w:val="1"/>
          <w:color w:val="5E5760"/>
        </w:rPr>
        <w:t>edi</w:t>
      </w:r>
      <w:r>
        <w:rPr>
          <w:rFonts w:ascii="Arial" w:cs="Arial" w:eastAsia="Arial" w:hAnsi="Arial"/>
          <w:sz w:val="17"/>
          <w:szCs w:val="17"/>
          <w:i w:val="1"/>
          <w:iCs w:val="1"/>
          <w:color w:val="2A2A2A"/>
        </w:rPr>
        <w:t>t</w:t>
      </w:r>
      <w:r>
        <w:rPr>
          <w:rFonts w:ascii="Arial" w:cs="Arial" w:eastAsia="Arial" w:hAnsi="Arial"/>
          <w:sz w:val="17"/>
          <w:szCs w:val="17"/>
          <w:i w:val="1"/>
          <w:iCs w:val="1"/>
          <w:color w:val="5E5760"/>
        </w:rPr>
        <w:t xml:space="preser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318770</wp:posOffset>
            </wp:positionV>
            <wp:extent cx="5702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570230" cy="8255"/>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386715</wp:posOffset>
            </wp:positionV>
            <wp:extent cx="6045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6045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9" w:name="page250"/>
    <w:bookmarkEnd w:id="249"/>
    <w:p>
      <w:pPr>
        <w:ind w:left="1260"/>
        <w:spacing w:after="0"/>
        <w:rPr>
          <w:sz w:val="20"/>
          <w:szCs w:val="20"/>
          <w:color w:val="auto"/>
        </w:rPr>
      </w:pPr>
      <w:r>
        <w:rPr>
          <w:rFonts w:ascii="Arial" w:cs="Arial" w:eastAsia="Arial" w:hAnsi="Arial"/>
          <w:sz w:val="21"/>
          <w:szCs w:val="21"/>
          <w:color w:val="auto"/>
        </w:rPr>
        <w:t>SCHEDULE</w:t>
      </w:r>
    </w:p>
    <w:p>
      <w:pPr>
        <w:ind w:left="1420"/>
        <w:spacing w:after="0"/>
        <w:rPr>
          <w:sz w:val="20"/>
          <w:szCs w:val="20"/>
          <w:color w:val="auto"/>
        </w:rPr>
      </w:pPr>
      <w:r>
        <w:rPr>
          <w:rFonts w:ascii="Arial" w:cs="Arial" w:eastAsia="Arial" w:hAnsi="Arial"/>
          <w:sz w:val="21"/>
          <w:szCs w:val="21"/>
          <w:color w:val="auto"/>
        </w:rPr>
        <w:t>2.01A</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Commitments</w:t>
      </w:r>
    </w:p>
    <w:p>
      <w:pPr>
        <w:jc w:val="right"/>
        <w:ind w:right="2439"/>
        <w:spacing w:after="0"/>
        <w:rPr>
          <w:sz w:val="20"/>
          <w:szCs w:val="20"/>
          <w:color w:val="auto"/>
        </w:rPr>
      </w:pPr>
      <w:r>
        <w:rPr>
          <w:rFonts w:ascii="Arial" w:cs="Arial" w:eastAsia="Arial" w:hAnsi="Arial"/>
          <w:sz w:val="21"/>
          <w:szCs w:val="21"/>
          <w:u w:val="single" w:color="auto"/>
          <w:color w:val="auto"/>
        </w:rPr>
        <w:t>TERM LOAN</w:t>
      </w:r>
    </w:p>
    <w:p>
      <w:pPr>
        <w:spacing w:after="0" w:line="35" w:lineRule="exact"/>
        <w:rPr>
          <w:sz w:val="20"/>
          <w:szCs w:val="20"/>
          <w:color w:val="auto"/>
        </w:rPr>
      </w:pPr>
    </w:p>
    <w:p>
      <w:pPr>
        <w:ind w:left="1120"/>
        <w:spacing w:after="0"/>
        <w:tabs>
          <w:tab w:leader="none" w:pos="2160" w:val="left"/>
        </w:tabs>
        <w:rPr>
          <w:sz w:val="20"/>
          <w:szCs w:val="20"/>
          <w:color w:val="auto"/>
        </w:rPr>
      </w:pPr>
      <w:r>
        <w:rPr>
          <w:rFonts w:ascii="Arial" w:cs="Arial" w:eastAsia="Arial" w:hAnsi="Arial"/>
          <w:sz w:val="21"/>
          <w:szCs w:val="21"/>
          <w:u w:val="single" w:color="auto"/>
          <w:color w:val="auto"/>
        </w:rPr>
        <w:t>LENDER</w:t>
        <w:tab/>
        <w:t>REVOLVING</w:t>
      </w:r>
    </w:p>
    <w:p>
      <w:pPr>
        <w:sectPr>
          <w:pgSz w:w="11900" w:h="16838" w:orient="portrait"/>
          <w:cols w:equalWidth="0" w:num="1">
            <w:col w:w="9019"/>
          </w:cols>
          <w:pgMar w:left="1440" w:top="1383" w:right="1440" w:bottom="1440" w:gutter="0" w:footer="0" w:header="0"/>
        </w:sectPr>
      </w:pPr>
    </w:p>
    <w:bookmarkStart w:id="250" w:name="page251"/>
    <w:bookmarkEnd w:id="250"/>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JPMORGAN CHASE BANK, N.A.</w:t>
      </w: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color w:val="auto"/>
        </w:rPr>
        <w:t>BANK OF AMERICA, N.A.</w:t>
      </w:r>
    </w:p>
    <w:p>
      <w:pPr>
        <w:spacing w:after="0" w:line="281" w:lineRule="exact"/>
        <w:rPr>
          <w:sz w:val="20"/>
          <w:szCs w:val="20"/>
          <w:color w:val="auto"/>
        </w:rPr>
      </w:pPr>
    </w:p>
    <w:p>
      <w:pPr>
        <w:ind w:right="500"/>
        <w:spacing w:after="0" w:line="297" w:lineRule="auto"/>
        <w:rPr>
          <w:sz w:val="20"/>
          <w:szCs w:val="20"/>
          <w:color w:val="auto"/>
        </w:rPr>
      </w:pPr>
      <w:r>
        <w:rPr>
          <w:rFonts w:ascii="Arial" w:cs="Arial" w:eastAsia="Arial" w:hAnsi="Arial"/>
          <w:sz w:val="21"/>
          <w:szCs w:val="21"/>
          <w:color w:val="auto"/>
        </w:rPr>
        <w:t>KEYBANK NATIONAL ASSOCIATION TD BANK, N.A.</w:t>
      </w:r>
    </w:p>
    <w:p>
      <w:pPr>
        <w:spacing w:after="0" w:line="46" w:lineRule="exact"/>
        <w:rPr>
          <w:sz w:val="20"/>
          <w:szCs w:val="20"/>
          <w:color w:val="auto"/>
        </w:rPr>
      </w:pPr>
    </w:p>
    <w:p>
      <w:pPr>
        <w:ind w:right="400"/>
        <w:spacing w:after="0" w:line="373" w:lineRule="auto"/>
        <w:rPr>
          <w:sz w:val="20"/>
          <w:szCs w:val="20"/>
          <w:color w:val="auto"/>
        </w:rPr>
      </w:pPr>
      <w:r>
        <w:rPr>
          <w:rFonts w:ascii="Arial" w:cs="Arial" w:eastAsia="Arial" w:hAnsi="Arial"/>
          <w:sz w:val="21"/>
          <w:szCs w:val="21"/>
          <w:color w:val="auto"/>
        </w:rPr>
        <w:t>PNC BANK, NATIONAL ASSOCIATION CITIZENS BANK, N.A.</w:t>
      </w:r>
    </w:p>
    <w:p>
      <w:pPr>
        <w:ind w:right="1100"/>
        <w:spacing w:after="0" w:line="404" w:lineRule="auto"/>
        <w:rPr>
          <w:sz w:val="20"/>
          <w:szCs w:val="20"/>
          <w:color w:val="auto"/>
        </w:rPr>
      </w:pPr>
      <w:r>
        <w:rPr>
          <w:rFonts w:ascii="Arial" w:cs="Arial" w:eastAsia="Arial" w:hAnsi="Arial"/>
          <w:sz w:val="21"/>
          <w:szCs w:val="21"/>
          <w:color w:val="auto"/>
        </w:rPr>
        <w:t xml:space="preserve">CITY NATIONAL BANK </w:t>
      </w:r>
      <w:r>
        <w:rPr>
          <w:rFonts w:ascii="Arial" w:cs="Arial" w:eastAsia="Arial" w:hAnsi="Arial"/>
          <w:sz w:val="21"/>
          <w:szCs w:val="21"/>
          <w:b w:val="1"/>
          <w:bCs w:val="1"/>
          <w:color w:val="auto"/>
        </w:rPr>
        <w:t>AGGREGATE COMMITMENT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340" w:type="dxa"/>
            <w:vAlign w:val="bottom"/>
            <w:gridSpan w:val="2"/>
          </w:tcPr>
          <w:p>
            <w:pPr>
              <w:jc w:val="center"/>
              <w:ind w:right="860"/>
              <w:spacing w:after="0"/>
              <w:rPr>
                <w:sz w:val="20"/>
                <w:szCs w:val="20"/>
                <w:color w:val="auto"/>
              </w:rPr>
            </w:pPr>
            <w:r>
              <w:rPr>
                <w:rFonts w:ascii="Arial" w:cs="Arial" w:eastAsia="Arial" w:hAnsi="Arial"/>
                <w:sz w:val="21"/>
                <w:szCs w:val="21"/>
                <w:color w:val="auto"/>
              </w:rPr>
              <w:t>COMMITMENT</w:t>
            </w:r>
          </w:p>
        </w:tc>
        <w:tc>
          <w:tcPr>
            <w:tcW w:w="1580" w:type="dxa"/>
            <w:vAlign w:val="bottom"/>
            <w:gridSpan w:val="2"/>
          </w:tcPr>
          <w:p>
            <w:pPr>
              <w:jc w:val="center"/>
              <w:ind w:right="100"/>
              <w:spacing w:after="0"/>
              <w:rPr>
                <w:sz w:val="20"/>
                <w:szCs w:val="20"/>
                <w:color w:val="auto"/>
              </w:rPr>
            </w:pPr>
            <w:r>
              <w:rPr>
                <w:rFonts w:ascii="Arial" w:cs="Arial" w:eastAsia="Arial" w:hAnsi="Arial"/>
                <w:sz w:val="21"/>
                <w:szCs w:val="21"/>
                <w:color w:val="auto"/>
              </w:rPr>
              <w:t>COMMITMENT</w:t>
            </w:r>
          </w:p>
        </w:tc>
      </w:tr>
      <w:tr>
        <w:trPr>
          <w:trHeight w:val="500"/>
        </w:trPr>
        <w:tc>
          <w:tcPr>
            <w:tcW w:w="1480" w:type="dxa"/>
            <w:vAlign w:val="bottom"/>
            <w:tcBorders>
              <w:top w:val="single" w:sz="8" w:color="auto"/>
            </w:tcBorders>
          </w:tcPr>
          <w:p>
            <w:pPr>
              <w:jc w:val="right"/>
              <w:spacing w:after="0"/>
              <w:rPr>
                <w:sz w:val="20"/>
                <w:szCs w:val="20"/>
                <w:color w:val="auto"/>
              </w:rPr>
            </w:pPr>
            <w:r>
              <w:rPr>
                <w:rFonts w:ascii="Arial" w:cs="Arial" w:eastAsia="Arial" w:hAnsi="Arial"/>
                <w:sz w:val="21"/>
                <w:szCs w:val="21"/>
                <w:color w:val="auto"/>
                <w:w w:val="93"/>
              </w:rPr>
              <w:t>$ 40,714,285.71</w:t>
            </w:r>
          </w:p>
        </w:tc>
        <w:tc>
          <w:tcPr>
            <w:tcW w:w="860" w:type="dxa"/>
            <w:vAlign w:val="bottom"/>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21"/>
                <w:szCs w:val="21"/>
                <w:color w:val="auto"/>
                <w:w w:val="94"/>
              </w:rPr>
              <w:t>$26,785,714.29</w:t>
            </w:r>
          </w:p>
        </w:tc>
        <w:tc>
          <w:tcPr>
            <w:tcW w:w="100" w:type="dxa"/>
            <w:vAlign w:val="bottom"/>
          </w:tcPr>
          <w:p>
            <w:pPr>
              <w:spacing w:after="0"/>
              <w:rPr>
                <w:sz w:val="24"/>
                <w:szCs w:val="24"/>
                <w:color w:val="auto"/>
              </w:rPr>
            </w:pPr>
          </w:p>
        </w:tc>
      </w:tr>
      <w:tr>
        <w:trPr>
          <w:trHeight w:val="523"/>
        </w:trPr>
        <w:tc>
          <w:tcPr>
            <w:tcW w:w="2340" w:type="dxa"/>
            <w:vAlign w:val="bottom"/>
            <w:gridSpan w:val="2"/>
          </w:tcPr>
          <w:p>
            <w:pPr>
              <w:jc w:val="center"/>
              <w:ind w:right="700"/>
              <w:spacing w:after="0"/>
              <w:rPr>
                <w:sz w:val="20"/>
                <w:szCs w:val="20"/>
                <w:color w:val="auto"/>
              </w:rPr>
            </w:pPr>
            <w:r>
              <w:rPr>
                <w:rFonts w:ascii="Arial" w:cs="Arial" w:eastAsia="Arial" w:hAnsi="Arial"/>
                <w:sz w:val="21"/>
                <w:szCs w:val="21"/>
                <w:color w:val="auto"/>
                <w:w w:val="92"/>
              </w:rPr>
              <w:t>$ 40,714,285.71</w:t>
            </w:r>
          </w:p>
        </w:tc>
        <w:tc>
          <w:tcPr>
            <w:tcW w:w="1580" w:type="dxa"/>
            <w:vAlign w:val="bottom"/>
            <w:gridSpan w:val="2"/>
          </w:tcPr>
          <w:p>
            <w:pPr>
              <w:jc w:val="center"/>
              <w:ind w:left="133"/>
              <w:spacing w:after="0"/>
              <w:rPr>
                <w:sz w:val="20"/>
                <w:szCs w:val="20"/>
                <w:color w:val="auto"/>
              </w:rPr>
            </w:pPr>
            <w:r>
              <w:rPr>
                <w:rFonts w:ascii="Arial" w:cs="Arial" w:eastAsia="Arial" w:hAnsi="Arial"/>
                <w:sz w:val="21"/>
                <w:szCs w:val="21"/>
                <w:color w:val="auto"/>
                <w:w w:val="91"/>
              </w:rPr>
              <w:t>$26,785,714.29</w:t>
            </w:r>
          </w:p>
        </w:tc>
      </w:tr>
      <w:tr>
        <w:trPr>
          <w:trHeight w:val="523"/>
        </w:trPr>
        <w:tc>
          <w:tcPr>
            <w:tcW w:w="2340" w:type="dxa"/>
            <w:vAlign w:val="bottom"/>
            <w:gridSpan w:val="2"/>
          </w:tcPr>
          <w:p>
            <w:pPr>
              <w:jc w:val="center"/>
              <w:ind w:right="700"/>
              <w:spacing w:after="0"/>
              <w:rPr>
                <w:sz w:val="20"/>
                <w:szCs w:val="20"/>
                <w:color w:val="auto"/>
              </w:rPr>
            </w:pPr>
            <w:r>
              <w:rPr>
                <w:rFonts w:ascii="Arial" w:cs="Arial" w:eastAsia="Arial" w:hAnsi="Arial"/>
                <w:sz w:val="21"/>
                <w:szCs w:val="21"/>
                <w:color w:val="auto"/>
                <w:w w:val="92"/>
              </w:rPr>
              <w:t>$ 24,126,984.13</w:t>
            </w:r>
          </w:p>
        </w:tc>
        <w:tc>
          <w:tcPr>
            <w:tcW w:w="1580" w:type="dxa"/>
            <w:vAlign w:val="bottom"/>
            <w:gridSpan w:val="2"/>
          </w:tcPr>
          <w:p>
            <w:pPr>
              <w:jc w:val="center"/>
              <w:ind w:left="133"/>
              <w:spacing w:after="0"/>
              <w:rPr>
                <w:sz w:val="20"/>
                <w:szCs w:val="20"/>
                <w:color w:val="auto"/>
              </w:rPr>
            </w:pPr>
            <w:r>
              <w:rPr>
                <w:rFonts w:ascii="Arial" w:cs="Arial" w:eastAsia="Arial" w:hAnsi="Arial"/>
                <w:sz w:val="21"/>
                <w:szCs w:val="21"/>
                <w:color w:val="auto"/>
                <w:w w:val="91"/>
              </w:rPr>
              <w:t>$15,873,015.87</w:t>
            </w:r>
          </w:p>
        </w:tc>
      </w:tr>
      <w:tr>
        <w:trPr>
          <w:trHeight w:val="375"/>
        </w:trPr>
        <w:tc>
          <w:tcPr>
            <w:tcW w:w="2340" w:type="dxa"/>
            <w:vAlign w:val="bottom"/>
            <w:gridSpan w:val="2"/>
          </w:tcPr>
          <w:p>
            <w:pPr>
              <w:jc w:val="center"/>
              <w:ind w:right="680"/>
              <w:spacing w:after="0"/>
              <w:rPr>
                <w:sz w:val="20"/>
                <w:szCs w:val="20"/>
                <w:color w:val="auto"/>
              </w:rPr>
            </w:pPr>
            <w:r>
              <w:rPr>
                <w:rFonts w:ascii="Arial" w:cs="Arial" w:eastAsia="Arial" w:hAnsi="Arial"/>
                <w:sz w:val="21"/>
                <w:szCs w:val="21"/>
                <w:color w:val="auto"/>
                <w:w w:val="91"/>
              </w:rPr>
              <w:t>$24,126,984.13</w:t>
            </w:r>
          </w:p>
        </w:tc>
        <w:tc>
          <w:tcPr>
            <w:tcW w:w="1580" w:type="dxa"/>
            <w:vAlign w:val="bottom"/>
            <w:gridSpan w:val="2"/>
          </w:tcPr>
          <w:p>
            <w:pPr>
              <w:jc w:val="center"/>
              <w:ind w:left="133"/>
              <w:spacing w:after="0"/>
              <w:rPr>
                <w:sz w:val="20"/>
                <w:szCs w:val="20"/>
                <w:color w:val="auto"/>
              </w:rPr>
            </w:pPr>
            <w:r>
              <w:rPr>
                <w:rFonts w:ascii="Arial" w:cs="Arial" w:eastAsia="Arial" w:hAnsi="Arial"/>
                <w:sz w:val="21"/>
                <w:szCs w:val="21"/>
                <w:color w:val="auto"/>
                <w:w w:val="91"/>
              </w:rPr>
              <w:t>$15,873,015.87</w:t>
            </w:r>
          </w:p>
        </w:tc>
      </w:tr>
      <w:tr>
        <w:trPr>
          <w:trHeight w:val="375"/>
        </w:trPr>
        <w:tc>
          <w:tcPr>
            <w:tcW w:w="2340" w:type="dxa"/>
            <w:vAlign w:val="bottom"/>
            <w:gridSpan w:val="2"/>
          </w:tcPr>
          <w:p>
            <w:pPr>
              <w:jc w:val="center"/>
              <w:ind w:right="680"/>
              <w:spacing w:after="0"/>
              <w:rPr>
                <w:sz w:val="20"/>
                <w:szCs w:val="20"/>
                <w:color w:val="auto"/>
              </w:rPr>
            </w:pPr>
            <w:r>
              <w:rPr>
                <w:rFonts w:ascii="Arial" w:cs="Arial" w:eastAsia="Arial" w:hAnsi="Arial"/>
                <w:sz w:val="21"/>
                <w:szCs w:val="21"/>
                <w:color w:val="auto"/>
                <w:w w:val="91"/>
              </w:rPr>
              <w:t>$24,126,984.13</w:t>
            </w:r>
          </w:p>
        </w:tc>
        <w:tc>
          <w:tcPr>
            <w:tcW w:w="1580" w:type="dxa"/>
            <w:vAlign w:val="bottom"/>
            <w:gridSpan w:val="2"/>
          </w:tcPr>
          <w:p>
            <w:pPr>
              <w:jc w:val="center"/>
              <w:ind w:left="133"/>
              <w:spacing w:after="0"/>
              <w:rPr>
                <w:sz w:val="20"/>
                <w:szCs w:val="20"/>
                <w:color w:val="auto"/>
              </w:rPr>
            </w:pPr>
            <w:r>
              <w:rPr>
                <w:rFonts w:ascii="Arial" w:cs="Arial" w:eastAsia="Arial" w:hAnsi="Arial"/>
                <w:sz w:val="21"/>
                <w:szCs w:val="21"/>
                <w:color w:val="auto"/>
                <w:w w:val="91"/>
              </w:rPr>
              <w:t>$15,873,015.87</w:t>
            </w:r>
          </w:p>
        </w:tc>
      </w:tr>
      <w:tr>
        <w:trPr>
          <w:trHeight w:val="375"/>
        </w:trPr>
        <w:tc>
          <w:tcPr>
            <w:tcW w:w="2340" w:type="dxa"/>
            <w:vAlign w:val="bottom"/>
            <w:gridSpan w:val="2"/>
          </w:tcPr>
          <w:p>
            <w:pPr>
              <w:jc w:val="center"/>
              <w:ind w:right="680"/>
              <w:spacing w:after="0"/>
              <w:rPr>
                <w:sz w:val="20"/>
                <w:szCs w:val="20"/>
                <w:color w:val="auto"/>
              </w:rPr>
            </w:pPr>
            <w:r>
              <w:rPr>
                <w:rFonts w:ascii="Arial" w:cs="Arial" w:eastAsia="Arial" w:hAnsi="Arial"/>
                <w:sz w:val="21"/>
                <w:szCs w:val="21"/>
                <w:color w:val="auto"/>
                <w:w w:val="91"/>
              </w:rPr>
              <w:t>$18,095,238.10</w:t>
            </w:r>
          </w:p>
        </w:tc>
        <w:tc>
          <w:tcPr>
            <w:tcW w:w="1580" w:type="dxa"/>
            <w:vAlign w:val="bottom"/>
            <w:gridSpan w:val="2"/>
          </w:tcPr>
          <w:p>
            <w:pPr>
              <w:jc w:val="center"/>
              <w:ind w:left="133"/>
              <w:spacing w:after="0"/>
              <w:rPr>
                <w:sz w:val="20"/>
                <w:szCs w:val="20"/>
                <w:color w:val="auto"/>
              </w:rPr>
            </w:pPr>
            <w:r>
              <w:rPr>
                <w:rFonts w:ascii="Arial" w:cs="Arial" w:eastAsia="Arial" w:hAnsi="Arial"/>
                <w:sz w:val="21"/>
                <w:szCs w:val="21"/>
                <w:color w:val="auto"/>
                <w:w w:val="91"/>
              </w:rPr>
              <w:t>$11,904,761.90</w:t>
            </w:r>
          </w:p>
        </w:tc>
      </w:tr>
      <w:tr>
        <w:trPr>
          <w:trHeight w:val="375"/>
        </w:trPr>
        <w:tc>
          <w:tcPr>
            <w:tcW w:w="2340" w:type="dxa"/>
            <w:vAlign w:val="bottom"/>
            <w:gridSpan w:val="2"/>
          </w:tcPr>
          <w:p>
            <w:pPr>
              <w:jc w:val="center"/>
              <w:ind w:right="680"/>
              <w:spacing w:after="0"/>
              <w:rPr>
                <w:sz w:val="20"/>
                <w:szCs w:val="20"/>
                <w:color w:val="auto"/>
              </w:rPr>
            </w:pPr>
            <w:r>
              <w:rPr>
                <w:rFonts w:ascii="Arial" w:cs="Arial" w:eastAsia="Arial" w:hAnsi="Arial"/>
                <w:sz w:val="21"/>
                <w:szCs w:val="21"/>
                <w:color w:val="auto"/>
                <w:w w:val="91"/>
              </w:rPr>
              <w:t>$18,095,238.10</w:t>
            </w:r>
          </w:p>
        </w:tc>
        <w:tc>
          <w:tcPr>
            <w:tcW w:w="1580" w:type="dxa"/>
            <w:vAlign w:val="bottom"/>
            <w:gridSpan w:val="2"/>
          </w:tcPr>
          <w:p>
            <w:pPr>
              <w:jc w:val="center"/>
              <w:ind w:left="133"/>
              <w:spacing w:after="0"/>
              <w:rPr>
                <w:sz w:val="20"/>
                <w:szCs w:val="20"/>
                <w:color w:val="auto"/>
              </w:rPr>
            </w:pPr>
            <w:r>
              <w:rPr>
                <w:rFonts w:ascii="Arial" w:cs="Arial" w:eastAsia="Arial" w:hAnsi="Arial"/>
                <w:sz w:val="21"/>
                <w:szCs w:val="21"/>
                <w:color w:val="auto"/>
                <w:w w:val="91"/>
              </w:rPr>
              <w:t>$11,904,761.90</w:t>
            </w:r>
          </w:p>
        </w:tc>
      </w:tr>
      <w:tr>
        <w:trPr>
          <w:trHeight w:val="389"/>
        </w:trPr>
        <w:tc>
          <w:tcPr>
            <w:tcW w:w="1480" w:type="dxa"/>
            <w:vAlign w:val="bottom"/>
          </w:tcPr>
          <w:p>
            <w:pPr>
              <w:jc w:val="center"/>
              <w:ind w:left="73"/>
              <w:spacing w:after="0"/>
              <w:rPr>
                <w:sz w:val="20"/>
                <w:szCs w:val="20"/>
                <w:color w:val="auto"/>
              </w:rPr>
            </w:pPr>
            <w:r>
              <w:rPr>
                <w:rFonts w:ascii="Arial" w:cs="Arial" w:eastAsia="Arial" w:hAnsi="Arial"/>
                <w:sz w:val="21"/>
                <w:szCs w:val="21"/>
                <w:b w:val="1"/>
                <w:bCs w:val="1"/>
                <w:color w:val="auto"/>
                <w:w w:val="91"/>
              </w:rPr>
              <w:t>$190,000,000</w:t>
            </w:r>
          </w:p>
        </w:tc>
        <w:tc>
          <w:tcPr>
            <w:tcW w:w="860" w:type="dxa"/>
            <w:vAlign w:val="bottom"/>
          </w:tcPr>
          <w:p>
            <w:pPr>
              <w:spacing w:after="0"/>
              <w:rPr>
                <w:sz w:val="24"/>
                <w:szCs w:val="24"/>
                <w:color w:val="auto"/>
              </w:rPr>
            </w:pPr>
          </w:p>
        </w:tc>
        <w:tc>
          <w:tcPr>
            <w:tcW w:w="1580" w:type="dxa"/>
            <w:vAlign w:val="bottom"/>
            <w:gridSpan w:val="2"/>
          </w:tcPr>
          <w:p>
            <w:pPr>
              <w:jc w:val="center"/>
              <w:ind w:left="133"/>
              <w:spacing w:after="0"/>
              <w:rPr>
                <w:sz w:val="20"/>
                <w:szCs w:val="20"/>
                <w:color w:val="auto"/>
              </w:rPr>
            </w:pPr>
            <w:r>
              <w:rPr>
                <w:rFonts w:ascii="Arial" w:cs="Arial" w:eastAsia="Arial" w:hAnsi="Arial"/>
                <w:sz w:val="21"/>
                <w:szCs w:val="21"/>
                <w:b w:val="1"/>
                <w:bCs w:val="1"/>
                <w:color w:val="auto"/>
                <w:w w:val="91"/>
              </w:rPr>
              <w:t>$125,000,000</w:t>
            </w:r>
          </w:p>
        </w:tc>
      </w:tr>
    </w:tbl>
    <w:p>
      <w:pPr>
        <w:sectPr>
          <w:pgSz w:w="11900" w:h="16838" w:orient="portrait"/>
          <w:cols w:equalWidth="0" w:num="2">
            <w:col w:w="4140" w:space="720"/>
            <w:col w:w="4539"/>
          </w:cols>
          <w:pgMar w:left="1060" w:top="797" w:right="1440" w:bottom="1440" w:gutter="0" w:footer="0" w:header="0"/>
        </w:sectPr>
      </w:pPr>
    </w:p>
    <w:bookmarkStart w:id="251" w:name="page252"/>
    <w:bookmarkEnd w:id="251"/>
    <w:p>
      <w:pPr>
        <w:spacing w:after="0" w:line="328"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SCHEDULE 2.01B</w:t>
      </w:r>
    </w:p>
    <w:p>
      <w:pPr>
        <w:spacing w:after="0" w:line="228"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Letter of Credit Commitments</w:t>
      </w:r>
    </w:p>
    <w:p>
      <w:pPr>
        <w:spacing w:after="0" w:line="200" w:lineRule="exact"/>
        <w:rPr>
          <w:sz w:val="20"/>
          <w:szCs w:val="20"/>
          <w:color w:val="auto"/>
        </w:rPr>
      </w:pPr>
    </w:p>
    <w:p>
      <w:pPr>
        <w:spacing w:after="0" w:line="215" w:lineRule="exact"/>
        <w:rPr>
          <w:sz w:val="20"/>
          <w:szCs w:val="20"/>
          <w:color w:val="auto"/>
        </w:rPr>
      </w:pPr>
    </w:p>
    <w:p>
      <w:pPr>
        <w:spacing w:after="0"/>
        <w:tabs>
          <w:tab w:leader="none" w:pos="1700" w:val="left"/>
        </w:tabs>
        <w:rPr>
          <w:sz w:val="20"/>
          <w:szCs w:val="20"/>
          <w:color w:val="auto"/>
        </w:rPr>
      </w:pPr>
      <w:r>
        <w:rPr>
          <w:rFonts w:ascii="Arial" w:cs="Arial" w:eastAsia="Arial" w:hAnsi="Arial"/>
          <w:sz w:val="21"/>
          <w:szCs w:val="21"/>
          <w:u w:val="single" w:color="auto"/>
          <w:color w:val="auto"/>
        </w:rPr>
        <w:t>ISSUING BANK</w:t>
        <w:tab/>
        <w:t>COMMITMENT</w:t>
      </w:r>
    </w:p>
    <w:p>
      <w:pPr>
        <w:spacing w:after="0" w:line="205" w:lineRule="exact"/>
        <w:rPr>
          <w:sz w:val="20"/>
          <w:szCs w:val="20"/>
          <w:color w:val="auto"/>
        </w:rPr>
      </w:pPr>
    </w:p>
    <w:p>
      <w:pPr>
        <w:spacing w:after="0"/>
        <w:tabs>
          <w:tab w:leader="none" w:pos="3300" w:val="left"/>
        </w:tabs>
        <w:rPr>
          <w:sz w:val="20"/>
          <w:szCs w:val="20"/>
          <w:color w:val="auto"/>
        </w:rPr>
      </w:pPr>
      <w:r>
        <w:rPr>
          <w:rFonts w:ascii="Arial" w:cs="Arial" w:eastAsia="Arial" w:hAnsi="Arial"/>
          <w:sz w:val="21"/>
          <w:szCs w:val="21"/>
          <w:color w:val="auto"/>
        </w:rPr>
        <w:t>JPMORGAN CHASE BANK, N.A.</w:t>
      </w:r>
      <w:r>
        <w:rPr>
          <w:sz w:val="20"/>
          <w:szCs w:val="20"/>
          <w:color w:val="auto"/>
        </w:rPr>
        <w:tab/>
      </w:r>
      <w:r>
        <w:rPr>
          <w:rFonts w:ascii="Arial" w:cs="Arial" w:eastAsia="Arial" w:hAnsi="Arial"/>
          <w:sz w:val="19"/>
          <w:szCs w:val="19"/>
          <w:color w:val="auto"/>
        </w:rPr>
        <w:t>$10,000,000</w:t>
      </w:r>
    </w:p>
    <w:p>
      <w:pPr>
        <w:spacing w:after="0"/>
        <w:tabs>
          <w:tab w:leader="none" w:pos="2700" w:val="left"/>
        </w:tabs>
        <w:rPr>
          <w:sz w:val="20"/>
          <w:szCs w:val="20"/>
          <w:color w:val="auto"/>
        </w:rPr>
      </w:pPr>
      <w:r>
        <w:rPr>
          <w:rFonts w:ascii="Arial" w:cs="Arial" w:eastAsia="Arial" w:hAnsi="Arial"/>
          <w:sz w:val="21"/>
          <w:szCs w:val="21"/>
          <w:color w:val="auto"/>
        </w:rPr>
        <w:t>BANK OF AMERICA, N.A.</w:t>
      </w:r>
      <w:r>
        <w:rPr>
          <w:sz w:val="20"/>
          <w:szCs w:val="20"/>
          <w:color w:val="auto"/>
        </w:rPr>
        <w:tab/>
      </w:r>
      <w:r>
        <w:rPr>
          <w:rFonts w:ascii="Arial" w:cs="Arial" w:eastAsia="Arial" w:hAnsi="Arial"/>
          <w:sz w:val="19"/>
          <w:szCs w:val="19"/>
          <w:color w:val="auto"/>
        </w:rPr>
        <w:t>$10,000,000</w:t>
      </w:r>
    </w:p>
    <w:p>
      <w:pPr>
        <w:spacing w:after="0" w:line="190" w:lineRule="exact"/>
        <w:rPr>
          <w:sz w:val="20"/>
          <w:szCs w:val="20"/>
          <w:color w:val="auto"/>
        </w:rPr>
      </w:pPr>
    </w:p>
    <w:p>
      <w:pPr>
        <w:spacing w:after="0"/>
        <w:tabs>
          <w:tab w:leader="none" w:pos="5380" w:val="left"/>
        </w:tabs>
        <w:rPr>
          <w:sz w:val="20"/>
          <w:szCs w:val="20"/>
          <w:color w:val="auto"/>
        </w:rPr>
      </w:pPr>
      <w:r>
        <w:rPr>
          <w:rFonts w:ascii="Arial" w:cs="Arial" w:eastAsia="Arial" w:hAnsi="Arial"/>
          <w:sz w:val="21"/>
          <w:szCs w:val="21"/>
          <w:b w:val="1"/>
          <w:bCs w:val="1"/>
          <w:color w:val="auto"/>
        </w:rPr>
        <w:t>AGGREGATE LETTER OF CREDIT COMMITMENT</w:t>
      </w:r>
      <w:r>
        <w:rPr>
          <w:sz w:val="20"/>
          <w:szCs w:val="20"/>
          <w:color w:val="auto"/>
        </w:rPr>
        <w:tab/>
      </w:r>
      <w:r>
        <w:rPr>
          <w:rFonts w:ascii="Arial" w:cs="Arial" w:eastAsia="Arial" w:hAnsi="Arial"/>
          <w:sz w:val="19"/>
          <w:szCs w:val="19"/>
          <w:b w:val="1"/>
          <w:bCs w:val="1"/>
          <w:color w:val="auto"/>
        </w:rPr>
        <w:t>$20,000,000</w:t>
      </w:r>
    </w:p>
    <w:p>
      <w:pPr>
        <w:sectPr>
          <w:pgSz w:w="11900" w:h="16838" w:orient="portrait"/>
          <w:cols w:equalWidth="0" w:num="1">
            <w:col w:w="9199"/>
          </w:cols>
          <w:pgMar w:left="1260" w:top="1440" w:right="1440" w:bottom="1440" w:gutter="0" w:footer="0" w:header="0"/>
        </w:sectPr>
      </w:pPr>
    </w:p>
    <w:bookmarkStart w:id="252" w:name="page253"/>
    <w:bookmarkEnd w:id="252"/>
    <w:p>
      <w:pPr>
        <w:jc w:val="center"/>
        <w:ind w:right="-640"/>
        <w:spacing w:after="0"/>
        <w:rPr>
          <w:sz w:val="20"/>
          <w:szCs w:val="20"/>
          <w:color w:val="auto"/>
        </w:rPr>
      </w:pPr>
      <w:r>
        <w:rPr>
          <w:rFonts w:ascii="Arial" w:cs="Arial" w:eastAsia="Arial" w:hAnsi="Arial"/>
          <w:sz w:val="21"/>
          <w:szCs w:val="21"/>
          <w:color w:val="auto"/>
        </w:rPr>
        <w:t>SCHEDULE 2.06</w:t>
      </w:r>
    </w:p>
    <w:p>
      <w:pPr>
        <w:spacing w:after="0" w:line="214" w:lineRule="exact"/>
        <w:rPr>
          <w:sz w:val="20"/>
          <w:szCs w:val="20"/>
          <w:color w:val="auto"/>
        </w:rPr>
      </w:pPr>
    </w:p>
    <w:p>
      <w:pPr>
        <w:jc w:val="center"/>
        <w:ind w:right="-640"/>
        <w:spacing w:after="0"/>
        <w:rPr>
          <w:sz w:val="20"/>
          <w:szCs w:val="20"/>
          <w:color w:val="auto"/>
        </w:rPr>
      </w:pPr>
      <w:r>
        <w:rPr>
          <w:rFonts w:ascii="Arial" w:cs="Arial" w:eastAsia="Arial" w:hAnsi="Arial"/>
          <w:sz w:val="21"/>
          <w:szCs w:val="21"/>
          <w:color w:val="auto"/>
        </w:rPr>
        <w:t>Existing Letters of Credit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23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Issuing Bank</w:t>
            </w:r>
          </w:p>
        </w:tc>
        <w:tc>
          <w:tcPr>
            <w:tcW w:w="17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LC #</w:t>
            </w:r>
          </w:p>
        </w:tc>
        <w:tc>
          <w:tcPr>
            <w:tcW w:w="138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Amount</w:t>
            </w: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25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Name/Beneficiary</w:t>
            </w:r>
          </w:p>
        </w:tc>
        <w:tc>
          <w:tcPr>
            <w:tcW w:w="0" w:type="dxa"/>
            <w:vAlign w:val="bottom"/>
          </w:tcPr>
          <w:p>
            <w:pPr>
              <w:spacing w:after="0"/>
              <w:rPr>
                <w:sz w:val="1"/>
                <w:szCs w:val="1"/>
                <w:color w:val="auto"/>
              </w:rPr>
            </w:pPr>
          </w:p>
        </w:tc>
      </w:tr>
      <w:tr>
        <w:trPr>
          <w:trHeight w:val="89"/>
        </w:trPr>
        <w:tc>
          <w:tcPr>
            <w:tcW w:w="2300" w:type="dxa"/>
            <w:vAlign w:val="bottom"/>
            <w:tcBorders>
              <w:left w:val="single" w:sz="8" w:color="auto"/>
              <w:right w:val="single" w:sz="8" w:color="auto"/>
            </w:tcBorders>
          </w:tcPr>
          <w:p>
            <w:pPr>
              <w:spacing w:after="0"/>
              <w:rPr>
                <w:sz w:val="7"/>
                <w:szCs w:val="7"/>
                <w:color w:val="auto"/>
              </w:rPr>
            </w:pPr>
          </w:p>
        </w:tc>
        <w:tc>
          <w:tcPr>
            <w:tcW w:w="176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Bank of America, N.A.</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T00000068059769</w:t>
            </w:r>
          </w:p>
        </w:tc>
        <w:tc>
          <w:tcPr>
            <w:tcW w:w="1380" w:type="dxa"/>
            <w:vAlign w:val="bottom"/>
            <w:tcBorders>
              <w:right w:val="single" w:sz="8" w:color="auto"/>
            </w:tcBorders>
          </w:tcPr>
          <w:p>
            <w:pPr>
              <w:jc w:val="center"/>
              <w:ind w:right="71"/>
              <w:spacing w:after="0"/>
              <w:rPr>
                <w:sz w:val="20"/>
                <w:szCs w:val="20"/>
                <w:color w:val="auto"/>
              </w:rPr>
            </w:pPr>
            <w:r>
              <w:rPr>
                <w:rFonts w:ascii="Arial" w:cs="Arial" w:eastAsia="Arial" w:hAnsi="Arial"/>
                <w:sz w:val="18"/>
                <w:szCs w:val="18"/>
                <w:color w:val="auto"/>
                <w:w w:val="88"/>
              </w:rPr>
              <w:t>$2,140,000.00</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5/31/2023</w:t>
            </w:r>
          </w:p>
        </w:tc>
        <w:tc>
          <w:tcPr>
            <w:tcW w:w="2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Travelers Indemnity</w:t>
            </w:r>
          </w:p>
        </w:tc>
        <w:tc>
          <w:tcPr>
            <w:tcW w:w="0" w:type="dxa"/>
            <w:vAlign w:val="bottom"/>
          </w:tcPr>
          <w:p>
            <w:pPr>
              <w:spacing w:after="0"/>
              <w:rPr>
                <w:sz w:val="1"/>
                <w:szCs w:val="1"/>
                <w:color w:val="auto"/>
              </w:rPr>
            </w:pPr>
          </w:p>
        </w:tc>
      </w:tr>
      <w:tr>
        <w:trPr>
          <w:trHeight w:val="101"/>
        </w:trPr>
        <w:tc>
          <w:tcPr>
            <w:tcW w:w="2300" w:type="dxa"/>
            <w:vAlign w:val="bottom"/>
            <w:tcBorders>
              <w:left w:val="single" w:sz="8" w:color="auto"/>
              <w:bottom w:val="single" w:sz="8" w:color="auto"/>
              <w:right w:val="single" w:sz="8" w:color="auto"/>
            </w:tcBorders>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vMerge w:val="continue"/>
          </w:tcPr>
          <w:p>
            <w:pPr>
              <w:spacing w:after="0"/>
              <w:rPr>
                <w:sz w:val="8"/>
                <w:szCs w:val="8"/>
                <w:color w:val="auto"/>
              </w:rPr>
            </w:pPr>
          </w:p>
        </w:tc>
        <w:tc>
          <w:tcPr>
            <w:tcW w:w="2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Bank of America, N.A.</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T00000068104929</w:t>
            </w:r>
          </w:p>
        </w:tc>
        <w:tc>
          <w:tcPr>
            <w:tcW w:w="1380" w:type="dxa"/>
            <w:vAlign w:val="bottom"/>
            <w:tcBorders>
              <w:right w:val="single" w:sz="8" w:color="auto"/>
            </w:tcBorders>
          </w:tcPr>
          <w:p>
            <w:pPr>
              <w:jc w:val="center"/>
              <w:ind w:right="71"/>
              <w:spacing w:after="0"/>
              <w:rPr>
                <w:sz w:val="20"/>
                <w:szCs w:val="20"/>
                <w:color w:val="auto"/>
              </w:rPr>
            </w:pPr>
            <w:r>
              <w:rPr>
                <w:rFonts w:ascii="Arial" w:cs="Arial" w:eastAsia="Arial" w:hAnsi="Arial"/>
                <w:sz w:val="18"/>
                <w:szCs w:val="18"/>
                <w:color w:val="auto"/>
                <w:w w:val="89"/>
              </w:rPr>
              <w:t>$253,891.00</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5/31/2023</w:t>
            </w:r>
          </w:p>
        </w:tc>
        <w:tc>
          <w:tcPr>
            <w:tcW w:w="2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Ace America Insurance Co.</w:t>
            </w:r>
          </w:p>
        </w:tc>
        <w:tc>
          <w:tcPr>
            <w:tcW w:w="0" w:type="dxa"/>
            <w:vAlign w:val="bottom"/>
          </w:tcPr>
          <w:p>
            <w:pPr>
              <w:spacing w:after="0"/>
              <w:rPr>
                <w:sz w:val="1"/>
                <w:szCs w:val="1"/>
                <w:color w:val="auto"/>
              </w:rPr>
            </w:pPr>
          </w:p>
        </w:tc>
      </w:tr>
      <w:tr>
        <w:trPr>
          <w:trHeight w:val="93"/>
        </w:trPr>
        <w:tc>
          <w:tcPr>
            <w:tcW w:w="2300" w:type="dxa"/>
            <w:vAlign w:val="bottom"/>
            <w:tcBorders>
              <w:left w:val="single" w:sz="8" w:color="auto"/>
              <w:right w:val="single" w:sz="8" w:color="auto"/>
            </w:tcBorders>
          </w:tcPr>
          <w:p>
            <w:pPr>
              <w:spacing w:after="0"/>
              <w:rPr>
                <w:sz w:val="8"/>
                <w:szCs w:val="8"/>
                <w:color w:val="auto"/>
              </w:rPr>
            </w:pPr>
          </w:p>
        </w:tc>
        <w:tc>
          <w:tcPr>
            <w:tcW w:w="176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2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Bank of America, N.A.</w:t>
            </w: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T00000068125003</w:t>
            </w:r>
          </w:p>
        </w:tc>
        <w:tc>
          <w:tcPr>
            <w:tcW w:w="1380" w:type="dxa"/>
            <w:vAlign w:val="bottom"/>
            <w:tcBorders>
              <w:right w:val="single" w:sz="8" w:color="auto"/>
            </w:tcBorders>
            <w:vMerge w:val="restart"/>
          </w:tcPr>
          <w:p>
            <w:pPr>
              <w:jc w:val="center"/>
              <w:ind w:right="71"/>
              <w:spacing w:after="0"/>
              <w:rPr>
                <w:sz w:val="20"/>
                <w:szCs w:val="20"/>
                <w:color w:val="auto"/>
              </w:rPr>
            </w:pPr>
            <w:r>
              <w:rPr>
                <w:rFonts w:ascii="Arial" w:cs="Arial" w:eastAsia="Arial" w:hAnsi="Arial"/>
                <w:sz w:val="18"/>
                <w:szCs w:val="18"/>
                <w:color w:val="auto"/>
                <w:w w:val="89"/>
              </w:rPr>
              <w:t>$203,213.00</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5/31/2023</w:t>
            </w:r>
          </w:p>
        </w:tc>
        <w:tc>
          <w:tcPr>
            <w:tcW w:w="2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American Longshore</w:t>
            </w:r>
          </w:p>
        </w:tc>
        <w:tc>
          <w:tcPr>
            <w:tcW w:w="0" w:type="dxa"/>
            <w:vAlign w:val="bottom"/>
          </w:tcPr>
          <w:p>
            <w:pPr>
              <w:spacing w:after="0"/>
              <w:rPr>
                <w:sz w:val="1"/>
                <w:szCs w:val="1"/>
                <w:color w:val="auto"/>
              </w:rPr>
            </w:pPr>
          </w:p>
        </w:tc>
      </w:tr>
      <w:tr>
        <w:trPr>
          <w:trHeight w:val="241"/>
        </w:trPr>
        <w:tc>
          <w:tcPr>
            <w:tcW w:w="2300" w:type="dxa"/>
            <w:vAlign w:val="bottom"/>
            <w:tcBorders>
              <w:left w:val="single" w:sz="8" w:color="auto"/>
              <w:right w:val="single" w:sz="8" w:color="auto"/>
            </w:tcBorders>
          </w:tcPr>
          <w:p>
            <w:pPr>
              <w:spacing w:after="0"/>
              <w:rPr>
                <w:sz w:val="20"/>
                <w:szCs w:val="20"/>
                <w:color w:val="auto"/>
              </w:rPr>
            </w:pPr>
          </w:p>
        </w:tc>
        <w:tc>
          <w:tcPr>
            <w:tcW w:w="1760" w:type="dxa"/>
            <w:vAlign w:val="bottom"/>
            <w:tcBorders>
              <w:right w:val="single" w:sz="8" w:color="auto"/>
            </w:tcBorders>
            <w:vMerge w:val="continue"/>
          </w:tcPr>
          <w:p>
            <w:pPr>
              <w:spacing w:after="0"/>
              <w:rPr>
                <w:sz w:val="20"/>
                <w:szCs w:val="20"/>
                <w:color w:val="auto"/>
              </w:rPr>
            </w:pPr>
          </w:p>
        </w:tc>
        <w:tc>
          <w:tcPr>
            <w:tcW w:w="1380" w:type="dxa"/>
            <w:vAlign w:val="bottom"/>
            <w:tcBorders>
              <w:right w:val="single" w:sz="8" w:color="auto"/>
            </w:tcBorders>
            <w:vMerge w:val="continue"/>
          </w:tcPr>
          <w:p>
            <w:pPr>
              <w:spacing w:after="0"/>
              <w:rPr>
                <w:sz w:val="20"/>
                <w:szCs w:val="20"/>
                <w:color w:val="auto"/>
              </w:rPr>
            </w:pPr>
          </w:p>
        </w:tc>
        <w:tc>
          <w:tcPr>
            <w:tcW w:w="1540" w:type="dxa"/>
            <w:vAlign w:val="bottom"/>
            <w:tcBorders>
              <w:right w:val="single" w:sz="8" w:color="auto"/>
            </w:tcBorders>
            <w:vMerge w:val="continue"/>
          </w:tcPr>
          <w:p>
            <w:pPr>
              <w:spacing w:after="0"/>
              <w:rPr>
                <w:sz w:val="20"/>
                <w:szCs w:val="20"/>
                <w:color w:val="auto"/>
              </w:rPr>
            </w:pPr>
          </w:p>
        </w:tc>
        <w:tc>
          <w:tcPr>
            <w:tcW w:w="2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Mutual</w:t>
            </w:r>
          </w:p>
        </w:tc>
        <w:tc>
          <w:tcPr>
            <w:tcW w:w="0" w:type="dxa"/>
            <w:vAlign w:val="bottom"/>
          </w:tcPr>
          <w:p>
            <w:pPr>
              <w:spacing w:after="0"/>
              <w:rPr>
                <w:sz w:val="1"/>
                <w:szCs w:val="1"/>
                <w:color w:val="auto"/>
              </w:rPr>
            </w:pPr>
          </w:p>
        </w:tc>
      </w:tr>
      <w:tr>
        <w:trPr>
          <w:trHeight w:val="28"/>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Bank of America, N.A.</w:t>
            </w:r>
          </w:p>
        </w:tc>
        <w:tc>
          <w:tcPr>
            <w:tcW w:w="17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2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Bechtel Oil Gas and Chemicals</w:t>
            </w:r>
          </w:p>
        </w:tc>
        <w:tc>
          <w:tcPr>
            <w:tcW w:w="0" w:type="dxa"/>
            <w:vAlign w:val="bottom"/>
          </w:tcPr>
          <w:p>
            <w:pPr>
              <w:spacing w:after="0"/>
              <w:rPr>
                <w:sz w:val="1"/>
                <w:szCs w:val="1"/>
                <w:color w:val="auto"/>
              </w:rPr>
            </w:pPr>
          </w:p>
        </w:tc>
      </w:tr>
      <w:tr>
        <w:trPr>
          <w:trHeight w:val="249"/>
        </w:trPr>
        <w:tc>
          <w:tcPr>
            <w:tcW w:w="2300" w:type="dxa"/>
            <w:vAlign w:val="bottom"/>
            <w:tcBorders>
              <w:left w:val="single" w:sz="8" w:color="auto"/>
              <w:bottom w:val="single" w:sz="8" w:color="auto"/>
              <w:right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T00000068173048</w:t>
            </w:r>
          </w:p>
        </w:tc>
        <w:tc>
          <w:tcPr>
            <w:tcW w:w="1380" w:type="dxa"/>
            <w:vAlign w:val="bottom"/>
            <w:tcBorders>
              <w:bottom w:val="single" w:sz="8" w:color="auto"/>
              <w:right w:val="single" w:sz="8" w:color="auto"/>
            </w:tcBorders>
          </w:tcPr>
          <w:p>
            <w:pPr>
              <w:jc w:val="center"/>
              <w:ind w:right="71"/>
              <w:spacing w:after="0"/>
              <w:rPr>
                <w:sz w:val="20"/>
                <w:szCs w:val="20"/>
                <w:color w:val="auto"/>
              </w:rPr>
            </w:pPr>
            <w:r>
              <w:rPr>
                <w:rFonts w:ascii="Arial" w:cs="Arial" w:eastAsia="Arial" w:hAnsi="Arial"/>
                <w:sz w:val="18"/>
                <w:szCs w:val="18"/>
                <w:color w:val="auto"/>
                <w:w w:val="89"/>
              </w:rPr>
              <w:t>$422,169.00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3/31/2023</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679"/>
          </w:cols>
          <w:pgMar w:left="780" w:top="1392" w:right="1440" w:bottom="1440" w:gutter="0" w:footer="0" w:header="0"/>
        </w:sectPr>
      </w:pPr>
    </w:p>
    <w:bookmarkStart w:id="253" w:name="page254"/>
    <w:bookmarkEnd w:id="253"/>
    <w:p>
      <w:pPr>
        <w:jc w:val="center"/>
        <w:spacing w:after="0"/>
        <w:rPr>
          <w:sz w:val="20"/>
          <w:szCs w:val="20"/>
          <w:color w:val="auto"/>
        </w:rPr>
      </w:pPr>
      <w:r>
        <w:rPr>
          <w:rFonts w:ascii="Arial" w:cs="Arial" w:eastAsia="Arial" w:hAnsi="Arial"/>
          <w:sz w:val="21"/>
          <w:szCs w:val="21"/>
          <w:color w:val="auto"/>
        </w:rPr>
        <w:t>SCHEDULE 3.06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Litigation</w:t>
      </w:r>
    </w:p>
    <w:p>
      <w:pPr>
        <w:spacing w:after="0" w:line="228"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Disclosure regarding material litigation is set forth in the Borrower’s most quarterly report on Form 10-Q and/or annual report on Form 10-K filed with the Securities and Exchange Commission, and there have been no material changes in these matters since the most recent filing.</w:t>
      </w:r>
    </w:p>
    <w:p>
      <w:pPr>
        <w:sectPr>
          <w:pgSz w:w="11900" w:h="16838" w:orient="portrait"/>
          <w:cols w:equalWidth="0" w:num="1">
            <w:col w:w="10000"/>
          </w:cols>
          <w:pgMar w:left="940" w:top="1392" w:right="959" w:bottom="1440" w:gutter="0" w:footer="0" w:header="0"/>
        </w:sectPr>
      </w:pPr>
    </w:p>
    <w:bookmarkStart w:id="254" w:name="page255"/>
    <w:bookmarkEnd w:id="254"/>
    <w:p>
      <w:pPr>
        <w:ind w:left="8060"/>
        <w:spacing w:after="0"/>
        <w:rPr>
          <w:sz w:val="20"/>
          <w:szCs w:val="20"/>
          <w:color w:val="auto"/>
        </w:rPr>
      </w:pPr>
      <w:r>
        <w:rPr>
          <w:rFonts w:ascii="Arial" w:cs="Arial" w:eastAsia="Arial" w:hAnsi="Arial"/>
          <w:sz w:val="20"/>
          <w:szCs w:val="20"/>
          <w:color w:val="auto"/>
        </w:rPr>
        <w:t>SCHEDULE</w:t>
      </w:r>
    </w:p>
    <w:p>
      <w:pPr>
        <w:spacing w:after="0" w:line="3" w:lineRule="exact"/>
        <w:rPr>
          <w:sz w:val="20"/>
          <w:szCs w:val="20"/>
          <w:color w:val="auto"/>
        </w:rPr>
      </w:pPr>
    </w:p>
    <w:p>
      <w:pPr>
        <w:ind w:left="8060"/>
        <w:spacing w:after="0"/>
        <w:rPr>
          <w:sz w:val="20"/>
          <w:szCs w:val="20"/>
          <w:color w:val="auto"/>
        </w:rPr>
      </w:pPr>
      <w:r>
        <w:rPr>
          <w:rFonts w:ascii="Arial" w:cs="Arial" w:eastAsia="Arial" w:hAnsi="Arial"/>
          <w:sz w:val="21"/>
          <w:szCs w:val="21"/>
          <w:color w:val="auto"/>
        </w:rPr>
        <w:t>3.09</w:t>
      </w:r>
    </w:p>
    <w:p>
      <w:pPr>
        <w:sectPr>
          <w:pgSz w:w="11900" w:h="16838" w:orient="portrait"/>
          <w:cols w:equalWidth="0" w:num="1">
            <w:col w:w="9519"/>
          </w:cols>
          <w:pgMar w:left="940" w:top="1312"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Environmental</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Compliance</w:t>
      </w:r>
    </w:p>
    <w:p>
      <w:pPr>
        <w:sectPr>
          <w:pgSz w:w="11900" w:h="16838" w:orient="portrait"/>
          <w:cols w:equalWidth="0" w:num="2">
            <w:col w:w="7340" w:space="720"/>
            <w:col w:w="1459"/>
          </w:cols>
          <w:pgMar w:left="940" w:top="1312" w:right="1440" w:bottom="1440" w:gutter="0" w:footer="0" w:header="0"/>
          <w:type w:val="continuous"/>
        </w:sectPr>
      </w:pPr>
    </w:p>
    <w:bookmarkStart w:id="255" w:name="page256"/>
    <w:bookmarkEnd w:id="255"/>
    <w:p>
      <w:pPr>
        <w:jc w:val="center"/>
        <w:spacing w:after="0"/>
        <w:rPr>
          <w:sz w:val="20"/>
          <w:szCs w:val="20"/>
          <w:color w:val="auto"/>
        </w:rPr>
      </w:pPr>
      <w:r>
        <w:rPr>
          <w:rFonts w:ascii="Arial" w:cs="Arial" w:eastAsia="Arial" w:hAnsi="Arial"/>
          <w:sz w:val="21"/>
          <w:szCs w:val="21"/>
          <w:color w:val="auto"/>
        </w:rPr>
        <w:t>SCHEDULE 3.12(c)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ERISA Events</w:t>
      </w:r>
    </w:p>
    <w:p>
      <w:pPr>
        <w:spacing w:after="0" w:line="228"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Quality Services Laboratories, Inc. (“QSL”), the Borrower’s wholly-owned subsidiary, contributed to two multi-employer pension plans pursuant to a collective bargaining agreement. Due to the loss of business and reduction in work force in 2018, QSL incurred or may incur multi- employer pension plan withdrawal liability. Its liability to one of the multi-employer plans has been paid in full. The Company recorded a charge of approximately $2.6 million for potential withdrawal liability of QSL to the other multi-employer pension plan, of which $2.5 million was recorded in 2018 and 2019 and $0.1 million was recorded in 2021. Information about this liability is disclosed in the Borrowers most recent annual report on Form 10-K and quarterly report on Form 10-Q. See Schedule 3.12(d) for a description of pension plans.</w:t>
      </w:r>
    </w:p>
    <w:p>
      <w:pPr>
        <w:spacing w:after="0" w:line="18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QSL NDT Inc., a wholly owned subsidiary of the Borrower, formerly belonged to a local chapter of the International Union of Operating Engineers and as a result contributed to the Central Pension Fund of the International Union of Operating Engineers (“CPF”), a multi-employer pension plan. QSL NDT’s union participation terminated in January 2019 as did its contributions to the CPF. No withdrawal liability has been assessed against QSL NDT by the CPF, nor is any anticipated.</w:t>
      </w:r>
    </w:p>
    <w:p>
      <w:pPr>
        <w:sectPr>
          <w:pgSz w:w="11900" w:h="16838" w:orient="portrait"/>
          <w:cols w:equalWidth="0" w:num="1">
            <w:col w:w="10020"/>
          </w:cols>
          <w:pgMar w:left="940" w:top="1392" w:right="9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21"/>
          <w:szCs w:val="21"/>
          <w:color w:val="auto"/>
        </w:rPr>
        <w:t>SCHEDULE 3.12(d)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Pension Plans</w:t>
      </w:r>
    </w:p>
    <w:p>
      <w:pPr>
        <w:spacing w:after="0" w:line="228"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QSL contributes to the United Association National Pension Fund (formerly the Plumbers and Pipefitters National Pension Fund) for a small number of employees in California who participate in the Local 250 of the Southern California Pipe Trade District Council 16.</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The Borrower contributes to a 401(k) savings plan for its employees, a defined contribution plan.</w:t>
      </w:r>
    </w:p>
    <w:p>
      <w:pPr>
        <w:sectPr>
          <w:pgSz w:w="11900" w:h="16838" w:orient="portrait"/>
          <w:cols w:equalWidth="0" w:num="1">
            <w:col w:w="10020"/>
          </w:cols>
          <w:pgMar w:left="940" w:top="1392" w:right="9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73"/>
        </w:trPr>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200" w:type="dxa"/>
            <w:vAlign w:val="bottom"/>
            <w:gridSpan w:val="2"/>
          </w:tcPr>
          <w:p>
            <w:pPr>
              <w:jc w:val="center"/>
              <w:ind w:right="3093"/>
              <w:spacing w:after="0"/>
              <w:rPr>
                <w:sz w:val="20"/>
                <w:szCs w:val="20"/>
                <w:color w:val="auto"/>
              </w:rPr>
            </w:pPr>
            <w:r>
              <w:rPr>
                <w:rFonts w:ascii="Arial" w:cs="Arial" w:eastAsia="Arial" w:hAnsi="Arial"/>
                <w:sz w:val="21"/>
                <w:szCs w:val="21"/>
                <w:color w:val="auto"/>
                <w:w w:val="96"/>
              </w:rPr>
              <w:t>SCHEDULE 3.13</w:t>
            </w:r>
          </w:p>
        </w:tc>
      </w:tr>
      <w:tr>
        <w:trPr>
          <w:trHeight w:val="456"/>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60" w:type="dxa"/>
            <w:vAlign w:val="bottom"/>
            <w:gridSpan w:val="3"/>
          </w:tcPr>
          <w:p>
            <w:pPr>
              <w:jc w:val="center"/>
              <w:ind w:right="1033"/>
              <w:spacing w:after="0"/>
              <w:rPr>
                <w:sz w:val="20"/>
                <w:szCs w:val="20"/>
                <w:color w:val="auto"/>
              </w:rPr>
            </w:pPr>
            <w:r>
              <w:rPr>
                <w:rFonts w:ascii="Arial" w:cs="Arial" w:eastAsia="Arial" w:hAnsi="Arial"/>
                <w:sz w:val="21"/>
                <w:szCs w:val="21"/>
                <w:color w:val="auto"/>
                <w:w w:val="93"/>
              </w:rPr>
              <w:t>Subsidiaries; Equity Interests</w:t>
            </w:r>
          </w:p>
        </w:tc>
      </w:tr>
      <w:tr>
        <w:trPr>
          <w:trHeight w:val="486"/>
        </w:trPr>
        <w:tc>
          <w:tcPr>
            <w:tcW w:w="4000" w:type="dxa"/>
            <w:vAlign w:val="bottom"/>
            <w:gridSpan w:val="4"/>
          </w:tcPr>
          <w:p>
            <w:pPr>
              <w:spacing w:after="0"/>
              <w:rPr>
                <w:sz w:val="20"/>
                <w:szCs w:val="20"/>
                <w:color w:val="auto"/>
              </w:rPr>
            </w:pPr>
            <w:r>
              <w:rPr>
                <w:rFonts w:ascii="Arial" w:cs="Arial" w:eastAsia="Arial" w:hAnsi="Arial"/>
                <w:sz w:val="21"/>
                <w:szCs w:val="21"/>
                <w:color w:val="auto"/>
              </w:rPr>
              <w:t>Part (a).  Subsidiaries.</w:t>
            </w:r>
          </w:p>
        </w:tc>
        <w:tc>
          <w:tcPr>
            <w:tcW w:w="7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75"/>
        </w:trPr>
        <w:tc>
          <w:tcPr>
            <w:tcW w:w="4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spacing w:after="0"/>
              <w:rPr>
                <w:sz w:val="23"/>
                <w:szCs w:val="23"/>
                <w:color w:val="auto"/>
              </w:rPr>
            </w:pPr>
          </w:p>
        </w:tc>
        <w:tc>
          <w:tcPr>
            <w:tcW w:w="20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Aetos Group, Inc.</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Mistras International Holdings Inc.</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2324617 Alberta Ltd.</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Mistras KAA Partners Inc.</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2385943 Alberta Ltd.</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Mistras Properties Ltd.</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Assistances Controles Technologies</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Mistras Quebec Holdings Inc.</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BluForce Integrity Solutions Ltd.</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Mistras Real Estate GmbH</w:t>
            </w:r>
          </w:p>
        </w:tc>
      </w:tr>
      <w:tr>
        <w:trPr>
          <w:trHeight w:val="240"/>
        </w:trPr>
        <w:tc>
          <w:tcPr>
            <w:tcW w:w="40" w:type="dxa"/>
            <w:vAlign w:val="bottom"/>
            <w:tcBorders>
              <w:right w:val="single" w:sz="8" w:color="auto"/>
            </w:tcBorders>
          </w:tcPr>
          <w:p>
            <w:pPr>
              <w:spacing w:after="0"/>
              <w:rPr>
                <w:sz w:val="20"/>
                <w:szCs w:val="20"/>
                <w:color w:val="auto"/>
              </w:rPr>
            </w:pPr>
          </w:p>
        </w:tc>
        <w:tc>
          <w:tcPr>
            <w:tcW w:w="3960" w:type="dxa"/>
            <w:vAlign w:val="bottom"/>
            <w:gridSpan w:val="3"/>
          </w:tcPr>
          <w:p>
            <w:pPr>
              <w:ind w:left="100"/>
              <w:spacing w:after="0" w:line="240" w:lineRule="exact"/>
              <w:rPr>
                <w:sz w:val="20"/>
                <w:szCs w:val="20"/>
                <w:color w:val="auto"/>
              </w:rPr>
            </w:pPr>
            <w:r>
              <w:rPr>
                <w:rFonts w:ascii="Arial" w:cs="Arial" w:eastAsia="Arial" w:hAnsi="Arial"/>
                <w:sz w:val="21"/>
                <w:szCs w:val="21"/>
                <w:color w:val="auto"/>
              </w:rPr>
              <w:t>CISMIS Springfield Corp.</w:t>
            </w:r>
          </w:p>
        </w:tc>
        <w:tc>
          <w:tcPr>
            <w:tcW w:w="72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ind w:left="100"/>
              <w:spacing w:after="0" w:line="240" w:lineRule="exact"/>
              <w:rPr>
                <w:sz w:val="20"/>
                <w:szCs w:val="20"/>
                <w:color w:val="auto"/>
              </w:rPr>
            </w:pPr>
            <w:r>
              <w:rPr>
                <w:rFonts w:ascii="Arial" w:cs="Arial" w:eastAsia="Arial" w:hAnsi="Arial"/>
                <w:sz w:val="21"/>
                <w:szCs w:val="21"/>
                <w:color w:val="auto"/>
              </w:rPr>
              <w:t>Mistras Ropeworks Training, LLC. (fka</w:t>
            </w:r>
          </w:p>
        </w:tc>
      </w:tr>
      <w:tr>
        <w:trPr>
          <w:trHeight w:val="273"/>
        </w:trPr>
        <w:tc>
          <w:tcPr>
            <w:tcW w:w="40" w:type="dxa"/>
            <w:vAlign w:val="bottom"/>
            <w:tcBorders>
              <w:right w:val="single" w:sz="8" w:color="auto"/>
            </w:tcBorders>
          </w:tcPr>
          <w:p>
            <w:pPr>
              <w:spacing w:after="0"/>
              <w:rPr>
                <w:sz w:val="23"/>
                <w:szCs w:val="23"/>
                <w:color w:val="auto"/>
              </w:rPr>
            </w:pPr>
          </w:p>
        </w:tc>
        <w:tc>
          <w:tcPr>
            <w:tcW w:w="8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21"/>
                <w:szCs w:val="21"/>
                <w:color w:val="auto"/>
              </w:rPr>
              <w:t>Virtual Media Integration, Ltd.)</w:t>
            </w:r>
          </w:p>
        </w:tc>
      </w:tr>
      <w:tr>
        <w:trPr>
          <w:trHeight w:val="30"/>
        </w:trPr>
        <w:tc>
          <w:tcPr>
            <w:tcW w:w="40" w:type="dxa"/>
            <w:vAlign w:val="bottom"/>
            <w:tcBorders>
              <w:right w:val="single" w:sz="8" w:color="auto"/>
            </w:tcBorders>
          </w:tcPr>
          <w:p>
            <w:pPr>
              <w:spacing w:after="0"/>
              <w:rPr>
                <w:sz w:val="2"/>
                <w:szCs w:val="2"/>
                <w:color w:val="auto"/>
              </w:rPr>
            </w:pPr>
          </w:p>
        </w:tc>
        <w:tc>
          <w:tcPr>
            <w:tcW w:w="39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960" w:type="dxa"/>
            <w:vAlign w:val="bottom"/>
            <w:gridSpan w:val="3"/>
          </w:tcPr>
          <w:p>
            <w:pPr>
              <w:ind w:left="100"/>
              <w:spacing w:after="0" w:line="227" w:lineRule="exact"/>
              <w:rPr>
                <w:sz w:val="20"/>
                <w:szCs w:val="20"/>
                <w:color w:val="auto"/>
              </w:rPr>
            </w:pPr>
            <w:r>
              <w:rPr>
                <w:rFonts w:ascii="Arial" w:cs="Arial" w:eastAsia="Arial" w:hAnsi="Arial"/>
                <w:sz w:val="21"/>
                <w:szCs w:val="21"/>
                <w:color w:val="auto"/>
              </w:rPr>
              <w:t>Conam Inspection and Engineering</w:t>
            </w:r>
          </w:p>
        </w:tc>
        <w:tc>
          <w:tcPr>
            <w:tcW w:w="72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100"/>
              <w:spacing w:after="0" w:line="227" w:lineRule="exact"/>
              <w:rPr>
                <w:sz w:val="20"/>
                <w:szCs w:val="20"/>
                <w:color w:val="auto"/>
              </w:rPr>
            </w:pPr>
            <w:r>
              <w:rPr>
                <w:rFonts w:ascii="Arial" w:cs="Arial" w:eastAsia="Arial" w:hAnsi="Arial"/>
                <w:sz w:val="21"/>
                <w:szCs w:val="21"/>
                <w:color w:val="auto"/>
              </w:rPr>
              <w:t>Mistras Services Inc.</w:t>
            </w:r>
          </w:p>
        </w:tc>
      </w:tr>
      <w:tr>
        <w:trPr>
          <w:trHeight w:val="275"/>
        </w:trPr>
        <w:tc>
          <w:tcPr>
            <w:tcW w:w="40" w:type="dxa"/>
            <w:vAlign w:val="bottom"/>
            <w:tcBorders>
              <w:right w:val="single" w:sz="8" w:color="auto"/>
            </w:tcBorders>
          </w:tcPr>
          <w:p>
            <w:pPr>
              <w:spacing w:after="0"/>
              <w:rPr>
                <w:sz w:val="23"/>
                <w:szCs w:val="23"/>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Services, Inc.</w:t>
            </w:r>
          </w:p>
        </w:tc>
        <w:tc>
          <w:tcPr>
            <w:tcW w:w="720" w:type="dxa"/>
            <w:vAlign w:val="bottom"/>
            <w:tcBorders>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spacing w:after="0"/>
              <w:rPr>
                <w:sz w:val="23"/>
                <w:szCs w:val="23"/>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960" w:type="dxa"/>
            <w:vAlign w:val="bottom"/>
            <w:gridSpan w:val="3"/>
          </w:tcPr>
          <w:p>
            <w:pPr>
              <w:ind w:left="100"/>
              <w:spacing w:after="0" w:line="228" w:lineRule="exact"/>
              <w:rPr>
                <w:sz w:val="20"/>
                <w:szCs w:val="20"/>
                <w:color w:val="auto"/>
              </w:rPr>
            </w:pPr>
            <w:r>
              <w:rPr>
                <w:rFonts w:ascii="Arial" w:cs="Arial" w:eastAsia="Arial" w:hAnsi="Arial"/>
                <w:sz w:val="21"/>
                <w:szCs w:val="21"/>
                <w:color w:val="auto"/>
              </w:rPr>
              <w:t>Controles Insustriels de L’entang</w:t>
            </w:r>
          </w:p>
        </w:tc>
        <w:tc>
          <w:tcPr>
            <w:tcW w:w="72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1"/>
                <w:szCs w:val="21"/>
                <w:color w:val="auto"/>
              </w:rPr>
              <w:t>Mistras South America Comercio e Servicos</w:t>
            </w:r>
          </w:p>
        </w:tc>
      </w:tr>
      <w:tr>
        <w:trPr>
          <w:trHeight w:val="283"/>
        </w:trPr>
        <w:tc>
          <w:tcPr>
            <w:tcW w:w="40" w:type="dxa"/>
            <w:vAlign w:val="bottom"/>
            <w:tcBorders>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Ltda.</w:t>
            </w:r>
          </w:p>
        </w:tc>
      </w:tr>
      <w:tr>
        <w:trPr>
          <w:trHeight w:val="268"/>
        </w:trPr>
        <w:tc>
          <w:tcPr>
            <w:tcW w:w="40" w:type="dxa"/>
            <w:vAlign w:val="bottom"/>
            <w:tcBorders>
              <w:right w:val="single" w:sz="8" w:color="auto"/>
            </w:tcBorders>
          </w:tcPr>
          <w:p>
            <w:pPr>
              <w:spacing w:after="0"/>
              <w:rPr>
                <w:sz w:val="23"/>
                <w:szCs w:val="23"/>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Garscot</w:t>
            </w:r>
          </w:p>
        </w:tc>
        <w:tc>
          <w:tcPr>
            <w:tcW w:w="720" w:type="dxa"/>
            <w:vAlign w:val="bottom"/>
            <w:tcBorders>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Mistras Tekra Limited.</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GMA Aeronautica S.L.U.</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Mistras Western Canada Holdings Inc.</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GMA Holding B.V.</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MKB NDE Equipment Rental, Ltd.</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GMA Werkstoffprufung GmbH</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MWC Management Inc.</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Mistras Arizona Inspection Services, LLC</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Onstream Pipeline Inspections Services, Inc.</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Mistras Canada, Inc.</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Physical Acoustics Ltd.</w:t>
            </w:r>
          </w:p>
        </w:tc>
      </w:tr>
      <w:tr>
        <w:trPr>
          <w:trHeight w:val="285"/>
        </w:trPr>
        <w:tc>
          <w:tcPr>
            <w:tcW w:w="40" w:type="dxa"/>
            <w:vAlign w:val="bottom"/>
            <w:tcBorders>
              <w:right w:val="single" w:sz="8" w:color="auto"/>
            </w:tcBorders>
          </w:tcPr>
          <w:p>
            <w:pPr>
              <w:spacing w:after="0"/>
              <w:rPr>
                <w:sz w:val="24"/>
                <w:szCs w:val="24"/>
                <w:color w:val="auto"/>
              </w:rPr>
            </w:pPr>
          </w:p>
        </w:tc>
        <w:tc>
          <w:tcPr>
            <w:tcW w:w="3960" w:type="dxa"/>
            <w:vAlign w:val="bottom"/>
            <w:gridSpan w:val="3"/>
          </w:tcPr>
          <w:p>
            <w:pPr>
              <w:ind w:left="100"/>
              <w:spacing w:after="0"/>
              <w:rPr>
                <w:sz w:val="20"/>
                <w:szCs w:val="20"/>
                <w:color w:val="auto"/>
              </w:rPr>
            </w:pPr>
            <w:r>
              <w:rPr>
                <w:rFonts w:ascii="Arial" w:cs="Arial" w:eastAsia="Arial" w:hAnsi="Arial"/>
                <w:sz w:val="21"/>
                <w:szCs w:val="21"/>
                <w:color w:val="auto"/>
              </w:rPr>
              <w:t>Mistras Engineering Services, Inc. fka</w:t>
            </w:r>
          </w:p>
        </w:tc>
        <w:tc>
          <w:tcPr>
            <w:tcW w:w="720" w:type="dxa"/>
            <w:vAlign w:val="bottom"/>
            <w:tcBorders>
              <w:right w:val="single" w:sz="8" w:color="auto"/>
            </w:tcBorders>
          </w:tcPr>
          <w:p>
            <w:pPr>
              <w:spacing w:after="0"/>
              <w:rPr>
                <w:sz w:val="24"/>
                <w:szCs w:val="24"/>
                <w:color w:val="auto"/>
              </w:rPr>
            </w:pPr>
          </w:p>
        </w:tc>
        <w:tc>
          <w:tcPr>
            <w:tcW w:w="4480" w:type="dxa"/>
            <w:vAlign w:val="bottom"/>
            <w:tcBorders>
              <w:right w:val="single" w:sz="8" w:color="auto"/>
            </w:tcBorders>
          </w:tcPr>
          <w:p>
            <w:pPr>
              <w:ind w:left="100"/>
              <w:spacing w:after="0"/>
              <w:rPr>
                <w:sz w:val="20"/>
                <w:szCs w:val="20"/>
                <w:color w:val="auto"/>
              </w:rPr>
            </w:pPr>
            <w:r>
              <w:rPr>
                <w:rFonts w:ascii="Arial" w:cs="Arial" w:eastAsia="Arial" w:hAnsi="Arial"/>
                <w:sz w:val="21"/>
                <w:szCs w:val="21"/>
                <w:color w:val="auto"/>
              </w:rPr>
              <w:t>Physical Acoustics India Private Ltd.</w:t>
            </w:r>
          </w:p>
        </w:tc>
      </w:tr>
      <w:tr>
        <w:trPr>
          <w:trHeight w:val="282"/>
        </w:trPr>
        <w:tc>
          <w:tcPr>
            <w:tcW w:w="40" w:type="dxa"/>
            <w:vAlign w:val="bottom"/>
            <w:tcBorders>
              <w:right w:val="single" w:sz="8" w:color="auto"/>
            </w:tcBorders>
          </w:tcPr>
          <w:p>
            <w:pPr>
              <w:spacing w:after="0"/>
              <w:rPr>
                <w:sz w:val="24"/>
                <w:szCs w:val="24"/>
                <w:color w:val="auto"/>
              </w:rPr>
            </w:pPr>
          </w:p>
        </w:tc>
        <w:tc>
          <w:tcPr>
            <w:tcW w:w="3960" w:type="dxa"/>
            <w:vAlign w:val="bottom"/>
            <w:gridSpan w:val="3"/>
          </w:tcPr>
          <w:p>
            <w:pPr>
              <w:ind w:left="100"/>
              <w:spacing w:after="0"/>
              <w:rPr>
                <w:sz w:val="20"/>
                <w:szCs w:val="20"/>
                <w:color w:val="auto"/>
              </w:rPr>
            </w:pPr>
            <w:r>
              <w:rPr>
                <w:rFonts w:ascii="Arial" w:cs="Arial" w:eastAsia="Arial" w:hAnsi="Arial"/>
                <w:sz w:val="21"/>
                <w:szCs w:val="21"/>
                <w:color w:val="auto"/>
              </w:rPr>
              <w:t>Carmagen Engineering, Inc.</w:t>
            </w:r>
          </w:p>
        </w:tc>
        <w:tc>
          <w:tcPr>
            <w:tcW w:w="720" w:type="dxa"/>
            <w:vAlign w:val="bottom"/>
            <w:tcBorders>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4"/>
                <w:szCs w:val="24"/>
                <w:color w:val="auto"/>
              </w:rPr>
            </w:pPr>
          </w:p>
        </w:tc>
      </w:tr>
      <w:tr>
        <w:trPr>
          <w:trHeight w:val="43"/>
        </w:trPr>
        <w:tc>
          <w:tcPr>
            <w:tcW w:w="40" w:type="dxa"/>
            <w:vAlign w:val="bottom"/>
            <w:tcBorders>
              <w:right w:val="single" w:sz="8" w:color="auto"/>
            </w:tcBorders>
          </w:tcPr>
          <w:p>
            <w:pPr>
              <w:spacing w:after="0"/>
              <w:rPr>
                <w:sz w:val="3"/>
                <w:szCs w:val="3"/>
                <w:color w:val="auto"/>
              </w:rPr>
            </w:pPr>
          </w:p>
        </w:tc>
        <w:tc>
          <w:tcPr>
            <w:tcW w:w="396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Mistras ETS Ltd.</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QSL NDT Inc.</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Mistras Group B.V.</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QSL Quebec Inc.</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Mistras Group BVBA</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Quality Services Laboratories, Inc.</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Mistras Group Hellas A.B.E.E.</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R.A.C. Group Inc.</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Mistras Group Holding GmbH</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Rope Access Calgary, Inc.</w:t>
            </w:r>
          </w:p>
        </w:tc>
      </w:tr>
      <w:tr>
        <w:trPr>
          <w:trHeight w:val="227"/>
        </w:trPr>
        <w:tc>
          <w:tcPr>
            <w:tcW w:w="40" w:type="dxa"/>
            <w:vAlign w:val="bottom"/>
            <w:tcBorders>
              <w:right w:val="single" w:sz="8" w:color="auto"/>
            </w:tcBorders>
          </w:tcPr>
          <w:p>
            <w:pPr>
              <w:spacing w:after="0"/>
              <w:rPr>
                <w:sz w:val="19"/>
                <w:szCs w:val="19"/>
                <w:color w:val="auto"/>
              </w:rPr>
            </w:pPr>
          </w:p>
        </w:tc>
        <w:tc>
          <w:tcPr>
            <w:tcW w:w="3960" w:type="dxa"/>
            <w:vAlign w:val="bottom"/>
            <w:gridSpan w:val="3"/>
          </w:tcPr>
          <w:p>
            <w:pPr>
              <w:ind w:left="100"/>
              <w:spacing w:after="0" w:line="227" w:lineRule="exact"/>
              <w:rPr>
                <w:sz w:val="20"/>
                <w:szCs w:val="20"/>
                <w:color w:val="auto"/>
              </w:rPr>
            </w:pPr>
            <w:r>
              <w:rPr>
                <w:rFonts w:ascii="Arial" w:cs="Arial" w:eastAsia="Arial" w:hAnsi="Arial"/>
                <w:sz w:val="21"/>
                <w:szCs w:val="21"/>
                <w:color w:val="auto"/>
              </w:rPr>
              <w:t>Mistras Group Limited</w:t>
            </w:r>
          </w:p>
        </w:tc>
        <w:tc>
          <w:tcPr>
            <w:tcW w:w="720" w:type="dxa"/>
            <w:vAlign w:val="bottom"/>
            <w:tcBorders>
              <w:right w:val="single" w:sz="8" w:color="auto"/>
            </w:tcBorders>
          </w:tcPr>
          <w:p>
            <w:pPr>
              <w:spacing w:after="0"/>
              <w:rPr>
                <w:sz w:val="19"/>
                <w:szCs w:val="19"/>
                <w:color w:val="auto"/>
              </w:rPr>
            </w:pPr>
          </w:p>
        </w:tc>
        <w:tc>
          <w:tcPr>
            <w:tcW w:w="4480" w:type="dxa"/>
            <w:vAlign w:val="bottom"/>
            <w:tcBorders>
              <w:right w:val="single" w:sz="8" w:color="auto"/>
            </w:tcBorders>
          </w:tcPr>
          <w:p>
            <w:pPr>
              <w:ind w:left="100"/>
              <w:spacing w:after="0" w:line="227" w:lineRule="exact"/>
              <w:rPr>
                <w:sz w:val="20"/>
                <w:szCs w:val="20"/>
                <w:color w:val="auto"/>
              </w:rPr>
            </w:pPr>
            <w:r>
              <w:rPr>
                <w:rFonts w:ascii="Arial" w:cs="Arial" w:eastAsia="Arial" w:hAnsi="Arial"/>
                <w:sz w:val="21"/>
                <w:szCs w:val="21"/>
                <w:color w:val="auto"/>
              </w:rPr>
              <w:t>Titan Non-Destructive Examination</w:t>
            </w:r>
          </w:p>
        </w:tc>
      </w:tr>
      <w:tr>
        <w:trPr>
          <w:trHeight w:val="283"/>
        </w:trPr>
        <w:tc>
          <w:tcPr>
            <w:tcW w:w="40" w:type="dxa"/>
            <w:vAlign w:val="bottom"/>
            <w:tcBorders>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Services Ltd.</w:t>
            </w:r>
          </w:p>
        </w:tc>
      </w:tr>
      <w:tr>
        <w:trPr>
          <w:trHeight w:val="268"/>
        </w:trPr>
        <w:tc>
          <w:tcPr>
            <w:tcW w:w="40" w:type="dxa"/>
            <w:vAlign w:val="bottom"/>
            <w:tcBorders>
              <w:right w:val="single" w:sz="8" w:color="auto"/>
            </w:tcBorders>
          </w:tcPr>
          <w:p>
            <w:pPr>
              <w:spacing w:after="0"/>
              <w:rPr>
                <w:sz w:val="23"/>
                <w:szCs w:val="23"/>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Mistras Group SAS</w:t>
            </w:r>
          </w:p>
        </w:tc>
        <w:tc>
          <w:tcPr>
            <w:tcW w:w="720" w:type="dxa"/>
            <w:vAlign w:val="bottom"/>
            <w:tcBorders>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University of Ultrasonics LLC</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Mistras Group South America Ltda.</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West Penn Non-Destructive Testing, LLC</w:t>
            </w:r>
          </w:p>
        </w:tc>
      </w:tr>
      <w:tr>
        <w:trPr>
          <w:trHeight w:val="262"/>
        </w:trPr>
        <w:tc>
          <w:tcPr>
            <w:tcW w:w="40" w:type="dxa"/>
            <w:vAlign w:val="bottom"/>
            <w:tcBorders>
              <w:right w:val="single" w:sz="8" w:color="auto"/>
            </w:tcBorders>
          </w:tcPr>
          <w:p>
            <w:pPr>
              <w:spacing w:after="0"/>
              <w:rPr>
                <w:sz w:val="22"/>
                <w:szCs w:val="22"/>
                <w:color w:val="auto"/>
              </w:rPr>
            </w:pPr>
          </w:p>
        </w:tc>
        <w:tc>
          <w:tcPr>
            <w:tcW w:w="3960" w:type="dxa"/>
            <w:vAlign w:val="bottom"/>
            <w:tcBorders>
              <w:bottom w:val="single" w:sz="8" w:color="auto"/>
            </w:tcBorders>
            <w:gridSpan w:val="3"/>
          </w:tcPr>
          <w:p>
            <w:pPr>
              <w:ind w:left="100"/>
              <w:spacing w:after="0"/>
              <w:rPr>
                <w:sz w:val="20"/>
                <w:szCs w:val="20"/>
                <w:color w:val="auto"/>
              </w:rPr>
            </w:pPr>
            <w:r>
              <w:rPr>
                <w:rFonts w:ascii="Arial" w:cs="Arial" w:eastAsia="Arial" w:hAnsi="Arial"/>
                <w:sz w:val="21"/>
                <w:szCs w:val="21"/>
                <w:color w:val="auto"/>
              </w:rPr>
              <w:t>Mistras Civil Infrastructure Services LLC</w:t>
            </w:r>
          </w:p>
        </w:tc>
        <w:tc>
          <w:tcPr>
            <w:tcW w:w="720" w:type="dxa"/>
            <w:vAlign w:val="bottom"/>
            <w:tcBorders>
              <w:bottom w:val="single" w:sz="8" w:color="auto"/>
              <w:right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spacing w:after="0"/>
              <w:rPr>
                <w:sz w:val="22"/>
                <w:szCs w:val="22"/>
                <w:color w:val="auto"/>
              </w:rPr>
            </w:pPr>
          </w:p>
        </w:tc>
      </w:tr>
    </w:tbl>
    <w:p>
      <w:pPr>
        <w:spacing w:after="0" w:line="300" w:lineRule="exact"/>
        <w:rPr>
          <w:sz w:val="20"/>
          <w:szCs w:val="20"/>
          <w:color w:val="auto"/>
        </w:rPr>
      </w:pPr>
    </w:p>
    <w:p>
      <w:pPr>
        <w:ind w:right="439"/>
        <w:spacing w:after="0" w:line="244" w:lineRule="auto"/>
        <w:rPr>
          <w:sz w:val="20"/>
          <w:szCs w:val="20"/>
          <w:color w:val="auto"/>
        </w:rPr>
      </w:pPr>
      <w:r>
        <w:rPr>
          <w:rFonts w:ascii="Arial" w:cs="Arial" w:eastAsia="Arial" w:hAnsi="Arial"/>
          <w:sz w:val="21"/>
          <w:szCs w:val="21"/>
          <w:u w:val="single" w:color="auto"/>
          <w:color w:val="auto"/>
        </w:rPr>
        <w:t>Note: Information regarding the ownership of each entity and jurisdiction of formation are included in the organizational chart.</w:t>
      </w:r>
    </w:p>
    <w:p>
      <w:pPr>
        <w:sectPr>
          <w:pgSz w:w="11900" w:h="16838" w:orient="portrait"/>
          <w:cols w:equalWidth="0" w:num="1">
            <w:col w:w="9519"/>
          </w:cols>
          <w:pgMar w:left="940" w:top="1392" w:right="1440" w:bottom="1440" w:gutter="0" w:footer="0" w:header="0"/>
        </w:sectPr>
      </w:pPr>
    </w:p>
    <w:bookmarkStart w:id="258" w:name="page259"/>
    <w:bookmarkEnd w:id="258"/>
    <w:p>
      <w:pPr>
        <w:spacing w:after="0" w:line="328" w:lineRule="exact"/>
        <w:rPr>
          <w:sz w:val="20"/>
          <w:szCs w:val="20"/>
          <w:color w:val="auto"/>
        </w:rPr>
      </w:pPr>
    </w:p>
    <w:p>
      <w:pPr>
        <w:ind w:left="5"/>
        <w:spacing w:after="0"/>
        <w:rPr>
          <w:sz w:val="20"/>
          <w:szCs w:val="20"/>
          <w:color w:val="auto"/>
        </w:rPr>
      </w:pPr>
      <w:r>
        <w:rPr>
          <w:rFonts w:ascii="Arial" w:cs="Arial" w:eastAsia="Arial" w:hAnsi="Arial"/>
          <w:sz w:val="21"/>
          <w:szCs w:val="21"/>
          <w:u w:val="single" w:color="auto"/>
          <w:color w:val="auto"/>
        </w:rPr>
        <w:t>Material Domestic Subsidiaries*</w:t>
      </w:r>
      <w:r>
        <w:rPr>
          <w:rFonts w:ascii="Arial" w:cs="Arial" w:eastAsia="Arial" w:hAnsi="Arial"/>
          <w:sz w:val="21"/>
          <w:szCs w:val="21"/>
          <w:color w:val="auto"/>
        </w:rPr>
        <w:t>:</w:t>
      </w:r>
    </w:p>
    <w:p>
      <w:pPr>
        <w:spacing w:after="0" w:line="299" w:lineRule="exact"/>
        <w:rPr>
          <w:sz w:val="20"/>
          <w:szCs w:val="20"/>
          <w:color w:val="auto"/>
        </w:rPr>
      </w:pPr>
    </w:p>
    <w:p>
      <w:pPr>
        <w:ind w:left="5"/>
        <w:spacing w:after="0"/>
        <w:rPr>
          <w:sz w:val="20"/>
          <w:szCs w:val="20"/>
          <w:color w:val="auto"/>
        </w:rPr>
      </w:pPr>
      <w:r>
        <w:rPr>
          <w:rFonts w:ascii="Arial" w:cs="Arial" w:eastAsia="Arial" w:hAnsi="Arial"/>
          <w:sz w:val="21"/>
          <w:szCs w:val="21"/>
          <w:color w:val="auto"/>
        </w:rPr>
        <w:t>West Penn Non-Destructive Testing, LLC Mistras</w:t>
      </w:r>
    </w:p>
    <w:p>
      <w:pPr>
        <w:ind w:left="5"/>
        <w:spacing w:after="0" w:line="213" w:lineRule="auto"/>
        <w:rPr>
          <w:sz w:val="20"/>
          <w:szCs w:val="20"/>
          <w:color w:val="auto"/>
        </w:rPr>
      </w:pPr>
      <w:r>
        <w:rPr>
          <w:rFonts w:ascii="Arial" w:cs="Arial" w:eastAsia="Arial" w:hAnsi="Arial"/>
          <w:sz w:val="21"/>
          <w:szCs w:val="21"/>
          <w:color w:val="auto"/>
        </w:rPr>
        <w:t>International Holdings, Inc.</w:t>
      </w:r>
    </w:p>
    <w:p>
      <w:pPr>
        <w:ind w:left="5"/>
        <w:spacing w:after="0"/>
        <w:rPr>
          <w:sz w:val="20"/>
          <w:szCs w:val="20"/>
          <w:color w:val="auto"/>
        </w:rPr>
      </w:pPr>
      <w:r>
        <w:rPr>
          <w:rFonts w:ascii="Arial" w:cs="Arial" w:eastAsia="Arial" w:hAnsi="Arial"/>
          <w:sz w:val="21"/>
          <w:szCs w:val="21"/>
          <w:u w:val="single" w:color="auto"/>
          <w:color w:val="auto"/>
        </w:rPr>
        <w:t>Material Foreign Subsidiaries*</w:t>
      </w:r>
      <w:r>
        <w:rPr>
          <w:rFonts w:ascii="Arial" w:cs="Arial" w:eastAsia="Arial" w:hAnsi="Arial"/>
          <w:sz w:val="21"/>
          <w:szCs w:val="21"/>
          <w:color w:val="auto"/>
        </w:rPr>
        <w:t>:</w:t>
      </w:r>
    </w:p>
    <w:p>
      <w:pPr>
        <w:spacing w:after="0" w:line="268" w:lineRule="exact"/>
        <w:rPr>
          <w:sz w:val="20"/>
          <w:szCs w:val="20"/>
          <w:color w:val="auto"/>
        </w:rPr>
      </w:pPr>
    </w:p>
    <w:p>
      <w:pPr>
        <w:ind w:left="5"/>
        <w:spacing w:after="0"/>
        <w:rPr>
          <w:sz w:val="20"/>
          <w:szCs w:val="20"/>
          <w:color w:val="auto"/>
        </w:rPr>
      </w:pPr>
      <w:r>
        <w:rPr>
          <w:rFonts w:ascii="Arial" w:cs="Arial" w:eastAsia="Arial" w:hAnsi="Arial"/>
          <w:sz w:val="21"/>
          <w:szCs w:val="21"/>
          <w:color w:val="auto"/>
        </w:rPr>
        <w:t>Mistras Group GmbH</w:t>
      </w:r>
    </w:p>
    <w:p>
      <w:pPr>
        <w:ind w:left="5"/>
        <w:spacing w:after="0" w:line="213" w:lineRule="auto"/>
        <w:rPr>
          <w:sz w:val="20"/>
          <w:szCs w:val="20"/>
          <w:color w:val="auto"/>
        </w:rPr>
      </w:pPr>
      <w:r>
        <w:rPr>
          <w:rFonts w:ascii="Arial" w:cs="Arial" w:eastAsia="Arial" w:hAnsi="Arial"/>
          <w:sz w:val="21"/>
          <w:szCs w:val="21"/>
          <w:color w:val="auto"/>
        </w:rPr>
        <w:t>Onstream Pipeline Inspection Services, Inc. Mistras Group</w:t>
      </w:r>
    </w:p>
    <w:p>
      <w:pPr>
        <w:ind w:left="5"/>
        <w:spacing w:after="0" w:line="213" w:lineRule="auto"/>
        <w:rPr>
          <w:sz w:val="20"/>
          <w:szCs w:val="20"/>
          <w:color w:val="auto"/>
        </w:rPr>
      </w:pPr>
      <w:r>
        <w:rPr>
          <w:rFonts w:ascii="Arial" w:cs="Arial" w:eastAsia="Arial" w:hAnsi="Arial"/>
          <w:sz w:val="21"/>
          <w:szCs w:val="21"/>
          <w:color w:val="auto"/>
        </w:rPr>
        <w:t>S.A.S</w:t>
      </w:r>
    </w:p>
    <w:p>
      <w:pPr>
        <w:ind w:left="5"/>
        <w:spacing w:after="0"/>
        <w:rPr>
          <w:sz w:val="20"/>
          <w:szCs w:val="20"/>
          <w:color w:val="auto"/>
        </w:rPr>
      </w:pPr>
      <w:r>
        <w:rPr>
          <w:rFonts w:ascii="Arial" w:cs="Arial" w:eastAsia="Arial" w:hAnsi="Arial"/>
          <w:sz w:val="21"/>
          <w:szCs w:val="21"/>
          <w:color w:val="auto"/>
        </w:rPr>
        <w:t>Mistras Group, Ltd.</w:t>
      </w:r>
    </w:p>
    <w:p>
      <w:pPr>
        <w:spacing w:after="0" w:line="196" w:lineRule="exact"/>
        <w:rPr>
          <w:sz w:val="20"/>
          <w:szCs w:val="20"/>
          <w:color w:val="auto"/>
        </w:rPr>
      </w:pPr>
    </w:p>
    <w:p>
      <w:pPr>
        <w:ind w:left="5"/>
        <w:spacing w:after="0"/>
        <w:tabs>
          <w:tab w:leader="none" w:pos="905" w:val="left"/>
        </w:tabs>
        <w:rPr>
          <w:sz w:val="20"/>
          <w:szCs w:val="20"/>
          <w:color w:val="auto"/>
        </w:rPr>
      </w:pPr>
      <w:r>
        <w:rPr>
          <w:rFonts w:ascii="Arial" w:cs="Arial" w:eastAsia="Arial" w:hAnsi="Arial"/>
          <w:sz w:val="21"/>
          <w:szCs w:val="21"/>
          <w:color w:val="auto"/>
        </w:rPr>
        <w:t>Part (b).</w:t>
      </w:r>
      <w:r>
        <w:rPr>
          <w:sz w:val="20"/>
          <w:szCs w:val="20"/>
          <w:color w:val="auto"/>
        </w:rPr>
        <w:tab/>
      </w:r>
      <w:r>
        <w:rPr>
          <w:rFonts w:ascii="Arial" w:cs="Arial" w:eastAsia="Arial" w:hAnsi="Arial"/>
          <w:sz w:val="19"/>
          <w:szCs w:val="19"/>
          <w:u w:val="single" w:color="auto"/>
          <w:color w:val="auto"/>
        </w:rPr>
        <w:t>Other Equity Investments</w:t>
      </w:r>
      <w:r>
        <w:rPr>
          <w:rFonts w:ascii="Arial" w:cs="Arial" w:eastAsia="Arial" w:hAnsi="Arial"/>
          <w:sz w:val="19"/>
          <w:szCs w:val="19"/>
          <w:color w:val="auto"/>
        </w:rPr>
        <w:t>.</w:t>
      </w:r>
    </w:p>
    <w:p>
      <w:pPr>
        <w:spacing w:after="0" w:line="295" w:lineRule="exact"/>
        <w:rPr>
          <w:sz w:val="20"/>
          <w:szCs w:val="20"/>
          <w:color w:val="auto"/>
        </w:rPr>
      </w:pPr>
    </w:p>
    <w:p>
      <w:pPr>
        <w:jc w:val="both"/>
        <w:ind w:left="5" w:right="20"/>
        <w:spacing w:after="0" w:line="246" w:lineRule="auto"/>
        <w:rPr>
          <w:sz w:val="20"/>
          <w:szCs w:val="20"/>
          <w:color w:val="auto"/>
        </w:rPr>
      </w:pPr>
      <w:r>
        <w:rPr>
          <w:rFonts w:ascii="Arial" w:cs="Arial" w:eastAsia="Arial" w:hAnsi="Arial"/>
          <w:sz w:val="20"/>
          <w:szCs w:val="20"/>
          <w:color w:val="auto"/>
        </w:rPr>
        <w:t>Through Mistras KAA Partners Inc., an indirect wholly owned subsidiary of the Borrower, the Borrower has a 49% interest in Mikisew-Mistras Limited Partnership, an Alberta limited partnership, and has a 49% interest in M&amp;M Ltd., an Alberta corporation and the general partner of Mikisew-Mistras Limited Partnership.</w:t>
      </w:r>
    </w:p>
    <w:p>
      <w:pPr>
        <w:spacing w:after="0" w:line="200" w:lineRule="exact"/>
        <w:rPr>
          <w:sz w:val="20"/>
          <w:szCs w:val="20"/>
          <w:color w:val="auto"/>
        </w:rPr>
      </w:pPr>
    </w:p>
    <w:p>
      <w:pPr>
        <w:spacing w:after="0" w:line="219" w:lineRule="exact"/>
        <w:rPr>
          <w:sz w:val="20"/>
          <w:szCs w:val="20"/>
          <w:color w:val="auto"/>
        </w:rPr>
      </w:pPr>
    </w:p>
    <w:p>
      <w:pPr>
        <w:jc w:val="both"/>
        <w:ind w:left="5" w:hanging="5"/>
        <w:spacing w:after="0" w:line="232" w:lineRule="auto"/>
        <w:tabs>
          <w:tab w:leader="none" w:pos="183" w:val="left"/>
        </w:tabs>
        <w:numPr>
          <w:ilvl w:val="0"/>
          <w:numId w:val="226"/>
        </w:numPr>
        <w:rPr>
          <w:rFonts w:ascii="Arial" w:cs="Arial" w:eastAsia="Arial" w:hAnsi="Arial"/>
          <w:sz w:val="21"/>
          <w:szCs w:val="21"/>
          <w:color w:val="auto"/>
        </w:rPr>
      </w:pPr>
      <w:r>
        <w:rPr>
          <w:rFonts w:ascii="Arial" w:cs="Arial" w:eastAsia="Arial" w:hAnsi="Arial"/>
          <w:sz w:val="21"/>
          <w:szCs w:val="21"/>
          <w:color w:val="auto"/>
        </w:rPr>
        <w:t>These designations do not mean or imply that any of these subsidiaries are material subsidiaries for purposes of reporting under the Securities Act of 1933, the Securities Exchange Act of 1934 or regulations promulgated thereunder.</w:t>
      </w:r>
    </w:p>
    <w:p>
      <w:pPr>
        <w:sectPr>
          <w:pgSz w:w="11900" w:h="16838" w:orient="portrait"/>
          <w:cols w:equalWidth="0" w:num="1">
            <w:col w:w="10025"/>
          </w:cols>
          <w:pgMar w:left="935" w:top="1440" w:right="939" w:bottom="1440" w:gutter="0" w:footer="0" w:header="0"/>
        </w:sectPr>
      </w:pPr>
    </w:p>
    <w:bookmarkStart w:id="259" w:name="page260"/>
    <w:bookmarkEnd w:id="259"/>
    <w:p>
      <w:pPr>
        <w:jc w:val="center"/>
        <w:ind w:right="-480"/>
        <w:spacing w:after="0"/>
        <w:rPr>
          <w:sz w:val="20"/>
          <w:szCs w:val="20"/>
          <w:color w:val="auto"/>
        </w:rPr>
      </w:pPr>
      <w:r>
        <w:rPr>
          <w:rFonts w:ascii="Arial" w:cs="Arial" w:eastAsia="Arial" w:hAnsi="Arial"/>
          <w:sz w:val="21"/>
          <w:szCs w:val="21"/>
          <w:color w:val="auto"/>
        </w:rPr>
        <w:t>SCHEDULE 3.23</w:t>
      </w:r>
    </w:p>
    <w:p>
      <w:pPr>
        <w:spacing w:after="0" w:line="214" w:lineRule="exact"/>
        <w:rPr>
          <w:sz w:val="20"/>
          <w:szCs w:val="20"/>
          <w:color w:val="auto"/>
        </w:rPr>
      </w:pPr>
    </w:p>
    <w:p>
      <w:pPr>
        <w:jc w:val="center"/>
        <w:ind w:right="-480"/>
        <w:spacing w:after="0"/>
        <w:rPr>
          <w:sz w:val="20"/>
          <w:szCs w:val="20"/>
          <w:color w:val="auto"/>
        </w:rPr>
      </w:pPr>
      <w:r>
        <w:rPr>
          <w:rFonts w:ascii="Arial" w:cs="Arial" w:eastAsia="Arial" w:hAnsi="Arial"/>
          <w:sz w:val="21"/>
          <w:szCs w:val="21"/>
          <w:color w:val="auto"/>
        </w:rPr>
        <w:t>Responsible Officers</w:t>
      </w:r>
    </w:p>
    <w:p>
      <w:pPr>
        <w:spacing w:after="0" w:line="200" w:lineRule="exact"/>
        <w:rPr>
          <w:sz w:val="20"/>
          <w:szCs w:val="20"/>
          <w:color w:val="auto"/>
        </w:rPr>
      </w:pPr>
    </w:p>
    <w:p>
      <w:pPr>
        <w:spacing w:after="0" w:line="256" w:lineRule="exact"/>
        <w:rPr>
          <w:sz w:val="20"/>
          <w:szCs w:val="20"/>
          <w:color w:val="auto"/>
        </w:rPr>
      </w:pPr>
    </w:p>
    <w:p>
      <w:pPr>
        <w:spacing w:after="0"/>
        <w:tabs>
          <w:tab w:leader="none" w:pos="1680" w:val="left"/>
        </w:tabs>
        <w:rPr>
          <w:sz w:val="20"/>
          <w:szCs w:val="20"/>
          <w:color w:val="auto"/>
        </w:rPr>
      </w:pPr>
      <w:r>
        <w:rPr>
          <w:rFonts w:ascii="Arial" w:cs="Arial" w:eastAsia="Arial" w:hAnsi="Arial"/>
          <w:sz w:val="21"/>
          <w:szCs w:val="21"/>
          <w:color w:val="auto"/>
        </w:rPr>
        <w:t>Dennis Bertolotti</w:t>
      </w:r>
      <w:r>
        <w:rPr>
          <w:sz w:val="20"/>
          <w:szCs w:val="20"/>
          <w:color w:val="auto"/>
        </w:rPr>
        <w:tab/>
      </w:r>
      <w:r>
        <w:rPr>
          <w:rFonts w:ascii="Arial" w:cs="Arial" w:eastAsia="Arial" w:hAnsi="Arial"/>
          <w:sz w:val="19"/>
          <w:szCs w:val="19"/>
          <w:color w:val="auto"/>
        </w:rPr>
        <w:t>President and Chief Executive Officer</w:t>
      </w:r>
    </w:p>
    <w:p>
      <w:pPr>
        <w:spacing w:after="0" w:line="362"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color w:val="auto"/>
        </w:rPr>
        <w:t>Edward Prajzner</w:t>
      </w:r>
      <w:r>
        <w:rPr>
          <w:sz w:val="20"/>
          <w:szCs w:val="20"/>
          <w:color w:val="auto"/>
        </w:rPr>
        <w:tab/>
      </w:r>
      <w:r>
        <w:rPr>
          <w:rFonts w:ascii="Arial" w:cs="Arial" w:eastAsia="Arial" w:hAnsi="Arial"/>
          <w:sz w:val="19"/>
          <w:szCs w:val="19"/>
          <w:color w:val="auto"/>
        </w:rPr>
        <w:t>Executive Vice President, Chief Financial Officer, and Treasurer Michael C.</w:t>
      </w:r>
    </w:p>
    <w:p>
      <w:pPr>
        <w:spacing w:after="0" w:line="255"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Keefe</w:t>
      </w:r>
      <w:r>
        <w:rPr>
          <w:sz w:val="20"/>
          <w:szCs w:val="20"/>
          <w:color w:val="auto"/>
        </w:rPr>
        <w:tab/>
      </w:r>
      <w:r>
        <w:rPr>
          <w:rFonts w:ascii="Arial" w:cs="Arial" w:eastAsia="Arial" w:hAnsi="Arial"/>
          <w:sz w:val="19"/>
          <w:szCs w:val="19"/>
          <w:color w:val="auto"/>
        </w:rPr>
        <w:t>Executive Vice President, General Counsel and Secretary</w:t>
      </w:r>
    </w:p>
    <w:p>
      <w:pPr>
        <w:sectPr>
          <w:pgSz w:w="11900" w:h="16838" w:orient="portrait"/>
          <w:cols w:equalWidth="0" w:num="1">
            <w:col w:w="9519"/>
          </w:cols>
          <w:pgMar w:left="940" w:top="1392" w:right="1440" w:bottom="1440" w:gutter="0" w:footer="0" w:header="0"/>
        </w:sectPr>
      </w:pPr>
    </w:p>
    <w:bookmarkStart w:id="260" w:name="page261"/>
    <w:bookmarkEnd w:id="260"/>
    <w:p>
      <w:pPr>
        <w:ind w:left="4580"/>
        <w:spacing w:after="0"/>
        <w:rPr>
          <w:sz w:val="20"/>
          <w:szCs w:val="20"/>
          <w:color w:val="auto"/>
        </w:rPr>
      </w:pPr>
      <w:r>
        <w:rPr>
          <w:rFonts w:ascii="Arial" w:cs="Arial" w:eastAsia="Arial" w:hAnsi="Arial"/>
          <w:sz w:val="21"/>
          <w:szCs w:val="21"/>
          <w:color w:val="auto"/>
        </w:rPr>
        <w:t>SCHEDULE 3.24(b)</w:t>
      </w:r>
    </w:p>
    <w:p>
      <w:pPr>
        <w:spacing w:after="0" w:line="214"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Intellectual Property</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21"/>
          <w:szCs w:val="21"/>
          <w:b w:val="1"/>
          <w:bCs w:val="1"/>
          <w:color w:val="auto"/>
        </w:rPr>
        <w:t>The Borrower owns and uses the following U.S. patents:</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1500" w:type="dxa"/>
            <w:vAlign w:val="bottom"/>
            <w:tcBorders>
              <w:top w:val="single" w:sz="8" w:color="BEBEBE"/>
              <w:left w:val="single" w:sz="8" w:color="BEBEBE"/>
              <w:bottom w:val="single" w:sz="8" w:color="BEBEBE"/>
              <w:right w:val="single" w:sz="8" w:color="BEBEBE"/>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Application No.</w:t>
            </w:r>
          </w:p>
        </w:tc>
        <w:tc>
          <w:tcPr>
            <w:tcW w:w="1400" w:type="dxa"/>
            <w:vAlign w:val="bottom"/>
            <w:tcBorders>
              <w:top w:val="single" w:sz="8" w:color="BEBEBE"/>
              <w:bottom w:val="single" w:sz="8" w:color="BEBEBE"/>
              <w:right w:val="single" w:sz="8" w:color="BEBEBE"/>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Filing Date</w:t>
            </w:r>
          </w:p>
        </w:tc>
        <w:tc>
          <w:tcPr>
            <w:tcW w:w="1320" w:type="dxa"/>
            <w:vAlign w:val="bottom"/>
            <w:tcBorders>
              <w:top w:val="single" w:sz="8" w:color="BEBEBE"/>
              <w:bottom w:val="single" w:sz="8" w:color="BEBEBE"/>
              <w:right w:val="single" w:sz="8" w:color="BEBEBE"/>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Patent No.</w:t>
            </w:r>
          </w:p>
        </w:tc>
        <w:tc>
          <w:tcPr>
            <w:tcW w:w="1320" w:type="dxa"/>
            <w:vAlign w:val="bottom"/>
            <w:tcBorders>
              <w:top w:val="single" w:sz="8" w:color="BEBEBE"/>
              <w:bottom w:val="single" w:sz="8" w:color="BEBEBE"/>
              <w:right w:val="single" w:sz="8" w:color="BEBEBE"/>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Issue Date</w:t>
            </w:r>
          </w:p>
        </w:tc>
        <w:tc>
          <w:tcPr>
            <w:tcW w:w="1180" w:type="dxa"/>
            <w:vAlign w:val="bottom"/>
            <w:tcBorders>
              <w:top w:val="single" w:sz="8" w:color="BEBEBE"/>
              <w:bottom w:val="single" w:sz="8" w:color="BEBEBE"/>
              <w:right w:val="single" w:sz="8" w:color="BEBEBE"/>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Status</w:t>
            </w:r>
          </w:p>
        </w:tc>
        <w:tc>
          <w:tcPr>
            <w:tcW w:w="3100" w:type="dxa"/>
            <w:vAlign w:val="bottom"/>
            <w:tcBorders>
              <w:top w:val="single" w:sz="8" w:color="BEBEBE"/>
              <w:bottom w:val="single" w:sz="8" w:color="BEBEBE"/>
              <w:right w:val="single" w:sz="8" w:color="BEBEBE"/>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Title</w:t>
            </w:r>
          </w:p>
        </w:tc>
        <w:tc>
          <w:tcPr>
            <w:tcW w:w="1040" w:type="dxa"/>
            <w:vAlign w:val="bottom"/>
            <w:tcBorders>
              <w:top w:val="single" w:sz="8" w:color="BEBEBE"/>
              <w:bottom w:val="single" w:sz="8" w:color="BEBEBE"/>
              <w:right w:val="single" w:sz="8" w:color="BEBEBE"/>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Country</w:t>
            </w:r>
          </w:p>
        </w:tc>
      </w:tr>
      <w:tr>
        <w:trPr>
          <w:trHeight w:val="180"/>
        </w:trPr>
        <w:tc>
          <w:tcPr>
            <w:tcW w:w="1500" w:type="dxa"/>
            <w:vAlign w:val="bottom"/>
            <w:tcBorders>
              <w:left w:val="single" w:sz="8" w:color="BEBEBE"/>
              <w:right w:val="single" w:sz="8" w:color="BEBEBE"/>
            </w:tcBorders>
          </w:tcPr>
          <w:p>
            <w:pPr>
              <w:ind w:left="120"/>
              <w:spacing w:after="0" w:line="180" w:lineRule="exact"/>
              <w:rPr>
                <w:sz w:val="20"/>
                <w:szCs w:val="20"/>
                <w:color w:val="auto"/>
              </w:rPr>
            </w:pPr>
            <w:r>
              <w:rPr>
                <w:rFonts w:ascii="Arial" w:cs="Arial" w:eastAsia="Arial" w:hAnsi="Arial"/>
                <w:sz w:val="18"/>
                <w:szCs w:val="18"/>
                <w:color w:val="auto"/>
              </w:rPr>
              <w:t>16/208,459</w:t>
            </w:r>
          </w:p>
        </w:tc>
        <w:tc>
          <w:tcPr>
            <w:tcW w:w="1400" w:type="dxa"/>
            <w:vAlign w:val="bottom"/>
            <w:tcBorders>
              <w:right w:val="single" w:sz="8" w:color="BEBEBE"/>
            </w:tcBorders>
          </w:tcPr>
          <w:p>
            <w:pPr>
              <w:ind w:left="100"/>
              <w:spacing w:after="0" w:line="180" w:lineRule="exact"/>
              <w:rPr>
                <w:sz w:val="20"/>
                <w:szCs w:val="20"/>
                <w:color w:val="auto"/>
              </w:rPr>
            </w:pPr>
            <w:r>
              <w:rPr>
                <w:rFonts w:ascii="Arial" w:cs="Arial" w:eastAsia="Arial" w:hAnsi="Arial"/>
                <w:sz w:val="18"/>
                <w:szCs w:val="18"/>
                <w:color w:val="auto"/>
              </w:rPr>
              <w:t>12/3/2018</w:t>
            </w:r>
          </w:p>
        </w:tc>
        <w:tc>
          <w:tcPr>
            <w:tcW w:w="1320" w:type="dxa"/>
            <w:vAlign w:val="bottom"/>
            <w:tcBorders>
              <w:right w:val="single" w:sz="8" w:color="BEBEBE"/>
            </w:tcBorders>
          </w:tcPr>
          <w:p>
            <w:pPr>
              <w:ind w:left="100"/>
              <w:spacing w:after="0" w:line="180" w:lineRule="exact"/>
              <w:rPr>
                <w:sz w:val="20"/>
                <w:szCs w:val="20"/>
                <w:color w:val="auto"/>
              </w:rPr>
            </w:pPr>
            <w:r>
              <w:rPr>
                <w:rFonts w:ascii="Arial" w:cs="Arial" w:eastAsia="Arial" w:hAnsi="Arial"/>
                <w:sz w:val="18"/>
                <w:szCs w:val="18"/>
                <w:color w:val="auto"/>
              </w:rPr>
              <w:t>10,783,623</w:t>
            </w:r>
          </w:p>
        </w:tc>
        <w:tc>
          <w:tcPr>
            <w:tcW w:w="1320" w:type="dxa"/>
            <w:vAlign w:val="bottom"/>
            <w:tcBorders>
              <w:right w:val="single" w:sz="8" w:color="BEBEBE"/>
            </w:tcBorders>
          </w:tcPr>
          <w:p>
            <w:pPr>
              <w:ind w:left="100"/>
              <w:spacing w:after="0" w:line="180" w:lineRule="exact"/>
              <w:rPr>
                <w:sz w:val="20"/>
                <w:szCs w:val="20"/>
                <w:color w:val="auto"/>
              </w:rPr>
            </w:pPr>
            <w:r>
              <w:rPr>
                <w:rFonts w:ascii="Arial" w:cs="Arial" w:eastAsia="Arial" w:hAnsi="Arial"/>
                <w:sz w:val="18"/>
                <w:szCs w:val="18"/>
                <w:color w:val="auto"/>
              </w:rPr>
              <w:t>9/22/2020</w:t>
            </w:r>
          </w:p>
        </w:tc>
        <w:tc>
          <w:tcPr>
            <w:tcW w:w="1180" w:type="dxa"/>
            <w:vAlign w:val="bottom"/>
            <w:tcBorders>
              <w:right w:val="single" w:sz="8" w:color="BEBEBE"/>
            </w:tcBorders>
          </w:tcPr>
          <w:p>
            <w:pPr>
              <w:ind w:left="100"/>
              <w:spacing w:after="0" w:line="180" w:lineRule="exact"/>
              <w:rPr>
                <w:sz w:val="20"/>
                <w:szCs w:val="20"/>
                <w:color w:val="auto"/>
              </w:rPr>
            </w:pPr>
            <w:r>
              <w:rPr>
                <w:rFonts w:ascii="Arial" w:cs="Arial" w:eastAsia="Arial" w:hAnsi="Arial"/>
                <w:sz w:val="18"/>
                <w:szCs w:val="18"/>
                <w:color w:val="auto"/>
              </w:rPr>
              <w:t>Issued</w:t>
            </w:r>
          </w:p>
        </w:tc>
        <w:tc>
          <w:tcPr>
            <w:tcW w:w="3100" w:type="dxa"/>
            <w:vAlign w:val="bottom"/>
            <w:tcBorders>
              <w:right w:val="single" w:sz="8" w:color="BEBEBE"/>
            </w:tcBorders>
          </w:tcPr>
          <w:p>
            <w:pPr>
              <w:ind w:left="100"/>
              <w:spacing w:after="0" w:line="180" w:lineRule="exact"/>
              <w:rPr>
                <w:sz w:val="20"/>
                <w:szCs w:val="20"/>
                <w:color w:val="auto"/>
              </w:rPr>
            </w:pPr>
            <w:r>
              <w:rPr>
                <w:rFonts w:ascii="Arial" w:cs="Arial" w:eastAsia="Arial" w:hAnsi="Arial"/>
                <w:sz w:val="18"/>
                <w:szCs w:val="18"/>
                <w:color w:val="auto"/>
              </w:rPr>
              <w:t>SYSTEMS AND METHODS FOR</w:t>
            </w:r>
          </w:p>
        </w:tc>
        <w:tc>
          <w:tcPr>
            <w:tcW w:w="1040" w:type="dxa"/>
            <w:vAlign w:val="bottom"/>
            <w:tcBorders>
              <w:right w:val="single" w:sz="8" w:color="BEBEBE"/>
            </w:tcBorders>
          </w:tcPr>
          <w:p>
            <w:pPr>
              <w:ind w:left="100"/>
              <w:spacing w:after="0" w:line="180" w:lineRule="exact"/>
              <w:rPr>
                <w:sz w:val="20"/>
                <w:szCs w:val="20"/>
                <w:color w:val="auto"/>
              </w:rPr>
            </w:pPr>
            <w:r>
              <w:rPr>
                <w:rFonts w:ascii="Arial" w:cs="Arial" w:eastAsia="Arial" w:hAnsi="Arial"/>
                <w:sz w:val="18"/>
                <w:szCs w:val="18"/>
                <w:color w:val="auto"/>
              </w:rPr>
              <w:t>US</w:t>
            </w:r>
          </w:p>
        </w:tc>
      </w:tr>
      <w:tr>
        <w:trPr>
          <w:trHeight w:val="174"/>
        </w:trPr>
        <w:tc>
          <w:tcPr>
            <w:tcW w:w="1500" w:type="dxa"/>
            <w:vAlign w:val="bottom"/>
            <w:tcBorders>
              <w:left w:val="single" w:sz="8" w:color="BEBEBE"/>
              <w:right w:val="single" w:sz="8" w:color="BEBEBE"/>
            </w:tcBorders>
          </w:tcPr>
          <w:p>
            <w:pPr>
              <w:spacing w:after="0"/>
              <w:rPr>
                <w:sz w:val="15"/>
                <w:szCs w:val="15"/>
                <w:color w:val="auto"/>
              </w:rPr>
            </w:pPr>
          </w:p>
        </w:tc>
        <w:tc>
          <w:tcPr>
            <w:tcW w:w="140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180" w:type="dxa"/>
            <w:vAlign w:val="bottom"/>
            <w:tcBorders>
              <w:right w:val="single" w:sz="8" w:color="BEBEBE"/>
            </w:tcBorders>
          </w:tcPr>
          <w:p>
            <w:pPr>
              <w:spacing w:after="0"/>
              <w:rPr>
                <w:sz w:val="15"/>
                <w:szCs w:val="15"/>
                <w:color w:val="auto"/>
              </w:rPr>
            </w:pPr>
          </w:p>
        </w:tc>
        <w:tc>
          <w:tcPr>
            <w:tcW w:w="3100" w:type="dxa"/>
            <w:vAlign w:val="bottom"/>
            <w:tcBorders>
              <w:right w:val="single" w:sz="8" w:color="BEBEBE"/>
            </w:tcBorders>
          </w:tcPr>
          <w:p>
            <w:pPr>
              <w:ind w:left="100"/>
              <w:spacing w:after="0" w:line="175" w:lineRule="exact"/>
              <w:rPr>
                <w:sz w:val="20"/>
                <w:szCs w:val="20"/>
                <w:color w:val="auto"/>
              </w:rPr>
            </w:pPr>
            <w:r>
              <w:rPr>
                <w:rFonts w:ascii="Arial" w:cs="Arial" w:eastAsia="Arial" w:hAnsi="Arial"/>
                <w:sz w:val="18"/>
                <w:szCs w:val="18"/>
                <w:color w:val="auto"/>
              </w:rPr>
              <w:t>INSPECTING PIPELINES USING</w:t>
            </w:r>
          </w:p>
        </w:tc>
        <w:tc>
          <w:tcPr>
            <w:tcW w:w="1040" w:type="dxa"/>
            <w:vAlign w:val="bottom"/>
            <w:tcBorders>
              <w:right w:val="single" w:sz="8" w:color="BEBEBE"/>
            </w:tcBorders>
          </w:tcPr>
          <w:p>
            <w:pPr>
              <w:spacing w:after="0"/>
              <w:rPr>
                <w:sz w:val="15"/>
                <w:szCs w:val="15"/>
                <w:color w:val="auto"/>
              </w:rPr>
            </w:pPr>
          </w:p>
        </w:tc>
      </w:tr>
      <w:tr>
        <w:trPr>
          <w:trHeight w:val="222"/>
        </w:trPr>
        <w:tc>
          <w:tcPr>
            <w:tcW w:w="1500" w:type="dxa"/>
            <w:vAlign w:val="bottom"/>
            <w:tcBorders>
              <w:left w:val="single" w:sz="8" w:color="BEBEBE"/>
              <w:bottom w:val="single" w:sz="8" w:color="BEBEBE"/>
              <w:right w:val="single" w:sz="8" w:color="BEBEBE"/>
            </w:tcBorders>
          </w:tcPr>
          <w:p>
            <w:pPr>
              <w:spacing w:after="0"/>
              <w:rPr>
                <w:sz w:val="19"/>
                <w:szCs w:val="19"/>
                <w:color w:val="auto"/>
              </w:rPr>
            </w:pPr>
          </w:p>
        </w:tc>
        <w:tc>
          <w:tcPr>
            <w:tcW w:w="1400" w:type="dxa"/>
            <w:vAlign w:val="bottom"/>
            <w:tcBorders>
              <w:bottom w:val="single" w:sz="8" w:color="BEBEBE"/>
              <w:right w:val="single" w:sz="8" w:color="BEBEBE"/>
            </w:tcBorders>
          </w:tcPr>
          <w:p>
            <w:pPr>
              <w:spacing w:after="0"/>
              <w:rPr>
                <w:sz w:val="19"/>
                <w:szCs w:val="19"/>
                <w:color w:val="auto"/>
              </w:rPr>
            </w:pPr>
          </w:p>
        </w:tc>
        <w:tc>
          <w:tcPr>
            <w:tcW w:w="1320" w:type="dxa"/>
            <w:vAlign w:val="bottom"/>
            <w:tcBorders>
              <w:bottom w:val="single" w:sz="8" w:color="BEBEBE"/>
              <w:right w:val="single" w:sz="8" w:color="BEBEBE"/>
            </w:tcBorders>
          </w:tcPr>
          <w:p>
            <w:pPr>
              <w:spacing w:after="0"/>
              <w:rPr>
                <w:sz w:val="19"/>
                <w:szCs w:val="19"/>
                <w:color w:val="auto"/>
              </w:rPr>
            </w:pPr>
          </w:p>
        </w:tc>
        <w:tc>
          <w:tcPr>
            <w:tcW w:w="1320" w:type="dxa"/>
            <w:vAlign w:val="bottom"/>
            <w:tcBorders>
              <w:bottom w:val="single" w:sz="8" w:color="BEBEBE"/>
              <w:right w:val="single" w:sz="8" w:color="BEBEBE"/>
            </w:tcBorders>
          </w:tcPr>
          <w:p>
            <w:pPr>
              <w:spacing w:after="0"/>
              <w:rPr>
                <w:sz w:val="19"/>
                <w:szCs w:val="19"/>
                <w:color w:val="auto"/>
              </w:rPr>
            </w:pPr>
          </w:p>
        </w:tc>
        <w:tc>
          <w:tcPr>
            <w:tcW w:w="1180" w:type="dxa"/>
            <w:vAlign w:val="bottom"/>
            <w:tcBorders>
              <w:bottom w:val="single" w:sz="8" w:color="BEBEBE"/>
              <w:right w:val="single" w:sz="8" w:color="BEBEBE"/>
            </w:tcBorders>
          </w:tcPr>
          <w:p>
            <w:pPr>
              <w:spacing w:after="0"/>
              <w:rPr>
                <w:sz w:val="19"/>
                <w:szCs w:val="19"/>
                <w:color w:val="auto"/>
              </w:rPr>
            </w:pPr>
          </w:p>
        </w:tc>
        <w:tc>
          <w:tcPr>
            <w:tcW w:w="310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A ROBOTIC IMAGING SYSTEM</w:t>
            </w:r>
          </w:p>
        </w:tc>
        <w:tc>
          <w:tcPr>
            <w:tcW w:w="1040" w:type="dxa"/>
            <w:vAlign w:val="bottom"/>
            <w:tcBorders>
              <w:bottom w:val="single" w:sz="8" w:color="BEBEBE"/>
              <w:right w:val="single" w:sz="8" w:color="BEBEBE"/>
            </w:tcBorders>
          </w:tcPr>
          <w:p>
            <w:pPr>
              <w:spacing w:after="0"/>
              <w:rPr>
                <w:sz w:val="19"/>
                <w:szCs w:val="19"/>
                <w:color w:val="auto"/>
              </w:rPr>
            </w:pPr>
          </w:p>
        </w:tc>
      </w:tr>
      <w:tr>
        <w:trPr>
          <w:trHeight w:val="187"/>
        </w:trPr>
        <w:tc>
          <w:tcPr>
            <w:tcW w:w="1500" w:type="dxa"/>
            <w:vAlign w:val="bottom"/>
            <w:tcBorders>
              <w:left w:val="single" w:sz="8" w:color="BEBEBE"/>
              <w:right w:val="single" w:sz="8" w:color="BEBEBE"/>
            </w:tcBorders>
          </w:tcPr>
          <w:p>
            <w:pPr>
              <w:ind w:left="120"/>
              <w:spacing w:after="0" w:line="187" w:lineRule="exact"/>
              <w:rPr>
                <w:sz w:val="20"/>
                <w:szCs w:val="20"/>
                <w:color w:val="auto"/>
              </w:rPr>
            </w:pPr>
            <w:r>
              <w:rPr>
                <w:rFonts w:ascii="Arial" w:cs="Arial" w:eastAsia="Arial" w:hAnsi="Arial"/>
                <w:sz w:val="18"/>
                <w:szCs w:val="18"/>
                <w:color w:val="auto"/>
              </w:rPr>
              <w:t>17/021,815</w:t>
            </w:r>
          </w:p>
        </w:tc>
        <w:tc>
          <w:tcPr>
            <w:tcW w:w="140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9/15/2020</w:t>
            </w:r>
          </w:p>
        </w:tc>
        <w:tc>
          <w:tcPr>
            <w:tcW w:w="132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10,929,968</w:t>
            </w:r>
          </w:p>
        </w:tc>
        <w:tc>
          <w:tcPr>
            <w:tcW w:w="1320" w:type="dxa"/>
            <w:vAlign w:val="bottom"/>
            <w:tcBorders>
              <w:right w:val="single" w:sz="8" w:color="BEBEBE"/>
            </w:tcBorders>
          </w:tcPr>
          <w:p>
            <w:pPr>
              <w:ind w:left="140"/>
              <w:spacing w:after="0" w:line="187" w:lineRule="exact"/>
              <w:rPr>
                <w:sz w:val="20"/>
                <w:szCs w:val="20"/>
                <w:color w:val="auto"/>
              </w:rPr>
            </w:pPr>
            <w:r>
              <w:rPr>
                <w:rFonts w:ascii="Arial" w:cs="Arial" w:eastAsia="Arial" w:hAnsi="Arial"/>
                <w:sz w:val="18"/>
                <w:szCs w:val="18"/>
                <w:color w:val="auto"/>
              </w:rPr>
              <w:t>2/23/2021</w:t>
            </w:r>
          </w:p>
        </w:tc>
        <w:tc>
          <w:tcPr>
            <w:tcW w:w="118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Issued</w:t>
            </w:r>
          </w:p>
        </w:tc>
        <w:tc>
          <w:tcPr>
            <w:tcW w:w="310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SYSTEMS AND METHODS FOR</w:t>
            </w:r>
          </w:p>
        </w:tc>
        <w:tc>
          <w:tcPr>
            <w:tcW w:w="104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US</w:t>
            </w:r>
          </w:p>
        </w:tc>
      </w:tr>
      <w:tr>
        <w:trPr>
          <w:trHeight w:val="174"/>
        </w:trPr>
        <w:tc>
          <w:tcPr>
            <w:tcW w:w="1500" w:type="dxa"/>
            <w:vAlign w:val="bottom"/>
            <w:tcBorders>
              <w:left w:val="single" w:sz="8" w:color="BEBEBE"/>
              <w:right w:val="single" w:sz="8" w:color="BEBEBE"/>
            </w:tcBorders>
          </w:tcPr>
          <w:p>
            <w:pPr>
              <w:spacing w:after="0"/>
              <w:rPr>
                <w:sz w:val="15"/>
                <w:szCs w:val="15"/>
                <w:color w:val="auto"/>
              </w:rPr>
            </w:pPr>
          </w:p>
        </w:tc>
        <w:tc>
          <w:tcPr>
            <w:tcW w:w="140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180" w:type="dxa"/>
            <w:vAlign w:val="bottom"/>
            <w:tcBorders>
              <w:right w:val="single" w:sz="8" w:color="BEBEBE"/>
            </w:tcBorders>
          </w:tcPr>
          <w:p>
            <w:pPr>
              <w:spacing w:after="0"/>
              <w:rPr>
                <w:sz w:val="15"/>
                <w:szCs w:val="15"/>
                <w:color w:val="auto"/>
              </w:rPr>
            </w:pPr>
          </w:p>
        </w:tc>
        <w:tc>
          <w:tcPr>
            <w:tcW w:w="3100" w:type="dxa"/>
            <w:vAlign w:val="bottom"/>
            <w:tcBorders>
              <w:right w:val="single" w:sz="8" w:color="BEBEBE"/>
            </w:tcBorders>
          </w:tcPr>
          <w:p>
            <w:pPr>
              <w:ind w:left="100"/>
              <w:spacing w:after="0" w:line="175" w:lineRule="exact"/>
              <w:rPr>
                <w:sz w:val="20"/>
                <w:szCs w:val="20"/>
                <w:color w:val="auto"/>
              </w:rPr>
            </w:pPr>
            <w:r>
              <w:rPr>
                <w:rFonts w:ascii="Arial" w:cs="Arial" w:eastAsia="Arial" w:hAnsi="Arial"/>
                <w:sz w:val="18"/>
                <w:szCs w:val="18"/>
                <w:color w:val="auto"/>
              </w:rPr>
              <w:t>INSPECTING PIPELINES USING</w:t>
            </w:r>
          </w:p>
        </w:tc>
        <w:tc>
          <w:tcPr>
            <w:tcW w:w="1040" w:type="dxa"/>
            <w:vAlign w:val="bottom"/>
            <w:tcBorders>
              <w:right w:val="single" w:sz="8" w:color="BEBEBE"/>
            </w:tcBorders>
          </w:tcPr>
          <w:p>
            <w:pPr>
              <w:spacing w:after="0"/>
              <w:rPr>
                <w:sz w:val="15"/>
                <w:szCs w:val="15"/>
                <w:color w:val="auto"/>
              </w:rPr>
            </w:pPr>
          </w:p>
        </w:tc>
      </w:tr>
      <w:tr>
        <w:trPr>
          <w:trHeight w:val="222"/>
        </w:trPr>
        <w:tc>
          <w:tcPr>
            <w:tcW w:w="1500" w:type="dxa"/>
            <w:vAlign w:val="bottom"/>
            <w:tcBorders>
              <w:left w:val="single" w:sz="8" w:color="BEBEBE"/>
              <w:bottom w:val="single" w:sz="8" w:color="BEBEBE"/>
              <w:right w:val="single" w:sz="8" w:color="BEBEBE"/>
            </w:tcBorders>
          </w:tcPr>
          <w:p>
            <w:pPr>
              <w:spacing w:after="0"/>
              <w:rPr>
                <w:sz w:val="19"/>
                <w:szCs w:val="19"/>
                <w:color w:val="auto"/>
              </w:rPr>
            </w:pPr>
          </w:p>
        </w:tc>
        <w:tc>
          <w:tcPr>
            <w:tcW w:w="1400" w:type="dxa"/>
            <w:vAlign w:val="bottom"/>
            <w:tcBorders>
              <w:bottom w:val="single" w:sz="8" w:color="BEBEBE"/>
              <w:right w:val="single" w:sz="8" w:color="BEBEBE"/>
            </w:tcBorders>
          </w:tcPr>
          <w:p>
            <w:pPr>
              <w:spacing w:after="0"/>
              <w:rPr>
                <w:sz w:val="19"/>
                <w:szCs w:val="19"/>
                <w:color w:val="auto"/>
              </w:rPr>
            </w:pPr>
          </w:p>
        </w:tc>
        <w:tc>
          <w:tcPr>
            <w:tcW w:w="1320" w:type="dxa"/>
            <w:vAlign w:val="bottom"/>
            <w:tcBorders>
              <w:bottom w:val="single" w:sz="8" w:color="BEBEBE"/>
              <w:right w:val="single" w:sz="8" w:color="BEBEBE"/>
            </w:tcBorders>
          </w:tcPr>
          <w:p>
            <w:pPr>
              <w:spacing w:after="0"/>
              <w:rPr>
                <w:sz w:val="19"/>
                <w:szCs w:val="19"/>
                <w:color w:val="auto"/>
              </w:rPr>
            </w:pPr>
          </w:p>
        </w:tc>
        <w:tc>
          <w:tcPr>
            <w:tcW w:w="1320" w:type="dxa"/>
            <w:vAlign w:val="bottom"/>
            <w:tcBorders>
              <w:bottom w:val="single" w:sz="8" w:color="BEBEBE"/>
              <w:right w:val="single" w:sz="8" w:color="BEBEBE"/>
            </w:tcBorders>
          </w:tcPr>
          <w:p>
            <w:pPr>
              <w:spacing w:after="0"/>
              <w:rPr>
                <w:sz w:val="19"/>
                <w:szCs w:val="19"/>
                <w:color w:val="auto"/>
              </w:rPr>
            </w:pPr>
          </w:p>
        </w:tc>
        <w:tc>
          <w:tcPr>
            <w:tcW w:w="1180" w:type="dxa"/>
            <w:vAlign w:val="bottom"/>
            <w:tcBorders>
              <w:bottom w:val="single" w:sz="8" w:color="BEBEBE"/>
              <w:right w:val="single" w:sz="8" w:color="BEBEBE"/>
            </w:tcBorders>
          </w:tcPr>
          <w:p>
            <w:pPr>
              <w:spacing w:after="0"/>
              <w:rPr>
                <w:sz w:val="19"/>
                <w:szCs w:val="19"/>
                <w:color w:val="auto"/>
              </w:rPr>
            </w:pPr>
          </w:p>
        </w:tc>
        <w:tc>
          <w:tcPr>
            <w:tcW w:w="310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A ROBOTIC IMAGING SYSTEM</w:t>
            </w:r>
          </w:p>
        </w:tc>
        <w:tc>
          <w:tcPr>
            <w:tcW w:w="1040" w:type="dxa"/>
            <w:vAlign w:val="bottom"/>
            <w:tcBorders>
              <w:bottom w:val="single" w:sz="8" w:color="BEBEBE"/>
              <w:right w:val="single" w:sz="8" w:color="BEBEBE"/>
            </w:tcBorders>
          </w:tcPr>
          <w:p>
            <w:pPr>
              <w:spacing w:after="0"/>
              <w:rPr>
                <w:sz w:val="19"/>
                <w:szCs w:val="19"/>
                <w:color w:val="auto"/>
              </w:rPr>
            </w:pPr>
          </w:p>
        </w:tc>
      </w:tr>
      <w:tr>
        <w:trPr>
          <w:trHeight w:val="187"/>
        </w:trPr>
        <w:tc>
          <w:tcPr>
            <w:tcW w:w="1500" w:type="dxa"/>
            <w:vAlign w:val="bottom"/>
            <w:tcBorders>
              <w:left w:val="single" w:sz="8" w:color="BEBEBE"/>
              <w:right w:val="single" w:sz="8" w:color="BEBEBE"/>
            </w:tcBorders>
          </w:tcPr>
          <w:p>
            <w:pPr>
              <w:ind w:left="120"/>
              <w:spacing w:after="0" w:line="187" w:lineRule="exact"/>
              <w:rPr>
                <w:sz w:val="20"/>
                <w:szCs w:val="20"/>
                <w:color w:val="auto"/>
              </w:rPr>
            </w:pPr>
            <w:r>
              <w:rPr>
                <w:rFonts w:ascii="Arial" w:cs="Arial" w:eastAsia="Arial" w:hAnsi="Arial"/>
                <w:sz w:val="18"/>
                <w:szCs w:val="18"/>
                <w:color w:val="auto"/>
              </w:rPr>
              <w:t>17/169,097</w:t>
            </w:r>
          </w:p>
        </w:tc>
        <w:tc>
          <w:tcPr>
            <w:tcW w:w="140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2/5/2021</w:t>
            </w:r>
          </w:p>
        </w:tc>
        <w:tc>
          <w:tcPr>
            <w:tcW w:w="132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18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Pending</w:t>
            </w:r>
          </w:p>
        </w:tc>
        <w:tc>
          <w:tcPr>
            <w:tcW w:w="310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SYSTEMS AND METHODS FOR</w:t>
            </w:r>
          </w:p>
        </w:tc>
        <w:tc>
          <w:tcPr>
            <w:tcW w:w="104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US</w:t>
            </w:r>
          </w:p>
        </w:tc>
      </w:tr>
      <w:tr>
        <w:trPr>
          <w:trHeight w:val="174"/>
        </w:trPr>
        <w:tc>
          <w:tcPr>
            <w:tcW w:w="1500" w:type="dxa"/>
            <w:vAlign w:val="bottom"/>
            <w:tcBorders>
              <w:left w:val="single" w:sz="8" w:color="BEBEBE"/>
              <w:right w:val="single" w:sz="8" w:color="BEBEBE"/>
            </w:tcBorders>
          </w:tcPr>
          <w:p>
            <w:pPr>
              <w:spacing w:after="0"/>
              <w:rPr>
                <w:sz w:val="15"/>
                <w:szCs w:val="15"/>
                <w:color w:val="auto"/>
              </w:rPr>
            </w:pPr>
          </w:p>
        </w:tc>
        <w:tc>
          <w:tcPr>
            <w:tcW w:w="140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180" w:type="dxa"/>
            <w:vAlign w:val="bottom"/>
            <w:tcBorders>
              <w:right w:val="single" w:sz="8" w:color="BEBEBE"/>
            </w:tcBorders>
          </w:tcPr>
          <w:p>
            <w:pPr>
              <w:spacing w:after="0"/>
              <w:rPr>
                <w:sz w:val="15"/>
                <w:szCs w:val="15"/>
                <w:color w:val="auto"/>
              </w:rPr>
            </w:pPr>
          </w:p>
        </w:tc>
        <w:tc>
          <w:tcPr>
            <w:tcW w:w="3100" w:type="dxa"/>
            <w:vAlign w:val="bottom"/>
            <w:tcBorders>
              <w:right w:val="single" w:sz="8" w:color="BEBEBE"/>
            </w:tcBorders>
          </w:tcPr>
          <w:p>
            <w:pPr>
              <w:ind w:left="100"/>
              <w:spacing w:after="0" w:line="175" w:lineRule="exact"/>
              <w:rPr>
                <w:sz w:val="20"/>
                <w:szCs w:val="20"/>
                <w:color w:val="auto"/>
              </w:rPr>
            </w:pPr>
            <w:r>
              <w:rPr>
                <w:rFonts w:ascii="Arial" w:cs="Arial" w:eastAsia="Arial" w:hAnsi="Arial"/>
                <w:sz w:val="18"/>
                <w:szCs w:val="18"/>
                <w:color w:val="auto"/>
              </w:rPr>
              <w:t>INSPECTING PIPELINES USING</w:t>
            </w:r>
          </w:p>
        </w:tc>
        <w:tc>
          <w:tcPr>
            <w:tcW w:w="1040" w:type="dxa"/>
            <w:vAlign w:val="bottom"/>
            <w:tcBorders>
              <w:right w:val="single" w:sz="8" w:color="BEBEBE"/>
            </w:tcBorders>
          </w:tcPr>
          <w:p>
            <w:pPr>
              <w:spacing w:after="0"/>
              <w:rPr>
                <w:sz w:val="15"/>
                <w:szCs w:val="15"/>
                <w:color w:val="auto"/>
              </w:rPr>
            </w:pPr>
          </w:p>
        </w:tc>
      </w:tr>
      <w:tr>
        <w:trPr>
          <w:trHeight w:val="222"/>
        </w:trPr>
        <w:tc>
          <w:tcPr>
            <w:tcW w:w="1500" w:type="dxa"/>
            <w:vAlign w:val="bottom"/>
            <w:tcBorders>
              <w:left w:val="single" w:sz="8" w:color="BEBEBE"/>
              <w:bottom w:val="single" w:sz="8" w:color="BEBEBE"/>
              <w:right w:val="single" w:sz="8" w:color="BEBEBE"/>
            </w:tcBorders>
          </w:tcPr>
          <w:p>
            <w:pPr>
              <w:spacing w:after="0"/>
              <w:rPr>
                <w:sz w:val="19"/>
                <w:szCs w:val="19"/>
                <w:color w:val="auto"/>
              </w:rPr>
            </w:pPr>
          </w:p>
        </w:tc>
        <w:tc>
          <w:tcPr>
            <w:tcW w:w="1400" w:type="dxa"/>
            <w:vAlign w:val="bottom"/>
            <w:tcBorders>
              <w:bottom w:val="single" w:sz="8" w:color="BEBEBE"/>
              <w:right w:val="single" w:sz="8" w:color="BEBEBE"/>
            </w:tcBorders>
          </w:tcPr>
          <w:p>
            <w:pPr>
              <w:spacing w:after="0"/>
              <w:rPr>
                <w:sz w:val="19"/>
                <w:szCs w:val="19"/>
                <w:color w:val="auto"/>
              </w:rPr>
            </w:pPr>
          </w:p>
        </w:tc>
        <w:tc>
          <w:tcPr>
            <w:tcW w:w="1320" w:type="dxa"/>
            <w:vAlign w:val="bottom"/>
            <w:tcBorders>
              <w:bottom w:val="single" w:sz="8" w:color="BEBEBE"/>
              <w:right w:val="single" w:sz="8" w:color="BEBEBE"/>
            </w:tcBorders>
          </w:tcPr>
          <w:p>
            <w:pPr>
              <w:spacing w:after="0"/>
              <w:rPr>
                <w:sz w:val="19"/>
                <w:szCs w:val="19"/>
                <w:color w:val="auto"/>
              </w:rPr>
            </w:pPr>
          </w:p>
        </w:tc>
        <w:tc>
          <w:tcPr>
            <w:tcW w:w="1320" w:type="dxa"/>
            <w:vAlign w:val="bottom"/>
            <w:tcBorders>
              <w:bottom w:val="single" w:sz="8" w:color="BEBEBE"/>
              <w:right w:val="single" w:sz="8" w:color="BEBEBE"/>
            </w:tcBorders>
          </w:tcPr>
          <w:p>
            <w:pPr>
              <w:spacing w:after="0"/>
              <w:rPr>
                <w:sz w:val="19"/>
                <w:szCs w:val="19"/>
                <w:color w:val="auto"/>
              </w:rPr>
            </w:pPr>
          </w:p>
        </w:tc>
        <w:tc>
          <w:tcPr>
            <w:tcW w:w="1180" w:type="dxa"/>
            <w:vAlign w:val="bottom"/>
            <w:tcBorders>
              <w:bottom w:val="single" w:sz="8" w:color="BEBEBE"/>
              <w:right w:val="single" w:sz="8" w:color="BEBEBE"/>
            </w:tcBorders>
          </w:tcPr>
          <w:p>
            <w:pPr>
              <w:spacing w:after="0"/>
              <w:rPr>
                <w:sz w:val="19"/>
                <w:szCs w:val="19"/>
                <w:color w:val="auto"/>
              </w:rPr>
            </w:pPr>
          </w:p>
        </w:tc>
        <w:tc>
          <w:tcPr>
            <w:tcW w:w="310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A ROBOTIC IMAGING SYSTEM</w:t>
            </w:r>
          </w:p>
        </w:tc>
        <w:tc>
          <w:tcPr>
            <w:tcW w:w="1040" w:type="dxa"/>
            <w:vAlign w:val="bottom"/>
            <w:tcBorders>
              <w:bottom w:val="single" w:sz="8" w:color="BEBEBE"/>
              <w:right w:val="single" w:sz="8" w:color="BEBEBE"/>
            </w:tcBorders>
          </w:tcPr>
          <w:p>
            <w:pPr>
              <w:spacing w:after="0"/>
              <w:rPr>
                <w:sz w:val="19"/>
                <w:szCs w:val="19"/>
                <w:color w:val="auto"/>
              </w:rPr>
            </w:pPr>
          </w:p>
        </w:tc>
      </w:tr>
      <w:tr>
        <w:trPr>
          <w:trHeight w:val="187"/>
        </w:trPr>
        <w:tc>
          <w:tcPr>
            <w:tcW w:w="1500" w:type="dxa"/>
            <w:vAlign w:val="bottom"/>
            <w:tcBorders>
              <w:left w:val="single" w:sz="8" w:color="BEBEBE"/>
              <w:right w:val="single" w:sz="8" w:color="BEBEBE"/>
            </w:tcBorders>
          </w:tcPr>
          <w:p>
            <w:pPr>
              <w:ind w:left="120"/>
              <w:spacing w:after="0" w:line="187" w:lineRule="exact"/>
              <w:rPr>
                <w:sz w:val="20"/>
                <w:szCs w:val="20"/>
                <w:color w:val="auto"/>
              </w:rPr>
            </w:pPr>
            <w:r>
              <w:rPr>
                <w:rFonts w:ascii="Arial" w:cs="Arial" w:eastAsia="Arial" w:hAnsi="Arial"/>
                <w:sz w:val="18"/>
                <w:szCs w:val="18"/>
                <w:color w:val="auto"/>
              </w:rPr>
              <w:t>16/544,790</w:t>
            </w:r>
          </w:p>
        </w:tc>
        <w:tc>
          <w:tcPr>
            <w:tcW w:w="140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8/19/2019</w:t>
            </w:r>
          </w:p>
        </w:tc>
        <w:tc>
          <w:tcPr>
            <w:tcW w:w="132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10,890,505</w:t>
            </w:r>
          </w:p>
        </w:tc>
        <w:tc>
          <w:tcPr>
            <w:tcW w:w="132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1/12/2021</w:t>
            </w:r>
          </w:p>
        </w:tc>
        <w:tc>
          <w:tcPr>
            <w:tcW w:w="118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Issued</w:t>
            </w:r>
          </w:p>
        </w:tc>
        <w:tc>
          <w:tcPr>
            <w:tcW w:w="310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SYSTEMS AND METHODS FOR</w:t>
            </w:r>
          </w:p>
        </w:tc>
        <w:tc>
          <w:tcPr>
            <w:tcW w:w="104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US</w:t>
            </w:r>
          </w:p>
        </w:tc>
      </w:tr>
      <w:tr>
        <w:trPr>
          <w:trHeight w:val="174"/>
        </w:trPr>
        <w:tc>
          <w:tcPr>
            <w:tcW w:w="1500" w:type="dxa"/>
            <w:vAlign w:val="bottom"/>
            <w:tcBorders>
              <w:left w:val="single" w:sz="8" w:color="BEBEBE"/>
              <w:right w:val="single" w:sz="8" w:color="BEBEBE"/>
            </w:tcBorders>
          </w:tcPr>
          <w:p>
            <w:pPr>
              <w:spacing w:after="0"/>
              <w:rPr>
                <w:sz w:val="15"/>
                <w:szCs w:val="15"/>
                <w:color w:val="auto"/>
              </w:rPr>
            </w:pPr>
          </w:p>
        </w:tc>
        <w:tc>
          <w:tcPr>
            <w:tcW w:w="140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180" w:type="dxa"/>
            <w:vAlign w:val="bottom"/>
            <w:tcBorders>
              <w:right w:val="single" w:sz="8" w:color="BEBEBE"/>
            </w:tcBorders>
          </w:tcPr>
          <w:p>
            <w:pPr>
              <w:spacing w:after="0"/>
              <w:rPr>
                <w:sz w:val="15"/>
                <w:szCs w:val="15"/>
                <w:color w:val="auto"/>
              </w:rPr>
            </w:pPr>
          </w:p>
        </w:tc>
        <w:tc>
          <w:tcPr>
            <w:tcW w:w="3100" w:type="dxa"/>
            <w:vAlign w:val="bottom"/>
            <w:tcBorders>
              <w:right w:val="single" w:sz="8" w:color="BEBEBE"/>
            </w:tcBorders>
          </w:tcPr>
          <w:p>
            <w:pPr>
              <w:ind w:left="100"/>
              <w:spacing w:after="0" w:line="175" w:lineRule="exact"/>
              <w:rPr>
                <w:sz w:val="20"/>
                <w:szCs w:val="20"/>
                <w:color w:val="auto"/>
              </w:rPr>
            </w:pPr>
            <w:r>
              <w:rPr>
                <w:rFonts w:ascii="Arial" w:cs="Arial" w:eastAsia="Arial" w:hAnsi="Arial"/>
                <w:sz w:val="18"/>
                <w:szCs w:val="18"/>
                <w:color w:val="auto"/>
              </w:rPr>
              <w:t>INSPECTING PIPELINES USING</w:t>
            </w:r>
          </w:p>
        </w:tc>
        <w:tc>
          <w:tcPr>
            <w:tcW w:w="1040" w:type="dxa"/>
            <w:vAlign w:val="bottom"/>
            <w:tcBorders>
              <w:right w:val="single" w:sz="8" w:color="BEBEBE"/>
            </w:tcBorders>
          </w:tcPr>
          <w:p>
            <w:pPr>
              <w:spacing w:after="0"/>
              <w:rPr>
                <w:sz w:val="15"/>
                <w:szCs w:val="15"/>
                <w:color w:val="auto"/>
              </w:rPr>
            </w:pPr>
          </w:p>
        </w:tc>
      </w:tr>
      <w:tr>
        <w:trPr>
          <w:trHeight w:val="222"/>
        </w:trPr>
        <w:tc>
          <w:tcPr>
            <w:tcW w:w="1500" w:type="dxa"/>
            <w:vAlign w:val="bottom"/>
            <w:tcBorders>
              <w:left w:val="single" w:sz="8" w:color="BEBEBE"/>
              <w:bottom w:val="single" w:sz="8" w:color="BEBEBE"/>
              <w:right w:val="single" w:sz="8" w:color="BEBEBE"/>
            </w:tcBorders>
          </w:tcPr>
          <w:p>
            <w:pPr>
              <w:spacing w:after="0"/>
              <w:rPr>
                <w:sz w:val="19"/>
                <w:szCs w:val="19"/>
                <w:color w:val="auto"/>
              </w:rPr>
            </w:pPr>
          </w:p>
        </w:tc>
        <w:tc>
          <w:tcPr>
            <w:tcW w:w="1400" w:type="dxa"/>
            <w:vAlign w:val="bottom"/>
            <w:tcBorders>
              <w:bottom w:val="single" w:sz="8" w:color="BEBEBE"/>
              <w:right w:val="single" w:sz="8" w:color="BEBEBE"/>
            </w:tcBorders>
          </w:tcPr>
          <w:p>
            <w:pPr>
              <w:spacing w:after="0"/>
              <w:rPr>
                <w:sz w:val="19"/>
                <w:szCs w:val="19"/>
                <w:color w:val="auto"/>
              </w:rPr>
            </w:pPr>
          </w:p>
        </w:tc>
        <w:tc>
          <w:tcPr>
            <w:tcW w:w="1320" w:type="dxa"/>
            <w:vAlign w:val="bottom"/>
            <w:tcBorders>
              <w:bottom w:val="single" w:sz="8" w:color="BEBEBE"/>
              <w:right w:val="single" w:sz="8" w:color="BEBEBE"/>
            </w:tcBorders>
          </w:tcPr>
          <w:p>
            <w:pPr>
              <w:spacing w:after="0"/>
              <w:rPr>
                <w:sz w:val="19"/>
                <w:szCs w:val="19"/>
                <w:color w:val="auto"/>
              </w:rPr>
            </w:pPr>
          </w:p>
        </w:tc>
        <w:tc>
          <w:tcPr>
            <w:tcW w:w="1320" w:type="dxa"/>
            <w:vAlign w:val="bottom"/>
            <w:tcBorders>
              <w:bottom w:val="single" w:sz="8" w:color="BEBEBE"/>
              <w:right w:val="single" w:sz="8" w:color="BEBEBE"/>
            </w:tcBorders>
          </w:tcPr>
          <w:p>
            <w:pPr>
              <w:spacing w:after="0"/>
              <w:rPr>
                <w:sz w:val="19"/>
                <w:szCs w:val="19"/>
                <w:color w:val="auto"/>
              </w:rPr>
            </w:pPr>
          </w:p>
        </w:tc>
        <w:tc>
          <w:tcPr>
            <w:tcW w:w="1180" w:type="dxa"/>
            <w:vAlign w:val="bottom"/>
            <w:tcBorders>
              <w:bottom w:val="single" w:sz="8" w:color="BEBEBE"/>
              <w:right w:val="single" w:sz="8" w:color="BEBEBE"/>
            </w:tcBorders>
          </w:tcPr>
          <w:p>
            <w:pPr>
              <w:spacing w:after="0"/>
              <w:rPr>
                <w:sz w:val="19"/>
                <w:szCs w:val="19"/>
                <w:color w:val="auto"/>
              </w:rPr>
            </w:pPr>
          </w:p>
        </w:tc>
        <w:tc>
          <w:tcPr>
            <w:tcW w:w="310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A ROBOTIC IMAGING SYSTEM</w:t>
            </w:r>
          </w:p>
        </w:tc>
        <w:tc>
          <w:tcPr>
            <w:tcW w:w="1040" w:type="dxa"/>
            <w:vAlign w:val="bottom"/>
            <w:tcBorders>
              <w:bottom w:val="single" w:sz="8" w:color="BEBEBE"/>
              <w:right w:val="single" w:sz="8" w:color="BEBEBE"/>
            </w:tcBorders>
          </w:tcPr>
          <w:p>
            <w:pPr>
              <w:spacing w:after="0"/>
              <w:rPr>
                <w:sz w:val="19"/>
                <w:szCs w:val="19"/>
                <w:color w:val="auto"/>
              </w:rPr>
            </w:pPr>
          </w:p>
        </w:tc>
      </w:tr>
      <w:tr>
        <w:trPr>
          <w:trHeight w:val="187"/>
        </w:trPr>
        <w:tc>
          <w:tcPr>
            <w:tcW w:w="1500" w:type="dxa"/>
            <w:vAlign w:val="bottom"/>
            <w:tcBorders>
              <w:left w:val="single" w:sz="8" w:color="BEBEBE"/>
              <w:right w:val="single" w:sz="8" w:color="BEBEBE"/>
            </w:tcBorders>
          </w:tcPr>
          <w:p>
            <w:pPr>
              <w:ind w:left="120"/>
              <w:spacing w:after="0" w:line="187" w:lineRule="exact"/>
              <w:rPr>
                <w:sz w:val="20"/>
                <w:szCs w:val="20"/>
                <w:color w:val="auto"/>
              </w:rPr>
            </w:pPr>
            <w:r>
              <w:rPr>
                <w:rFonts w:ascii="Arial" w:cs="Arial" w:eastAsia="Arial" w:hAnsi="Arial"/>
                <w:sz w:val="18"/>
                <w:szCs w:val="18"/>
                <w:color w:val="auto"/>
              </w:rPr>
              <w:t>16/208,466</w:t>
            </w:r>
          </w:p>
        </w:tc>
        <w:tc>
          <w:tcPr>
            <w:tcW w:w="140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12/3/2018</w:t>
            </w:r>
          </w:p>
        </w:tc>
        <w:tc>
          <w:tcPr>
            <w:tcW w:w="132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11,146,599</w:t>
            </w:r>
          </w:p>
        </w:tc>
        <w:tc>
          <w:tcPr>
            <w:tcW w:w="132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10/12/2021</w:t>
            </w:r>
          </w:p>
        </w:tc>
        <w:tc>
          <w:tcPr>
            <w:tcW w:w="118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Issued</w:t>
            </w:r>
          </w:p>
        </w:tc>
        <w:tc>
          <w:tcPr>
            <w:tcW w:w="310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SYSTEMS AND METHODS</w:t>
            </w:r>
          </w:p>
        </w:tc>
        <w:tc>
          <w:tcPr>
            <w:tcW w:w="104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US</w:t>
            </w:r>
          </w:p>
        </w:tc>
      </w:tr>
      <w:tr>
        <w:trPr>
          <w:trHeight w:val="174"/>
        </w:trPr>
        <w:tc>
          <w:tcPr>
            <w:tcW w:w="1500" w:type="dxa"/>
            <w:vAlign w:val="bottom"/>
            <w:tcBorders>
              <w:left w:val="single" w:sz="8" w:color="BEBEBE"/>
              <w:right w:val="single" w:sz="8" w:color="BEBEBE"/>
            </w:tcBorders>
          </w:tcPr>
          <w:p>
            <w:pPr>
              <w:spacing w:after="0"/>
              <w:rPr>
                <w:sz w:val="15"/>
                <w:szCs w:val="15"/>
                <w:color w:val="auto"/>
              </w:rPr>
            </w:pPr>
          </w:p>
        </w:tc>
        <w:tc>
          <w:tcPr>
            <w:tcW w:w="140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180" w:type="dxa"/>
            <w:vAlign w:val="bottom"/>
            <w:tcBorders>
              <w:right w:val="single" w:sz="8" w:color="BEBEBE"/>
            </w:tcBorders>
          </w:tcPr>
          <w:p>
            <w:pPr>
              <w:spacing w:after="0"/>
              <w:rPr>
                <w:sz w:val="15"/>
                <w:szCs w:val="15"/>
                <w:color w:val="auto"/>
              </w:rPr>
            </w:pPr>
          </w:p>
        </w:tc>
        <w:tc>
          <w:tcPr>
            <w:tcW w:w="3100" w:type="dxa"/>
            <w:vAlign w:val="bottom"/>
            <w:tcBorders>
              <w:right w:val="single" w:sz="8" w:color="BEBEBE"/>
            </w:tcBorders>
          </w:tcPr>
          <w:p>
            <w:pPr>
              <w:ind w:left="100"/>
              <w:spacing w:after="0" w:line="175" w:lineRule="exact"/>
              <w:rPr>
                <w:sz w:val="20"/>
                <w:szCs w:val="20"/>
                <w:color w:val="auto"/>
              </w:rPr>
            </w:pPr>
            <w:r>
              <w:rPr>
                <w:rFonts w:ascii="Arial" w:cs="Arial" w:eastAsia="Arial" w:hAnsi="Arial"/>
                <w:sz w:val="18"/>
                <w:szCs w:val="18"/>
                <w:color w:val="auto"/>
              </w:rPr>
              <w:t>FOR INSPECTING PIPELINES</w:t>
            </w:r>
          </w:p>
        </w:tc>
        <w:tc>
          <w:tcPr>
            <w:tcW w:w="1040" w:type="dxa"/>
            <w:vAlign w:val="bottom"/>
            <w:tcBorders>
              <w:right w:val="single" w:sz="8" w:color="BEBEBE"/>
            </w:tcBorders>
          </w:tcPr>
          <w:p>
            <w:pPr>
              <w:spacing w:after="0"/>
              <w:rPr>
                <w:sz w:val="15"/>
                <w:szCs w:val="15"/>
                <w:color w:val="auto"/>
              </w:rPr>
            </w:pPr>
          </w:p>
        </w:tc>
      </w:tr>
      <w:tr>
        <w:trPr>
          <w:trHeight w:val="188"/>
        </w:trPr>
        <w:tc>
          <w:tcPr>
            <w:tcW w:w="1500" w:type="dxa"/>
            <w:vAlign w:val="bottom"/>
            <w:tcBorders>
              <w:left w:val="single" w:sz="8" w:color="BEBEBE"/>
              <w:right w:val="single" w:sz="8" w:color="BEBEBE"/>
            </w:tcBorders>
          </w:tcPr>
          <w:p>
            <w:pPr>
              <w:spacing w:after="0"/>
              <w:rPr>
                <w:sz w:val="16"/>
                <w:szCs w:val="16"/>
                <w:color w:val="auto"/>
              </w:rPr>
            </w:pPr>
          </w:p>
        </w:tc>
        <w:tc>
          <w:tcPr>
            <w:tcW w:w="140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180" w:type="dxa"/>
            <w:vAlign w:val="bottom"/>
            <w:tcBorders>
              <w:right w:val="single" w:sz="8" w:color="BEBEBE"/>
            </w:tcBorders>
          </w:tcPr>
          <w:p>
            <w:pPr>
              <w:spacing w:after="0"/>
              <w:rPr>
                <w:sz w:val="16"/>
                <w:szCs w:val="16"/>
                <w:color w:val="auto"/>
              </w:rPr>
            </w:pPr>
          </w:p>
        </w:tc>
        <w:tc>
          <w:tcPr>
            <w:tcW w:w="3100" w:type="dxa"/>
            <w:vAlign w:val="bottom"/>
            <w:tcBorders>
              <w:right w:val="single" w:sz="8" w:color="BEBEBE"/>
            </w:tcBorders>
          </w:tcPr>
          <w:p>
            <w:pPr>
              <w:ind w:left="100"/>
              <w:spacing w:after="0" w:line="188" w:lineRule="exact"/>
              <w:rPr>
                <w:sz w:val="20"/>
                <w:szCs w:val="20"/>
                <w:color w:val="auto"/>
              </w:rPr>
            </w:pPr>
            <w:r>
              <w:rPr>
                <w:rFonts w:ascii="Arial" w:cs="Arial" w:eastAsia="Arial" w:hAnsi="Arial"/>
                <w:sz w:val="18"/>
                <w:szCs w:val="18"/>
                <w:color w:val="auto"/>
              </w:rPr>
              <w:t>USING A PIPELINE</w:t>
            </w:r>
          </w:p>
        </w:tc>
        <w:tc>
          <w:tcPr>
            <w:tcW w:w="1040" w:type="dxa"/>
            <w:vAlign w:val="bottom"/>
            <w:tcBorders>
              <w:right w:val="single" w:sz="8" w:color="BEBEBE"/>
            </w:tcBorders>
          </w:tcPr>
          <w:p>
            <w:pPr>
              <w:spacing w:after="0"/>
              <w:rPr>
                <w:sz w:val="16"/>
                <w:szCs w:val="16"/>
                <w:color w:val="auto"/>
              </w:rPr>
            </w:pPr>
          </w:p>
        </w:tc>
      </w:tr>
      <w:tr>
        <w:trPr>
          <w:trHeight w:val="174"/>
        </w:trPr>
        <w:tc>
          <w:tcPr>
            <w:tcW w:w="1500" w:type="dxa"/>
            <w:vAlign w:val="bottom"/>
            <w:tcBorders>
              <w:left w:val="single" w:sz="8" w:color="BEBEBE"/>
              <w:right w:val="single" w:sz="8" w:color="BEBEBE"/>
            </w:tcBorders>
          </w:tcPr>
          <w:p>
            <w:pPr>
              <w:spacing w:after="0"/>
              <w:rPr>
                <w:sz w:val="15"/>
                <w:szCs w:val="15"/>
                <w:color w:val="auto"/>
              </w:rPr>
            </w:pPr>
          </w:p>
        </w:tc>
        <w:tc>
          <w:tcPr>
            <w:tcW w:w="140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180" w:type="dxa"/>
            <w:vAlign w:val="bottom"/>
            <w:tcBorders>
              <w:right w:val="single" w:sz="8" w:color="BEBEBE"/>
            </w:tcBorders>
          </w:tcPr>
          <w:p>
            <w:pPr>
              <w:spacing w:after="0"/>
              <w:rPr>
                <w:sz w:val="15"/>
                <w:szCs w:val="15"/>
                <w:color w:val="auto"/>
              </w:rPr>
            </w:pPr>
          </w:p>
        </w:tc>
        <w:tc>
          <w:tcPr>
            <w:tcW w:w="3100" w:type="dxa"/>
            <w:vAlign w:val="bottom"/>
            <w:tcBorders>
              <w:right w:val="single" w:sz="8" w:color="BEBEBE"/>
            </w:tcBorders>
          </w:tcPr>
          <w:p>
            <w:pPr>
              <w:ind w:left="100"/>
              <w:spacing w:after="0" w:line="175" w:lineRule="exact"/>
              <w:rPr>
                <w:sz w:val="20"/>
                <w:szCs w:val="20"/>
                <w:color w:val="auto"/>
              </w:rPr>
            </w:pPr>
            <w:r>
              <w:rPr>
                <w:rFonts w:ascii="Arial" w:cs="Arial" w:eastAsia="Arial" w:hAnsi="Arial"/>
                <w:sz w:val="18"/>
                <w:szCs w:val="18"/>
                <w:color w:val="auto"/>
              </w:rPr>
              <w:t>INSPECTION</w:t>
            </w:r>
          </w:p>
        </w:tc>
        <w:tc>
          <w:tcPr>
            <w:tcW w:w="1040" w:type="dxa"/>
            <w:vAlign w:val="bottom"/>
            <w:tcBorders>
              <w:right w:val="single" w:sz="8" w:color="BEBEBE"/>
            </w:tcBorders>
          </w:tcPr>
          <w:p>
            <w:pPr>
              <w:spacing w:after="0"/>
              <w:rPr>
                <w:sz w:val="15"/>
                <w:szCs w:val="15"/>
                <w:color w:val="auto"/>
              </w:rPr>
            </w:pPr>
          </w:p>
        </w:tc>
      </w:tr>
      <w:tr>
        <w:trPr>
          <w:trHeight w:val="214"/>
        </w:trPr>
        <w:tc>
          <w:tcPr>
            <w:tcW w:w="1500" w:type="dxa"/>
            <w:vAlign w:val="bottom"/>
            <w:tcBorders>
              <w:left w:val="single" w:sz="8" w:color="BEBEBE"/>
              <w:right w:val="single" w:sz="8" w:color="BEBEBE"/>
            </w:tcBorders>
          </w:tcPr>
          <w:p>
            <w:pPr>
              <w:spacing w:after="0"/>
              <w:rPr>
                <w:sz w:val="18"/>
                <w:szCs w:val="18"/>
                <w:color w:val="auto"/>
              </w:rPr>
            </w:pPr>
          </w:p>
        </w:tc>
        <w:tc>
          <w:tcPr>
            <w:tcW w:w="1400" w:type="dxa"/>
            <w:vAlign w:val="bottom"/>
            <w:tcBorders>
              <w:right w:val="single" w:sz="8" w:color="BEBEBE"/>
            </w:tcBorders>
          </w:tcPr>
          <w:p>
            <w:pPr>
              <w:spacing w:after="0"/>
              <w:rPr>
                <w:sz w:val="18"/>
                <w:szCs w:val="18"/>
                <w:color w:val="auto"/>
              </w:rPr>
            </w:pPr>
          </w:p>
        </w:tc>
        <w:tc>
          <w:tcPr>
            <w:tcW w:w="1320" w:type="dxa"/>
            <w:vAlign w:val="bottom"/>
            <w:tcBorders>
              <w:right w:val="single" w:sz="8" w:color="BEBEBE"/>
            </w:tcBorders>
          </w:tcPr>
          <w:p>
            <w:pPr>
              <w:spacing w:after="0"/>
              <w:rPr>
                <w:sz w:val="18"/>
                <w:szCs w:val="18"/>
                <w:color w:val="auto"/>
              </w:rPr>
            </w:pPr>
          </w:p>
        </w:tc>
        <w:tc>
          <w:tcPr>
            <w:tcW w:w="1320" w:type="dxa"/>
            <w:vAlign w:val="bottom"/>
            <w:tcBorders>
              <w:right w:val="single" w:sz="8" w:color="BEBEBE"/>
            </w:tcBorders>
          </w:tcPr>
          <w:p>
            <w:pPr>
              <w:spacing w:after="0"/>
              <w:rPr>
                <w:sz w:val="18"/>
                <w:szCs w:val="18"/>
                <w:color w:val="auto"/>
              </w:rPr>
            </w:pPr>
          </w:p>
        </w:tc>
        <w:tc>
          <w:tcPr>
            <w:tcW w:w="1180" w:type="dxa"/>
            <w:vAlign w:val="bottom"/>
            <w:tcBorders>
              <w:right w:val="single" w:sz="8" w:color="BEBEBE"/>
            </w:tcBorders>
          </w:tcPr>
          <w:p>
            <w:pPr>
              <w:spacing w:after="0"/>
              <w:rPr>
                <w:sz w:val="18"/>
                <w:szCs w:val="18"/>
                <w:color w:val="auto"/>
              </w:rPr>
            </w:pPr>
          </w:p>
        </w:tc>
        <w:tc>
          <w:tcPr>
            <w:tcW w:w="310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ROBOT</w:t>
            </w:r>
          </w:p>
        </w:tc>
        <w:tc>
          <w:tcPr>
            <w:tcW w:w="1040" w:type="dxa"/>
            <w:vAlign w:val="bottom"/>
            <w:tcBorders>
              <w:right w:val="single" w:sz="8" w:color="BEBEBE"/>
            </w:tcBorders>
          </w:tcPr>
          <w:p>
            <w:pPr>
              <w:spacing w:after="0"/>
              <w:rPr>
                <w:sz w:val="18"/>
                <w:szCs w:val="18"/>
                <w:color w:val="auto"/>
              </w:rPr>
            </w:pPr>
          </w:p>
        </w:tc>
      </w:tr>
      <w:tr>
        <w:trPr>
          <w:trHeight w:val="28"/>
        </w:trPr>
        <w:tc>
          <w:tcPr>
            <w:tcW w:w="1500" w:type="dxa"/>
            <w:vAlign w:val="bottom"/>
            <w:tcBorders>
              <w:left w:val="single" w:sz="8" w:color="BEBEBE"/>
              <w:bottom w:val="single" w:sz="8" w:color="BEBEBE"/>
              <w:right w:val="single" w:sz="8" w:color="BEBEBE"/>
            </w:tcBorders>
          </w:tcPr>
          <w:p>
            <w:pPr>
              <w:spacing w:after="0"/>
              <w:rPr>
                <w:sz w:val="2"/>
                <w:szCs w:val="2"/>
                <w:color w:val="auto"/>
              </w:rPr>
            </w:pPr>
          </w:p>
        </w:tc>
        <w:tc>
          <w:tcPr>
            <w:tcW w:w="1400" w:type="dxa"/>
            <w:vAlign w:val="bottom"/>
            <w:tcBorders>
              <w:bottom w:val="single" w:sz="8" w:color="BEBEBE"/>
              <w:right w:val="single" w:sz="8" w:color="BEBEBE"/>
            </w:tcBorders>
          </w:tcPr>
          <w:p>
            <w:pPr>
              <w:spacing w:after="0"/>
              <w:rPr>
                <w:sz w:val="2"/>
                <w:szCs w:val="2"/>
                <w:color w:val="auto"/>
              </w:rPr>
            </w:pPr>
          </w:p>
        </w:tc>
        <w:tc>
          <w:tcPr>
            <w:tcW w:w="1320" w:type="dxa"/>
            <w:vAlign w:val="bottom"/>
            <w:tcBorders>
              <w:bottom w:val="single" w:sz="8" w:color="BEBEBE"/>
              <w:right w:val="single" w:sz="8" w:color="BEBEBE"/>
            </w:tcBorders>
          </w:tcPr>
          <w:p>
            <w:pPr>
              <w:spacing w:after="0"/>
              <w:rPr>
                <w:sz w:val="2"/>
                <w:szCs w:val="2"/>
                <w:color w:val="auto"/>
              </w:rPr>
            </w:pPr>
          </w:p>
        </w:tc>
        <w:tc>
          <w:tcPr>
            <w:tcW w:w="1320" w:type="dxa"/>
            <w:vAlign w:val="bottom"/>
            <w:tcBorders>
              <w:bottom w:val="single" w:sz="8" w:color="BEBEBE"/>
              <w:right w:val="single" w:sz="8" w:color="BEBEBE"/>
            </w:tcBorders>
          </w:tcPr>
          <w:p>
            <w:pPr>
              <w:spacing w:after="0"/>
              <w:rPr>
                <w:sz w:val="2"/>
                <w:szCs w:val="2"/>
                <w:color w:val="auto"/>
              </w:rPr>
            </w:pPr>
          </w:p>
        </w:tc>
        <w:tc>
          <w:tcPr>
            <w:tcW w:w="1180" w:type="dxa"/>
            <w:vAlign w:val="bottom"/>
            <w:tcBorders>
              <w:bottom w:val="single" w:sz="8" w:color="BEBEBE"/>
              <w:right w:val="single" w:sz="8" w:color="BEBEBE"/>
            </w:tcBorders>
          </w:tcPr>
          <w:p>
            <w:pPr>
              <w:spacing w:after="0"/>
              <w:rPr>
                <w:sz w:val="2"/>
                <w:szCs w:val="2"/>
                <w:color w:val="auto"/>
              </w:rPr>
            </w:pPr>
          </w:p>
        </w:tc>
        <w:tc>
          <w:tcPr>
            <w:tcW w:w="3100" w:type="dxa"/>
            <w:vAlign w:val="bottom"/>
            <w:tcBorders>
              <w:bottom w:val="single" w:sz="8" w:color="BEBEBE"/>
              <w:right w:val="single" w:sz="8" w:color="BEBEBE"/>
            </w:tcBorders>
          </w:tcPr>
          <w:p>
            <w:pPr>
              <w:spacing w:after="0"/>
              <w:rPr>
                <w:sz w:val="2"/>
                <w:szCs w:val="2"/>
                <w:color w:val="auto"/>
              </w:rPr>
            </w:pPr>
          </w:p>
        </w:tc>
        <w:tc>
          <w:tcPr>
            <w:tcW w:w="1040" w:type="dxa"/>
            <w:vAlign w:val="bottom"/>
            <w:tcBorders>
              <w:bottom w:val="single" w:sz="8" w:color="BEBEBE"/>
              <w:right w:val="single" w:sz="8" w:color="BEBEBE"/>
            </w:tcBorders>
          </w:tcPr>
          <w:p>
            <w:pPr>
              <w:spacing w:after="0"/>
              <w:rPr>
                <w:sz w:val="2"/>
                <w:szCs w:val="2"/>
                <w:color w:val="auto"/>
              </w:rPr>
            </w:pPr>
          </w:p>
        </w:tc>
      </w:tr>
      <w:tr>
        <w:trPr>
          <w:trHeight w:val="180"/>
        </w:trPr>
        <w:tc>
          <w:tcPr>
            <w:tcW w:w="1500" w:type="dxa"/>
            <w:vAlign w:val="bottom"/>
            <w:tcBorders>
              <w:left w:val="single" w:sz="8" w:color="BEBEBE"/>
              <w:right w:val="single" w:sz="8" w:color="BEBEBE"/>
            </w:tcBorders>
          </w:tcPr>
          <w:p>
            <w:pPr>
              <w:ind w:left="120"/>
              <w:spacing w:after="0" w:line="180" w:lineRule="exact"/>
              <w:rPr>
                <w:sz w:val="20"/>
                <w:szCs w:val="20"/>
                <w:color w:val="auto"/>
              </w:rPr>
            </w:pPr>
            <w:r>
              <w:rPr>
                <w:rFonts w:ascii="Arial" w:cs="Arial" w:eastAsia="Arial" w:hAnsi="Arial"/>
                <w:sz w:val="18"/>
                <w:szCs w:val="18"/>
                <w:color w:val="auto"/>
              </w:rPr>
              <w:t>17/498,097</w:t>
            </w:r>
          </w:p>
        </w:tc>
        <w:tc>
          <w:tcPr>
            <w:tcW w:w="1400" w:type="dxa"/>
            <w:vAlign w:val="bottom"/>
            <w:tcBorders>
              <w:right w:val="single" w:sz="8" w:color="BEBEBE"/>
            </w:tcBorders>
          </w:tcPr>
          <w:p>
            <w:pPr>
              <w:ind w:left="100"/>
              <w:spacing w:after="0" w:line="180" w:lineRule="exact"/>
              <w:rPr>
                <w:sz w:val="20"/>
                <w:szCs w:val="20"/>
                <w:color w:val="auto"/>
              </w:rPr>
            </w:pPr>
            <w:r>
              <w:rPr>
                <w:rFonts w:ascii="Arial" w:cs="Arial" w:eastAsia="Arial" w:hAnsi="Arial"/>
                <w:sz w:val="18"/>
                <w:szCs w:val="18"/>
                <w:color w:val="auto"/>
              </w:rPr>
              <w:t>10/11/2021</w:t>
            </w:r>
          </w:p>
        </w:tc>
        <w:tc>
          <w:tcPr>
            <w:tcW w:w="132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180" w:type="dxa"/>
            <w:vAlign w:val="bottom"/>
            <w:tcBorders>
              <w:right w:val="single" w:sz="8" w:color="BEBEBE"/>
            </w:tcBorders>
          </w:tcPr>
          <w:p>
            <w:pPr>
              <w:ind w:left="100"/>
              <w:spacing w:after="0" w:line="180" w:lineRule="exact"/>
              <w:rPr>
                <w:sz w:val="20"/>
                <w:szCs w:val="20"/>
                <w:color w:val="auto"/>
              </w:rPr>
            </w:pPr>
            <w:r>
              <w:rPr>
                <w:rFonts w:ascii="Arial" w:cs="Arial" w:eastAsia="Arial" w:hAnsi="Arial"/>
                <w:sz w:val="18"/>
                <w:szCs w:val="18"/>
                <w:color w:val="auto"/>
              </w:rPr>
              <w:t>Pending</w:t>
            </w:r>
          </w:p>
        </w:tc>
        <w:tc>
          <w:tcPr>
            <w:tcW w:w="3100" w:type="dxa"/>
            <w:vAlign w:val="bottom"/>
            <w:tcBorders>
              <w:right w:val="single" w:sz="8" w:color="BEBEBE"/>
            </w:tcBorders>
          </w:tcPr>
          <w:p>
            <w:pPr>
              <w:ind w:left="100"/>
              <w:spacing w:after="0" w:line="180" w:lineRule="exact"/>
              <w:rPr>
                <w:sz w:val="20"/>
                <w:szCs w:val="20"/>
                <w:color w:val="auto"/>
              </w:rPr>
            </w:pPr>
            <w:r>
              <w:rPr>
                <w:rFonts w:ascii="Arial" w:cs="Arial" w:eastAsia="Arial" w:hAnsi="Arial"/>
                <w:sz w:val="18"/>
                <w:szCs w:val="18"/>
                <w:color w:val="auto"/>
              </w:rPr>
              <w:t>SYSTEMS AND METHODS</w:t>
            </w:r>
          </w:p>
        </w:tc>
        <w:tc>
          <w:tcPr>
            <w:tcW w:w="1040" w:type="dxa"/>
            <w:vAlign w:val="bottom"/>
            <w:tcBorders>
              <w:right w:val="single" w:sz="8" w:color="BEBEBE"/>
            </w:tcBorders>
          </w:tcPr>
          <w:p>
            <w:pPr>
              <w:ind w:left="100"/>
              <w:spacing w:after="0" w:line="180" w:lineRule="exact"/>
              <w:rPr>
                <w:sz w:val="20"/>
                <w:szCs w:val="20"/>
                <w:color w:val="auto"/>
              </w:rPr>
            </w:pPr>
            <w:r>
              <w:rPr>
                <w:rFonts w:ascii="Arial" w:cs="Arial" w:eastAsia="Arial" w:hAnsi="Arial"/>
                <w:sz w:val="18"/>
                <w:szCs w:val="18"/>
                <w:color w:val="auto"/>
              </w:rPr>
              <w:t>US</w:t>
            </w:r>
          </w:p>
        </w:tc>
      </w:tr>
      <w:tr>
        <w:trPr>
          <w:trHeight w:val="174"/>
        </w:trPr>
        <w:tc>
          <w:tcPr>
            <w:tcW w:w="1500" w:type="dxa"/>
            <w:vAlign w:val="bottom"/>
            <w:tcBorders>
              <w:left w:val="single" w:sz="8" w:color="BEBEBE"/>
              <w:right w:val="single" w:sz="8" w:color="BEBEBE"/>
            </w:tcBorders>
          </w:tcPr>
          <w:p>
            <w:pPr>
              <w:spacing w:after="0"/>
              <w:rPr>
                <w:sz w:val="15"/>
                <w:szCs w:val="15"/>
                <w:color w:val="auto"/>
              </w:rPr>
            </w:pPr>
          </w:p>
        </w:tc>
        <w:tc>
          <w:tcPr>
            <w:tcW w:w="140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180" w:type="dxa"/>
            <w:vAlign w:val="bottom"/>
            <w:tcBorders>
              <w:right w:val="single" w:sz="8" w:color="BEBEBE"/>
            </w:tcBorders>
          </w:tcPr>
          <w:p>
            <w:pPr>
              <w:spacing w:after="0"/>
              <w:rPr>
                <w:sz w:val="15"/>
                <w:szCs w:val="15"/>
                <w:color w:val="auto"/>
              </w:rPr>
            </w:pPr>
          </w:p>
        </w:tc>
        <w:tc>
          <w:tcPr>
            <w:tcW w:w="3100" w:type="dxa"/>
            <w:vAlign w:val="bottom"/>
            <w:tcBorders>
              <w:right w:val="single" w:sz="8" w:color="BEBEBE"/>
            </w:tcBorders>
          </w:tcPr>
          <w:p>
            <w:pPr>
              <w:ind w:left="100"/>
              <w:spacing w:after="0" w:line="175" w:lineRule="exact"/>
              <w:rPr>
                <w:sz w:val="20"/>
                <w:szCs w:val="20"/>
                <w:color w:val="auto"/>
              </w:rPr>
            </w:pPr>
            <w:r>
              <w:rPr>
                <w:rFonts w:ascii="Arial" w:cs="Arial" w:eastAsia="Arial" w:hAnsi="Arial"/>
                <w:sz w:val="18"/>
                <w:szCs w:val="18"/>
                <w:color w:val="auto"/>
              </w:rPr>
              <w:t>FOR INSPECTING PIPELINES</w:t>
            </w:r>
          </w:p>
        </w:tc>
        <w:tc>
          <w:tcPr>
            <w:tcW w:w="1040" w:type="dxa"/>
            <w:vAlign w:val="bottom"/>
            <w:tcBorders>
              <w:right w:val="single" w:sz="8" w:color="BEBEBE"/>
            </w:tcBorders>
          </w:tcPr>
          <w:p>
            <w:pPr>
              <w:spacing w:after="0"/>
              <w:rPr>
                <w:sz w:val="15"/>
                <w:szCs w:val="15"/>
                <w:color w:val="auto"/>
              </w:rPr>
            </w:pPr>
          </w:p>
        </w:tc>
      </w:tr>
      <w:tr>
        <w:trPr>
          <w:trHeight w:val="188"/>
        </w:trPr>
        <w:tc>
          <w:tcPr>
            <w:tcW w:w="1500" w:type="dxa"/>
            <w:vAlign w:val="bottom"/>
            <w:tcBorders>
              <w:left w:val="single" w:sz="8" w:color="BEBEBE"/>
              <w:right w:val="single" w:sz="8" w:color="BEBEBE"/>
            </w:tcBorders>
          </w:tcPr>
          <w:p>
            <w:pPr>
              <w:spacing w:after="0"/>
              <w:rPr>
                <w:sz w:val="16"/>
                <w:szCs w:val="16"/>
                <w:color w:val="auto"/>
              </w:rPr>
            </w:pPr>
          </w:p>
        </w:tc>
        <w:tc>
          <w:tcPr>
            <w:tcW w:w="140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180" w:type="dxa"/>
            <w:vAlign w:val="bottom"/>
            <w:tcBorders>
              <w:right w:val="single" w:sz="8" w:color="BEBEBE"/>
            </w:tcBorders>
          </w:tcPr>
          <w:p>
            <w:pPr>
              <w:spacing w:after="0"/>
              <w:rPr>
                <w:sz w:val="16"/>
                <w:szCs w:val="16"/>
                <w:color w:val="auto"/>
              </w:rPr>
            </w:pPr>
          </w:p>
        </w:tc>
        <w:tc>
          <w:tcPr>
            <w:tcW w:w="3100" w:type="dxa"/>
            <w:vAlign w:val="bottom"/>
            <w:tcBorders>
              <w:right w:val="single" w:sz="8" w:color="BEBEBE"/>
            </w:tcBorders>
          </w:tcPr>
          <w:p>
            <w:pPr>
              <w:ind w:left="100"/>
              <w:spacing w:after="0" w:line="188" w:lineRule="exact"/>
              <w:rPr>
                <w:sz w:val="20"/>
                <w:szCs w:val="20"/>
                <w:color w:val="auto"/>
              </w:rPr>
            </w:pPr>
            <w:r>
              <w:rPr>
                <w:rFonts w:ascii="Arial" w:cs="Arial" w:eastAsia="Arial" w:hAnsi="Arial"/>
                <w:sz w:val="18"/>
                <w:szCs w:val="18"/>
                <w:color w:val="auto"/>
              </w:rPr>
              <w:t>USING A PIPELINE</w:t>
            </w:r>
          </w:p>
        </w:tc>
        <w:tc>
          <w:tcPr>
            <w:tcW w:w="1040" w:type="dxa"/>
            <w:vAlign w:val="bottom"/>
            <w:tcBorders>
              <w:right w:val="single" w:sz="8" w:color="BEBEBE"/>
            </w:tcBorders>
          </w:tcPr>
          <w:p>
            <w:pPr>
              <w:spacing w:after="0"/>
              <w:rPr>
                <w:sz w:val="16"/>
                <w:szCs w:val="16"/>
                <w:color w:val="auto"/>
              </w:rPr>
            </w:pPr>
          </w:p>
        </w:tc>
      </w:tr>
      <w:tr>
        <w:trPr>
          <w:trHeight w:val="174"/>
        </w:trPr>
        <w:tc>
          <w:tcPr>
            <w:tcW w:w="1500" w:type="dxa"/>
            <w:vAlign w:val="bottom"/>
            <w:tcBorders>
              <w:left w:val="single" w:sz="8" w:color="BEBEBE"/>
              <w:right w:val="single" w:sz="8" w:color="BEBEBE"/>
            </w:tcBorders>
          </w:tcPr>
          <w:p>
            <w:pPr>
              <w:spacing w:after="0"/>
              <w:rPr>
                <w:sz w:val="15"/>
                <w:szCs w:val="15"/>
                <w:color w:val="auto"/>
              </w:rPr>
            </w:pPr>
          </w:p>
        </w:tc>
        <w:tc>
          <w:tcPr>
            <w:tcW w:w="140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180" w:type="dxa"/>
            <w:vAlign w:val="bottom"/>
            <w:tcBorders>
              <w:right w:val="single" w:sz="8" w:color="BEBEBE"/>
            </w:tcBorders>
          </w:tcPr>
          <w:p>
            <w:pPr>
              <w:spacing w:after="0"/>
              <w:rPr>
                <w:sz w:val="15"/>
                <w:szCs w:val="15"/>
                <w:color w:val="auto"/>
              </w:rPr>
            </w:pPr>
          </w:p>
        </w:tc>
        <w:tc>
          <w:tcPr>
            <w:tcW w:w="3100" w:type="dxa"/>
            <w:vAlign w:val="bottom"/>
            <w:tcBorders>
              <w:right w:val="single" w:sz="8" w:color="BEBEBE"/>
            </w:tcBorders>
          </w:tcPr>
          <w:p>
            <w:pPr>
              <w:ind w:left="100"/>
              <w:spacing w:after="0" w:line="175" w:lineRule="exact"/>
              <w:rPr>
                <w:sz w:val="20"/>
                <w:szCs w:val="20"/>
                <w:color w:val="auto"/>
              </w:rPr>
            </w:pPr>
            <w:r>
              <w:rPr>
                <w:rFonts w:ascii="Arial" w:cs="Arial" w:eastAsia="Arial" w:hAnsi="Arial"/>
                <w:sz w:val="18"/>
                <w:szCs w:val="18"/>
                <w:color w:val="auto"/>
              </w:rPr>
              <w:t>INSPECTION</w:t>
            </w:r>
          </w:p>
        </w:tc>
        <w:tc>
          <w:tcPr>
            <w:tcW w:w="1040" w:type="dxa"/>
            <w:vAlign w:val="bottom"/>
            <w:tcBorders>
              <w:right w:val="single" w:sz="8" w:color="BEBEBE"/>
            </w:tcBorders>
          </w:tcPr>
          <w:p>
            <w:pPr>
              <w:spacing w:after="0"/>
              <w:rPr>
                <w:sz w:val="15"/>
                <w:szCs w:val="15"/>
                <w:color w:val="auto"/>
              </w:rPr>
            </w:pPr>
          </w:p>
        </w:tc>
      </w:tr>
      <w:tr>
        <w:trPr>
          <w:trHeight w:val="222"/>
        </w:trPr>
        <w:tc>
          <w:tcPr>
            <w:tcW w:w="1500" w:type="dxa"/>
            <w:vAlign w:val="bottom"/>
            <w:tcBorders>
              <w:left w:val="single" w:sz="8" w:color="BEBEBE"/>
              <w:bottom w:val="single" w:sz="8" w:color="BEBEBE"/>
              <w:right w:val="single" w:sz="8" w:color="BEBEBE"/>
            </w:tcBorders>
          </w:tcPr>
          <w:p>
            <w:pPr>
              <w:spacing w:after="0"/>
              <w:rPr>
                <w:sz w:val="19"/>
                <w:szCs w:val="19"/>
                <w:color w:val="auto"/>
              </w:rPr>
            </w:pPr>
          </w:p>
        </w:tc>
        <w:tc>
          <w:tcPr>
            <w:tcW w:w="1400" w:type="dxa"/>
            <w:vAlign w:val="bottom"/>
            <w:tcBorders>
              <w:bottom w:val="single" w:sz="8" w:color="BEBEBE"/>
              <w:right w:val="single" w:sz="8" w:color="BEBEBE"/>
            </w:tcBorders>
          </w:tcPr>
          <w:p>
            <w:pPr>
              <w:spacing w:after="0"/>
              <w:rPr>
                <w:sz w:val="19"/>
                <w:szCs w:val="19"/>
                <w:color w:val="auto"/>
              </w:rPr>
            </w:pPr>
          </w:p>
        </w:tc>
        <w:tc>
          <w:tcPr>
            <w:tcW w:w="1320" w:type="dxa"/>
            <w:vAlign w:val="bottom"/>
            <w:tcBorders>
              <w:bottom w:val="single" w:sz="8" w:color="BEBEBE"/>
              <w:right w:val="single" w:sz="8" w:color="BEBEBE"/>
            </w:tcBorders>
          </w:tcPr>
          <w:p>
            <w:pPr>
              <w:spacing w:after="0"/>
              <w:rPr>
                <w:sz w:val="19"/>
                <w:szCs w:val="19"/>
                <w:color w:val="auto"/>
              </w:rPr>
            </w:pPr>
          </w:p>
        </w:tc>
        <w:tc>
          <w:tcPr>
            <w:tcW w:w="1320" w:type="dxa"/>
            <w:vAlign w:val="bottom"/>
            <w:tcBorders>
              <w:bottom w:val="single" w:sz="8" w:color="BEBEBE"/>
              <w:right w:val="single" w:sz="8" w:color="BEBEBE"/>
            </w:tcBorders>
          </w:tcPr>
          <w:p>
            <w:pPr>
              <w:spacing w:after="0"/>
              <w:rPr>
                <w:sz w:val="19"/>
                <w:szCs w:val="19"/>
                <w:color w:val="auto"/>
              </w:rPr>
            </w:pPr>
          </w:p>
        </w:tc>
        <w:tc>
          <w:tcPr>
            <w:tcW w:w="1180" w:type="dxa"/>
            <w:vAlign w:val="bottom"/>
            <w:tcBorders>
              <w:bottom w:val="single" w:sz="8" w:color="BEBEBE"/>
              <w:right w:val="single" w:sz="8" w:color="BEBEBE"/>
            </w:tcBorders>
          </w:tcPr>
          <w:p>
            <w:pPr>
              <w:spacing w:after="0"/>
              <w:rPr>
                <w:sz w:val="19"/>
                <w:szCs w:val="19"/>
                <w:color w:val="auto"/>
              </w:rPr>
            </w:pPr>
          </w:p>
        </w:tc>
        <w:tc>
          <w:tcPr>
            <w:tcW w:w="310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ROBOT</w:t>
            </w:r>
          </w:p>
        </w:tc>
        <w:tc>
          <w:tcPr>
            <w:tcW w:w="1040" w:type="dxa"/>
            <w:vAlign w:val="bottom"/>
            <w:tcBorders>
              <w:bottom w:val="single" w:sz="8" w:color="BEBEBE"/>
              <w:right w:val="single" w:sz="8" w:color="BEBEBE"/>
            </w:tcBorders>
          </w:tcPr>
          <w:p>
            <w:pPr>
              <w:spacing w:after="0"/>
              <w:rPr>
                <w:sz w:val="19"/>
                <w:szCs w:val="19"/>
                <w:color w:val="auto"/>
              </w:rPr>
            </w:pPr>
          </w:p>
        </w:tc>
      </w:tr>
      <w:tr>
        <w:trPr>
          <w:trHeight w:val="187"/>
        </w:trPr>
        <w:tc>
          <w:tcPr>
            <w:tcW w:w="1500" w:type="dxa"/>
            <w:vAlign w:val="bottom"/>
            <w:tcBorders>
              <w:left w:val="single" w:sz="8" w:color="BEBEBE"/>
              <w:right w:val="single" w:sz="8" w:color="BEBEBE"/>
            </w:tcBorders>
          </w:tcPr>
          <w:p>
            <w:pPr>
              <w:ind w:left="120"/>
              <w:spacing w:after="0" w:line="187" w:lineRule="exact"/>
              <w:rPr>
                <w:sz w:val="20"/>
                <w:szCs w:val="20"/>
                <w:color w:val="auto"/>
              </w:rPr>
            </w:pPr>
            <w:r>
              <w:rPr>
                <w:rFonts w:ascii="Arial" w:cs="Arial" w:eastAsia="Arial" w:hAnsi="Arial"/>
                <w:sz w:val="18"/>
                <w:szCs w:val="18"/>
                <w:color w:val="auto"/>
              </w:rPr>
              <w:t>16/774,701</w:t>
            </w:r>
          </w:p>
        </w:tc>
        <w:tc>
          <w:tcPr>
            <w:tcW w:w="140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1/28/2020</w:t>
            </w:r>
          </w:p>
        </w:tc>
        <w:tc>
          <w:tcPr>
            <w:tcW w:w="132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11,391,698</w:t>
            </w:r>
          </w:p>
        </w:tc>
        <w:tc>
          <w:tcPr>
            <w:tcW w:w="132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7/19/2022</w:t>
            </w:r>
          </w:p>
        </w:tc>
        <w:tc>
          <w:tcPr>
            <w:tcW w:w="1180" w:type="dxa"/>
            <w:vAlign w:val="bottom"/>
            <w:tcBorders>
              <w:right w:val="single" w:sz="8" w:color="BEBEBE"/>
            </w:tcBorders>
          </w:tcPr>
          <w:p>
            <w:pPr>
              <w:ind w:left="140"/>
              <w:spacing w:after="0" w:line="187" w:lineRule="exact"/>
              <w:rPr>
                <w:sz w:val="20"/>
                <w:szCs w:val="20"/>
                <w:color w:val="auto"/>
              </w:rPr>
            </w:pPr>
            <w:r>
              <w:rPr>
                <w:rFonts w:ascii="Arial" w:cs="Arial" w:eastAsia="Arial" w:hAnsi="Arial"/>
                <w:sz w:val="18"/>
                <w:szCs w:val="18"/>
                <w:color w:val="auto"/>
              </w:rPr>
              <w:t>Allowed -</w:t>
            </w:r>
          </w:p>
        </w:tc>
        <w:tc>
          <w:tcPr>
            <w:tcW w:w="310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DOME-SHAPE TUNING FORK</w:t>
            </w:r>
          </w:p>
        </w:tc>
        <w:tc>
          <w:tcPr>
            <w:tcW w:w="104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US</w:t>
            </w:r>
          </w:p>
        </w:tc>
      </w:tr>
      <w:tr>
        <w:trPr>
          <w:trHeight w:val="174"/>
        </w:trPr>
        <w:tc>
          <w:tcPr>
            <w:tcW w:w="1500" w:type="dxa"/>
            <w:vAlign w:val="bottom"/>
            <w:tcBorders>
              <w:left w:val="single" w:sz="8" w:color="BEBEBE"/>
              <w:right w:val="single" w:sz="8" w:color="BEBEBE"/>
            </w:tcBorders>
          </w:tcPr>
          <w:p>
            <w:pPr>
              <w:spacing w:after="0"/>
              <w:rPr>
                <w:sz w:val="15"/>
                <w:szCs w:val="15"/>
                <w:color w:val="auto"/>
              </w:rPr>
            </w:pPr>
          </w:p>
        </w:tc>
        <w:tc>
          <w:tcPr>
            <w:tcW w:w="140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180" w:type="dxa"/>
            <w:vAlign w:val="bottom"/>
            <w:tcBorders>
              <w:right w:val="single" w:sz="8" w:color="BEBEBE"/>
            </w:tcBorders>
          </w:tcPr>
          <w:p>
            <w:pPr>
              <w:ind w:left="100"/>
              <w:spacing w:after="0" w:line="175" w:lineRule="exact"/>
              <w:rPr>
                <w:sz w:val="20"/>
                <w:szCs w:val="20"/>
                <w:color w:val="auto"/>
              </w:rPr>
            </w:pPr>
            <w:r>
              <w:rPr>
                <w:rFonts w:ascii="Arial" w:cs="Arial" w:eastAsia="Arial" w:hAnsi="Arial"/>
                <w:sz w:val="18"/>
                <w:szCs w:val="18"/>
                <w:color w:val="auto"/>
              </w:rPr>
              <w:t>scheduled to</w:t>
            </w:r>
          </w:p>
        </w:tc>
        <w:tc>
          <w:tcPr>
            <w:tcW w:w="3100" w:type="dxa"/>
            <w:vAlign w:val="bottom"/>
            <w:tcBorders>
              <w:right w:val="single" w:sz="8" w:color="BEBEBE"/>
            </w:tcBorders>
          </w:tcPr>
          <w:p>
            <w:pPr>
              <w:ind w:left="100"/>
              <w:spacing w:after="0" w:line="175" w:lineRule="exact"/>
              <w:rPr>
                <w:sz w:val="20"/>
                <w:szCs w:val="20"/>
                <w:color w:val="auto"/>
              </w:rPr>
            </w:pPr>
            <w:r>
              <w:rPr>
                <w:rFonts w:ascii="Arial" w:cs="Arial" w:eastAsia="Arial" w:hAnsi="Arial"/>
                <w:sz w:val="18"/>
                <w:szCs w:val="18"/>
                <w:color w:val="auto"/>
              </w:rPr>
              <w:t>TRANSDUCERS FOR</w:t>
            </w:r>
          </w:p>
        </w:tc>
        <w:tc>
          <w:tcPr>
            <w:tcW w:w="1040" w:type="dxa"/>
            <w:vAlign w:val="bottom"/>
            <w:tcBorders>
              <w:right w:val="single" w:sz="8" w:color="BEBEBE"/>
            </w:tcBorders>
          </w:tcPr>
          <w:p>
            <w:pPr>
              <w:spacing w:after="0"/>
              <w:rPr>
                <w:sz w:val="15"/>
                <w:szCs w:val="15"/>
                <w:color w:val="auto"/>
              </w:rPr>
            </w:pPr>
          </w:p>
        </w:tc>
      </w:tr>
      <w:tr>
        <w:trPr>
          <w:trHeight w:val="188"/>
        </w:trPr>
        <w:tc>
          <w:tcPr>
            <w:tcW w:w="1500" w:type="dxa"/>
            <w:vAlign w:val="bottom"/>
            <w:tcBorders>
              <w:left w:val="single" w:sz="8" w:color="BEBEBE"/>
              <w:right w:val="single" w:sz="8" w:color="BEBEBE"/>
            </w:tcBorders>
          </w:tcPr>
          <w:p>
            <w:pPr>
              <w:spacing w:after="0"/>
              <w:rPr>
                <w:sz w:val="16"/>
                <w:szCs w:val="16"/>
                <w:color w:val="auto"/>
              </w:rPr>
            </w:pPr>
          </w:p>
        </w:tc>
        <w:tc>
          <w:tcPr>
            <w:tcW w:w="140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180" w:type="dxa"/>
            <w:vAlign w:val="bottom"/>
            <w:tcBorders>
              <w:right w:val="single" w:sz="8" w:color="BEBEBE"/>
            </w:tcBorders>
          </w:tcPr>
          <w:p>
            <w:pPr>
              <w:ind w:left="100"/>
              <w:spacing w:after="0" w:line="188" w:lineRule="exact"/>
              <w:rPr>
                <w:sz w:val="20"/>
                <w:szCs w:val="20"/>
                <w:color w:val="auto"/>
              </w:rPr>
            </w:pPr>
            <w:r>
              <w:rPr>
                <w:rFonts w:ascii="Arial" w:cs="Arial" w:eastAsia="Arial" w:hAnsi="Arial"/>
                <w:sz w:val="18"/>
                <w:szCs w:val="18"/>
                <w:color w:val="auto"/>
              </w:rPr>
              <w:t>be issued</w:t>
            </w:r>
          </w:p>
        </w:tc>
        <w:tc>
          <w:tcPr>
            <w:tcW w:w="3100" w:type="dxa"/>
            <w:vAlign w:val="bottom"/>
            <w:tcBorders>
              <w:right w:val="single" w:sz="8" w:color="BEBEBE"/>
            </w:tcBorders>
          </w:tcPr>
          <w:p>
            <w:pPr>
              <w:ind w:left="100"/>
              <w:spacing w:after="0" w:line="188" w:lineRule="exact"/>
              <w:rPr>
                <w:sz w:val="20"/>
                <w:szCs w:val="20"/>
                <w:color w:val="auto"/>
              </w:rPr>
            </w:pPr>
            <w:r>
              <w:rPr>
                <w:rFonts w:ascii="Arial" w:cs="Arial" w:eastAsia="Arial" w:hAnsi="Arial"/>
                <w:sz w:val="18"/>
                <w:szCs w:val="18"/>
                <w:color w:val="auto"/>
              </w:rPr>
              <w:t>CORROSION MONITORING</w:t>
            </w:r>
          </w:p>
        </w:tc>
        <w:tc>
          <w:tcPr>
            <w:tcW w:w="1040" w:type="dxa"/>
            <w:vAlign w:val="bottom"/>
            <w:tcBorders>
              <w:right w:val="single" w:sz="8" w:color="BEBEBE"/>
            </w:tcBorders>
          </w:tcPr>
          <w:p>
            <w:pPr>
              <w:spacing w:after="0"/>
              <w:rPr>
                <w:sz w:val="16"/>
                <w:szCs w:val="16"/>
                <w:color w:val="auto"/>
              </w:rPr>
            </w:pPr>
          </w:p>
        </w:tc>
      </w:tr>
      <w:tr>
        <w:trPr>
          <w:trHeight w:val="215"/>
        </w:trPr>
        <w:tc>
          <w:tcPr>
            <w:tcW w:w="1500" w:type="dxa"/>
            <w:vAlign w:val="bottom"/>
            <w:tcBorders>
              <w:left w:val="single" w:sz="8" w:color="BEBEBE"/>
              <w:bottom w:val="single" w:sz="8" w:color="BEBEBE"/>
              <w:right w:val="single" w:sz="8" w:color="BEBEBE"/>
            </w:tcBorders>
          </w:tcPr>
          <w:p>
            <w:pPr>
              <w:spacing w:after="0"/>
              <w:rPr>
                <w:sz w:val="18"/>
                <w:szCs w:val="18"/>
                <w:color w:val="auto"/>
              </w:rPr>
            </w:pPr>
          </w:p>
        </w:tc>
        <w:tc>
          <w:tcPr>
            <w:tcW w:w="1400" w:type="dxa"/>
            <w:vAlign w:val="bottom"/>
            <w:tcBorders>
              <w:bottom w:val="single" w:sz="8" w:color="BEBEBE"/>
              <w:right w:val="single" w:sz="8" w:color="BEBEBE"/>
            </w:tcBorders>
          </w:tcPr>
          <w:p>
            <w:pPr>
              <w:spacing w:after="0"/>
              <w:rPr>
                <w:sz w:val="18"/>
                <w:szCs w:val="18"/>
                <w:color w:val="auto"/>
              </w:rPr>
            </w:pPr>
          </w:p>
        </w:tc>
        <w:tc>
          <w:tcPr>
            <w:tcW w:w="1320" w:type="dxa"/>
            <w:vAlign w:val="bottom"/>
            <w:tcBorders>
              <w:bottom w:val="single" w:sz="8" w:color="BEBEBE"/>
              <w:right w:val="single" w:sz="8" w:color="BEBEBE"/>
            </w:tcBorders>
          </w:tcPr>
          <w:p>
            <w:pPr>
              <w:spacing w:after="0"/>
              <w:rPr>
                <w:sz w:val="18"/>
                <w:szCs w:val="18"/>
                <w:color w:val="auto"/>
              </w:rPr>
            </w:pPr>
          </w:p>
        </w:tc>
        <w:tc>
          <w:tcPr>
            <w:tcW w:w="1320" w:type="dxa"/>
            <w:vAlign w:val="bottom"/>
            <w:tcBorders>
              <w:bottom w:val="single" w:sz="8" w:color="BEBEBE"/>
              <w:right w:val="single" w:sz="8" w:color="BEBEBE"/>
            </w:tcBorders>
          </w:tcPr>
          <w:p>
            <w:pPr>
              <w:spacing w:after="0"/>
              <w:rPr>
                <w:sz w:val="18"/>
                <w:szCs w:val="18"/>
                <w:color w:val="auto"/>
              </w:rPr>
            </w:pPr>
          </w:p>
        </w:tc>
        <w:tc>
          <w:tcPr>
            <w:tcW w:w="118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07/19/22</w:t>
            </w:r>
          </w:p>
        </w:tc>
        <w:tc>
          <w:tcPr>
            <w:tcW w:w="3100" w:type="dxa"/>
            <w:vAlign w:val="bottom"/>
            <w:tcBorders>
              <w:bottom w:val="single" w:sz="8" w:color="BEBEBE"/>
              <w:right w:val="single" w:sz="8" w:color="BEBEBE"/>
            </w:tcBorders>
          </w:tcPr>
          <w:p>
            <w:pPr>
              <w:spacing w:after="0"/>
              <w:rPr>
                <w:sz w:val="18"/>
                <w:szCs w:val="18"/>
                <w:color w:val="auto"/>
              </w:rPr>
            </w:pPr>
          </w:p>
        </w:tc>
        <w:tc>
          <w:tcPr>
            <w:tcW w:w="1040" w:type="dxa"/>
            <w:vAlign w:val="bottom"/>
            <w:tcBorders>
              <w:bottom w:val="single" w:sz="8" w:color="BEBEBE"/>
              <w:right w:val="single" w:sz="8" w:color="BEBEBE"/>
            </w:tcBorders>
          </w:tcPr>
          <w:p>
            <w:pPr>
              <w:spacing w:after="0"/>
              <w:rPr>
                <w:sz w:val="18"/>
                <w:szCs w:val="18"/>
                <w:color w:val="auto"/>
              </w:rPr>
            </w:pPr>
          </w:p>
        </w:tc>
      </w:tr>
      <w:tr>
        <w:trPr>
          <w:trHeight w:val="181"/>
        </w:trPr>
        <w:tc>
          <w:tcPr>
            <w:tcW w:w="1500" w:type="dxa"/>
            <w:vAlign w:val="bottom"/>
            <w:tcBorders>
              <w:left w:val="single" w:sz="8" w:color="BEBEBE"/>
              <w:right w:val="single" w:sz="8" w:color="BEBEBE"/>
            </w:tcBorders>
          </w:tcPr>
          <w:p>
            <w:pPr>
              <w:ind w:left="120"/>
              <w:spacing w:after="0" w:line="181" w:lineRule="exact"/>
              <w:rPr>
                <w:sz w:val="20"/>
                <w:szCs w:val="20"/>
                <w:color w:val="auto"/>
              </w:rPr>
            </w:pPr>
            <w:r>
              <w:rPr>
                <w:rFonts w:ascii="Arial" w:cs="Arial" w:eastAsia="Arial" w:hAnsi="Arial"/>
                <w:sz w:val="18"/>
                <w:szCs w:val="18"/>
                <w:color w:val="auto"/>
              </w:rPr>
              <w:t>16/450,892</w:t>
            </w:r>
          </w:p>
        </w:tc>
        <w:tc>
          <w:tcPr>
            <w:tcW w:w="1400" w:type="dxa"/>
            <w:vAlign w:val="bottom"/>
            <w:tcBorders>
              <w:right w:val="single" w:sz="8" w:color="BEBEBE"/>
            </w:tcBorders>
          </w:tcPr>
          <w:p>
            <w:pPr>
              <w:ind w:left="100"/>
              <w:spacing w:after="0" w:line="181" w:lineRule="exact"/>
              <w:rPr>
                <w:sz w:val="20"/>
                <w:szCs w:val="20"/>
                <w:color w:val="auto"/>
              </w:rPr>
            </w:pPr>
            <w:r>
              <w:rPr>
                <w:rFonts w:ascii="Arial" w:cs="Arial" w:eastAsia="Arial" w:hAnsi="Arial"/>
                <w:sz w:val="18"/>
                <w:szCs w:val="18"/>
                <w:color w:val="auto"/>
              </w:rPr>
              <w:t>6/4/2019</w:t>
            </w:r>
          </w:p>
        </w:tc>
        <w:tc>
          <w:tcPr>
            <w:tcW w:w="1320" w:type="dxa"/>
            <w:vAlign w:val="bottom"/>
            <w:tcBorders>
              <w:right w:val="single" w:sz="8" w:color="BEBEBE"/>
            </w:tcBorders>
          </w:tcPr>
          <w:p>
            <w:pPr>
              <w:ind w:left="100"/>
              <w:spacing w:after="0" w:line="181" w:lineRule="exact"/>
              <w:rPr>
                <w:sz w:val="20"/>
                <w:szCs w:val="20"/>
                <w:color w:val="auto"/>
              </w:rPr>
            </w:pPr>
            <w:r>
              <w:rPr>
                <w:rFonts w:ascii="Arial" w:cs="Arial" w:eastAsia="Arial" w:hAnsi="Arial"/>
                <w:sz w:val="18"/>
                <w:szCs w:val="18"/>
                <w:color w:val="auto"/>
              </w:rPr>
              <w:t>11,168,668</w:t>
            </w:r>
          </w:p>
        </w:tc>
        <w:tc>
          <w:tcPr>
            <w:tcW w:w="1320" w:type="dxa"/>
            <w:vAlign w:val="bottom"/>
            <w:tcBorders>
              <w:right w:val="single" w:sz="8" w:color="BEBEBE"/>
            </w:tcBorders>
          </w:tcPr>
          <w:p>
            <w:pPr>
              <w:ind w:left="100"/>
              <w:spacing w:after="0" w:line="181" w:lineRule="exact"/>
              <w:rPr>
                <w:sz w:val="20"/>
                <w:szCs w:val="20"/>
                <w:color w:val="auto"/>
              </w:rPr>
            </w:pPr>
            <w:r>
              <w:rPr>
                <w:rFonts w:ascii="Arial" w:cs="Arial" w:eastAsia="Arial" w:hAnsi="Arial"/>
                <w:sz w:val="18"/>
                <w:szCs w:val="18"/>
                <w:color w:val="auto"/>
              </w:rPr>
              <w:t>11/9/2021</w:t>
            </w:r>
          </w:p>
        </w:tc>
        <w:tc>
          <w:tcPr>
            <w:tcW w:w="1180" w:type="dxa"/>
            <w:vAlign w:val="bottom"/>
            <w:tcBorders>
              <w:right w:val="single" w:sz="8" w:color="BEBEBE"/>
            </w:tcBorders>
          </w:tcPr>
          <w:p>
            <w:pPr>
              <w:ind w:left="100"/>
              <w:spacing w:after="0" w:line="181" w:lineRule="exact"/>
              <w:rPr>
                <w:sz w:val="20"/>
                <w:szCs w:val="20"/>
                <w:color w:val="auto"/>
              </w:rPr>
            </w:pPr>
            <w:r>
              <w:rPr>
                <w:rFonts w:ascii="Arial" w:cs="Arial" w:eastAsia="Arial" w:hAnsi="Arial"/>
                <w:sz w:val="18"/>
                <w:szCs w:val="18"/>
                <w:color w:val="auto"/>
              </w:rPr>
              <w:t>Issued</w:t>
            </w:r>
          </w:p>
        </w:tc>
        <w:tc>
          <w:tcPr>
            <w:tcW w:w="3100" w:type="dxa"/>
            <w:vAlign w:val="bottom"/>
            <w:tcBorders>
              <w:right w:val="single" w:sz="8" w:color="BEBEBE"/>
            </w:tcBorders>
          </w:tcPr>
          <w:p>
            <w:pPr>
              <w:ind w:left="100"/>
              <w:spacing w:after="0" w:line="181" w:lineRule="exact"/>
              <w:rPr>
                <w:sz w:val="20"/>
                <w:szCs w:val="20"/>
                <w:color w:val="auto"/>
              </w:rPr>
            </w:pPr>
            <w:r>
              <w:rPr>
                <w:rFonts w:ascii="Arial" w:cs="Arial" w:eastAsia="Arial" w:hAnsi="Arial"/>
                <w:sz w:val="18"/>
                <w:szCs w:val="18"/>
                <w:color w:val="auto"/>
              </w:rPr>
              <w:t>WIND TURBINE BLADE</w:t>
            </w:r>
          </w:p>
        </w:tc>
        <w:tc>
          <w:tcPr>
            <w:tcW w:w="1040" w:type="dxa"/>
            <w:vAlign w:val="bottom"/>
            <w:tcBorders>
              <w:right w:val="single" w:sz="8" w:color="BEBEBE"/>
            </w:tcBorders>
          </w:tcPr>
          <w:p>
            <w:pPr>
              <w:ind w:left="100"/>
              <w:spacing w:after="0" w:line="181" w:lineRule="exact"/>
              <w:rPr>
                <w:sz w:val="20"/>
                <w:szCs w:val="20"/>
                <w:color w:val="auto"/>
              </w:rPr>
            </w:pPr>
            <w:r>
              <w:rPr>
                <w:rFonts w:ascii="Arial" w:cs="Arial" w:eastAsia="Arial" w:hAnsi="Arial"/>
                <w:sz w:val="18"/>
                <w:szCs w:val="18"/>
                <w:color w:val="auto"/>
              </w:rPr>
              <w:t>US</w:t>
            </w:r>
          </w:p>
        </w:tc>
      </w:tr>
      <w:tr>
        <w:trPr>
          <w:trHeight w:val="222"/>
        </w:trPr>
        <w:tc>
          <w:tcPr>
            <w:tcW w:w="1500" w:type="dxa"/>
            <w:vAlign w:val="bottom"/>
            <w:tcBorders>
              <w:left w:val="single" w:sz="8" w:color="BEBEBE"/>
              <w:bottom w:val="single" w:sz="8" w:color="BEBEBE"/>
              <w:right w:val="single" w:sz="8" w:color="BEBEBE"/>
            </w:tcBorders>
          </w:tcPr>
          <w:p>
            <w:pPr>
              <w:spacing w:after="0"/>
              <w:rPr>
                <w:sz w:val="19"/>
                <w:szCs w:val="19"/>
                <w:color w:val="auto"/>
              </w:rPr>
            </w:pPr>
          </w:p>
        </w:tc>
        <w:tc>
          <w:tcPr>
            <w:tcW w:w="1400" w:type="dxa"/>
            <w:vAlign w:val="bottom"/>
            <w:tcBorders>
              <w:bottom w:val="single" w:sz="8" w:color="BEBEBE"/>
              <w:right w:val="single" w:sz="8" w:color="BEBEBE"/>
            </w:tcBorders>
          </w:tcPr>
          <w:p>
            <w:pPr>
              <w:spacing w:after="0"/>
              <w:rPr>
                <w:sz w:val="19"/>
                <w:szCs w:val="19"/>
                <w:color w:val="auto"/>
              </w:rPr>
            </w:pPr>
          </w:p>
        </w:tc>
        <w:tc>
          <w:tcPr>
            <w:tcW w:w="1320" w:type="dxa"/>
            <w:vAlign w:val="bottom"/>
            <w:tcBorders>
              <w:bottom w:val="single" w:sz="8" w:color="BEBEBE"/>
              <w:right w:val="single" w:sz="8" w:color="BEBEBE"/>
            </w:tcBorders>
          </w:tcPr>
          <w:p>
            <w:pPr>
              <w:spacing w:after="0"/>
              <w:rPr>
                <w:sz w:val="19"/>
                <w:szCs w:val="19"/>
                <w:color w:val="auto"/>
              </w:rPr>
            </w:pPr>
          </w:p>
        </w:tc>
        <w:tc>
          <w:tcPr>
            <w:tcW w:w="1320" w:type="dxa"/>
            <w:vAlign w:val="bottom"/>
            <w:tcBorders>
              <w:bottom w:val="single" w:sz="8" w:color="BEBEBE"/>
              <w:right w:val="single" w:sz="8" w:color="BEBEBE"/>
            </w:tcBorders>
          </w:tcPr>
          <w:p>
            <w:pPr>
              <w:spacing w:after="0"/>
              <w:rPr>
                <w:sz w:val="19"/>
                <w:szCs w:val="19"/>
                <w:color w:val="auto"/>
              </w:rPr>
            </w:pPr>
          </w:p>
        </w:tc>
        <w:tc>
          <w:tcPr>
            <w:tcW w:w="1180" w:type="dxa"/>
            <w:vAlign w:val="bottom"/>
            <w:tcBorders>
              <w:bottom w:val="single" w:sz="8" w:color="BEBEBE"/>
              <w:right w:val="single" w:sz="8" w:color="BEBEBE"/>
            </w:tcBorders>
          </w:tcPr>
          <w:p>
            <w:pPr>
              <w:spacing w:after="0"/>
              <w:rPr>
                <w:sz w:val="19"/>
                <w:szCs w:val="19"/>
                <w:color w:val="auto"/>
              </w:rPr>
            </w:pPr>
          </w:p>
        </w:tc>
        <w:tc>
          <w:tcPr>
            <w:tcW w:w="310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MONITORING SYSTEMS</w:t>
            </w:r>
          </w:p>
        </w:tc>
        <w:tc>
          <w:tcPr>
            <w:tcW w:w="1040" w:type="dxa"/>
            <w:vAlign w:val="bottom"/>
            <w:tcBorders>
              <w:bottom w:val="single" w:sz="8" w:color="BEBEBE"/>
              <w:right w:val="single" w:sz="8" w:color="BEBEBE"/>
            </w:tcBorders>
          </w:tcPr>
          <w:p>
            <w:pPr>
              <w:spacing w:after="0"/>
              <w:rPr>
                <w:sz w:val="19"/>
                <w:szCs w:val="19"/>
                <w:color w:val="auto"/>
              </w:rPr>
            </w:pPr>
          </w:p>
        </w:tc>
      </w:tr>
      <w:tr>
        <w:trPr>
          <w:trHeight w:val="187"/>
        </w:trPr>
        <w:tc>
          <w:tcPr>
            <w:tcW w:w="1500" w:type="dxa"/>
            <w:vAlign w:val="bottom"/>
            <w:tcBorders>
              <w:left w:val="single" w:sz="8" w:color="BEBEBE"/>
              <w:right w:val="single" w:sz="8" w:color="BEBEBE"/>
            </w:tcBorders>
          </w:tcPr>
          <w:p>
            <w:pPr>
              <w:ind w:left="120"/>
              <w:spacing w:after="0" w:line="187" w:lineRule="exact"/>
              <w:rPr>
                <w:sz w:val="20"/>
                <w:szCs w:val="20"/>
                <w:color w:val="auto"/>
              </w:rPr>
            </w:pPr>
            <w:r>
              <w:rPr>
                <w:rFonts w:ascii="Arial" w:cs="Arial" w:eastAsia="Arial" w:hAnsi="Arial"/>
                <w:sz w:val="18"/>
                <w:szCs w:val="18"/>
                <w:color w:val="auto"/>
              </w:rPr>
              <w:t>17/518,538</w:t>
            </w:r>
          </w:p>
        </w:tc>
        <w:tc>
          <w:tcPr>
            <w:tcW w:w="140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11/3/2021</w:t>
            </w:r>
          </w:p>
        </w:tc>
        <w:tc>
          <w:tcPr>
            <w:tcW w:w="132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18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Pending</w:t>
            </w:r>
          </w:p>
        </w:tc>
        <w:tc>
          <w:tcPr>
            <w:tcW w:w="310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WIND TURBINE BLADE</w:t>
            </w:r>
          </w:p>
        </w:tc>
        <w:tc>
          <w:tcPr>
            <w:tcW w:w="104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US</w:t>
            </w:r>
          </w:p>
        </w:tc>
      </w:tr>
      <w:tr>
        <w:trPr>
          <w:trHeight w:val="222"/>
        </w:trPr>
        <w:tc>
          <w:tcPr>
            <w:tcW w:w="1500" w:type="dxa"/>
            <w:vAlign w:val="bottom"/>
            <w:tcBorders>
              <w:left w:val="single" w:sz="8" w:color="BEBEBE"/>
              <w:bottom w:val="single" w:sz="8" w:color="BEBEBE"/>
              <w:right w:val="single" w:sz="8" w:color="BEBEBE"/>
            </w:tcBorders>
          </w:tcPr>
          <w:p>
            <w:pPr>
              <w:spacing w:after="0"/>
              <w:rPr>
                <w:sz w:val="19"/>
                <w:szCs w:val="19"/>
                <w:color w:val="auto"/>
              </w:rPr>
            </w:pPr>
          </w:p>
        </w:tc>
        <w:tc>
          <w:tcPr>
            <w:tcW w:w="1400" w:type="dxa"/>
            <w:vAlign w:val="bottom"/>
            <w:tcBorders>
              <w:bottom w:val="single" w:sz="8" w:color="BEBEBE"/>
              <w:right w:val="single" w:sz="8" w:color="BEBEBE"/>
            </w:tcBorders>
          </w:tcPr>
          <w:p>
            <w:pPr>
              <w:spacing w:after="0"/>
              <w:rPr>
                <w:sz w:val="19"/>
                <w:szCs w:val="19"/>
                <w:color w:val="auto"/>
              </w:rPr>
            </w:pPr>
          </w:p>
        </w:tc>
        <w:tc>
          <w:tcPr>
            <w:tcW w:w="1320" w:type="dxa"/>
            <w:vAlign w:val="bottom"/>
            <w:tcBorders>
              <w:bottom w:val="single" w:sz="8" w:color="BEBEBE"/>
              <w:right w:val="single" w:sz="8" w:color="BEBEBE"/>
            </w:tcBorders>
          </w:tcPr>
          <w:p>
            <w:pPr>
              <w:spacing w:after="0"/>
              <w:rPr>
                <w:sz w:val="19"/>
                <w:szCs w:val="19"/>
                <w:color w:val="auto"/>
              </w:rPr>
            </w:pPr>
          </w:p>
        </w:tc>
        <w:tc>
          <w:tcPr>
            <w:tcW w:w="1320" w:type="dxa"/>
            <w:vAlign w:val="bottom"/>
            <w:tcBorders>
              <w:bottom w:val="single" w:sz="8" w:color="BEBEBE"/>
              <w:right w:val="single" w:sz="8" w:color="BEBEBE"/>
            </w:tcBorders>
          </w:tcPr>
          <w:p>
            <w:pPr>
              <w:spacing w:after="0"/>
              <w:rPr>
                <w:sz w:val="19"/>
                <w:szCs w:val="19"/>
                <w:color w:val="auto"/>
              </w:rPr>
            </w:pPr>
          </w:p>
        </w:tc>
        <w:tc>
          <w:tcPr>
            <w:tcW w:w="1180" w:type="dxa"/>
            <w:vAlign w:val="bottom"/>
            <w:tcBorders>
              <w:bottom w:val="single" w:sz="8" w:color="BEBEBE"/>
              <w:right w:val="single" w:sz="8" w:color="BEBEBE"/>
            </w:tcBorders>
          </w:tcPr>
          <w:p>
            <w:pPr>
              <w:spacing w:after="0"/>
              <w:rPr>
                <w:sz w:val="19"/>
                <w:szCs w:val="19"/>
                <w:color w:val="auto"/>
              </w:rPr>
            </w:pPr>
          </w:p>
        </w:tc>
        <w:tc>
          <w:tcPr>
            <w:tcW w:w="310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MONITORING SYSTEMS</w:t>
            </w:r>
          </w:p>
        </w:tc>
        <w:tc>
          <w:tcPr>
            <w:tcW w:w="1040" w:type="dxa"/>
            <w:vAlign w:val="bottom"/>
            <w:tcBorders>
              <w:bottom w:val="single" w:sz="8" w:color="BEBEBE"/>
              <w:right w:val="single" w:sz="8" w:color="BEBEBE"/>
            </w:tcBorders>
          </w:tcPr>
          <w:p>
            <w:pPr>
              <w:spacing w:after="0"/>
              <w:rPr>
                <w:sz w:val="19"/>
                <w:szCs w:val="19"/>
                <w:color w:val="auto"/>
              </w:rPr>
            </w:pPr>
          </w:p>
        </w:tc>
      </w:tr>
      <w:tr>
        <w:trPr>
          <w:trHeight w:val="187"/>
        </w:trPr>
        <w:tc>
          <w:tcPr>
            <w:tcW w:w="1500" w:type="dxa"/>
            <w:vAlign w:val="bottom"/>
            <w:tcBorders>
              <w:left w:val="single" w:sz="8" w:color="BEBEBE"/>
              <w:right w:val="single" w:sz="8" w:color="BEBEBE"/>
            </w:tcBorders>
          </w:tcPr>
          <w:p>
            <w:pPr>
              <w:ind w:left="120"/>
              <w:spacing w:after="0" w:line="187" w:lineRule="exact"/>
              <w:rPr>
                <w:sz w:val="20"/>
                <w:szCs w:val="20"/>
                <w:color w:val="auto"/>
              </w:rPr>
            </w:pPr>
            <w:r>
              <w:rPr>
                <w:rFonts w:ascii="Arial" w:cs="Arial" w:eastAsia="Arial" w:hAnsi="Arial"/>
                <w:sz w:val="18"/>
                <w:szCs w:val="18"/>
                <w:color w:val="auto"/>
              </w:rPr>
              <w:t>16/877,530</w:t>
            </w:r>
          </w:p>
        </w:tc>
        <w:tc>
          <w:tcPr>
            <w:tcW w:w="140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5/19/2020</w:t>
            </w:r>
          </w:p>
        </w:tc>
        <w:tc>
          <w:tcPr>
            <w:tcW w:w="132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18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Pending</w:t>
            </w:r>
          </w:p>
        </w:tc>
        <w:tc>
          <w:tcPr>
            <w:tcW w:w="310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ONLINE MONITORING OF</w:t>
            </w:r>
          </w:p>
        </w:tc>
        <w:tc>
          <w:tcPr>
            <w:tcW w:w="1040" w:type="dxa"/>
            <w:vAlign w:val="bottom"/>
            <w:tcBorders>
              <w:right w:val="single" w:sz="8" w:color="BEBEBE"/>
            </w:tcBorders>
          </w:tcPr>
          <w:p>
            <w:pPr>
              <w:ind w:left="100"/>
              <w:spacing w:after="0" w:line="187" w:lineRule="exact"/>
              <w:rPr>
                <w:sz w:val="20"/>
                <w:szCs w:val="20"/>
                <w:color w:val="auto"/>
              </w:rPr>
            </w:pPr>
            <w:r>
              <w:rPr>
                <w:rFonts w:ascii="Arial" w:cs="Arial" w:eastAsia="Arial" w:hAnsi="Arial"/>
                <w:sz w:val="18"/>
                <w:szCs w:val="18"/>
                <w:color w:val="auto"/>
              </w:rPr>
              <w:t>US</w:t>
            </w:r>
          </w:p>
        </w:tc>
      </w:tr>
      <w:tr>
        <w:trPr>
          <w:trHeight w:val="174"/>
        </w:trPr>
        <w:tc>
          <w:tcPr>
            <w:tcW w:w="1500" w:type="dxa"/>
            <w:vAlign w:val="bottom"/>
            <w:tcBorders>
              <w:left w:val="single" w:sz="8" w:color="BEBEBE"/>
              <w:right w:val="single" w:sz="8" w:color="BEBEBE"/>
            </w:tcBorders>
          </w:tcPr>
          <w:p>
            <w:pPr>
              <w:spacing w:after="0"/>
              <w:rPr>
                <w:sz w:val="15"/>
                <w:szCs w:val="15"/>
                <w:color w:val="auto"/>
              </w:rPr>
            </w:pPr>
          </w:p>
        </w:tc>
        <w:tc>
          <w:tcPr>
            <w:tcW w:w="140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180" w:type="dxa"/>
            <w:vAlign w:val="bottom"/>
            <w:tcBorders>
              <w:right w:val="single" w:sz="8" w:color="BEBEBE"/>
            </w:tcBorders>
          </w:tcPr>
          <w:p>
            <w:pPr>
              <w:spacing w:after="0"/>
              <w:rPr>
                <w:sz w:val="15"/>
                <w:szCs w:val="15"/>
                <w:color w:val="auto"/>
              </w:rPr>
            </w:pPr>
          </w:p>
        </w:tc>
        <w:tc>
          <w:tcPr>
            <w:tcW w:w="3100" w:type="dxa"/>
            <w:vAlign w:val="bottom"/>
            <w:tcBorders>
              <w:right w:val="single" w:sz="8" w:color="BEBEBE"/>
            </w:tcBorders>
          </w:tcPr>
          <w:p>
            <w:pPr>
              <w:ind w:left="100"/>
              <w:spacing w:after="0" w:line="175" w:lineRule="exact"/>
              <w:rPr>
                <w:sz w:val="20"/>
                <w:szCs w:val="20"/>
                <w:color w:val="auto"/>
              </w:rPr>
            </w:pPr>
            <w:r>
              <w:rPr>
                <w:rFonts w:ascii="Arial" w:cs="Arial" w:eastAsia="Arial" w:hAnsi="Arial"/>
                <w:sz w:val="18"/>
                <w:szCs w:val="18"/>
                <w:color w:val="auto"/>
              </w:rPr>
              <w:t>ADDITIVE MANUFACTURING</w:t>
            </w:r>
          </w:p>
        </w:tc>
        <w:tc>
          <w:tcPr>
            <w:tcW w:w="1040" w:type="dxa"/>
            <w:vAlign w:val="bottom"/>
            <w:tcBorders>
              <w:right w:val="single" w:sz="8" w:color="BEBEBE"/>
            </w:tcBorders>
          </w:tcPr>
          <w:p>
            <w:pPr>
              <w:spacing w:after="0"/>
              <w:rPr>
                <w:sz w:val="15"/>
                <w:szCs w:val="15"/>
                <w:color w:val="auto"/>
              </w:rPr>
            </w:pPr>
          </w:p>
        </w:tc>
      </w:tr>
      <w:tr>
        <w:trPr>
          <w:trHeight w:val="188"/>
        </w:trPr>
        <w:tc>
          <w:tcPr>
            <w:tcW w:w="1500" w:type="dxa"/>
            <w:vAlign w:val="bottom"/>
            <w:tcBorders>
              <w:left w:val="single" w:sz="8" w:color="BEBEBE"/>
              <w:right w:val="single" w:sz="8" w:color="BEBEBE"/>
            </w:tcBorders>
          </w:tcPr>
          <w:p>
            <w:pPr>
              <w:spacing w:after="0"/>
              <w:rPr>
                <w:sz w:val="16"/>
                <w:szCs w:val="16"/>
                <w:color w:val="auto"/>
              </w:rPr>
            </w:pPr>
          </w:p>
        </w:tc>
        <w:tc>
          <w:tcPr>
            <w:tcW w:w="140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180" w:type="dxa"/>
            <w:vAlign w:val="bottom"/>
            <w:tcBorders>
              <w:right w:val="single" w:sz="8" w:color="BEBEBE"/>
            </w:tcBorders>
          </w:tcPr>
          <w:p>
            <w:pPr>
              <w:spacing w:after="0"/>
              <w:rPr>
                <w:sz w:val="16"/>
                <w:szCs w:val="16"/>
                <w:color w:val="auto"/>
              </w:rPr>
            </w:pPr>
          </w:p>
        </w:tc>
        <w:tc>
          <w:tcPr>
            <w:tcW w:w="3100" w:type="dxa"/>
            <w:vAlign w:val="bottom"/>
            <w:tcBorders>
              <w:right w:val="single" w:sz="8" w:color="BEBEBE"/>
            </w:tcBorders>
          </w:tcPr>
          <w:p>
            <w:pPr>
              <w:ind w:left="100"/>
              <w:spacing w:after="0" w:line="188" w:lineRule="exact"/>
              <w:rPr>
                <w:sz w:val="20"/>
                <w:szCs w:val="20"/>
                <w:color w:val="auto"/>
              </w:rPr>
            </w:pPr>
            <w:r>
              <w:rPr>
                <w:rFonts w:ascii="Arial" w:cs="Arial" w:eastAsia="Arial" w:hAnsi="Arial"/>
                <w:sz w:val="18"/>
                <w:szCs w:val="18"/>
                <w:color w:val="auto"/>
              </w:rPr>
              <w:t>USING ACOUSTIC EMISSION</w:t>
            </w:r>
          </w:p>
        </w:tc>
        <w:tc>
          <w:tcPr>
            <w:tcW w:w="1040" w:type="dxa"/>
            <w:vAlign w:val="bottom"/>
            <w:tcBorders>
              <w:right w:val="single" w:sz="8" w:color="BEBEBE"/>
            </w:tcBorders>
          </w:tcPr>
          <w:p>
            <w:pPr>
              <w:spacing w:after="0"/>
              <w:rPr>
                <w:sz w:val="16"/>
                <w:szCs w:val="16"/>
                <w:color w:val="auto"/>
              </w:rPr>
            </w:pPr>
          </w:p>
        </w:tc>
      </w:tr>
      <w:tr>
        <w:trPr>
          <w:trHeight w:val="215"/>
        </w:trPr>
        <w:tc>
          <w:tcPr>
            <w:tcW w:w="1500" w:type="dxa"/>
            <w:vAlign w:val="bottom"/>
            <w:tcBorders>
              <w:left w:val="single" w:sz="8" w:color="BEBEBE"/>
              <w:bottom w:val="single" w:sz="8" w:color="BEBEBE"/>
              <w:right w:val="single" w:sz="8" w:color="BEBEBE"/>
            </w:tcBorders>
          </w:tcPr>
          <w:p>
            <w:pPr>
              <w:spacing w:after="0"/>
              <w:rPr>
                <w:sz w:val="18"/>
                <w:szCs w:val="18"/>
                <w:color w:val="auto"/>
              </w:rPr>
            </w:pPr>
          </w:p>
        </w:tc>
        <w:tc>
          <w:tcPr>
            <w:tcW w:w="1400" w:type="dxa"/>
            <w:vAlign w:val="bottom"/>
            <w:tcBorders>
              <w:bottom w:val="single" w:sz="8" w:color="BEBEBE"/>
              <w:right w:val="single" w:sz="8" w:color="BEBEBE"/>
            </w:tcBorders>
          </w:tcPr>
          <w:p>
            <w:pPr>
              <w:spacing w:after="0"/>
              <w:rPr>
                <w:sz w:val="18"/>
                <w:szCs w:val="18"/>
                <w:color w:val="auto"/>
              </w:rPr>
            </w:pPr>
          </w:p>
        </w:tc>
        <w:tc>
          <w:tcPr>
            <w:tcW w:w="1320" w:type="dxa"/>
            <w:vAlign w:val="bottom"/>
            <w:tcBorders>
              <w:bottom w:val="single" w:sz="8" w:color="BEBEBE"/>
              <w:right w:val="single" w:sz="8" w:color="BEBEBE"/>
            </w:tcBorders>
          </w:tcPr>
          <w:p>
            <w:pPr>
              <w:spacing w:after="0"/>
              <w:rPr>
                <w:sz w:val="18"/>
                <w:szCs w:val="18"/>
                <w:color w:val="auto"/>
              </w:rPr>
            </w:pPr>
          </w:p>
        </w:tc>
        <w:tc>
          <w:tcPr>
            <w:tcW w:w="1320" w:type="dxa"/>
            <w:vAlign w:val="bottom"/>
            <w:tcBorders>
              <w:bottom w:val="single" w:sz="8" w:color="BEBEBE"/>
              <w:right w:val="single" w:sz="8" w:color="BEBEBE"/>
            </w:tcBorders>
          </w:tcPr>
          <w:p>
            <w:pPr>
              <w:spacing w:after="0"/>
              <w:rPr>
                <w:sz w:val="18"/>
                <w:szCs w:val="18"/>
                <w:color w:val="auto"/>
              </w:rPr>
            </w:pPr>
          </w:p>
        </w:tc>
        <w:tc>
          <w:tcPr>
            <w:tcW w:w="1180" w:type="dxa"/>
            <w:vAlign w:val="bottom"/>
            <w:tcBorders>
              <w:bottom w:val="single" w:sz="8" w:color="BEBEBE"/>
              <w:right w:val="single" w:sz="8" w:color="BEBEBE"/>
            </w:tcBorders>
          </w:tcPr>
          <w:p>
            <w:pPr>
              <w:spacing w:after="0"/>
              <w:rPr>
                <w:sz w:val="18"/>
                <w:szCs w:val="18"/>
                <w:color w:val="auto"/>
              </w:rPr>
            </w:pPr>
          </w:p>
        </w:tc>
        <w:tc>
          <w:tcPr>
            <w:tcW w:w="310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METHODS</w:t>
            </w:r>
          </w:p>
        </w:tc>
        <w:tc>
          <w:tcPr>
            <w:tcW w:w="1040" w:type="dxa"/>
            <w:vAlign w:val="bottom"/>
            <w:tcBorders>
              <w:bottom w:val="single" w:sz="8" w:color="BEBEBE"/>
              <w:right w:val="single" w:sz="8" w:color="BEBEBE"/>
            </w:tcBorders>
          </w:tcPr>
          <w:p>
            <w:pPr>
              <w:spacing w:after="0"/>
              <w:rPr>
                <w:sz w:val="18"/>
                <w:szCs w:val="18"/>
                <w:color w:val="auto"/>
              </w:rPr>
            </w:pPr>
          </w:p>
        </w:tc>
      </w:tr>
    </w:tbl>
    <w:p>
      <w:pPr>
        <w:sectPr>
          <w:pgSz w:w="11900" w:h="16838" w:orient="portrait"/>
          <w:cols w:equalWidth="0" w:num="1">
            <w:col w:w="10860"/>
          </w:cols>
          <w:pgMar w:left="460" w:top="1392" w:right="579" w:bottom="1440" w:gutter="0" w:footer="0" w:header="0"/>
        </w:sectPr>
      </w:pPr>
    </w:p>
    <w:bookmarkStart w:id="261" w:name="page262"/>
    <w:bookmarkEnd w:id="2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500" w:type="dxa"/>
            <w:vAlign w:val="bottom"/>
            <w:tcBorders>
              <w:top w:val="single" w:sz="8" w:color="BEBEBE"/>
              <w:left w:val="single" w:sz="8" w:color="BEBEBE"/>
              <w:right w:val="single" w:sz="8" w:color="BEBEBE"/>
            </w:tcBorders>
          </w:tcPr>
          <w:p>
            <w:pPr>
              <w:jc w:val="right"/>
              <w:ind w:right="391"/>
              <w:spacing w:after="0" w:line="201" w:lineRule="exact"/>
              <w:rPr>
                <w:sz w:val="20"/>
                <w:szCs w:val="20"/>
                <w:color w:val="auto"/>
              </w:rPr>
            </w:pPr>
            <w:r>
              <w:rPr>
                <w:rFonts w:ascii="Arial" w:cs="Arial" w:eastAsia="Arial" w:hAnsi="Arial"/>
                <w:sz w:val="18"/>
                <w:szCs w:val="18"/>
                <w:color w:val="auto"/>
              </w:rPr>
              <w:t>16/788,236</w:t>
            </w:r>
          </w:p>
        </w:tc>
        <w:tc>
          <w:tcPr>
            <w:tcW w:w="1400" w:type="dxa"/>
            <w:vAlign w:val="bottom"/>
            <w:tcBorders>
              <w:top w:val="single" w:sz="8" w:color="BEBEBE"/>
              <w:right w:val="single" w:sz="8" w:color="BEBEBE"/>
            </w:tcBorders>
          </w:tcPr>
          <w:p>
            <w:pPr>
              <w:jc w:val="right"/>
              <w:ind w:right="411"/>
              <w:spacing w:after="0" w:line="201" w:lineRule="exact"/>
              <w:rPr>
                <w:sz w:val="20"/>
                <w:szCs w:val="20"/>
                <w:color w:val="auto"/>
              </w:rPr>
            </w:pPr>
            <w:r>
              <w:rPr>
                <w:rFonts w:ascii="Arial" w:cs="Arial" w:eastAsia="Arial" w:hAnsi="Arial"/>
                <w:sz w:val="18"/>
                <w:szCs w:val="18"/>
                <w:color w:val="auto"/>
              </w:rPr>
              <w:t>2/11/2020</w:t>
            </w:r>
          </w:p>
        </w:tc>
        <w:tc>
          <w:tcPr>
            <w:tcW w:w="1320" w:type="dxa"/>
            <w:vAlign w:val="bottom"/>
            <w:tcBorders>
              <w:top w:val="single" w:sz="8" w:color="BEBEBE"/>
              <w:right w:val="single" w:sz="8" w:color="BEBEBE"/>
            </w:tcBorders>
          </w:tcPr>
          <w:p>
            <w:pPr>
              <w:jc w:val="right"/>
              <w:ind w:right="231"/>
              <w:spacing w:after="0" w:line="201" w:lineRule="exact"/>
              <w:rPr>
                <w:sz w:val="20"/>
                <w:szCs w:val="20"/>
                <w:color w:val="auto"/>
              </w:rPr>
            </w:pPr>
            <w:r>
              <w:rPr>
                <w:rFonts w:ascii="Arial" w:cs="Arial" w:eastAsia="Arial" w:hAnsi="Arial"/>
                <w:sz w:val="18"/>
                <w:szCs w:val="18"/>
                <w:color w:val="auto"/>
              </w:rPr>
              <w:t>11,126,170</w:t>
            </w:r>
          </w:p>
        </w:tc>
        <w:tc>
          <w:tcPr>
            <w:tcW w:w="1320" w:type="dxa"/>
            <w:vAlign w:val="bottom"/>
            <w:tcBorders>
              <w:top w:val="single" w:sz="8" w:color="BEBEBE"/>
              <w:right w:val="single" w:sz="8" w:color="BEBEBE"/>
            </w:tcBorders>
          </w:tcPr>
          <w:p>
            <w:pPr>
              <w:jc w:val="right"/>
              <w:ind w:right="331"/>
              <w:spacing w:after="0" w:line="201" w:lineRule="exact"/>
              <w:rPr>
                <w:sz w:val="20"/>
                <w:szCs w:val="20"/>
                <w:color w:val="auto"/>
              </w:rPr>
            </w:pPr>
            <w:r>
              <w:rPr>
                <w:rFonts w:ascii="Arial" w:cs="Arial" w:eastAsia="Arial" w:hAnsi="Arial"/>
                <w:sz w:val="18"/>
                <w:szCs w:val="18"/>
                <w:color w:val="auto"/>
              </w:rPr>
              <w:t>7/20/2021</w:t>
            </w:r>
          </w:p>
        </w:tc>
        <w:tc>
          <w:tcPr>
            <w:tcW w:w="1180" w:type="dxa"/>
            <w:vAlign w:val="bottom"/>
            <w:tcBorders>
              <w:top w:val="single" w:sz="8" w:color="BEBEBE"/>
              <w:right w:val="single" w:sz="8" w:color="BEBEBE"/>
            </w:tcBorders>
          </w:tcPr>
          <w:p>
            <w:pPr>
              <w:ind w:left="100"/>
              <w:spacing w:after="0" w:line="201" w:lineRule="exact"/>
              <w:rPr>
                <w:sz w:val="20"/>
                <w:szCs w:val="20"/>
                <w:color w:val="auto"/>
              </w:rPr>
            </w:pPr>
            <w:r>
              <w:rPr>
                <w:rFonts w:ascii="Arial" w:cs="Arial" w:eastAsia="Arial" w:hAnsi="Arial"/>
                <w:sz w:val="18"/>
                <w:szCs w:val="18"/>
                <w:color w:val="auto"/>
              </w:rPr>
              <w:t>Issued</w:t>
            </w:r>
          </w:p>
        </w:tc>
        <w:tc>
          <w:tcPr>
            <w:tcW w:w="3100" w:type="dxa"/>
            <w:vAlign w:val="bottom"/>
            <w:tcBorders>
              <w:top w:val="single" w:sz="8" w:color="BEBEBE"/>
              <w:right w:val="single" w:sz="8" w:color="BEBEBE"/>
            </w:tcBorders>
          </w:tcPr>
          <w:p>
            <w:pPr>
              <w:ind w:left="100"/>
              <w:spacing w:after="0" w:line="201" w:lineRule="exact"/>
              <w:rPr>
                <w:sz w:val="20"/>
                <w:szCs w:val="20"/>
                <w:color w:val="auto"/>
              </w:rPr>
            </w:pPr>
            <w:r>
              <w:rPr>
                <w:rFonts w:ascii="Arial" w:cs="Arial" w:eastAsia="Arial" w:hAnsi="Arial"/>
                <w:sz w:val="18"/>
                <w:szCs w:val="18"/>
                <w:color w:val="auto"/>
              </w:rPr>
              <w:t>SYSTEM AND METHOD FOR</w:t>
            </w:r>
          </w:p>
        </w:tc>
        <w:tc>
          <w:tcPr>
            <w:tcW w:w="1040" w:type="dxa"/>
            <w:vAlign w:val="bottom"/>
            <w:tcBorders>
              <w:top w:val="single" w:sz="8" w:color="BEBEBE"/>
              <w:right w:val="single" w:sz="8" w:color="BEBEBE"/>
            </w:tcBorders>
          </w:tcPr>
          <w:p>
            <w:pPr>
              <w:ind w:left="100"/>
              <w:spacing w:after="0" w:line="201" w:lineRule="exact"/>
              <w:rPr>
                <w:sz w:val="20"/>
                <w:szCs w:val="20"/>
                <w:color w:val="auto"/>
              </w:rPr>
            </w:pPr>
            <w:r>
              <w:rPr>
                <w:rFonts w:ascii="Arial" w:cs="Arial" w:eastAsia="Arial" w:hAnsi="Arial"/>
                <w:sz w:val="18"/>
                <w:szCs w:val="18"/>
                <w:color w:val="auto"/>
              </w:rPr>
              <w:t>US</w:t>
            </w:r>
          </w:p>
        </w:tc>
      </w:tr>
      <w:tr>
        <w:trPr>
          <w:trHeight w:val="188"/>
        </w:trPr>
        <w:tc>
          <w:tcPr>
            <w:tcW w:w="1500" w:type="dxa"/>
            <w:vAlign w:val="bottom"/>
            <w:tcBorders>
              <w:left w:val="single" w:sz="8" w:color="BEBEBE"/>
              <w:right w:val="single" w:sz="8" w:color="BEBEBE"/>
            </w:tcBorders>
          </w:tcPr>
          <w:p>
            <w:pPr>
              <w:spacing w:after="0"/>
              <w:rPr>
                <w:sz w:val="16"/>
                <w:szCs w:val="16"/>
                <w:color w:val="auto"/>
              </w:rPr>
            </w:pPr>
          </w:p>
        </w:tc>
        <w:tc>
          <w:tcPr>
            <w:tcW w:w="140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180" w:type="dxa"/>
            <w:vAlign w:val="bottom"/>
            <w:tcBorders>
              <w:right w:val="single" w:sz="8" w:color="BEBEBE"/>
            </w:tcBorders>
          </w:tcPr>
          <w:p>
            <w:pPr>
              <w:spacing w:after="0"/>
              <w:rPr>
                <w:sz w:val="16"/>
                <w:szCs w:val="16"/>
                <w:color w:val="auto"/>
              </w:rPr>
            </w:pPr>
          </w:p>
        </w:tc>
        <w:tc>
          <w:tcPr>
            <w:tcW w:w="3100" w:type="dxa"/>
            <w:vAlign w:val="bottom"/>
            <w:tcBorders>
              <w:right w:val="single" w:sz="8" w:color="BEBEBE"/>
            </w:tcBorders>
          </w:tcPr>
          <w:p>
            <w:pPr>
              <w:ind w:left="100"/>
              <w:spacing w:after="0" w:line="188" w:lineRule="exact"/>
              <w:rPr>
                <w:sz w:val="20"/>
                <w:szCs w:val="20"/>
                <w:color w:val="auto"/>
              </w:rPr>
            </w:pPr>
            <w:r>
              <w:rPr>
                <w:rFonts w:ascii="Arial" w:cs="Arial" w:eastAsia="Arial" w:hAnsi="Arial"/>
                <w:sz w:val="18"/>
                <w:szCs w:val="18"/>
                <w:color w:val="auto"/>
              </w:rPr>
              <w:t>REMOTE STRUCTURAL HEALTH</w:t>
            </w:r>
          </w:p>
        </w:tc>
        <w:tc>
          <w:tcPr>
            <w:tcW w:w="1040" w:type="dxa"/>
            <w:vAlign w:val="bottom"/>
            <w:tcBorders>
              <w:right w:val="single" w:sz="8" w:color="BEBEBE"/>
            </w:tcBorders>
          </w:tcPr>
          <w:p>
            <w:pPr>
              <w:spacing w:after="0"/>
              <w:rPr>
                <w:sz w:val="16"/>
                <w:szCs w:val="16"/>
                <w:color w:val="auto"/>
              </w:rPr>
            </w:pPr>
          </w:p>
        </w:tc>
      </w:tr>
      <w:tr>
        <w:trPr>
          <w:trHeight w:val="215"/>
        </w:trPr>
        <w:tc>
          <w:tcPr>
            <w:tcW w:w="1500" w:type="dxa"/>
            <w:vAlign w:val="bottom"/>
            <w:tcBorders>
              <w:left w:val="single" w:sz="8" w:color="BEBEBE"/>
              <w:bottom w:val="single" w:sz="8" w:color="BEBEBE"/>
              <w:right w:val="single" w:sz="8" w:color="BEBEBE"/>
            </w:tcBorders>
          </w:tcPr>
          <w:p>
            <w:pPr>
              <w:spacing w:after="0"/>
              <w:rPr>
                <w:sz w:val="18"/>
                <w:szCs w:val="18"/>
                <w:color w:val="auto"/>
              </w:rPr>
            </w:pPr>
          </w:p>
        </w:tc>
        <w:tc>
          <w:tcPr>
            <w:tcW w:w="1400" w:type="dxa"/>
            <w:vAlign w:val="bottom"/>
            <w:tcBorders>
              <w:bottom w:val="single" w:sz="8" w:color="BEBEBE"/>
              <w:right w:val="single" w:sz="8" w:color="BEBEBE"/>
            </w:tcBorders>
          </w:tcPr>
          <w:p>
            <w:pPr>
              <w:spacing w:after="0"/>
              <w:rPr>
                <w:sz w:val="18"/>
                <w:szCs w:val="18"/>
                <w:color w:val="auto"/>
              </w:rPr>
            </w:pPr>
          </w:p>
        </w:tc>
        <w:tc>
          <w:tcPr>
            <w:tcW w:w="1320" w:type="dxa"/>
            <w:vAlign w:val="bottom"/>
            <w:tcBorders>
              <w:bottom w:val="single" w:sz="8" w:color="BEBEBE"/>
              <w:right w:val="single" w:sz="8" w:color="BEBEBE"/>
            </w:tcBorders>
          </w:tcPr>
          <w:p>
            <w:pPr>
              <w:spacing w:after="0"/>
              <w:rPr>
                <w:sz w:val="18"/>
                <w:szCs w:val="18"/>
                <w:color w:val="auto"/>
              </w:rPr>
            </w:pPr>
          </w:p>
        </w:tc>
        <w:tc>
          <w:tcPr>
            <w:tcW w:w="1320" w:type="dxa"/>
            <w:vAlign w:val="bottom"/>
            <w:tcBorders>
              <w:bottom w:val="single" w:sz="8" w:color="BEBEBE"/>
              <w:right w:val="single" w:sz="8" w:color="BEBEBE"/>
            </w:tcBorders>
          </w:tcPr>
          <w:p>
            <w:pPr>
              <w:spacing w:after="0"/>
              <w:rPr>
                <w:sz w:val="18"/>
                <w:szCs w:val="18"/>
                <w:color w:val="auto"/>
              </w:rPr>
            </w:pPr>
          </w:p>
        </w:tc>
        <w:tc>
          <w:tcPr>
            <w:tcW w:w="1180" w:type="dxa"/>
            <w:vAlign w:val="bottom"/>
            <w:tcBorders>
              <w:bottom w:val="single" w:sz="8" w:color="BEBEBE"/>
              <w:right w:val="single" w:sz="8" w:color="BEBEBE"/>
            </w:tcBorders>
          </w:tcPr>
          <w:p>
            <w:pPr>
              <w:spacing w:after="0"/>
              <w:rPr>
                <w:sz w:val="18"/>
                <w:szCs w:val="18"/>
                <w:color w:val="auto"/>
              </w:rPr>
            </w:pPr>
          </w:p>
        </w:tc>
        <w:tc>
          <w:tcPr>
            <w:tcW w:w="310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MONITORING</w:t>
            </w:r>
          </w:p>
        </w:tc>
        <w:tc>
          <w:tcPr>
            <w:tcW w:w="1040" w:type="dxa"/>
            <w:vAlign w:val="bottom"/>
            <w:tcBorders>
              <w:bottom w:val="single" w:sz="8" w:color="BEBEBE"/>
              <w:right w:val="single" w:sz="8" w:color="BEBEBE"/>
            </w:tcBorders>
          </w:tcPr>
          <w:p>
            <w:pPr>
              <w:spacing w:after="0"/>
              <w:rPr>
                <w:sz w:val="18"/>
                <w:szCs w:val="18"/>
                <w:color w:val="auto"/>
              </w:rPr>
            </w:pPr>
          </w:p>
        </w:tc>
      </w:tr>
      <w:tr>
        <w:trPr>
          <w:trHeight w:val="181"/>
        </w:trPr>
        <w:tc>
          <w:tcPr>
            <w:tcW w:w="1500" w:type="dxa"/>
            <w:vAlign w:val="bottom"/>
            <w:tcBorders>
              <w:left w:val="single" w:sz="8" w:color="BEBEBE"/>
              <w:right w:val="single" w:sz="8" w:color="BEBEBE"/>
            </w:tcBorders>
          </w:tcPr>
          <w:p>
            <w:pPr>
              <w:jc w:val="right"/>
              <w:ind w:right="391"/>
              <w:spacing w:after="0" w:line="181" w:lineRule="exact"/>
              <w:rPr>
                <w:sz w:val="20"/>
                <w:szCs w:val="20"/>
                <w:color w:val="auto"/>
              </w:rPr>
            </w:pPr>
            <w:r>
              <w:rPr>
                <w:rFonts w:ascii="Arial" w:cs="Arial" w:eastAsia="Arial" w:hAnsi="Arial"/>
                <w:sz w:val="18"/>
                <w:szCs w:val="18"/>
                <w:color w:val="auto"/>
              </w:rPr>
              <w:t>17/373,685</w:t>
            </w:r>
          </w:p>
        </w:tc>
        <w:tc>
          <w:tcPr>
            <w:tcW w:w="1400" w:type="dxa"/>
            <w:vAlign w:val="bottom"/>
            <w:tcBorders>
              <w:right w:val="single" w:sz="8" w:color="BEBEBE"/>
            </w:tcBorders>
          </w:tcPr>
          <w:p>
            <w:pPr>
              <w:jc w:val="right"/>
              <w:ind w:right="411"/>
              <w:spacing w:after="0" w:line="181" w:lineRule="exact"/>
              <w:rPr>
                <w:sz w:val="20"/>
                <w:szCs w:val="20"/>
                <w:color w:val="auto"/>
              </w:rPr>
            </w:pPr>
            <w:r>
              <w:rPr>
                <w:rFonts w:ascii="Arial" w:cs="Arial" w:eastAsia="Arial" w:hAnsi="Arial"/>
                <w:sz w:val="18"/>
                <w:szCs w:val="18"/>
                <w:color w:val="auto"/>
              </w:rPr>
              <w:t>7/12/2021</w:t>
            </w:r>
          </w:p>
        </w:tc>
        <w:tc>
          <w:tcPr>
            <w:tcW w:w="132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180" w:type="dxa"/>
            <w:vAlign w:val="bottom"/>
            <w:tcBorders>
              <w:right w:val="single" w:sz="8" w:color="BEBEBE"/>
            </w:tcBorders>
          </w:tcPr>
          <w:p>
            <w:pPr>
              <w:ind w:left="100"/>
              <w:spacing w:after="0" w:line="181" w:lineRule="exact"/>
              <w:rPr>
                <w:sz w:val="20"/>
                <w:szCs w:val="20"/>
                <w:color w:val="auto"/>
              </w:rPr>
            </w:pPr>
            <w:r>
              <w:rPr>
                <w:rFonts w:ascii="Arial" w:cs="Arial" w:eastAsia="Arial" w:hAnsi="Arial"/>
                <w:sz w:val="18"/>
                <w:szCs w:val="18"/>
                <w:color w:val="auto"/>
              </w:rPr>
              <w:t>Pending</w:t>
            </w:r>
          </w:p>
        </w:tc>
        <w:tc>
          <w:tcPr>
            <w:tcW w:w="3100" w:type="dxa"/>
            <w:vAlign w:val="bottom"/>
            <w:tcBorders>
              <w:right w:val="single" w:sz="8" w:color="BEBEBE"/>
            </w:tcBorders>
          </w:tcPr>
          <w:p>
            <w:pPr>
              <w:ind w:left="100"/>
              <w:spacing w:after="0" w:line="181" w:lineRule="exact"/>
              <w:rPr>
                <w:sz w:val="20"/>
                <w:szCs w:val="20"/>
                <w:color w:val="auto"/>
              </w:rPr>
            </w:pPr>
            <w:r>
              <w:rPr>
                <w:rFonts w:ascii="Arial" w:cs="Arial" w:eastAsia="Arial" w:hAnsi="Arial"/>
                <w:sz w:val="18"/>
                <w:szCs w:val="18"/>
                <w:color w:val="auto"/>
              </w:rPr>
              <w:t>SYSTEM AND METHOD FOR</w:t>
            </w:r>
          </w:p>
        </w:tc>
        <w:tc>
          <w:tcPr>
            <w:tcW w:w="1040" w:type="dxa"/>
            <w:vAlign w:val="bottom"/>
            <w:tcBorders>
              <w:right w:val="single" w:sz="8" w:color="BEBEBE"/>
            </w:tcBorders>
          </w:tcPr>
          <w:p>
            <w:pPr>
              <w:ind w:left="100"/>
              <w:spacing w:after="0" w:line="181" w:lineRule="exact"/>
              <w:rPr>
                <w:sz w:val="20"/>
                <w:szCs w:val="20"/>
                <w:color w:val="auto"/>
              </w:rPr>
            </w:pPr>
            <w:r>
              <w:rPr>
                <w:rFonts w:ascii="Arial" w:cs="Arial" w:eastAsia="Arial" w:hAnsi="Arial"/>
                <w:sz w:val="18"/>
                <w:szCs w:val="18"/>
                <w:color w:val="auto"/>
              </w:rPr>
              <w:t>US</w:t>
            </w:r>
          </w:p>
        </w:tc>
      </w:tr>
      <w:tr>
        <w:trPr>
          <w:trHeight w:val="188"/>
        </w:trPr>
        <w:tc>
          <w:tcPr>
            <w:tcW w:w="1500" w:type="dxa"/>
            <w:vAlign w:val="bottom"/>
            <w:tcBorders>
              <w:left w:val="single" w:sz="8" w:color="BEBEBE"/>
              <w:right w:val="single" w:sz="8" w:color="BEBEBE"/>
            </w:tcBorders>
          </w:tcPr>
          <w:p>
            <w:pPr>
              <w:spacing w:after="0"/>
              <w:rPr>
                <w:sz w:val="16"/>
                <w:szCs w:val="16"/>
                <w:color w:val="auto"/>
              </w:rPr>
            </w:pPr>
          </w:p>
        </w:tc>
        <w:tc>
          <w:tcPr>
            <w:tcW w:w="140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180" w:type="dxa"/>
            <w:vAlign w:val="bottom"/>
            <w:tcBorders>
              <w:right w:val="single" w:sz="8" w:color="BEBEBE"/>
            </w:tcBorders>
          </w:tcPr>
          <w:p>
            <w:pPr>
              <w:spacing w:after="0"/>
              <w:rPr>
                <w:sz w:val="16"/>
                <w:szCs w:val="16"/>
                <w:color w:val="auto"/>
              </w:rPr>
            </w:pPr>
          </w:p>
        </w:tc>
        <w:tc>
          <w:tcPr>
            <w:tcW w:w="3100" w:type="dxa"/>
            <w:vAlign w:val="bottom"/>
            <w:tcBorders>
              <w:right w:val="single" w:sz="8" w:color="BEBEBE"/>
            </w:tcBorders>
          </w:tcPr>
          <w:p>
            <w:pPr>
              <w:ind w:left="100"/>
              <w:spacing w:after="0" w:line="188" w:lineRule="exact"/>
              <w:rPr>
                <w:sz w:val="20"/>
                <w:szCs w:val="20"/>
                <w:color w:val="auto"/>
              </w:rPr>
            </w:pPr>
            <w:r>
              <w:rPr>
                <w:rFonts w:ascii="Arial" w:cs="Arial" w:eastAsia="Arial" w:hAnsi="Arial"/>
                <w:sz w:val="18"/>
                <w:szCs w:val="18"/>
                <w:color w:val="auto"/>
              </w:rPr>
              <w:t>REMOTE STRUCTURAL HEALTH</w:t>
            </w:r>
          </w:p>
        </w:tc>
        <w:tc>
          <w:tcPr>
            <w:tcW w:w="1040" w:type="dxa"/>
            <w:vAlign w:val="bottom"/>
            <w:tcBorders>
              <w:right w:val="single" w:sz="8" w:color="BEBEBE"/>
            </w:tcBorders>
          </w:tcPr>
          <w:p>
            <w:pPr>
              <w:spacing w:after="0"/>
              <w:rPr>
                <w:sz w:val="16"/>
                <w:szCs w:val="16"/>
                <w:color w:val="auto"/>
              </w:rPr>
            </w:pPr>
          </w:p>
        </w:tc>
      </w:tr>
      <w:tr>
        <w:trPr>
          <w:trHeight w:val="215"/>
        </w:trPr>
        <w:tc>
          <w:tcPr>
            <w:tcW w:w="1500" w:type="dxa"/>
            <w:vAlign w:val="bottom"/>
            <w:tcBorders>
              <w:left w:val="single" w:sz="8" w:color="BEBEBE"/>
              <w:bottom w:val="single" w:sz="8" w:color="BEBEBE"/>
              <w:right w:val="single" w:sz="8" w:color="BEBEBE"/>
            </w:tcBorders>
          </w:tcPr>
          <w:p>
            <w:pPr>
              <w:spacing w:after="0"/>
              <w:rPr>
                <w:sz w:val="18"/>
                <w:szCs w:val="18"/>
                <w:color w:val="auto"/>
              </w:rPr>
            </w:pPr>
          </w:p>
        </w:tc>
        <w:tc>
          <w:tcPr>
            <w:tcW w:w="1400" w:type="dxa"/>
            <w:vAlign w:val="bottom"/>
            <w:tcBorders>
              <w:bottom w:val="single" w:sz="8" w:color="BEBEBE"/>
              <w:right w:val="single" w:sz="8" w:color="BEBEBE"/>
            </w:tcBorders>
          </w:tcPr>
          <w:p>
            <w:pPr>
              <w:spacing w:after="0"/>
              <w:rPr>
                <w:sz w:val="18"/>
                <w:szCs w:val="18"/>
                <w:color w:val="auto"/>
              </w:rPr>
            </w:pPr>
          </w:p>
        </w:tc>
        <w:tc>
          <w:tcPr>
            <w:tcW w:w="1320" w:type="dxa"/>
            <w:vAlign w:val="bottom"/>
            <w:tcBorders>
              <w:bottom w:val="single" w:sz="8" w:color="BEBEBE"/>
              <w:right w:val="single" w:sz="8" w:color="BEBEBE"/>
            </w:tcBorders>
          </w:tcPr>
          <w:p>
            <w:pPr>
              <w:spacing w:after="0"/>
              <w:rPr>
                <w:sz w:val="18"/>
                <w:szCs w:val="18"/>
                <w:color w:val="auto"/>
              </w:rPr>
            </w:pPr>
          </w:p>
        </w:tc>
        <w:tc>
          <w:tcPr>
            <w:tcW w:w="1320" w:type="dxa"/>
            <w:vAlign w:val="bottom"/>
            <w:tcBorders>
              <w:bottom w:val="single" w:sz="8" w:color="BEBEBE"/>
              <w:right w:val="single" w:sz="8" w:color="BEBEBE"/>
            </w:tcBorders>
          </w:tcPr>
          <w:p>
            <w:pPr>
              <w:spacing w:after="0"/>
              <w:rPr>
                <w:sz w:val="18"/>
                <w:szCs w:val="18"/>
                <w:color w:val="auto"/>
              </w:rPr>
            </w:pPr>
          </w:p>
        </w:tc>
        <w:tc>
          <w:tcPr>
            <w:tcW w:w="1180" w:type="dxa"/>
            <w:vAlign w:val="bottom"/>
            <w:tcBorders>
              <w:bottom w:val="single" w:sz="8" w:color="BEBEBE"/>
              <w:right w:val="single" w:sz="8" w:color="BEBEBE"/>
            </w:tcBorders>
          </w:tcPr>
          <w:p>
            <w:pPr>
              <w:spacing w:after="0"/>
              <w:rPr>
                <w:sz w:val="18"/>
                <w:szCs w:val="18"/>
                <w:color w:val="auto"/>
              </w:rPr>
            </w:pPr>
          </w:p>
        </w:tc>
        <w:tc>
          <w:tcPr>
            <w:tcW w:w="310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MONITORING</w:t>
            </w:r>
          </w:p>
        </w:tc>
        <w:tc>
          <w:tcPr>
            <w:tcW w:w="1040" w:type="dxa"/>
            <w:vAlign w:val="bottom"/>
            <w:tcBorders>
              <w:bottom w:val="single" w:sz="8" w:color="BEBEBE"/>
              <w:right w:val="single" w:sz="8" w:color="BEBEBE"/>
            </w:tcBorders>
          </w:tcPr>
          <w:p>
            <w:pPr>
              <w:spacing w:after="0"/>
              <w:rPr>
                <w:sz w:val="18"/>
                <w:szCs w:val="18"/>
                <w:color w:val="auto"/>
              </w:rPr>
            </w:pPr>
          </w:p>
        </w:tc>
      </w:tr>
      <w:tr>
        <w:trPr>
          <w:trHeight w:val="181"/>
        </w:trPr>
        <w:tc>
          <w:tcPr>
            <w:tcW w:w="1500" w:type="dxa"/>
            <w:vAlign w:val="bottom"/>
            <w:tcBorders>
              <w:left w:val="single" w:sz="8" w:color="BEBEBE"/>
              <w:right w:val="single" w:sz="8" w:color="BEBEBE"/>
            </w:tcBorders>
          </w:tcPr>
          <w:p>
            <w:pPr>
              <w:jc w:val="right"/>
              <w:ind w:right="391"/>
              <w:spacing w:after="0" w:line="181" w:lineRule="exact"/>
              <w:rPr>
                <w:sz w:val="20"/>
                <w:szCs w:val="20"/>
                <w:color w:val="auto"/>
              </w:rPr>
            </w:pPr>
            <w:r>
              <w:rPr>
                <w:rFonts w:ascii="Arial" w:cs="Arial" w:eastAsia="Arial" w:hAnsi="Arial"/>
                <w:sz w:val="18"/>
                <w:szCs w:val="18"/>
                <w:color w:val="auto"/>
              </w:rPr>
              <w:t>17/402,248</w:t>
            </w:r>
          </w:p>
        </w:tc>
        <w:tc>
          <w:tcPr>
            <w:tcW w:w="1400" w:type="dxa"/>
            <w:vAlign w:val="bottom"/>
            <w:tcBorders>
              <w:right w:val="single" w:sz="8" w:color="BEBEBE"/>
            </w:tcBorders>
          </w:tcPr>
          <w:p>
            <w:pPr>
              <w:jc w:val="right"/>
              <w:ind w:right="411"/>
              <w:spacing w:after="0" w:line="181" w:lineRule="exact"/>
              <w:rPr>
                <w:sz w:val="20"/>
                <w:szCs w:val="20"/>
                <w:color w:val="auto"/>
              </w:rPr>
            </w:pPr>
            <w:r>
              <w:rPr>
                <w:rFonts w:ascii="Arial" w:cs="Arial" w:eastAsia="Arial" w:hAnsi="Arial"/>
                <w:sz w:val="18"/>
                <w:szCs w:val="18"/>
                <w:color w:val="auto"/>
              </w:rPr>
              <w:t>8/13/2021</w:t>
            </w:r>
          </w:p>
        </w:tc>
        <w:tc>
          <w:tcPr>
            <w:tcW w:w="1320" w:type="dxa"/>
            <w:vAlign w:val="bottom"/>
            <w:tcBorders>
              <w:right w:val="single" w:sz="8" w:color="BEBEBE"/>
            </w:tcBorders>
          </w:tcPr>
          <w:p>
            <w:pPr>
              <w:spacing w:after="0"/>
              <w:rPr>
                <w:sz w:val="15"/>
                <w:szCs w:val="15"/>
                <w:color w:val="auto"/>
              </w:rPr>
            </w:pPr>
          </w:p>
        </w:tc>
        <w:tc>
          <w:tcPr>
            <w:tcW w:w="1320" w:type="dxa"/>
            <w:vAlign w:val="bottom"/>
            <w:tcBorders>
              <w:right w:val="single" w:sz="8" w:color="BEBEBE"/>
            </w:tcBorders>
          </w:tcPr>
          <w:p>
            <w:pPr>
              <w:spacing w:after="0"/>
              <w:rPr>
                <w:sz w:val="15"/>
                <w:szCs w:val="15"/>
                <w:color w:val="auto"/>
              </w:rPr>
            </w:pPr>
          </w:p>
        </w:tc>
        <w:tc>
          <w:tcPr>
            <w:tcW w:w="1180" w:type="dxa"/>
            <w:vAlign w:val="bottom"/>
            <w:tcBorders>
              <w:right w:val="single" w:sz="8" w:color="BEBEBE"/>
            </w:tcBorders>
          </w:tcPr>
          <w:p>
            <w:pPr>
              <w:ind w:left="100"/>
              <w:spacing w:after="0" w:line="181" w:lineRule="exact"/>
              <w:rPr>
                <w:sz w:val="20"/>
                <w:szCs w:val="20"/>
                <w:color w:val="auto"/>
              </w:rPr>
            </w:pPr>
            <w:r>
              <w:rPr>
                <w:rFonts w:ascii="Arial" w:cs="Arial" w:eastAsia="Arial" w:hAnsi="Arial"/>
                <w:sz w:val="18"/>
                <w:szCs w:val="18"/>
                <w:color w:val="auto"/>
              </w:rPr>
              <w:t>Pending</w:t>
            </w:r>
          </w:p>
        </w:tc>
        <w:tc>
          <w:tcPr>
            <w:tcW w:w="3100" w:type="dxa"/>
            <w:vAlign w:val="bottom"/>
            <w:tcBorders>
              <w:right w:val="single" w:sz="8" w:color="BEBEBE"/>
            </w:tcBorders>
          </w:tcPr>
          <w:p>
            <w:pPr>
              <w:ind w:left="100"/>
              <w:spacing w:after="0" w:line="181" w:lineRule="exact"/>
              <w:rPr>
                <w:sz w:val="20"/>
                <w:szCs w:val="20"/>
                <w:color w:val="auto"/>
              </w:rPr>
            </w:pPr>
            <w:r>
              <w:rPr>
                <w:rFonts w:ascii="Arial" w:cs="Arial" w:eastAsia="Arial" w:hAnsi="Arial"/>
                <w:sz w:val="18"/>
                <w:szCs w:val="18"/>
                <w:color w:val="auto"/>
              </w:rPr>
              <w:t>AUTOMATED</w:t>
            </w:r>
          </w:p>
        </w:tc>
        <w:tc>
          <w:tcPr>
            <w:tcW w:w="1040" w:type="dxa"/>
            <w:vAlign w:val="bottom"/>
            <w:tcBorders>
              <w:right w:val="single" w:sz="8" w:color="BEBEBE"/>
            </w:tcBorders>
          </w:tcPr>
          <w:p>
            <w:pPr>
              <w:ind w:left="100"/>
              <w:spacing w:after="0" w:line="181" w:lineRule="exact"/>
              <w:rPr>
                <w:sz w:val="20"/>
                <w:szCs w:val="20"/>
                <w:color w:val="auto"/>
              </w:rPr>
            </w:pPr>
            <w:r>
              <w:rPr>
                <w:rFonts w:ascii="Arial" w:cs="Arial" w:eastAsia="Arial" w:hAnsi="Arial"/>
                <w:sz w:val="18"/>
                <w:szCs w:val="18"/>
                <w:color w:val="auto"/>
              </w:rPr>
              <w:t>US</w:t>
            </w:r>
          </w:p>
        </w:tc>
      </w:tr>
      <w:tr>
        <w:trPr>
          <w:trHeight w:val="188"/>
        </w:trPr>
        <w:tc>
          <w:tcPr>
            <w:tcW w:w="1500" w:type="dxa"/>
            <w:vAlign w:val="bottom"/>
            <w:tcBorders>
              <w:left w:val="single" w:sz="8" w:color="BEBEBE"/>
              <w:right w:val="single" w:sz="8" w:color="BEBEBE"/>
            </w:tcBorders>
          </w:tcPr>
          <w:p>
            <w:pPr>
              <w:spacing w:after="0"/>
              <w:rPr>
                <w:sz w:val="16"/>
                <w:szCs w:val="16"/>
                <w:color w:val="auto"/>
              </w:rPr>
            </w:pPr>
          </w:p>
        </w:tc>
        <w:tc>
          <w:tcPr>
            <w:tcW w:w="140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320" w:type="dxa"/>
            <w:vAlign w:val="bottom"/>
            <w:tcBorders>
              <w:right w:val="single" w:sz="8" w:color="BEBEBE"/>
            </w:tcBorders>
          </w:tcPr>
          <w:p>
            <w:pPr>
              <w:spacing w:after="0"/>
              <w:rPr>
                <w:sz w:val="16"/>
                <w:szCs w:val="16"/>
                <w:color w:val="auto"/>
              </w:rPr>
            </w:pPr>
          </w:p>
        </w:tc>
        <w:tc>
          <w:tcPr>
            <w:tcW w:w="1180" w:type="dxa"/>
            <w:vAlign w:val="bottom"/>
            <w:tcBorders>
              <w:right w:val="single" w:sz="8" w:color="BEBEBE"/>
            </w:tcBorders>
          </w:tcPr>
          <w:p>
            <w:pPr>
              <w:spacing w:after="0"/>
              <w:rPr>
                <w:sz w:val="16"/>
                <w:szCs w:val="16"/>
                <w:color w:val="auto"/>
              </w:rPr>
            </w:pPr>
          </w:p>
        </w:tc>
        <w:tc>
          <w:tcPr>
            <w:tcW w:w="3100" w:type="dxa"/>
            <w:vAlign w:val="bottom"/>
            <w:tcBorders>
              <w:right w:val="single" w:sz="8" w:color="BEBEBE"/>
            </w:tcBorders>
          </w:tcPr>
          <w:p>
            <w:pPr>
              <w:ind w:left="100"/>
              <w:spacing w:after="0" w:line="188" w:lineRule="exact"/>
              <w:rPr>
                <w:sz w:val="20"/>
                <w:szCs w:val="20"/>
                <w:color w:val="auto"/>
              </w:rPr>
            </w:pPr>
            <w:r>
              <w:rPr>
                <w:rFonts w:ascii="Arial" w:cs="Arial" w:eastAsia="Arial" w:hAnsi="Arial"/>
                <w:sz w:val="18"/>
                <w:szCs w:val="18"/>
                <w:color w:val="auto"/>
              </w:rPr>
              <w:t>CIRCUMFERENTIAL PIPE</w:t>
            </w:r>
          </w:p>
        </w:tc>
        <w:tc>
          <w:tcPr>
            <w:tcW w:w="1040" w:type="dxa"/>
            <w:vAlign w:val="bottom"/>
            <w:tcBorders>
              <w:right w:val="single" w:sz="8" w:color="BEBEBE"/>
            </w:tcBorders>
          </w:tcPr>
          <w:p>
            <w:pPr>
              <w:spacing w:after="0"/>
              <w:rPr>
                <w:sz w:val="16"/>
                <w:szCs w:val="16"/>
                <w:color w:val="auto"/>
              </w:rPr>
            </w:pPr>
          </w:p>
        </w:tc>
      </w:tr>
      <w:tr>
        <w:trPr>
          <w:trHeight w:val="215"/>
        </w:trPr>
        <w:tc>
          <w:tcPr>
            <w:tcW w:w="1500" w:type="dxa"/>
            <w:vAlign w:val="bottom"/>
            <w:tcBorders>
              <w:left w:val="single" w:sz="8" w:color="BEBEBE"/>
              <w:bottom w:val="single" w:sz="8" w:color="BEBEBE"/>
              <w:right w:val="single" w:sz="8" w:color="BEBEBE"/>
            </w:tcBorders>
          </w:tcPr>
          <w:p>
            <w:pPr>
              <w:spacing w:after="0"/>
              <w:rPr>
                <w:sz w:val="18"/>
                <w:szCs w:val="18"/>
                <w:color w:val="auto"/>
              </w:rPr>
            </w:pPr>
          </w:p>
        </w:tc>
        <w:tc>
          <w:tcPr>
            <w:tcW w:w="1400" w:type="dxa"/>
            <w:vAlign w:val="bottom"/>
            <w:tcBorders>
              <w:bottom w:val="single" w:sz="8" w:color="BEBEBE"/>
              <w:right w:val="single" w:sz="8" w:color="BEBEBE"/>
            </w:tcBorders>
          </w:tcPr>
          <w:p>
            <w:pPr>
              <w:spacing w:after="0"/>
              <w:rPr>
                <w:sz w:val="18"/>
                <w:szCs w:val="18"/>
                <w:color w:val="auto"/>
              </w:rPr>
            </w:pPr>
          </w:p>
        </w:tc>
        <w:tc>
          <w:tcPr>
            <w:tcW w:w="1320" w:type="dxa"/>
            <w:vAlign w:val="bottom"/>
            <w:tcBorders>
              <w:bottom w:val="single" w:sz="8" w:color="BEBEBE"/>
              <w:right w:val="single" w:sz="8" w:color="BEBEBE"/>
            </w:tcBorders>
          </w:tcPr>
          <w:p>
            <w:pPr>
              <w:spacing w:after="0"/>
              <w:rPr>
                <w:sz w:val="18"/>
                <w:szCs w:val="18"/>
                <w:color w:val="auto"/>
              </w:rPr>
            </w:pPr>
          </w:p>
        </w:tc>
        <w:tc>
          <w:tcPr>
            <w:tcW w:w="1320" w:type="dxa"/>
            <w:vAlign w:val="bottom"/>
            <w:tcBorders>
              <w:bottom w:val="single" w:sz="8" w:color="BEBEBE"/>
              <w:right w:val="single" w:sz="8" w:color="BEBEBE"/>
            </w:tcBorders>
          </w:tcPr>
          <w:p>
            <w:pPr>
              <w:spacing w:after="0"/>
              <w:rPr>
                <w:sz w:val="18"/>
                <w:szCs w:val="18"/>
                <w:color w:val="auto"/>
              </w:rPr>
            </w:pPr>
          </w:p>
        </w:tc>
        <w:tc>
          <w:tcPr>
            <w:tcW w:w="1180" w:type="dxa"/>
            <w:vAlign w:val="bottom"/>
            <w:tcBorders>
              <w:bottom w:val="single" w:sz="8" w:color="BEBEBE"/>
              <w:right w:val="single" w:sz="8" w:color="BEBEBE"/>
            </w:tcBorders>
          </w:tcPr>
          <w:p>
            <w:pPr>
              <w:spacing w:after="0"/>
              <w:rPr>
                <w:sz w:val="18"/>
                <w:szCs w:val="18"/>
                <w:color w:val="auto"/>
              </w:rPr>
            </w:pPr>
          </w:p>
        </w:tc>
        <w:tc>
          <w:tcPr>
            <w:tcW w:w="310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SCANNING SYSTEM</w:t>
            </w:r>
          </w:p>
        </w:tc>
        <w:tc>
          <w:tcPr>
            <w:tcW w:w="1040" w:type="dxa"/>
            <w:vAlign w:val="bottom"/>
            <w:tcBorders>
              <w:bottom w:val="single" w:sz="8" w:color="BEBEBE"/>
              <w:right w:val="single" w:sz="8" w:color="BEBEBE"/>
            </w:tcBorders>
          </w:tcPr>
          <w:p>
            <w:pPr>
              <w:spacing w:after="0"/>
              <w:rPr>
                <w:sz w:val="18"/>
                <w:szCs w:val="18"/>
                <w:color w:val="auto"/>
              </w:rPr>
            </w:pPr>
          </w:p>
        </w:tc>
      </w:tr>
    </w:tbl>
    <w:p>
      <w:pPr>
        <w:spacing w:after="0" w:line="200" w:lineRule="exact"/>
        <w:rPr>
          <w:sz w:val="20"/>
          <w:szCs w:val="20"/>
          <w:color w:val="auto"/>
        </w:rPr>
      </w:pPr>
    </w:p>
    <w:p>
      <w:pPr>
        <w:spacing w:after="0" w:line="328" w:lineRule="exact"/>
        <w:rPr>
          <w:sz w:val="20"/>
          <w:szCs w:val="20"/>
          <w:color w:val="auto"/>
        </w:rPr>
      </w:pPr>
    </w:p>
    <w:p>
      <w:pPr>
        <w:ind w:left="480" w:right="820"/>
        <w:spacing w:after="0" w:line="297" w:lineRule="auto"/>
        <w:rPr>
          <w:sz w:val="20"/>
          <w:szCs w:val="20"/>
          <w:color w:val="auto"/>
        </w:rPr>
      </w:pPr>
      <w:r>
        <w:rPr>
          <w:rFonts w:ascii="Arial" w:cs="Arial" w:eastAsia="Arial" w:hAnsi="Arial"/>
          <w:sz w:val="21"/>
          <w:szCs w:val="21"/>
          <w:color w:val="auto"/>
        </w:rPr>
        <w:t>Note: The Borrower has a license to use Patent No.: 7,257,496 for SF6 gas leak detection but stopped using this patent several years ago. This patent expires in 2026.</w:t>
      </w:r>
    </w:p>
    <w:p>
      <w:pPr>
        <w:spacing w:after="0" w:line="388" w:lineRule="exact"/>
        <w:rPr>
          <w:sz w:val="20"/>
          <w:szCs w:val="20"/>
          <w:color w:val="auto"/>
        </w:rPr>
      </w:pPr>
    </w:p>
    <w:p>
      <w:pPr>
        <w:ind w:left="480"/>
        <w:spacing w:after="0"/>
        <w:rPr>
          <w:sz w:val="20"/>
          <w:szCs w:val="20"/>
          <w:color w:val="auto"/>
        </w:rPr>
      </w:pPr>
      <w:r>
        <w:rPr>
          <w:rFonts w:ascii="Arial" w:cs="Arial" w:eastAsia="Arial" w:hAnsi="Arial"/>
          <w:sz w:val="21"/>
          <w:szCs w:val="21"/>
          <w:b w:val="1"/>
          <w:bCs w:val="1"/>
          <w:color w:val="auto"/>
        </w:rPr>
        <w:t>U.S. Registered Trademarks:</w:t>
      </w: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312"/>
        </w:trPr>
        <w:tc>
          <w:tcPr>
            <w:tcW w:w="1420" w:type="dxa"/>
            <w:vAlign w:val="bottom"/>
            <w:tcBorders>
              <w:top w:val="single" w:sz="8" w:color="BEBEBE"/>
              <w:left w:val="single" w:sz="8" w:color="BEBEBE"/>
              <w:right w:val="single" w:sz="8" w:color="BEBEBE"/>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Application</w:t>
            </w:r>
          </w:p>
        </w:tc>
        <w:tc>
          <w:tcPr>
            <w:tcW w:w="1420" w:type="dxa"/>
            <w:vAlign w:val="bottom"/>
            <w:tcBorders>
              <w:top w:val="single" w:sz="8" w:color="BEBEBE"/>
              <w:right w:val="single" w:sz="8" w:color="BEBEBE"/>
            </w:tcBorders>
            <w:shd w:val="clear" w:color="auto" w:fill="D9D9D9"/>
          </w:tcPr>
          <w:p>
            <w:pPr>
              <w:jc w:val="center"/>
              <w:ind w:right="111"/>
              <w:spacing w:after="0"/>
              <w:rPr>
                <w:sz w:val="20"/>
                <w:szCs w:val="20"/>
                <w:color w:val="auto"/>
              </w:rPr>
            </w:pPr>
            <w:r>
              <w:rPr>
                <w:rFonts w:ascii="Arial" w:cs="Arial" w:eastAsia="Arial" w:hAnsi="Arial"/>
                <w:sz w:val="18"/>
                <w:szCs w:val="18"/>
                <w:b w:val="1"/>
                <w:bCs w:val="1"/>
                <w:color w:val="auto"/>
                <w:w w:val="99"/>
              </w:rPr>
              <w:t>Application</w:t>
            </w:r>
          </w:p>
        </w:tc>
        <w:tc>
          <w:tcPr>
            <w:tcW w:w="1440" w:type="dxa"/>
            <w:vAlign w:val="bottom"/>
            <w:tcBorders>
              <w:top w:val="single" w:sz="8" w:color="BEBEBE"/>
              <w:right w:val="single" w:sz="8" w:color="BEBEBE"/>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Registration</w:t>
            </w:r>
          </w:p>
        </w:tc>
        <w:tc>
          <w:tcPr>
            <w:tcW w:w="1520" w:type="dxa"/>
            <w:vAlign w:val="bottom"/>
            <w:tcBorders>
              <w:top w:val="single" w:sz="8" w:color="BEBEBE"/>
              <w:right w:val="single" w:sz="8" w:color="BEBEBE"/>
            </w:tcBorders>
            <w:shd w:val="clear" w:color="auto" w:fill="D9D9D9"/>
          </w:tcPr>
          <w:p>
            <w:pPr>
              <w:jc w:val="center"/>
              <w:ind w:right="191"/>
              <w:spacing w:after="0"/>
              <w:rPr>
                <w:sz w:val="20"/>
                <w:szCs w:val="20"/>
                <w:color w:val="auto"/>
              </w:rPr>
            </w:pPr>
            <w:r>
              <w:rPr>
                <w:rFonts w:ascii="Arial" w:cs="Arial" w:eastAsia="Arial" w:hAnsi="Arial"/>
                <w:sz w:val="18"/>
                <w:szCs w:val="18"/>
                <w:b w:val="1"/>
                <w:bCs w:val="1"/>
                <w:color w:val="auto"/>
                <w:w w:val="98"/>
              </w:rPr>
              <w:t>Registration</w:t>
            </w:r>
          </w:p>
        </w:tc>
        <w:tc>
          <w:tcPr>
            <w:tcW w:w="1380" w:type="dxa"/>
            <w:vAlign w:val="bottom"/>
            <w:tcBorders>
              <w:top w:val="single" w:sz="8" w:color="BEBEBE"/>
              <w:right w:val="single" w:sz="8" w:color="BEBEBE"/>
            </w:tcBorders>
            <w:vMerge w:val="restart"/>
            <w:shd w:val="clear" w:color="auto" w:fill="D9D9D9"/>
          </w:tcPr>
          <w:p>
            <w:pPr>
              <w:ind w:left="100"/>
              <w:spacing w:after="0"/>
              <w:rPr>
                <w:sz w:val="20"/>
                <w:szCs w:val="20"/>
                <w:color w:val="auto"/>
              </w:rPr>
            </w:pPr>
            <w:r>
              <w:rPr>
                <w:rFonts w:ascii="Arial" w:cs="Arial" w:eastAsia="Arial" w:hAnsi="Arial"/>
                <w:sz w:val="18"/>
                <w:szCs w:val="18"/>
                <w:b w:val="1"/>
                <w:bCs w:val="1"/>
                <w:color w:val="auto"/>
              </w:rPr>
              <w:t>Status</w:t>
            </w:r>
          </w:p>
        </w:tc>
        <w:tc>
          <w:tcPr>
            <w:tcW w:w="2680" w:type="dxa"/>
            <w:vAlign w:val="bottom"/>
            <w:tcBorders>
              <w:top w:val="single" w:sz="8" w:color="BEBEBE"/>
              <w:right w:val="single" w:sz="8" w:color="BEBEBE"/>
            </w:tcBorders>
            <w:vMerge w:val="restart"/>
            <w:shd w:val="clear" w:color="auto" w:fill="D9D9D9"/>
          </w:tcPr>
          <w:p>
            <w:pPr>
              <w:ind w:left="100"/>
              <w:spacing w:after="0"/>
              <w:rPr>
                <w:sz w:val="20"/>
                <w:szCs w:val="20"/>
                <w:color w:val="auto"/>
              </w:rPr>
            </w:pPr>
            <w:r>
              <w:rPr>
                <w:rFonts w:ascii="Arial" w:cs="Arial" w:eastAsia="Arial" w:hAnsi="Arial"/>
                <w:sz w:val="18"/>
                <w:szCs w:val="18"/>
                <w:b w:val="1"/>
                <w:bCs w:val="1"/>
                <w:color w:val="auto"/>
              </w:rPr>
              <w:t>Title</w:t>
            </w:r>
          </w:p>
        </w:tc>
        <w:tc>
          <w:tcPr>
            <w:tcW w:w="1040" w:type="dxa"/>
            <w:vAlign w:val="bottom"/>
            <w:tcBorders>
              <w:top w:val="single" w:sz="8" w:color="BEBEBE"/>
              <w:right w:val="single" w:sz="8" w:color="BEBEBE"/>
            </w:tcBorders>
            <w:vMerge w:val="restart"/>
            <w:shd w:val="clear" w:color="auto" w:fill="D9D9D9"/>
          </w:tcPr>
          <w:p>
            <w:pPr>
              <w:ind w:left="100"/>
              <w:spacing w:after="0"/>
              <w:rPr>
                <w:sz w:val="20"/>
                <w:szCs w:val="20"/>
                <w:color w:val="auto"/>
              </w:rPr>
            </w:pPr>
            <w:r>
              <w:rPr>
                <w:rFonts w:ascii="Arial" w:cs="Arial" w:eastAsia="Arial" w:hAnsi="Arial"/>
                <w:sz w:val="18"/>
                <w:szCs w:val="18"/>
                <w:b w:val="1"/>
                <w:bCs w:val="1"/>
                <w:color w:val="auto"/>
              </w:rPr>
              <w:t>Country</w:t>
            </w:r>
          </w:p>
        </w:tc>
        <w:tc>
          <w:tcPr>
            <w:tcW w:w="0" w:type="dxa"/>
            <w:vAlign w:val="bottom"/>
          </w:tcPr>
          <w:p>
            <w:pPr>
              <w:spacing w:after="0"/>
              <w:rPr>
                <w:sz w:val="1"/>
                <w:szCs w:val="1"/>
                <w:color w:val="auto"/>
              </w:rPr>
            </w:pPr>
          </w:p>
        </w:tc>
      </w:tr>
      <w:tr>
        <w:trPr>
          <w:trHeight w:val="169"/>
        </w:trPr>
        <w:tc>
          <w:tcPr>
            <w:tcW w:w="1420" w:type="dxa"/>
            <w:vAlign w:val="bottom"/>
            <w:tcBorders>
              <w:left w:val="single" w:sz="8" w:color="BEBEBE"/>
              <w:right w:val="single" w:sz="8" w:color="BEBEBE"/>
            </w:tcBorders>
            <w:vMerge w:val="restart"/>
            <w:shd w:val="clear" w:color="auto" w:fill="D9D9D9"/>
          </w:tcPr>
          <w:p>
            <w:pPr>
              <w:ind w:left="120"/>
              <w:spacing w:after="0"/>
              <w:rPr>
                <w:sz w:val="20"/>
                <w:szCs w:val="20"/>
                <w:color w:val="auto"/>
              </w:rPr>
            </w:pPr>
            <w:r>
              <w:rPr>
                <w:rFonts w:ascii="Arial" w:cs="Arial" w:eastAsia="Arial" w:hAnsi="Arial"/>
                <w:sz w:val="18"/>
                <w:szCs w:val="18"/>
                <w:b w:val="1"/>
                <w:bCs w:val="1"/>
                <w:color w:val="auto"/>
              </w:rPr>
              <w:t>No.</w:t>
            </w:r>
          </w:p>
        </w:tc>
        <w:tc>
          <w:tcPr>
            <w:tcW w:w="1420" w:type="dxa"/>
            <w:vAlign w:val="bottom"/>
            <w:tcBorders>
              <w:right w:val="single" w:sz="8" w:color="BEBEBE"/>
            </w:tcBorders>
            <w:vMerge w:val="restart"/>
            <w:shd w:val="clear" w:color="auto" w:fill="D9D9D9"/>
          </w:tcPr>
          <w:p>
            <w:pPr>
              <w:jc w:val="center"/>
              <w:ind w:right="131"/>
              <w:spacing w:after="0"/>
              <w:rPr>
                <w:sz w:val="20"/>
                <w:szCs w:val="20"/>
                <w:color w:val="auto"/>
              </w:rPr>
            </w:pPr>
            <w:r>
              <w:rPr>
                <w:rFonts w:ascii="Arial" w:cs="Arial" w:eastAsia="Arial" w:hAnsi="Arial"/>
                <w:sz w:val="18"/>
                <w:szCs w:val="18"/>
                <w:b w:val="1"/>
                <w:bCs w:val="1"/>
                <w:color w:val="auto"/>
              </w:rPr>
              <w:t>Date</w:t>
            </w:r>
          </w:p>
        </w:tc>
        <w:tc>
          <w:tcPr>
            <w:tcW w:w="1440" w:type="dxa"/>
            <w:vAlign w:val="bottom"/>
            <w:tcBorders>
              <w:right w:val="single" w:sz="8" w:color="BEBEBE"/>
            </w:tcBorders>
            <w:vMerge w:val="restart"/>
            <w:shd w:val="clear" w:color="auto" w:fill="D9D9D9"/>
          </w:tcPr>
          <w:p>
            <w:pPr>
              <w:ind w:left="120"/>
              <w:spacing w:after="0"/>
              <w:rPr>
                <w:sz w:val="20"/>
                <w:szCs w:val="20"/>
                <w:color w:val="auto"/>
              </w:rPr>
            </w:pPr>
            <w:r>
              <w:rPr>
                <w:rFonts w:ascii="Arial" w:cs="Arial" w:eastAsia="Arial" w:hAnsi="Arial"/>
                <w:sz w:val="18"/>
                <w:szCs w:val="18"/>
                <w:b w:val="1"/>
                <w:bCs w:val="1"/>
                <w:color w:val="auto"/>
              </w:rPr>
              <w:t>No.</w:t>
            </w:r>
          </w:p>
        </w:tc>
        <w:tc>
          <w:tcPr>
            <w:tcW w:w="1520" w:type="dxa"/>
            <w:vAlign w:val="bottom"/>
            <w:tcBorders>
              <w:right w:val="single" w:sz="8" w:color="BEBEBE"/>
            </w:tcBorders>
            <w:vMerge w:val="restart"/>
            <w:shd w:val="clear" w:color="auto" w:fill="D9D9D9"/>
          </w:tcPr>
          <w:p>
            <w:pPr>
              <w:jc w:val="center"/>
              <w:ind w:right="171"/>
              <w:spacing w:after="0"/>
              <w:rPr>
                <w:sz w:val="20"/>
                <w:szCs w:val="20"/>
                <w:color w:val="auto"/>
              </w:rPr>
            </w:pPr>
            <w:r>
              <w:rPr>
                <w:rFonts w:ascii="Arial" w:cs="Arial" w:eastAsia="Arial" w:hAnsi="Arial"/>
                <w:sz w:val="18"/>
                <w:szCs w:val="18"/>
                <w:b w:val="1"/>
                <w:bCs w:val="1"/>
                <w:color w:val="auto"/>
                <w:w w:val="97"/>
              </w:rPr>
              <w:t>Date</w:t>
            </w:r>
          </w:p>
        </w:tc>
        <w:tc>
          <w:tcPr>
            <w:tcW w:w="1380" w:type="dxa"/>
            <w:vAlign w:val="bottom"/>
            <w:tcBorders>
              <w:right w:val="single" w:sz="8" w:color="BEBEBE"/>
            </w:tcBorders>
            <w:vMerge w:val="continue"/>
            <w:shd w:val="clear" w:color="auto" w:fill="D9D9D9"/>
          </w:tcPr>
          <w:p>
            <w:pPr>
              <w:spacing w:after="0"/>
              <w:rPr>
                <w:sz w:val="14"/>
                <w:szCs w:val="14"/>
                <w:color w:val="auto"/>
              </w:rPr>
            </w:pPr>
          </w:p>
        </w:tc>
        <w:tc>
          <w:tcPr>
            <w:tcW w:w="2680" w:type="dxa"/>
            <w:vAlign w:val="bottom"/>
            <w:tcBorders>
              <w:right w:val="single" w:sz="8" w:color="BEBEBE"/>
            </w:tcBorders>
            <w:vMerge w:val="continue"/>
            <w:shd w:val="clear" w:color="auto" w:fill="D9D9D9"/>
          </w:tcPr>
          <w:p>
            <w:pPr>
              <w:spacing w:after="0"/>
              <w:rPr>
                <w:sz w:val="14"/>
                <w:szCs w:val="14"/>
                <w:color w:val="auto"/>
              </w:rPr>
            </w:pPr>
          </w:p>
        </w:tc>
        <w:tc>
          <w:tcPr>
            <w:tcW w:w="1040" w:type="dxa"/>
            <w:vAlign w:val="bottom"/>
            <w:tcBorders>
              <w:right w:val="single" w:sz="8" w:color="BEBEBE"/>
            </w:tcBorders>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20" w:type="dxa"/>
            <w:vAlign w:val="bottom"/>
            <w:tcBorders>
              <w:left w:val="single" w:sz="8" w:color="BEBEBE"/>
              <w:bottom w:val="single" w:sz="8" w:color="BEBEBE"/>
              <w:right w:val="single" w:sz="8" w:color="BEBEBE"/>
            </w:tcBorders>
            <w:vMerge w:val="continue"/>
            <w:shd w:val="clear" w:color="auto" w:fill="D9D9D9"/>
          </w:tcPr>
          <w:p>
            <w:pPr>
              <w:spacing w:after="0"/>
              <w:rPr>
                <w:sz w:val="5"/>
                <w:szCs w:val="5"/>
                <w:color w:val="auto"/>
              </w:rPr>
            </w:pPr>
          </w:p>
        </w:tc>
        <w:tc>
          <w:tcPr>
            <w:tcW w:w="1420" w:type="dxa"/>
            <w:vAlign w:val="bottom"/>
            <w:tcBorders>
              <w:bottom w:val="single" w:sz="8" w:color="BEBEBE"/>
              <w:right w:val="single" w:sz="8" w:color="BEBEBE"/>
            </w:tcBorders>
            <w:vMerge w:val="continue"/>
            <w:shd w:val="clear" w:color="auto" w:fill="D9D9D9"/>
          </w:tcPr>
          <w:p>
            <w:pPr>
              <w:spacing w:after="0"/>
              <w:rPr>
                <w:sz w:val="5"/>
                <w:szCs w:val="5"/>
                <w:color w:val="auto"/>
              </w:rPr>
            </w:pPr>
          </w:p>
        </w:tc>
        <w:tc>
          <w:tcPr>
            <w:tcW w:w="1440" w:type="dxa"/>
            <w:vAlign w:val="bottom"/>
            <w:tcBorders>
              <w:bottom w:val="single" w:sz="8" w:color="BEBEBE"/>
              <w:right w:val="single" w:sz="8" w:color="BEBEBE"/>
            </w:tcBorders>
            <w:vMerge w:val="continue"/>
            <w:shd w:val="clear" w:color="auto" w:fill="D9D9D9"/>
          </w:tcPr>
          <w:p>
            <w:pPr>
              <w:spacing w:after="0"/>
              <w:rPr>
                <w:sz w:val="5"/>
                <w:szCs w:val="5"/>
                <w:color w:val="auto"/>
              </w:rPr>
            </w:pPr>
          </w:p>
        </w:tc>
        <w:tc>
          <w:tcPr>
            <w:tcW w:w="1520" w:type="dxa"/>
            <w:vAlign w:val="bottom"/>
            <w:tcBorders>
              <w:bottom w:val="single" w:sz="8" w:color="BEBEBE"/>
              <w:right w:val="single" w:sz="8" w:color="BEBEBE"/>
            </w:tcBorders>
            <w:vMerge w:val="continue"/>
            <w:shd w:val="clear" w:color="auto" w:fill="D9D9D9"/>
          </w:tcPr>
          <w:p>
            <w:pPr>
              <w:spacing w:after="0"/>
              <w:rPr>
                <w:sz w:val="5"/>
                <w:szCs w:val="5"/>
                <w:color w:val="auto"/>
              </w:rPr>
            </w:pPr>
          </w:p>
        </w:tc>
        <w:tc>
          <w:tcPr>
            <w:tcW w:w="1380" w:type="dxa"/>
            <w:vAlign w:val="bottom"/>
            <w:tcBorders>
              <w:bottom w:val="single" w:sz="8" w:color="BEBEBE"/>
              <w:right w:val="single" w:sz="8" w:color="BEBEBE"/>
            </w:tcBorders>
            <w:shd w:val="clear" w:color="auto" w:fill="D9D9D9"/>
          </w:tcPr>
          <w:p>
            <w:pPr>
              <w:spacing w:after="0"/>
              <w:rPr>
                <w:sz w:val="5"/>
                <w:szCs w:val="5"/>
                <w:color w:val="auto"/>
              </w:rPr>
            </w:pPr>
          </w:p>
        </w:tc>
        <w:tc>
          <w:tcPr>
            <w:tcW w:w="2680" w:type="dxa"/>
            <w:vAlign w:val="bottom"/>
            <w:tcBorders>
              <w:bottom w:val="single" w:sz="8" w:color="BEBEBE"/>
              <w:right w:val="single" w:sz="8" w:color="BEBEBE"/>
            </w:tcBorders>
            <w:shd w:val="clear" w:color="auto" w:fill="D9D9D9"/>
          </w:tcPr>
          <w:p>
            <w:pPr>
              <w:spacing w:after="0"/>
              <w:rPr>
                <w:sz w:val="5"/>
                <w:szCs w:val="5"/>
                <w:color w:val="auto"/>
              </w:rPr>
            </w:pPr>
          </w:p>
        </w:tc>
        <w:tc>
          <w:tcPr>
            <w:tcW w:w="1040" w:type="dxa"/>
            <w:vAlign w:val="bottom"/>
            <w:tcBorders>
              <w:bottom w:val="single" w:sz="8" w:color="BEBEBE"/>
              <w:right w:val="single" w:sz="8" w:color="BEBEBE"/>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420" w:type="dxa"/>
            <w:vAlign w:val="bottom"/>
            <w:tcBorders>
              <w:left w:val="single" w:sz="8" w:color="BEBEBE"/>
              <w:right w:val="single" w:sz="8" w:color="BEBEBE"/>
            </w:tcBorders>
          </w:tcPr>
          <w:p>
            <w:pPr>
              <w:ind w:left="120"/>
              <w:spacing w:after="0"/>
              <w:rPr>
                <w:sz w:val="20"/>
                <w:szCs w:val="20"/>
                <w:color w:val="auto"/>
              </w:rPr>
            </w:pPr>
            <w:r>
              <w:rPr>
                <w:rFonts w:ascii="Arial" w:cs="Arial" w:eastAsia="Arial" w:hAnsi="Arial"/>
                <w:sz w:val="18"/>
                <w:szCs w:val="18"/>
                <w:color w:val="auto"/>
              </w:rPr>
              <w:t>85/829,408</w:t>
            </w:r>
          </w:p>
        </w:tc>
        <w:tc>
          <w:tcPr>
            <w:tcW w:w="1420" w:type="dxa"/>
            <w:vAlign w:val="bottom"/>
            <w:tcBorders>
              <w:right w:val="single" w:sz="8" w:color="BEBEBE"/>
            </w:tcBorders>
          </w:tcPr>
          <w:p>
            <w:pPr>
              <w:jc w:val="center"/>
              <w:ind w:right="131"/>
              <w:spacing w:after="0"/>
              <w:rPr>
                <w:sz w:val="20"/>
                <w:szCs w:val="20"/>
                <w:color w:val="auto"/>
              </w:rPr>
            </w:pPr>
            <w:r>
              <w:rPr>
                <w:rFonts w:ascii="Arial" w:cs="Arial" w:eastAsia="Arial" w:hAnsi="Arial"/>
                <w:sz w:val="18"/>
                <w:szCs w:val="18"/>
                <w:color w:val="auto"/>
                <w:w w:val="99"/>
              </w:rPr>
              <w:t>1/22/2013</w:t>
            </w:r>
          </w:p>
        </w:tc>
        <w:tc>
          <w:tcPr>
            <w:tcW w:w="1440" w:type="dxa"/>
            <w:vAlign w:val="bottom"/>
            <w:tcBorders>
              <w:right w:val="single" w:sz="8" w:color="BEBEBE"/>
            </w:tcBorders>
          </w:tcPr>
          <w:p>
            <w:pPr>
              <w:ind w:left="120"/>
              <w:spacing w:after="0"/>
              <w:rPr>
                <w:sz w:val="20"/>
                <w:szCs w:val="20"/>
                <w:color w:val="auto"/>
              </w:rPr>
            </w:pPr>
            <w:r>
              <w:rPr>
                <w:rFonts w:ascii="Arial" w:cs="Arial" w:eastAsia="Arial" w:hAnsi="Arial"/>
                <w:sz w:val="18"/>
                <w:szCs w:val="18"/>
                <w:color w:val="auto"/>
              </w:rPr>
              <w:t>4,500,463</w:t>
            </w:r>
          </w:p>
        </w:tc>
        <w:tc>
          <w:tcPr>
            <w:tcW w:w="1520" w:type="dxa"/>
            <w:vAlign w:val="bottom"/>
            <w:tcBorders>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3/25/2014</w:t>
            </w:r>
          </w:p>
        </w:tc>
        <w:tc>
          <w:tcPr>
            <w:tcW w:w="13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6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MISTRAS</w:t>
            </w:r>
          </w:p>
        </w:tc>
        <w:tc>
          <w:tcPr>
            <w:tcW w:w="104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tcPr>
          <w:p>
            <w:pPr>
              <w:spacing w:after="0"/>
              <w:rPr>
                <w:sz w:val="10"/>
                <w:szCs w:val="10"/>
                <w:color w:val="auto"/>
              </w:rPr>
            </w:pPr>
          </w:p>
        </w:tc>
        <w:tc>
          <w:tcPr>
            <w:tcW w:w="1520" w:type="dxa"/>
            <w:vAlign w:val="bottom"/>
            <w:tcBorders>
              <w:bottom w:val="single" w:sz="8" w:color="BEBEBE"/>
              <w:right w:val="single" w:sz="8" w:color="BEBEBE"/>
            </w:tcBorders>
            <w:vMerge w:val="continue"/>
          </w:tcPr>
          <w:p>
            <w:pPr>
              <w:spacing w:after="0"/>
              <w:rPr>
                <w:sz w:val="10"/>
                <w:szCs w:val="10"/>
                <w:color w:val="auto"/>
              </w:rPr>
            </w:pPr>
          </w:p>
        </w:tc>
        <w:tc>
          <w:tcPr>
            <w:tcW w:w="1380" w:type="dxa"/>
            <w:vAlign w:val="bottom"/>
            <w:tcBorders>
              <w:bottom w:val="single" w:sz="8" w:color="BEBEBE"/>
              <w:right w:val="single" w:sz="8" w:color="BEBEBE"/>
            </w:tcBorders>
          </w:tcPr>
          <w:p>
            <w:pPr>
              <w:spacing w:after="0"/>
              <w:rPr>
                <w:sz w:val="10"/>
                <w:szCs w:val="10"/>
                <w:color w:val="auto"/>
              </w:rPr>
            </w:pPr>
          </w:p>
        </w:tc>
        <w:tc>
          <w:tcPr>
            <w:tcW w:w="268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420" w:type="dxa"/>
            <w:vAlign w:val="bottom"/>
            <w:tcBorders>
              <w:left w:val="single" w:sz="8" w:color="BEBEBE"/>
              <w:right w:val="single" w:sz="8" w:color="BEBEBE"/>
            </w:tcBorders>
          </w:tcPr>
          <w:p>
            <w:pPr>
              <w:spacing w:after="0"/>
              <w:rPr>
                <w:sz w:val="18"/>
                <w:szCs w:val="18"/>
                <w:color w:val="auto"/>
              </w:rPr>
            </w:pPr>
          </w:p>
        </w:tc>
        <w:tc>
          <w:tcPr>
            <w:tcW w:w="1420" w:type="dxa"/>
            <w:vAlign w:val="bottom"/>
            <w:tcBorders>
              <w:right w:val="single" w:sz="8" w:color="BEBEBE"/>
            </w:tcBorders>
          </w:tcPr>
          <w:p>
            <w:pPr>
              <w:spacing w:after="0"/>
              <w:rPr>
                <w:sz w:val="18"/>
                <w:szCs w:val="18"/>
                <w:color w:val="auto"/>
              </w:rPr>
            </w:pPr>
          </w:p>
        </w:tc>
        <w:tc>
          <w:tcPr>
            <w:tcW w:w="1440" w:type="dxa"/>
            <w:vAlign w:val="bottom"/>
            <w:tcBorders>
              <w:right w:val="single" w:sz="8" w:color="BEBEBE"/>
            </w:tcBorders>
          </w:tcPr>
          <w:p>
            <w:pPr>
              <w:spacing w:after="0"/>
              <w:rPr>
                <w:sz w:val="18"/>
                <w:szCs w:val="18"/>
                <w:color w:val="auto"/>
              </w:rPr>
            </w:pPr>
          </w:p>
        </w:tc>
        <w:tc>
          <w:tcPr>
            <w:tcW w:w="1520" w:type="dxa"/>
            <w:vAlign w:val="bottom"/>
            <w:tcBorders>
              <w:right w:val="single" w:sz="8" w:color="BEBEBE"/>
            </w:tcBorders>
          </w:tcPr>
          <w:p>
            <w:pPr>
              <w:spacing w:after="0"/>
              <w:rPr>
                <w:sz w:val="18"/>
                <w:szCs w:val="18"/>
                <w:color w:val="auto"/>
              </w:rPr>
            </w:pPr>
          </w:p>
        </w:tc>
        <w:tc>
          <w:tcPr>
            <w:tcW w:w="1380" w:type="dxa"/>
            <w:vAlign w:val="bottom"/>
            <w:tcBorders>
              <w:right w:val="single" w:sz="8" w:color="BEBEBE"/>
            </w:tcBorders>
          </w:tcPr>
          <w:p>
            <w:pPr>
              <w:spacing w:after="0"/>
              <w:rPr>
                <w:sz w:val="18"/>
                <w:szCs w:val="18"/>
                <w:color w:val="auto"/>
              </w:rPr>
            </w:pPr>
          </w:p>
        </w:tc>
        <w:tc>
          <w:tcPr>
            <w:tcW w:w="26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ONE SOURCE FOR</w:t>
            </w:r>
          </w:p>
        </w:tc>
        <w:tc>
          <w:tcPr>
            <w:tcW w:w="1040" w:type="dxa"/>
            <w:vAlign w:val="bottom"/>
            <w:tcBorders>
              <w:right w:val="single" w:sz="8" w:color="BEBEBE"/>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Borders>
              <w:left w:val="single" w:sz="8" w:color="BEBEBE"/>
              <w:right w:val="single" w:sz="8" w:color="BEBEBE"/>
            </w:tcBorders>
          </w:tcPr>
          <w:p>
            <w:pPr>
              <w:ind w:left="120"/>
              <w:spacing w:after="0" w:line="202" w:lineRule="exact"/>
              <w:rPr>
                <w:sz w:val="20"/>
                <w:szCs w:val="20"/>
                <w:color w:val="auto"/>
              </w:rPr>
            </w:pPr>
            <w:r>
              <w:rPr>
                <w:rFonts w:ascii="Arial" w:cs="Arial" w:eastAsia="Arial" w:hAnsi="Arial"/>
                <w:sz w:val="18"/>
                <w:szCs w:val="18"/>
                <w:color w:val="auto"/>
              </w:rPr>
              <w:t>85/144,435</w:t>
            </w:r>
          </w:p>
        </w:tc>
        <w:tc>
          <w:tcPr>
            <w:tcW w:w="1420" w:type="dxa"/>
            <w:vAlign w:val="bottom"/>
            <w:tcBorders>
              <w:right w:val="single" w:sz="8" w:color="BEBEBE"/>
            </w:tcBorders>
          </w:tcPr>
          <w:p>
            <w:pPr>
              <w:jc w:val="center"/>
              <w:ind w:right="131"/>
              <w:spacing w:after="0" w:line="202" w:lineRule="exact"/>
              <w:rPr>
                <w:sz w:val="20"/>
                <w:szCs w:val="20"/>
                <w:color w:val="auto"/>
              </w:rPr>
            </w:pPr>
            <w:r>
              <w:rPr>
                <w:rFonts w:ascii="Arial" w:cs="Arial" w:eastAsia="Arial" w:hAnsi="Arial"/>
                <w:sz w:val="18"/>
                <w:szCs w:val="18"/>
                <w:color w:val="auto"/>
                <w:w w:val="99"/>
              </w:rPr>
              <w:t>10/4/2010</w:t>
            </w:r>
          </w:p>
        </w:tc>
        <w:tc>
          <w:tcPr>
            <w:tcW w:w="1440" w:type="dxa"/>
            <w:vAlign w:val="bottom"/>
            <w:tcBorders>
              <w:right w:val="single" w:sz="8" w:color="BEBEBE"/>
            </w:tcBorders>
          </w:tcPr>
          <w:p>
            <w:pPr>
              <w:ind w:left="120"/>
              <w:spacing w:after="0" w:line="202" w:lineRule="exact"/>
              <w:rPr>
                <w:sz w:val="20"/>
                <w:szCs w:val="20"/>
                <w:color w:val="auto"/>
              </w:rPr>
            </w:pPr>
            <w:r>
              <w:rPr>
                <w:rFonts w:ascii="Arial" w:cs="Arial" w:eastAsia="Arial" w:hAnsi="Arial"/>
                <w:sz w:val="18"/>
                <w:szCs w:val="18"/>
                <w:color w:val="auto"/>
              </w:rPr>
              <w:t>4,104,058</w:t>
            </w:r>
          </w:p>
        </w:tc>
        <w:tc>
          <w:tcPr>
            <w:tcW w:w="1520" w:type="dxa"/>
            <w:vAlign w:val="bottom"/>
            <w:tcBorders>
              <w:right w:val="single" w:sz="8" w:color="BEBEBE"/>
            </w:tcBorders>
          </w:tcPr>
          <w:p>
            <w:pPr>
              <w:jc w:val="center"/>
              <w:spacing w:after="0" w:line="202" w:lineRule="exact"/>
              <w:rPr>
                <w:sz w:val="20"/>
                <w:szCs w:val="20"/>
                <w:color w:val="auto"/>
              </w:rPr>
            </w:pPr>
            <w:r>
              <w:rPr>
                <w:rFonts w:ascii="Arial" w:cs="Arial" w:eastAsia="Arial" w:hAnsi="Arial"/>
                <w:sz w:val="18"/>
                <w:szCs w:val="18"/>
                <w:color w:val="auto"/>
                <w:w w:val="99"/>
              </w:rPr>
              <w:t>2/28/2012</w:t>
            </w:r>
          </w:p>
        </w:tc>
        <w:tc>
          <w:tcPr>
            <w:tcW w:w="1380" w:type="dxa"/>
            <w:vAlign w:val="bottom"/>
            <w:tcBorders>
              <w:right w:val="single" w:sz="8" w:color="BEBEBE"/>
            </w:tcBorders>
          </w:tcPr>
          <w:p>
            <w:pPr>
              <w:ind w:left="100"/>
              <w:spacing w:after="0" w:line="202" w:lineRule="exact"/>
              <w:rPr>
                <w:sz w:val="20"/>
                <w:szCs w:val="20"/>
                <w:color w:val="auto"/>
              </w:rPr>
            </w:pPr>
            <w:r>
              <w:rPr>
                <w:rFonts w:ascii="Arial" w:cs="Arial" w:eastAsia="Arial" w:hAnsi="Arial"/>
                <w:sz w:val="18"/>
                <w:szCs w:val="18"/>
                <w:color w:val="auto"/>
              </w:rPr>
              <w:t>Registered</w:t>
            </w:r>
          </w:p>
        </w:tc>
        <w:tc>
          <w:tcPr>
            <w:tcW w:w="2680" w:type="dxa"/>
            <w:vAlign w:val="bottom"/>
            <w:tcBorders>
              <w:right w:val="single" w:sz="8" w:color="BEBEBE"/>
            </w:tcBorders>
          </w:tcPr>
          <w:p>
            <w:pPr>
              <w:ind w:left="100"/>
              <w:spacing w:after="0" w:line="202" w:lineRule="exact"/>
              <w:rPr>
                <w:sz w:val="20"/>
                <w:szCs w:val="20"/>
                <w:color w:val="auto"/>
              </w:rPr>
            </w:pPr>
            <w:r>
              <w:rPr>
                <w:rFonts w:ascii="Arial" w:cs="Arial" w:eastAsia="Arial" w:hAnsi="Arial"/>
                <w:sz w:val="18"/>
                <w:szCs w:val="18"/>
                <w:color w:val="auto"/>
              </w:rPr>
              <w:t>ASSET PROTECTION</w:t>
            </w:r>
          </w:p>
        </w:tc>
        <w:tc>
          <w:tcPr>
            <w:tcW w:w="1040" w:type="dxa"/>
            <w:vAlign w:val="bottom"/>
            <w:tcBorders>
              <w:right w:val="single" w:sz="8" w:color="BEBEBE"/>
            </w:tcBorders>
          </w:tcPr>
          <w:p>
            <w:pPr>
              <w:ind w:left="100"/>
              <w:spacing w:after="0" w:line="202" w:lineRule="exact"/>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01"/>
        </w:trPr>
        <w:tc>
          <w:tcPr>
            <w:tcW w:w="1420" w:type="dxa"/>
            <w:vAlign w:val="bottom"/>
            <w:tcBorders>
              <w:left w:val="single" w:sz="8" w:color="BEBEBE"/>
              <w:bottom w:val="single" w:sz="8" w:color="BEBEBE"/>
              <w:right w:val="single" w:sz="8" w:color="BEBEBE"/>
            </w:tcBorders>
          </w:tcPr>
          <w:p>
            <w:pPr>
              <w:spacing w:after="0"/>
              <w:rPr>
                <w:sz w:val="17"/>
                <w:szCs w:val="17"/>
                <w:color w:val="auto"/>
              </w:rPr>
            </w:pPr>
          </w:p>
        </w:tc>
        <w:tc>
          <w:tcPr>
            <w:tcW w:w="1420" w:type="dxa"/>
            <w:vAlign w:val="bottom"/>
            <w:tcBorders>
              <w:bottom w:val="single" w:sz="8" w:color="BEBEBE"/>
              <w:right w:val="single" w:sz="8" w:color="BEBEBE"/>
            </w:tcBorders>
          </w:tcPr>
          <w:p>
            <w:pPr>
              <w:spacing w:after="0"/>
              <w:rPr>
                <w:sz w:val="17"/>
                <w:szCs w:val="17"/>
                <w:color w:val="auto"/>
              </w:rPr>
            </w:pPr>
          </w:p>
        </w:tc>
        <w:tc>
          <w:tcPr>
            <w:tcW w:w="1440" w:type="dxa"/>
            <w:vAlign w:val="bottom"/>
            <w:tcBorders>
              <w:bottom w:val="single" w:sz="8" w:color="BEBEBE"/>
              <w:right w:val="single" w:sz="8" w:color="BEBEBE"/>
            </w:tcBorders>
          </w:tcPr>
          <w:p>
            <w:pPr>
              <w:spacing w:after="0"/>
              <w:rPr>
                <w:sz w:val="17"/>
                <w:szCs w:val="17"/>
                <w:color w:val="auto"/>
              </w:rPr>
            </w:pPr>
          </w:p>
        </w:tc>
        <w:tc>
          <w:tcPr>
            <w:tcW w:w="1520" w:type="dxa"/>
            <w:vAlign w:val="bottom"/>
            <w:tcBorders>
              <w:bottom w:val="single" w:sz="8" w:color="BEBEBE"/>
              <w:right w:val="single" w:sz="8" w:color="BEBEBE"/>
            </w:tcBorders>
          </w:tcPr>
          <w:p>
            <w:pPr>
              <w:spacing w:after="0"/>
              <w:rPr>
                <w:sz w:val="17"/>
                <w:szCs w:val="17"/>
                <w:color w:val="auto"/>
              </w:rPr>
            </w:pPr>
          </w:p>
        </w:tc>
        <w:tc>
          <w:tcPr>
            <w:tcW w:w="1380" w:type="dxa"/>
            <w:vAlign w:val="bottom"/>
            <w:tcBorders>
              <w:bottom w:val="single" w:sz="8" w:color="BEBEBE"/>
              <w:right w:val="single" w:sz="8" w:color="BEBEBE"/>
            </w:tcBorders>
          </w:tcPr>
          <w:p>
            <w:pPr>
              <w:spacing w:after="0"/>
              <w:rPr>
                <w:sz w:val="17"/>
                <w:szCs w:val="17"/>
                <w:color w:val="auto"/>
              </w:rPr>
            </w:pPr>
          </w:p>
        </w:tc>
        <w:tc>
          <w:tcPr>
            <w:tcW w:w="2680" w:type="dxa"/>
            <w:vAlign w:val="bottom"/>
            <w:tcBorders>
              <w:bottom w:val="single" w:sz="8" w:color="BEBEBE"/>
              <w:right w:val="single" w:sz="8" w:color="BEBEBE"/>
            </w:tcBorders>
          </w:tcPr>
          <w:p>
            <w:pPr>
              <w:ind w:left="100"/>
              <w:spacing w:after="0" w:line="201" w:lineRule="exact"/>
              <w:rPr>
                <w:sz w:val="20"/>
                <w:szCs w:val="20"/>
                <w:color w:val="auto"/>
              </w:rPr>
            </w:pPr>
            <w:r>
              <w:rPr>
                <w:rFonts w:ascii="Arial" w:cs="Arial" w:eastAsia="Arial" w:hAnsi="Arial"/>
                <w:sz w:val="18"/>
                <w:szCs w:val="18"/>
                <w:color w:val="auto"/>
              </w:rPr>
              <w:t>SOLUTIONS</w:t>
            </w:r>
          </w:p>
        </w:tc>
        <w:tc>
          <w:tcPr>
            <w:tcW w:w="1040" w:type="dxa"/>
            <w:vAlign w:val="bottom"/>
            <w:tcBorders>
              <w:bottom w:val="single" w:sz="8" w:color="BEBEBE"/>
              <w:right w:val="single" w:sz="8" w:color="BEBEBE"/>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420" w:type="dxa"/>
            <w:vAlign w:val="bottom"/>
            <w:tcBorders>
              <w:left w:val="single" w:sz="8" w:color="BEBEBE"/>
              <w:right w:val="single" w:sz="8" w:color="BEBEBE"/>
            </w:tcBorders>
          </w:tcPr>
          <w:p>
            <w:pPr>
              <w:spacing w:after="0"/>
              <w:rPr>
                <w:sz w:val="18"/>
                <w:szCs w:val="18"/>
                <w:color w:val="auto"/>
              </w:rPr>
            </w:pPr>
          </w:p>
        </w:tc>
        <w:tc>
          <w:tcPr>
            <w:tcW w:w="1420" w:type="dxa"/>
            <w:vAlign w:val="bottom"/>
            <w:tcBorders>
              <w:right w:val="single" w:sz="8" w:color="BEBEBE"/>
            </w:tcBorders>
          </w:tcPr>
          <w:p>
            <w:pPr>
              <w:spacing w:after="0"/>
              <w:rPr>
                <w:sz w:val="18"/>
                <w:szCs w:val="18"/>
                <w:color w:val="auto"/>
              </w:rPr>
            </w:pPr>
          </w:p>
        </w:tc>
        <w:tc>
          <w:tcPr>
            <w:tcW w:w="1440" w:type="dxa"/>
            <w:vAlign w:val="bottom"/>
            <w:tcBorders>
              <w:right w:val="single" w:sz="8" w:color="BEBEBE"/>
            </w:tcBorders>
          </w:tcPr>
          <w:p>
            <w:pPr>
              <w:spacing w:after="0"/>
              <w:rPr>
                <w:sz w:val="18"/>
                <w:szCs w:val="18"/>
                <w:color w:val="auto"/>
              </w:rPr>
            </w:pPr>
          </w:p>
        </w:tc>
        <w:tc>
          <w:tcPr>
            <w:tcW w:w="1520" w:type="dxa"/>
            <w:vAlign w:val="bottom"/>
            <w:tcBorders>
              <w:right w:val="single" w:sz="8" w:color="BEBEBE"/>
            </w:tcBorders>
          </w:tcPr>
          <w:p>
            <w:pPr>
              <w:spacing w:after="0"/>
              <w:rPr>
                <w:sz w:val="18"/>
                <w:szCs w:val="18"/>
                <w:color w:val="auto"/>
              </w:rPr>
            </w:pPr>
          </w:p>
        </w:tc>
        <w:tc>
          <w:tcPr>
            <w:tcW w:w="1380" w:type="dxa"/>
            <w:vAlign w:val="bottom"/>
            <w:tcBorders>
              <w:right w:val="single" w:sz="8" w:color="BEBEBE"/>
            </w:tcBorders>
          </w:tcPr>
          <w:p>
            <w:pPr>
              <w:spacing w:after="0"/>
              <w:rPr>
                <w:sz w:val="18"/>
                <w:szCs w:val="18"/>
                <w:color w:val="auto"/>
              </w:rPr>
            </w:pPr>
          </w:p>
        </w:tc>
        <w:tc>
          <w:tcPr>
            <w:tcW w:w="26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PAC PHYSICAL</w:t>
            </w:r>
          </w:p>
        </w:tc>
        <w:tc>
          <w:tcPr>
            <w:tcW w:w="1040" w:type="dxa"/>
            <w:vAlign w:val="bottom"/>
            <w:tcBorders>
              <w:right w:val="single" w:sz="8" w:color="BEBEBE"/>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Borders>
              <w:left w:val="single" w:sz="8" w:color="BEBEBE"/>
              <w:right w:val="single" w:sz="8" w:color="BEBEBE"/>
            </w:tcBorders>
          </w:tcPr>
          <w:p>
            <w:pPr>
              <w:ind w:left="120"/>
              <w:spacing w:after="0" w:line="202" w:lineRule="exact"/>
              <w:rPr>
                <w:sz w:val="20"/>
                <w:szCs w:val="20"/>
                <w:color w:val="auto"/>
              </w:rPr>
            </w:pPr>
            <w:r>
              <w:rPr>
                <w:rFonts w:ascii="Arial" w:cs="Arial" w:eastAsia="Arial" w:hAnsi="Arial"/>
                <w:sz w:val="18"/>
                <w:szCs w:val="18"/>
                <w:color w:val="auto"/>
              </w:rPr>
              <w:t>85/074,997</w:t>
            </w:r>
          </w:p>
        </w:tc>
        <w:tc>
          <w:tcPr>
            <w:tcW w:w="1420" w:type="dxa"/>
            <w:vAlign w:val="bottom"/>
            <w:tcBorders>
              <w:right w:val="single" w:sz="8" w:color="BEBEBE"/>
            </w:tcBorders>
          </w:tcPr>
          <w:p>
            <w:pPr>
              <w:jc w:val="center"/>
              <w:ind w:right="131"/>
              <w:spacing w:after="0" w:line="202" w:lineRule="exact"/>
              <w:rPr>
                <w:sz w:val="20"/>
                <w:szCs w:val="20"/>
                <w:color w:val="auto"/>
              </w:rPr>
            </w:pPr>
            <w:r>
              <w:rPr>
                <w:rFonts w:ascii="Arial" w:cs="Arial" w:eastAsia="Arial" w:hAnsi="Arial"/>
                <w:sz w:val="18"/>
                <w:szCs w:val="18"/>
                <w:color w:val="auto"/>
                <w:w w:val="99"/>
              </w:rPr>
              <w:t>6/30/2010</w:t>
            </w:r>
          </w:p>
        </w:tc>
        <w:tc>
          <w:tcPr>
            <w:tcW w:w="1440" w:type="dxa"/>
            <w:vAlign w:val="bottom"/>
            <w:tcBorders>
              <w:right w:val="single" w:sz="8" w:color="BEBEBE"/>
            </w:tcBorders>
          </w:tcPr>
          <w:p>
            <w:pPr>
              <w:ind w:left="120"/>
              <w:spacing w:after="0" w:line="202" w:lineRule="exact"/>
              <w:rPr>
                <w:sz w:val="20"/>
                <w:szCs w:val="20"/>
                <w:color w:val="auto"/>
              </w:rPr>
            </w:pPr>
            <w:r>
              <w:rPr>
                <w:rFonts w:ascii="Arial" w:cs="Arial" w:eastAsia="Arial" w:hAnsi="Arial"/>
                <w:sz w:val="18"/>
                <w:szCs w:val="18"/>
                <w:color w:val="auto"/>
              </w:rPr>
              <w:t>4,047,706</w:t>
            </w:r>
          </w:p>
        </w:tc>
        <w:tc>
          <w:tcPr>
            <w:tcW w:w="1520" w:type="dxa"/>
            <w:vAlign w:val="bottom"/>
            <w:tcBorders>
              <w:right w:val="single" w:sz="8" w:color="BEBEBE"/>
            </w:tcBorders>
          </w:tcPr>
          <w:p>
            <w:pPr>
              <w:jc w:val="center"/>
              <w:spacing w:after="0" w:line="202" w:lineRule="exact"/>
              <w:rPr>
                <w:sz w:val="20"/>
                <w:szCs w:val="20"/>
                <w:color w:val="auto"/>
              </w:rPr>
            </w:pPr>
            <w:r>
              <w:rPr>
                <w:rFonts w:ascii="Arial" w:cs="Arial" w:eastAsia="Arial" w:hAnsi="Arial"/>
                <w:sz w:val="18"/>
                <w:szCs w:val="18"/>
                <w:color w:val="auto"/>
                <w:w w:val="99"/>
              </w:rPr>
              <w:t>11/1/2011</w:t>
            </w:r>
          </w:p>
        </w:tc>
        <w:tc>
          <w:tcPr>
            <w:tcW w:w="1380" w:type="dxa"/>
            <w:vAlign w:val="bottom"/>
            <w:tcBorders>
              <w:right w:val="single" w:sz="8" w:color="BEBEBE"/>
            </w:tcBorders>
          </w:tcPr>
          <w:p>
            <w:pPr>
              <w:ind w:left="100"/>
              <w:spacing w:after="0" w:line="202" w:lineRule="exact"/>
              <w:rPr>
                <w:sz w:val="20"/>
                <w:szCs w:val="20"/>
                <w:color w:val="auto"/>
              </w:rPr>
            </w:pPr>
            <w:r>
              <w:rPr>
                <w:rFonts w:ascii="Arial" w:cs="Arial" w:eastAsia="Arial" w:hAnsi="Arial"/>
                <w:sz w:val="18"/>
                <w:szCs w:val="18"/>
                <w:color w:val="auto"/>
              </w:rPr>
              <w:t>Registered</w:t>
            </w:r>
          </w:p>
        </w:tc>
        <w:tc>
          <w:tcPr>
            <w:tcW w:w="2680" w:type="dxa"/>
            <w:vAlign w:val="bottom"/>
            <w:tcBorders>
              <w:right w:val="single" w:sz="8" w:color="BEBEBE"/>
            </w:tcBorders>
          </w:tcPr>
          <w:p>
            <w:pPr>
              <w:ind w:left="100"/>
              <w:spacing w:after="0" w:line="202" w:lineRule="exact"/>
              <w:rPr>
                <w:sz w:val="20"/>
                <w:szCs w:val="20"/>
                <w:color w:val="auto"/>
              </w:rPr>
            </w:pPr>
            <w:r>
              <w:rPr>
                <w:rFonts w:ascii="Arial" w:cs="Arial" w:eastAsia="Arial" w:hAnsi="Arial"/>
                <w:sz w:val="18"/>
                <w:szCs w:val="18"/>
                <w:color w:val="auto"/>
              </w:rPr>
              <w:t>ACOUSTICS</w:t>
            </w:r>
          </w:p>
        </w:tc>
        <w:tc>
          <w:tcPr>
            <w:tcW w:w="1040" w:type="dxa"/>
            <w:vAlign w:val="bottom"/>
            <w:tcBorders>
              <w:right w:val="single" w:sz="8" w:color="BEBEBE"/>
            </w:tcBorders>
          </w:tcPr>
          <w:p>
            <w:pPr>
              <w:ind w:left="100"/>
              <w:spacing w:after="0" w:line="202" w:lineRule="exact"/>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01"/>
        </w:trPr>
        <w:tc>
          <w:tcPr>
            <w:tcW w:w="1420" w:type="dxa"/>
            <w:vAlign w:val="bottom"/>
            <w:tcBorders>
              <w:left w:val="single" w:sz="8" w:color="BEBEBE"/>
              <w:bottom w:val="single" w:sz="8" w:color="BEBEBE"/>
              <w:right w:val="single" w:sz="8" w:color="BEBEBE"/>
            </w:tcBorders>
          </w:tcPr>
          <w:p>
            <w:pPr>
              <w:spacing w:after="0"/>
              <w:rPr>
                <w:sz w:val="17"/>
                <w:szCs w:val="17"/>
                <w:color w:val="auto"/>
              </w:rPr>
            </w:pPr>
          </w:p>
        </w:tc>
        <w:tc>
          <w:tcPr>
            <w:tcW w:w="1420" w:type="dxa"/>
            <w:vAlign w:val="bottom"/>
            <w:tcBorders>
              <w:bottom w:val="single" w:sz="8" w:color="BEBEBE"/>
              <w:right w:val="single" w:sz="8" w:color="BEBEBE"/>
            </w:tcBorders>
          </w:tcPr>
          <w:p>
            <w:pPr>
              <w:spacing w:after="0"/>
              <w:rPr>
                <w:sz w:val="17"/>
                <w:szCs w:val="17"/>
                <w:color w:val="auto"/>
              </w:rPr>
            </w:pPr>
          </w:p>
        </w:tc>
        <w:tc>
          <w:tcPr>
            <w:tcW w:w="1440" w:type="dxa"/>
            <w:vAlign w:val="bottom"/>
            <w:tcBorders>
              <w:bottom w:val="single" w:sz="8" w:color="BEBEBE"/>
              <w:right w:val="single" w:sz="8" w:color="BEBEBE"/>
            </w:tcBorders>
          </w:tcPr>
          <w:p>
            <w:pPr>
              <w:spacing w:after="0"/>
              <w:rPr>
                <w:sz w:val="17"/>
                <w:szCs w:val="17"/>
                <w:color w:val="auto"/>
              </w:rPr>
            </w:pPr>
          </w:p>
        </w:tc>
        <w:tc>
          <w:tcPr>
            <w:tcW w:w="1520" w:type="dxa"/>
            <w:vAlign w:val="bottom"/>
            <w:tcBorders>
              <w:bottom w:val="single" w:sz="8" w:color="BEBEBE"/>
              <w:right w:val="single" w:sz="8" w:color="BEBEBE"/>
            </w:tcBorders>
          </w:tcPr>
          <w:p>
            <w:pPr>
              <w:spacing w:after="0"/>
              <w:rPr>
                <w:sz w:val="17"/>
                <w:szCs w:val="17"/>
                <w:color w:val="auto"/>
              </w:rPr>
            </w:pPr>
          </w:p>
        </w:tc>
        <w:tc>
          <w:tcPr>
            <w:tcW w:w="1380" w:type="dxa"/>
            <w:vAlign w:val="bottom"/>
            <w:tcBorders>
              <w:bottom w:val="single" w:sz="8" w:color="BEBEBE"/>
              <w:right w:val="single" w:sz="8" w:color="BEBEBE"/>
            </w:tcBorders>
          </w:tcPr>
          <w:p>
            <w:pPr>
              <w:spacing w:after="0"/>
              <w:rPr>
                <w:sz w:val="17"/>
                <w:szCs w:val="17"/>
                <w:color w:val="auto"/>
              </w:rPr>
            </w:pPr>
          </w:p>
        </w:tc>
        <w:tc>
          <w:tcPr>
            <w:tcW w:w="2680" w:type="dxa"/>
            <w:vAlign w:val="bottom"/>
            <w:tcBorders>
              <w:bottom w:val="single" w:sz="8" w:color="BEBEBE"/>
              <w:right w:val="single" w:sz="8" w:color="BEBEBE"/>
            </w:tcBorders>
          </w:tcPr>
          <w:p>
            <w:pPr>
              <w:ind w:left="100"/>
              <w:spacing w:after="0" w:line="201" w:lineRule="exact"/>
              <w:rPr>
                <w:sz w:val="20"/>
                <w:szCs w:val="20"/>
                <w:color w:val="auto"/>
              </w:rPr>
            </w:pPr>
            <w:r>
              <w:rPr>
                <w:rFonts w:ascii="Arial" w:cs="Arial" w:eastAsia="Arial" w:hAnsi="Arial"/>
                <w:sz w:val="18"/>
                <w:szCs w:val="18"/>
                <w:color w:val="auto"/>
              </w:rPr>
              <w:t>CORPORATION &amp; Design</w:t>
            </w:r>
          </w:p>
        </w:tc>
        <w:tc>
          <w:tcPr>
            <w:tcW w:w="1040" w:type="dxa"/>
            <w:vAlign w:val="bottom"/>
            <w:tcBorders>
              <w:bottom w:val="single" w:sz="8" w:color="BEBEBE"/>
              <w:right w:val="single" w:sz="8" w:color="BEBEBE"/>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20" w:type="dxa"/>
            <w:vAlign w:val="bottom"/>
            <w:tcBorders>
              <w:left w:val="single" w:sz="8" w:color="BEBEBE"/>
              <w:right w:val="single" w:sz="8" w:color="BEBEBE"/>
            </w:tcBorders>
          </w:tcPr>
          <w:p>
            <w:pPr>
              <w:ind w:left="120"/>
              <w:spacing w:after="0"/>
              <w:rPr>
                <w:sz w:val="20"/>
                <w:szCs w:val="20"/>
                <w:color w:val="auto"/>
              </w:rPr>
            </w:pPr>
            <w:r>
              <w:rPr>
                <w:rFonts w:ascii="Arial" w:cs="Arial" w:eastAsia="Arial" w:hAnsi="Arial"/>
                <w:sz w:val="18"/>
                <w:szCs w:val="18"/>
                <w:color w:val="auto"/>
              </w:rPr>
              <w:t>85/075,019</w:t>
            </w:r>
          </w:p>
        </w:tc>
        <w:tc>
          <w:tcPr>
            <w:tcW w:w="1420" w:type="dxa"/>
            <w:vAlign w:val="bottom"/>
            <w:tcBorders>
              <w:right w:val="single" w:sz="8" w:color="BEBEBE"/>
            </w:tcBorders>
          </w:tcPr>
          <w:p>
            <w:pPr>
              <w:jc w:val="center"/>
              <w:ind w:right="131"/>
              <w:spacing w:after="0"/>
              <w:rPr>
                <w:sz w:val="20"/>
                <w:szCs w:val="20"/>
                <w:color w:val="auto"/>
              </w:rPr>
            </w:pPr>
            <w:r>
              <w:rPr>
                <w:rFonts w:ascii="Arial" w:cs="Arial" w:eastAsia="Arial" w:hAnsi="Arial"/>
                <w:sz w:val="18"/>
                <w:szCs w:val="18"/>
                <w:color w:val="auto"/>
                <w:w w:val="99"/>
              </w:rPr>
              <w:t>6/30/2010</w:t>
            </w:r>
          </w:p>
        </w:tc>
        <w:tc>
          <w:tcPr>
            <w:tcW w:w="1440" w:type="dxa"/>
            <w:vAlign w:val="bottom"/>
            <w:tcBorders>
              <w:right w:val="single" w:sz="8" w:color="BEBEBE"/>
            </w:tcBorders>
          </w:tcPr>
          <w:p>
            <w:pPr>
              <w:ind w:left="120"/>
              <w:spacing w:after="0"/>
              <w:rPr>
                <w:sz w:val="20"/>
                <w:szCs w:val="20"/>
                <w:color w:val="auto"/>
              </w:rPr>
            </w:pPr>
            <w:r>
              <w:rPr>
                <w:rFonts w:ascii="Arial" w:cs="Arial" w:eastAsia="Arial" w:hAnsi="Arial"/>
                <w:sz w:val="18"/>
                <w:szCs w:val="18"/>
                <w:color w:val="auto"/>
              </w:rPr>
              <w:t>4,033,563</w:t>
            </w:r>
          </w:p>
        </w:tc>
        <w:tc>
          <w:tcPr>
            <w:tcW w:w="1520" w:type="dxa"/>
            <w:vAlign w:val="bottom"/>
            <w:tcBorders>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10/4/2011</w:t>
            </w:r>
          </w:p>
        </w:tc>
        <w:tc>
          <w:tcPr>
            <w:tcW w:w="13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6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POCKET UT</w:t>
            </w:r>
          </w:p>
        </w:tc>
        <w:tc>
          <w:tcPr>
            <w:tcW w:w="104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tcPr>
          <w:p>
            <w:pPr>
              <w:spacing w:after="0"/>
              <w:rPr>
                <w:sz w:val="10"/>
                <w:szCs w:val="10"/>
                <w:color w:val="auto"/>
              </w:rPr>
            </w:pPr>
          </w:p>
        </w:tc>
        <w:tc>
          <w:tcPr>
            <w:tcW w:w="1520" w:type="dxa"/>
            <w:vAlign w:val="bottom"/>
            <w:tcBorders>
              <w:bottom w:val="single" w:sz="8" w:color="BEBEBE"/>
              <w:right w:val="single" w:sz="8" w:color="BEBEBE"/>
            </w:tcBorders>
            <w:vMerge w:val="continue"/>
          </w:tcPr>
          <w:p>
            <w:pPr>
              <w:spacing w:after="0"/>
              <w:rPr>
                <w:sz w:val="10"/>
                <w:szCs w:val="10"/>
                <w:color w:val="auto"/>
              </w:rPr>
            </w:pPr>
          </w:p>
        </w:tc>
        <w:tc>
          <w:tcPr>
            <w:tcW w:w="1380" w:type="dxa"/>
            <w:vAlign w:val="bottom"/>
            <w:tcBorders>
              <w:bottom w:val="single" w:sz="8" w:color="BEBEBE"/>
              <w:right w:val="single" w:sz="8" w:color="BEBEBE"/>
            </w:tcBorders>
          </w:tcPr>
          <w:p>
            <w:pPr>
              <w:spacing w:after="0"/>
              <w:rPr>
                <w:sz w:val="10"/>
                <w:szCs w:val="10"/>
                <w:color w:val="auto"/>
              </w:rPr>
            </w:pPr>
          </w:p>
        </w:tc>
        <w:tc>
          <w:tcPr>
            <w:tcW w:w="268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420" w:type="dxa"/>
            <w:vAlign w:val="bottom"/>
            <w:tcBorders>
              <w:left w:val="single" w:sz="8" w:color="BEBEBE"/>
              <w:right w:val="single" w:sz="8" w:color="BEBEBE"/>
            </w:tcBorders>
          </w:tcPr>
          <w:p>
            <w:pPr>
              <w:ind w:left="120"/>
              <w:spacing w:after="0"/>
              <w:rPr>
                <w:sz w:val="20"/>
                <w:szCs w:val="20"/>
                <w:color w:val="auto"/>
              </w:rPr>
            </w:pPr>
            <w:r>
              <w:rPr>
                <w:rFonts w:ascii="Arial" w:cs="Arial" w:eastAsia="Arial" w:hAnsi="Arial"/>
                <w:sz w:val="18"/>
                <w:szCs w:val="18"/>
                <w:color w:val="auto"/>
              </w:rPr>
              <w:t>85/075,505</w:t>
            </w:r>
          </w:p>
        </w:tc>
        <w:tc>
          <w:tcPr>
            <w:tcW w:w="1420" w:type="dxa"/>
            <w:vAlign w:val="bottom"/>
            <w:tcBorders>
              <w:right w:val="single" w:sz="8" w:color="BEBEBE"/>
            </w:tcBorders>
          </w:tcPr>
          <w:p>
            <w:pPr>
              <w:jc w:val="center"/>
              <w:ind w:right="131"/>
              <w:spacing w:after="0"/>
              <w:rPr>
                <w:sz w:val="20"/>
                <w:szCs w:val="20"/>
                <w:color w:val="auto"/>
              </w:rPr>
            </w:pPr>
            <w:r>
              <w:rPr>
                <w:rFonts w:ascii="Arial" w:cs="Arial" w:eastAsia="Arial" w:hAnsi="Arial"/>
                <w:sz w:val="18"/>
                <w:szCs w:val="18"/>
                <w:color w:val="auto"/>
                <w:w w:val="99"/>
              </w:rPr>
              <w:t>6/30/2010</w:t>
            </w:r>
          </w:p>
        </w:tc>
        <w:tc>
          <w:tcPr>
            <w:tcW w:w="1440" w:type="dxa"/>
            <w:vAlign w:val="bottom"/>
            <w:tcBorders>
              <w:right w:val="single" w:sz="8" w:color="BEBEBE"/>
            </w:tcBorders>
          </w:tcPr>
          <w:p>
            <w:pPr>
              <w:ind w:left="120"/>
              <w:spacing w:after="0"/>
              <w:rPr>
                <w:sz w:val="20"/>
                <w:szCs w:val="20"/>
                <w:color w:val="auto"/>
              </w:rPr>
            </w:pPr>
            <w:r>
              <w:rPr>
                <w:rFonts w:ascii="Arial" w:cs="Arial" w:eastAsia="Arial" w:hAnsi="Arial"/>
                <w:sz w:val="18"/>
                <w:szCs w:val="18"/>
                <w:color w:val="auto"/>
              </w:rPr>
              <w:t>4,027,789</w:t>
            </w:r>
          </w:p>
        </w:tc>
        <w:tc>
          <w:tcPr>
            <w:tcW w:w="1520" w:type="dxa"/>
            <w:vAlign w:val="bottom"/>
            <w:tcBorders>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9/20/2011</w:t>
            </w:r>
          </w:p>
        </w:tc>
        <w:tc>
          <w:tcPr>
            <w:tcW w:w="13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6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TANKPAC</w:t>
            </w:r>
          </w:p>
        </w:tc>
        <w:tc>
          <w:tcPr>
            <w:tcW w:w="104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tcPr>
          <w:p>
            <w:pPr>
              <w:spacing w:after="0"/>
              <w:rPr>
                <w:sz w:val="10"/>
                <w:szCs w:val="10"/>
                <w:color w:val="auto"/>
              </w:rPr>
            </w:pPr>
          </w:p>
        </w:tc>
        <w:tc>
          <w:tcPr>
            <w:tcW w:w="1520" w:type="dxa"/>
            <w:vAlign w:val="bottom"/>
            <w:tcBorders>
              <w:bottom w:val="single" w:sz="8" w:color="BEBEBE"/>
              <w:right w:val="single" w:sz="8" w:color="BEBEBE"/>
            </w:tcBorders>
            <w:vMerge w:val="continue"/>
          </w:tcPr>
          <w:p>
            <w:pPr>
              <w:spacing w:after="0"/>
              <w:rPr>
                <w:sz w:val="10"/>
                <w:szCs w:val="10"/>
                <w:color w:val="auto"/>
              </w:rPr>
            </w:pPr>
          </w:p>
        </w:tc>
        <w:tc>
          <w:tcPr>
            <w:tcW w:w="1380" w:type="dxa"/>
            <w:vAlign w:val="bottom"/>
            <w:tcBorders>
              <w:bottom w:val="single" w:sz="8" w:color="BEBEBE"/>
              <w:right w:val="single" w:sz="8" w:color="BEBEBE"/>
            </w:tcBorders>
          </w:tcPr>
          <w:p>
            <w:pPr>
              <w:spacing w:after="0"/>
              <w:rPr>
                <w:sz w:val="10"/>
                <w:szCs w:val="10"/>
                <w:color w:val="auto"/>
              </w:rPr>
            </w:pPr>
          </w:p>
        </w:tc>
        <w:tc>
          <w:tcPr>
            <w:tcW w:w="268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420" w:type="dxa"/>
            <w:vAlign w:val="bottom"/>
            <w:tcBorders>
              <w:left w:val="single" w:sz="8" w:color="BEBEBE"/>
              <w:right w:val="single" w:sz="8" w:color="BEBEBE"/>
            </w:tcBorders>
          </w:tcPr>
          <w:p>
            <w:pPr>
              <w:ind w:left="120"/>
              <w:spacing w:after="0"/>
              <w:rPr>
                <w:sz w:val="20"/>
                <w:szCs w:val="20"/>
                <w:color w:val="auto"/>
              </w:rPr>
            </w:pPr>
            <w:r>
              <w:rPr>
                <w:rFonts w:ascii="Arial" w:cs="Arial" w:eastAsia="Arial" w:hAnsi="Arial"/>
                <w:sz w:val="18"/>
                <w:szCs w:val="18"/>
                <w:color w:val="auto"/>
              </w:rPr>
              <w:t>85/074,762</w:t>
            </w:r>
          </w:p>
        </w:tc>
        <w:tc>
          <w:tcPr>
            <w:tcW w:w="1420" w:type="dxa"/>
            <w:vAlign w:val="bottom"/>
            <w:tcBorders>
              <w:right w:val="single" w:sz="8" w:color="BEBEBE"/>
            </w:tcBorders>
          </w:tcPr>
          <w:p>
            <w:pPr>
              <w:jc w:val="center"/>
              <w:ind w:right="131"/>
              <w:spacing w:after="0"/>
              <w:rPr>
                <w:sz w:val="20"/>
                <w:szCs w:val="20"/>
                <w:color w:val="auto"/>
              </w:rPr>
            </w:pPr>
            <w:r>
              <w:rPr>
                <w:rFonts w:ascii="Arial" w:cs="Arial" w:eastAsia="Arial" w:hAnsi="Arial"/>
                <w:sz w:val="18"/>
                <w:szCs w:val="18"/>
                <w:color w:val="auto"/>
                <w:w w:val="99"/>
              </w:rPr>
              <w:t>6/30/2010</w:t>
            </w:r>
          </w:p>
        </w:tc>
        <w:tc>
          <w:tcPr>
            <w:tcW w:w="1440" w:type="dxa"/>
            <w:vAlign w:val="bottom"/>
            <w:tcBorders>
              <w:right w:val="single" w:sz="8" w:color="BEBEBE"/>
            </w:tcBorders>
          </w:tcPr>
          <w:p>
            <w:pPr>
              <w:ind w:left="120"/>
              <w:spacing w:after="0"/>
              <w:rPr>
                <w:sz w:val="20"/>
                <w:szCs w:val="20"/>
                <w:color w:val="auto"/>
              </w:rPr>
            </w:pPr>
            <w:r>
              <w:rPr>
                <w:rFonts w:ascii="Arial" w:cs="Arial" w:eastAsia="Arial" w:hAnsi="Arial"/>
                <w:sz w:val="18"/>
                <w:szCs w:val="18"/>
                <w:color w:val="auto"/>
              </w:rPr>
              <w:t>3,992,380</w:t>
            </w:r>
          </w:p>
        </w:tc>
        <w:tc>
          <w:tcPr>
            <w:tcW w:w="1520" w:type="dxa"/>
            <w:vAlign w:val="bottom"/>
            <w:tcBorders>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7/12/2011</w:t>
            </w:r>
          </w:p>
        </w:tc>
        <w:tc>
          <w:tcPr>
            <w:tcW w:w="13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6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POCKET AE</w:t>
            </w:r>
          </w:p>
        </w:tc>
        <w:tc>
          <w:tcPr>
            <w:tcW w:w="104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tcPr>
          <w:p>
            <w:pPr>
              <w:spacing w:after="0"/>
              <w:rPr>
                <w:sz w:val="10"/>
                <w:szCs w:val="10"/>
                <w:color w:val="auto"/>
              </w:rPr>
            </w:pPr>
          </w:p>
        </w:tc>
        <w:tc>
          <w:tcPr>
            <w:tcW w:w="1520" w:type="dxa"/>
            <w:vAlign w:val="bottom"/>
            <w:tcBorders>
              <w:bottom w:val="single" w:sz="8" w:color="BEBEBE"/>
              <w:right w:val="single" w:sz="8" w:color="BEBEBE"/>
            </w:tcBorders>
            <w:vMerge w:val="continue"/>
          </w:tcPr>
          <w:p>
            <w:pPr>
              <w:spacing w:after="0"/>
              <w:rPr>
                <w:sz w:val="10"/>
                <w:szCs w:val="10"/>
                <w:color w:val="auto"/>
              </w:rPr>
            </w:pPr>
          </w:p>
        </w:tc>
        <w:tc>
          <w:tcPr>
            <w:tcW w:w="1380" w:type="dxa"/>
            <w:vAlign w:val="bottom"/>
            <w:tcBorders>
              <w:bottom w:val="single" w:sz="8" w:color="BEBEBE"/>
              <w:right w:val="single" w:sz="8" w:color="BEBEBE"/>
            </w:tcBorders>
          </w:tcPr>
          <w:p>
            <w:pPr>
              <w:spacing w:after="0"/>
              <w:rPr>
                <w:sz w:val="10"/>
                <w:szCs w:val="10"/>
                <w:color w:val="auto"/>
              </w:rPr>
            </w:pPr>
          </w:p>
        </w:tc>
        <w:tc>
          <w:tcPr>
            <w:tcW w:w="268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420" w:type="dxa"/>
            <w:vAlign w:val="bottom"/>
            <w:tcBorders>
              <w:left w:val="single" w:sz="8" w:color="BEBEBE"/>
              <w:right w:val="single" w:sz="8" w:color="BEBEBE"/>
            </w:tcBorders>
          </w:tcPr>
          <w:p>
            <w:pPr>
              <w:ind w:left="120"/>
              <w:spacing w:after="0"/>
              <w:rPr>
                <w:sz w:val="20"/>
                <w:szCs w:val="20"/>
                <w:color w:val="auto"/>
              </w:rPr>
            </w:pPr>
            <w:r>
              <w:rPr>
                <w:rFonts w:ascii="Arial" w:cs="Arial" w:eastAsia="Arial" w:hAnsi="Arial"/>
                <w:sz w:val="18"/>
                <w:szCs w:val="18"/>
                <w:color w:val="auto"/>
              </w:rPr>
              <w:t>85/041,727</w:t>
            </w:r>
          </w:p>
        </w:tc>
        <w:tc>
          <w:tcPr>
            <w:tcW w:w="1420" w:type="dxa"/>
            <w:vAlign w:val="bottom"/>
            <w:tcBorders>
              <w:right w:val="single" w:sz="8" w:color="BEBEBE"/>
            </w:tcBorders>
          </w:tcPr>
          <w:p>
            <w:pPr>
              <w:jc w:val="center"/>
              <w:ind w:right="131"/>
              <w:spacing w:after="0"/>
              <w:rPr>
                <w:sz w:val="20"/>
                <w:szCs w:val="20"/>
                <w:color w:val="auto"/>
              </w:rPr>
            </w:pPr>
            <w:r>
              <w:rPr>
                <w:rFonts w:ascii="Arial" w:cs="Arial" w:eastAsia="Arial" w:hAnsi="Arial"/>
                <w:sz w:val="18"/>
                <w:szCs w:val="18"/>
                <w:color w:val="auto"/>
                <w:w w:val="99"/>
              </w:rPr>
              <w:t>5/18/2010</w:t>
            </w:r>
          </w:p>
        </w:tc>
        <w:tc>
          <w:tcPr>
            <w:tcW w:w="1440" w:type="dxa"/>
            <w:vAlign w:val="bottom"/>
            <w:tcBorders>
              <w:right w:val="single" w:sz="8" w:color="BEBEBE"/>
            </w:tcBorders>
          </w:tcPr>
          <w:p>
            <w:pPr>
              <w:ind w:left="120"/>
              <w:spacing w:after="0"/>
              <w:rPr>
                <w:sz w:val="20"/>
                <w:szCs w:val="20"/>
                <w:color w:val="auto"/>
              </w:rPr>
            </w:pPr>
            <w:r>
              <w:rPr>
                <w:rFonts w:ascii="Arial" w:cs="Arial" w:eastAsia="Arial" w:hAnsi="Arial"/>
                <w:sz w:val="18"/>
                <w:szCs w:val="18"/>
                <w:color w:val="auto"/>
              </w:rPr>
              <w:t>3,992,175</w:t>
            </w:r>
          </w:p>
        </w:tc>
        <w:tc>
          <w:tcPr>
            <w:tcW w:w="1520" w:type="dxa"/>
            <w:vAlign w:val="bottom"/>
            <w:tcBorders>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7/12/2011</w:t>
            </w:r>
          </w:p>
        </w:tc>
        <w:tc>
          <w:tcPr>
            <w:tcW w:w="13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6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MISTRAS (Stylized)</w:t>
            </w:r>
          </w:p>
        </w:tc>
        <w:tc>
          <w:tcPr>
            <w:tcW w:w="104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tcPr>
          <w:p>
            <w:pPr>
              <w:spacing w:after="0"/>
              <w:rPr>
                <w:sz w:val="10"/>
                <w:szCs w:val="10"/>
                <w:color w:val="auto"/>
              </w:rPr>
            </w:pPr>
          </w:p>
        </w:tc>
        <w:tc>
          <w:tcPr>
            <w:tcW w:w="1520" w:type="dxa"/>
            <w:vAlign w:val="bottom"/>
            <w:tcBorders>
              <w:bottom w:val="single" w:sz="8" w:color="BEBEBE"/>
              <w:right w:val="single" w:sz="8" w:color="BEBEBE"/>
            </w:tcBorders>
            <w:vMerge w:val="continue"/>
          </w:tcPr>
          <w:p>
            <w:pPr>
              <w:spacing w:after="0"/>
              <w:rPr>
                <w:sz w:val="10"/>
                <w:szCs w:val="10"/>
                <w:color w:val="auto"/>
              </w:rPr>
            </w:pPr>
          </w:p>
        </w:tc>
        <w:tc>
          <w:tcPr>
            <w:tcW w:w="1380" w:type="dxa"/>
            <w:vAlign w:val="bottom"/>
            <w:tcBorders>
              <w:bottom w:val="single" w:sz="8" w:color="BEBEBE"/>
              <w:right w:val="single" w:sz="8" w:color="BEBEBE"/>
            </w:tcBorders>
          </w:tcPr>
          <w:p>
            <w:pPr>
              <w:spacing w:after="0"/>
              <w:rPr>
                <w:sz w:val="10"/>
                <w:szCs w:val="10"/>
                <w:color w:val="auto"/>
              </w:rPr>
            </w:pPr>
          </w:p>
        </w:tc>
        <w:tc>
          <w:tcPr>
            <w:tcW w:w="268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420" w:type="dxa"/>
            <w:vAlign w:val="bottom"/>
            <w:tcBorders>
              <w:left w:val="single" w:sz="8" w:color="BEBEBE"/>
              <w:right w:val="single" w:sz="8" w:color="BEBEBE"/>
            </w:tcBorders>
          </w:tcPr>
          <w:p>
            <w:pPr>
              <w:ind w:left="120"/>
              <w:spacing w:after="0"/>
              <w:rPr>
                <w:sz w:val="20"/>
                <w:szCs w:val="20"/>
                <w:color w:val="auto"/>
              </w:rPr>
            </w:pPr>
            <w:r>
              <w:rPr>
                <w:rFonts w:ascii="Arial" w:cs="Arial" w:eastAsia="Arial" w:hAnsi="Arial"/>
                <w:sz w:val="18"/>
                <w:szCs w:val="18"/>
                <w:color w:val="auto"/>
              </w:rPr>
              <w:t>85/041,712</w:t>
            </w:r>
          </w:p>
        </w:tc>
        <w:tc>
          <w:tcPr>
            <w:tcW w:w="1420" w:type="dxa"/>
            <w:vAlign w:val="bottom"/>
            <w:tcBorders>
              <w:right w:val="single" w:sz="8" w:color="BEBEBE"/>
            </w:tcBorders>
          </w:tcPr>
          <w:p>
            <w:pPr>
              <w:jc w:val="center"/>
              <w:ind w:right="131"/>
              <w:spacing w:after="0"/>
              <w:rPr>
                <w:sz w:val="20"/>
                <w:szCs w:val="20"/>
                <w:color w:val="auto"/>
              </w:rPr>
            </w:pPr>
            <w:r>
              <w:rPr>
                <w:rFonts w:ascii="Arial" w:cs="Arial" w:eastAsia="Arial" w:hAnsi="Arial"/>
                <w:sz w:val="18"/>
                <w:szCs w:val="18"/>
                <w:color w:val="auto"/>
                <w:w w:val="99"/>
              </w:rPr>
              <w:t>5/18/2010</w:t>
            </w:r>
          </w:p>
        </w:tc>
        <w:tc>
          <w:tcPr>
            <w:tcW w:w="1440" w:type="dxa"/>
            <w:vAlign w:val="bottom"/>
            <w:tcBorders>
              <w:right w:val="single" w:sz="8" w:color="BEBEBE"/>
            </w:tcBorders>
          </w:tcPr>
          <w:p>
            <w:pPr>
              <w:ind w:left="120"/>
              <w:spacing w:after="0"/>
              <w:rPr>
                <w:sz w:val="20"/>
                <w:szCs w:val="20"/>
                <w:color w:val="auto"/>
              </w:rPr>
            </w:pPr>
            <w:r>
              <w:rPr>
                <w:rFonts w:ascii="Arial" w:cs="Arial" w:eastAsia="Arial" w:hAnsi="Arial"/>
                <w:sz w:val="18"/>
                <w:szCs w:val="18"/>
                <w:color w:val="auto"/>
              </w:rPr>
              <w:t>3,992,173</w:t>
            </w:r>
          </w:p>
        </w:tc>
        <w:tc>
          <w:tcPr>
            <w:tcW w:w="1520" w:type="dxa"/>
            <w:vAlign w:val="bottom"/>
            <w:tcBorders>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7/12/2011</w:t>
            </w:r>
          </w:p>
        </w:tc>
        <w:tc>
          <w:tcPr>
            <w:tcW w:w="13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6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Design (Globe logo, no color)</w:t>
            </w:r>
          </w:p>
        </w:tc>
        <w:tc>
          <w:tcPr>
            <w:tcW w:w="104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tcPr>
          <w:p>
            <w:pPr>
              <w:spacing w:after="0"/>
              <w:rPr>
                <w:sz w:val="10"/>
                <w:szCs w:val="10"/>
                <w:color w:val="auto"/>
              </w:rPr>
            </w:pPr>
          </w:p>
        </w:tc>
        <w:tc>
          <w:tcPr>
            <w:tcW w:w="1520" w:type="dxa"/>
            <w:vAlign w:val="bottom"/>
            <w:tcBorders>
              <w:bottom w:val="single" w:sz="8" w:color="BEBEBE"/>
              <w:right w:val="single" w:sz="8" w:color="BEBEBE"/>
            </w:tcBorders>
            <w:vMerge w:val="continue"/>
          </w:tcPr>
          <w:p>
            <w:pPr>
              <w:spacing w:after="0"/>
              <w:rPr>
                <w:sz w:val="10"/>
                <w:szCs w:val="10"/>
                <w:color w:val="auto"/>
              </w:rPr>
            </w:pPr>
          </w:p>
        </w:tc>
        <w:tc>
          <w:tcPr>
            <w:tcW w:w="1380" w:type="dxa"/>
            <w:vAlign w:val="bottom"/>
            <w:tcBorders>
              <w:bottom w:val="single" w:sz="8" w:color="BEBEBE"/>
              <w:right w:val="single" w:sz="8" w:color="BEBEBE"/>
            </w:tcBorders>
          </w:tcPr>
          <w:p>
            <w:pPr>
              <w:spacing w:after="0"/>
              <w:rPr>
                <w:sz w:val="10"/>
                <w:szCs w:val="10"/>
                <w:color w:val="auto"/>
              </w:rPr>
            </w:pPr>
          </w:p>
        </w:tc>
        <w:tc>
          <w:tcPr>
            <w:tcW w:w="268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420" w:type="dxa"/>
            <w:vAlign w:val="bottom"/>
            <w:tcBorders>
              <w:left w:val="single" w:sz="8" w:color="BEBEBE"/>
              <w:right w:val="single" w:sz="8" w:color="BEBEBE"/>
            </w:tcBorders>
          </w:tcPr>
          <w:p>
            <w:pPr>
              <w:ind w:left="120"/>
              <w:spacing w:after="0"/>
              <w:rPr>
                <w:sz w:val="20"/>
                <w:szCs w:val="20"/>
                <w:color w:val="auto"/>
              </w:rPr>
            </w:pPr>
            <w:r>
              <w:rPr>
                <w:rFonts w:ascii="Arial" w:cs="Arial" w:eastAsia="Arial" w:hAnsi="Arial"/>
                <w:sz w:val="18"/>
                <w:szCs w:val="18"/>
                <w:color w:val="auto"/>
              </w:rPr>
              <w:t>85/074,701</w:t>
            </w:r>
          </w:p>
        </w:tc>
        <w:tc>
          <w:tcPr>
            <w:tcW w:w="1420" w:type="dxa"/>
            <w:vAlign w:val="bottom"/>
            <w:tcBorders>
              <w:right w:val="single" w:sz="8" w:color="BEBEBE"/>
            </w:tcBorders>
          </w:tcPr>
          <w:p>
            <w:pPr>
              <w:jc w:val="center"/>
              <w:ind w:right="131"/>
              <w:spacing w:after="0"/>
              <w:rPr>
                <w:sz w:val="20"/>
                <w:szCs w:val="20"/>
                <w:color w:val="auto"/>
              </w:rPr>
            </w:pPr>
            <w:r>
              <w:rPr>
                <w:rFonts w:ascii="Arial" w:cs="Arial" w:eastAsia="Arial" w:hAnsi="Arial"/>
                <w:sz w:val="18"/>
                <w:szCs w:val="18"/>
                <w:color w:val="auto"/>
                <w:w w:val="99"/>
              </w:rPr>
              <w:t>6/30/2010</w:t>
            </w:r>
          </w:p>
        </w:tc>
        <w:tc>
          <w:tcPr>
            <w:tcW w:w="1440" w:type="dxa"/>
            <w:vAlign w:val="bottom"/>
            <w:tcBorders>
              <w:right w:val="single" w:sz="8" w:color="BEBEBE"/>
            </w:tcBorders>
          </w:tcPr>
          <w:p>
            <w:pPr>
              <w:ind w:left="120"/>
              <w:spacing w:after="0"/>
              <w:rPr>
                <w:sz w:val="20"/>
                <w:szCs w:val="20"/>
                <w:color w:val="auto"/>
              </w:rPr>
            </w:pPr>
            <w:r>
              <w:rPr>
                <w:rFonts w:ascii="Arial" w:cs="Arial" w:eastAsia="Arial" w:hAnsi="Arial"/>
                <w:sz w:val="18"/>
                <w:szCs w:val="18"/>
                <w:color w:val="auto"/>
              </w:rPr>
              <w:t>3,988,547</w:t>
            </w:r>
          </w:p>
        </w:tc>
        <w:tc>
          <w:tcPr>
            <w:tcW w:w="1520" w:type="dxa"/>
            <w:vAlign w:val="bottom"/>
            <w:tcBorders>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7/5/2011</w:t>
            </w:r>
          </w:p>
        </w:tc>
        <w:tc>
          <w:tcPr>
            <w:tcW w:w="13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6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UTWIN</w:t>
            </w:r>
          </w:p>
        </w:tc>
        <w:tc>
          <w:tcPr>
            <w:tcW w:w="104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tcPr>
          <w:p>
            <w:pPr>
              <w:spacing w:after="0"/>
              <w:rPr>
                <w:sz w:val="10"/>
                <w:szCs w:val="10"/>
                <w:color w:val="auto"/>
              </w:rPr>
            </w:pPr>
          </w:p>
        </w:tc>
        <w:tc>
          <w:tcPr>
            <w:tcW w:w="1520" w:type="dxa"/>
            <w:vAlign w:val="bottom"/>
            <w:tcBorders>
              <w:bottom w:val="single" w:sz="8" w:color="BEBEBE"/>
              <w:right w:val="single" w:sz="8" w:color="BEBEBE"/>
            </w:tcBorders>
            <w:vMerge w:val="continue"/>
          </w:tcPr>
          <w:p>
            <w:pPr>
              <w:spacing w:after="0"/>
              <w:rPr>
                <w:sz w:val="10"/>
                <w:szCs w:val="10"/>
                <w:color w:val="auto"/>
              </w:rPr>
            </w:pPr>
          </w:p>
        </w:tc>
        <w:tc>
          <w:tcPr>
            <w:tcW w:w="1380" w:type="dxa"/>
            <w:vAlign w:val="bottom"/>
            <w:tcBorders>
              <w:bottom w:val="single" w:sz="8" w:color="BEBEBE"/>
              <w:right w:val="single" w:sz="8" w:color="BEBEBE"/>
            </w:tcBorders>
          </w:tcPr>
          <w:p>
            <w:pPr>
              <w:spacing w:after="0"/>
              <w:rPr>
                <w:sz w:val="10"/>
                <w:szCs w:val="10"/>
                <w:color w:val="auto"/>
              </w:rPr>
            </w:pPr>
          </w:p>
        </w:tc>
        <w:tc>
          <w:tcPr>
            <w:tcW w:w="268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420" w:type="dxa"/>
            <w:vAlign w:val="bottom"/>
            <w:tcBorders>
              <w:left w:val="single" w:sz="8" w:color="BEBEBE"/>
              <w:right w:val="single" w:sz="8" w:color="BEBEBE"/>
            </w:tcBorders>
          </w:tcPr>
          <w:p>
            <w:pPr>
              <w:ind w:left="120"/>
              <w:spacing w:after="0"/>
              <w:rPr>
                <w:sz w:val="20"/>
                <w:szCs w:val="20"/>
                <w:color w:val="auto"/>
              </w:rPr>
            </w:pPr>
            <w:r>
              <w:rPr>
                <w:rFonts w:ascii="Arial" w:cs="Arial" w:eastAsia="Arial" w:hAnsi="Arial"/>
                <w:sz w:val="18"/>
                <w:szCs w:val="18"/>
                <w:color w:val="auto"/>
              </w:rPr>
              <w:t>85/074,679</w:t>
            </w:r>
          </w:p>
        </w:tc>
        <w:tc>
          <w:tcPr>
            <w:tcW w:w="1420" w:type="dxa"/>
            <w:vAlign w:val="bottom"/>
            <w:tcBorders>
              <w:right w:val="single" w:sz="8" w:color="BEBEBE"/>
            </w:tcBorders>
          </w:tcPr>
          <w:p>
            <w:pPr>
              <w:jc w:val="center"/>
              <w:ind w:right="131"/>
              <w:spacing w:after="0"/>
              <w:rPr>
                <w:sz w:val="20"/>
                <w:szCs w:val="20"/>
                <w:color w:val="auto"/>
              </w:rPr>
            </w:pPr>
            <w:r>
              <w:rPr>
                <w:rFonts w:ascii="Arial" w:cs="Arial" w:eastAsia="Arial" w:hAnsi="Arial"/>
                <w:sz w:val="18"/>
                <w:szCs w:val="18"/>
                <w:color w:val="auto"/>
                <w:w w:val="99"/>
              </w:rPr>
              <w:t>6/30/2010</w:t>
            </w:r>
          </w:p>
        </w:tc>
        <w:tc>
          <w:tcPr>
            <w:tcW w:w="1440" w:type="dxa"/>
            <w:vAlign w:val="bottom"/>
            <w:tcBorders>
              <w:right w:val="single" w:sz="8" w:color="BEBEBE"/>
            </w:tcBorders>
          </w:tcPr>
          <w:p>
            <w:pPr>
              <w:ind w:left="120"/>
              <w:spacing w:after="0"/>
              <w:rPr>
                <w:sz w:val="20"/>
                <w:szCs w:val="20"/>
                <w:color w:val="auto"/>
              </w:rPr>
            </w:pPr>
            <w:r>
              <w:rPr>
                <w:rFonts w:ascii="Arial" w:cs="Arial" w:eastAsia="Arial" w:hAnsi="Arial"/>
                <w:sz w:val="18"/>
                <w:szCs w:val="18"/>
                <w:color w:val="auto"/>
              </w:rPr>
              <w:t>3,988,546</w:t>
            </w:r>
          </w:p>
        </w:tc>
        <w:tc>
          <w:tcPr>
            <w:tcW w:w="1520" w:type="dxa"/>
            <w:vAlign w:val="bottom"/>
            <w:tcBorders>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7/5/2011</w:t>
            </w:r>
          </w:p>
        </w:tc>
        <w:tc>
          <w:tcPr>
            <w:tcW w:w="13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6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AEWIN</w:t>
            </w:r>
          </w:p>
        </w:tc>
        <w:tc>
          <w:tcPr>
            <w:tcW w:w="104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tcPr>
          <w:p>
            <w:pPr>
              <w:spacing w:after="0"/>
              <w:rPr>
                <w:sz w:val="10"/>
                <w:szCs w:val="10"/>
                <w:color w:val="auto"/>
              </w:rPr>
            </w:pPr>
          </w:p>
        </w:tc>
        <w:tc>
          <w:tcPr>
            <w:tcW w:w="1520" w:type="dxa"/>
            <w:vAlign w:val="bottom"/>
            <w:tcBorders>
              <w:bottom w:val="single" w:sz="8" w:color="BEBEBE"/>
              <w:right w:val="single" w:sz="8" w:color="BEBEBE"/>
            </w:tcBorders>
            <w:vMerge w:val="continue"/>
          </w:tcPr>
          <w:p>
            <w:pPr>
              <w:spacing w:after="0"/>
              <w:rPr>
                <w:sz w:val="10"/>
                <w:szCs w:val="10"/>
                <w:color w:val="auto"/>
              </w:rPr>
            </w:pPr>
          </w:p>
        </w:tc>
        <w:tc>
          <w:tcPr>
            <w:tcW w:w="1380" w:type="dxa"/>
            <w:vAlign w:val="bottom"/>
            <w:tcBorders>
              <w:bottom w:val="single" w:sz="8" w:color="BEBEBE"/>
              <w:right w:val="single" w:sz="8" w:color="BEBEBE"/>
            </w:tcBorders>
          </w:tcPr>
          <w:p>
            <w:pPr>
              <w:spacing w:after="0"/>
              <w:rPr>
                <w:sz w:val="10"/>
                <w:szCs w:val="10"/>
                <w:color w:val="auto"/>
              </w:rPr>
            </w:pPr>
          </w:p>
        </w:tc>
        <w:tc>
          <w:tcPr>
            <w:tcW w:w="268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420" w:type="dxa"/>
            <w:vAlign w:val="bottom"/>
            <w:tcBorders>
              <w:left w:val="single" w:sz="8" w:color="BEBEBE"/>
              <w:right w:val="single" w:sz="8" w:color="BEBEBE"/>
            </w:tcBorders>
          </w:tcPr>
          <w:p>
            <w:pPr>
              <w:ind w:left="120"/>
              <w:spacing w:after="0"/>
              <w:rPr>
                <w:sz w:val="20"/>
                <w:szCs w:val="20"/>
                <w:color w:val="auto"/>
              </w:rPr>
            </w:pPr>
            <w:r>
              <w:rPr>
                <w:rFonts w:ascii="Arial" w:cs="Arial" w:eastAsia="Arial" w:hAnsi="Arial"/>
                <w:sz w:val="18"/>
                <w:szCs w:val="18"/>
                <w:color w:val="auto"/>
              </w:rPr>
              <w:t>86/078,569</w:t>
            </w:r>
          </w:p>
        </w:tc>
        <w:tc>
          <w:tcPr>
            <w:tcW w:w="1420" w:type="dxa"/>
            <w:vAlign w:val="bottom"/>
            <w:tcBorders>
              <w:right w:val="single" w:sz="8" w:color="BEBEBE"/>
            </w:tcBorders>
          </w:tcPr>
          <w:p>
            <w:pPr>
              <w:jc w:val="center"/>
              <w:ind w:right="131"/>
              <w:spacing w:after="0"/>
              <w:rPr>
                <w:sz w:val="20"/>
                <w:szCs w:val="20"/>
                <w:color w:val="auto"/>
              </w:rPr>
            </w:pPr>
            <w:r>
              <w:rPr>
                <w:rFonts w:ascii="Arial" w:cs="Arial" w:eastAsia="Arial" w:hAnsi="Arial"/>
                <w:sz w:val="18"/>
                <w:szCs w:val="18"/>
                <w:color w:val="auto"/>
                <w:w w:val="99"/>
              </w:rPr>
              <w:t>9/30/2013</w:t>
            </w:r>
          </w:p>
        </w:tc>
        <w:tc>
          <w:tcPr>
            <w:tcW w:w="1440" w:type="dxa"/>
            <w:vAlign w:val="bottom"/>
            <w:tcBorders>
              <w:right w:val="single" w:sz="8" w:color="BEBEBE"/>
            </w:tcBorders>
          </w:tcPr>
          <w:p>
            <w:pPr>
              <w:ind w:left="120"/>
              <w:spacing w:after="0"/>
              <w:rPr>
                <w:sz w:val="20"/>
                <w:szCs w:val="20"/>
                <w:color w:val="auto"/>
              </w:rPr>
            </w:pPr>
            <w:r>
              <w:rPr>
                <w:rFonts w:ascii="Arial" w:cs="Arial" w:eastAsia="Arial" w:hAnsi="Arial"/>
                <w:sz w:val="18"/>
                <w:szCs w:val="18"/>
                <w:color w:val="auto"/>
              </w:rPr>
              <w:t>4,587,519</w:t>
            </w:r>
          </w:p>
        </w:tc>
        <w:tc>
          <w:tcPr>
            <w:tcW w:w="1520" w:type="dxa"/>
            <w:vAlign w:val="bottom"/>
            <w:tcBorders>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8/19/2014</w:t>
            </w:r>
          </w:p>
        </w:tc>
        <w:tc>
          <w:tcPr>
            <w:tcW w:w="13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6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ROPEWORKS</w:t>
            </w:r>
          </w:p>
        </w:tc>
        <w:tc>
          <w:tcPr>
            <w:tcW w:w="104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tcPr>
          <w:p>
            <w:pPr>
              <w:spacing w:after="0"/>
              <w:rPr>
                <w:sz w:val="10"/>
                <w:szCs w:val="10"/>
                <w:color w:val="auto"/>
              </w:rPr>
            </w:pPr>
          </w:p>
        </w:tc>
        <w:tc>
          <w:tcPr>
            <w:tcW w:w="1520" w:type="dxa"/>
            <w:vAlign w:val="bottom"/>
            <w:tcBorders>
              <w:bottom w:val="single" w:sz="8" w:color="BEBEBE"/>
              <w:right w:val="single" w:sz="8" w:color="BEBEBE"/>
            </w:tcBorders>
            <w:vMerge w:val="continue"/>
          </w:tcPr>
          <w:p>
            <w:pPr>
              <w:spacing w:after="0"/>
              <w:rPr>
                <w:sz w:val="10"/>
                <w:szCs w:val="10"/>
                <w:color w:val="auto"/>
              </w:rPr>
            </w:pPr>
          </w:p>
        </w:tc>
        <w:tc>
          <w:tcPr>
            <w:tcW w:w="1380" w:type="dxa"/>
            <w:vAlign w:val="bottom"/>
            <w:tcBorders>
              <w:bottom w:val="single" w:sz="8" w:color="BEBEBE"/>
              <w:right w:val="single" w:sz="8" w:color="BEBEBE"/>
            </w:tcBorders>
          </w:tcPr>
          <w:p>
            <w:pPr>
              <w:spacing w:after="0"/>
              <w:rPr>
                <w:sz w:val="10"/>
                <w:szCs w:val="10"/>
                <w:color w:val="auto"/>
              </w:rPr>
            </w:pPr>
          </w:p>
        </w:tc>
        <w:tc>
          <w:tcPr>
            <w:tcW w:w="268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420" w:type="dxa"/>
            <w:vAlign w:val="bottom"/>
            <w:tcBorders>
              <w:left w:val="single" w:sz="8" w:color="BEBEBE"/>
              <w:right w:val="single" w:sz="8" w:color="BEBEBE"/>
            </w:tcBorders>
          </w:tcPr>
          <w:p>
            <w:pPr>
              <w:ind w:left="120"/>
              <w:spacing w:after="0"/>
              <w:rPr>
                <w:sz w:val="20"/>
                <w:szCs w:val="20"/>
                <w:color w:val="auto"/>
              </w:rPr>
            </w:pPr>
            <w:r>
              <w:rPr>
                <w:rFonts w:ascii="Arial" w:cs="Arial" w:eastAsia="Arial" w:hAnsi="Arial"/>
                <w:sz w:val="18"/>
                <w:szCs w:val="18"/>
                <w:color w:val="auto"/>
              </w:rPr>
              <w:t>88/577,044</w:t>
            </w:r>
          </w:p>
        </w:tc>
        <w:tc>
          <w:tcPr>
            <w:tcW w:w="1420" w:type="dxa"/>
            <w:vAlign w:val="bottom"/>
            <w:tcBorders>
              <w:right w:val="single" w:sz="8" w:color="BEBEBE"/>
            </w:tcBorders>
          </w:tcPr>
          <w:p>
            <w:pPr>
              <w:jc w:val="center"/>
              <w:ind w:right="131"/>
              <w:spacing w:after="0"/>
              <w:rPr>
                <w:sz w:val="20"/>
                <w:szCs w:val="20"/>
                <w:color w:val="auto"/>
              </w:rPr>
            </w:pPr>
            <w:r>
              <w:rPr>
                <w:rFonts w:ascii="Arial" w:cs="Arial" w:eastAsia="Arial" w:hAnsi="Arial"/>
                <w:sz w:val="18"/>
                <w:szCs w:val="18"/>
                <w:color w:val="auto"/>
                <w:w w:val="99"/>
              </w:rPr>
              <w:t>8/13/2019</w:t>
            </w:r>
          </w:p>
        </w:tc>
        <w:tc>
          <w:tcPr>
            <w:tcW w:w="1440" w:type="dxa"/>
            <w:vAlign w:val="bottom"/>
            <w:tcBorders>
              <w:right w:val="single" w:sz="8" w:color="BEBEBE"/>
            </w:tcBorders>
          </w:tcPr>
          <w:p>
            <w:pPr>
              <w:ind w:left="120"/>
              <w:spacing w:after="0"/>
              <w:rPr>
                <w:sz w:val="20"/>
                <w:szCs w:val="20"/>
                <w:color w:val="auto"/>
              </w:rPr>
            </w:pPr>
            <w:r>
              <w:rPr>
                <w:rFonts w:ascii="Arial" w:cs="Arial" w:eastAsia="Arial" w:hAnsi="Arial"/>
                <w:sz w:val="18"/>
                <w:szCs w:val="18"/>
                <w:color w:val="auto"/>
              </w:rPr>
              <w:t>6,116,660</w:t>
            </w:r>
          </w:p>
        </w:tc>
        <w:tc>
          <w:tcPr>
            <w:tcW w:w="1520" w:type="dxa"/>
            <w:vAlign w:val="bottom"/>
            <w:tcBorders>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8/4/2020</w:t>
            </w:r>
          </w:p>
        </w:tc>
        <w:tc>
          <w:tcPr>
            <w:tcW w:w="13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6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PCMS</w:t>
            </w:r>
          </w:p>
        </w:tc>
        <w:tc>
          <w:tcPr>
            <w:tcW w:w="104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tcPr>
          <w:p>
            <w:pPr>
              <w:spacing w:after="0"/>
              <w:rPr>
                <w:sz w:val="10"/>
                <w:szCs w:val="10"/>
                <w:color w:val="auto"/>
              </w:rPr>
            </w:pPr>
          </w:p>
        </w:tc>
        <w:tc>
          <w:tcPr>
            <w:tcW w:w="1520" w:type="dxa"/>
            <w:vAlign w:val="bottom"/>
            <w:tcBorders>
              <w:bottom w:val="single" w:sz="8" w:color="BEBEBE"/>
              <w:right w:val="single" w:sz="8" w:color="BEBEBE"/>
            </w:tcBorders>
            <w:vMerge w:val="continue"/>
          </w:tcPr>
          <w:p>
            <w:pPr>
              <w:spacing w:after="0"/>
              <w:rPr>
                <w:sz w:val="10"/>
                <w:szCs w:val="10"/>
                <w:color w:val="auto"/>
              </w:rPr>
            </w:pPr>
          </w:p>
        </w:tc>
        <w:tc>
          <w:tcPr>
            <w:tcW w:w="1380" w:type="dxa"/>
            <w:vAlign w:val="bottom"/>
            <w:tcBorders>
              <w:bottom w:val="single" w:sz="8" w:color="BEBEBE"/>
              <w:right w:val="single" w:sz="8" w:color="BEBEBE"/>
            </w:tcBorders>
          </w:tcPr>
          <w:p>
            <w:pPr>
              <w:spacing w:after="0"/>
              <w:rPr>
                <w:sz w:val="10"/>
                <w:szCs w:val="10"/>
                <w:color w:val="auto"/>
              </w:rPr>
            </w:pPr>
          </w:p>
        </w:tc>
        <w:tc>
          <w:tcPr>
            <w:tcW w:w="268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420" w:type="dxa"/>
            <w:vAlign w:val="bottom"/>
            <w:tcBorders>
              <w:left w:val="single" w:sz="8" w:color="BEBEBE"/>
              <w:right w:val="single" w:sz="8" w:color="BEBEBE"/>
            </w:tcBorders>
          </w:tcPr>
          <w:p>
            <w:pPr>
              <w:ind w:left="120"/>
              <w:spacing w:after="0"/>
              <w:rPr>
                <w:sz w:val="20"/>
                <w:szCs w:val="20"/>
                <w:color w:val="auto"/>
              </w:rPr>
            </w:pPr>
            <w:r>
              <w:rPr>
                <w:rFonts w:ascii="Arial" w:cs="Arial" w:eastAsia="Arial" w:hAnsi="Arial"/>
                <w:sz w:val="18"/>
                <w:szCs w:val="18"/>
                <w:color w:val="auto"/>
              </w:rPr>
              <w:t>88/577,052</w:t>
            </w:r>
          </w:p>
        </w:tc>
        <w:tc>
          <w:tcPr>
            <w:tcW w:w="1420" w:type="dxa"/>
            <w:vAlign w:val="bottom"/>
            <w:tcBorders>
              <w:right w:val="single" w:sz="8" w:color="BEBEBE"/>
            </w:tcBorders>
          </w:tcPr>
          <w:p>
            <w:pPr>
              <w:jc w:val="center"/>
              <w:ind w:right="131"/>
              <w:spacing w:after="0"/>
              <w:rPr>
                <w:sz w:val="20"/>
                <w:szCs w:val="20"/>
                <w:color w:val="auto"/>
              </w:rPr>
            </w:pPr>
            <w:r>
              <w:rPr>
                <w:rFonts w:ascii="Arial" w:cs="Arial" w:eastAsia="Arial" w:hAnsi="Arial"/>
                <w:sz w:val="18"/>
                <w:szCs w:val="18"/>
                <w:color w:val="auto"/>
                <w:w w:val="99"/>
              </w:rPr>
              <w:t>8/13/2019</w:t>
            </w:r>
          </w:p>
        </w:tc>
        <w:tc>
          <w:tcPr>
            <w:tcW w:w="1440" w:type="dxa"/>
            <w:vAlign w:val="bottom"/>
            <w:tcBorders>
              <w:right w:val="single" w:sz="8" w:color="BEBEBE"/>
            </w:tcBorders>
          </w:tcPr>
          <w:p>
            <w:pPr>
              <w:ind w:left="120"/>
              <w:spacing w:after="0"/>
              <w:rPr>
                <w:sz w:val="20"/>
                <w:szCs w:val="20"/>
                <w:color w:val="auto"/>
              </w:rPr>
            </w:pPr>
            <w:r>
              <w:rPr>
                <w:rFonts w:ascii="Arial" w:cs="Arial" w:eastAsia="Arial" w:hAnsi="Arial"/>
                <w:sz w:val="18"/>
                <w:szCs w:val="18"/>
                <w:color w:val="auto"/>
              </w:rPr>
              <w:t>6,116,661</w:t>
            </w:r>
          </w:p>
        </w:tc>
        <w:tc>
          <w:tcPr>
            <w:tcW w:w="1520" w:type="dxa"/>
            <w:vAlign w:val="bottom"/>
            <w:tcBorders>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8/4/2020</w:t>
            </w:r>
          </w:p>
        </w:tc>
        <w:tc>
          <w:tcPr>
            <w:tcW w:w="13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6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PCMS &amp; Design</w:t>
            </w:r>
          </w:p>
        </w:tc>
        <w:tc>
          <w:tcPr>
            <w:tcW w:w="104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tcPr>
          <w:p>
            <w:pPr>
              <w:spacing w:after="0"/>
              <w:rPr>
                <w:sz w:val="10"/>
                <w:szCs w:val="10"/>
                <w:color w:val="auto"/>
              </w:rPr>
            </w:pPr>
          </w:p>
        </w:tc>
        <w:tc>
          <w:tcPr>
            <w:tcW w:w="1520" w:type="dxa"/>
            <w:vAlign w:val="bottom"/>
            <w:tcBorders>
              <w:bottom w:val="single" w:sz="8" w:color="BEBEBE"/>
              <w:right w:val="single" w:sz="8" w:color="BEBEBE"/>
            </w:tcBorders>
            <w:vMerge w:val="continue"/>
          </w:tcPr>
          <w:p>
            <w:pPr>
              <w:spacing w:after="0"/>
              <w:rPr>
                <w:sz w:val="10"/>
                <w:szCs w:val="10"/>
                <w:color w:val="auto"/>
              </w:rPr>
            </w:pPr>
          </w:p>
        </w:tc>
        <w:tc>
          <w:tcPr>
            <w:tcW w:w="1380" w:type="dxa"/>
            <w:vAlign w:val="bottom"/>
            <w:tcBorders>
              <w:bottom w:val="single" w:sz="8" w:color="BEBEBE"/>
              <w:right w:val="single" w:sz="8" w:color="BEBEBE"/>
            </w:tcBorders>
          </w:tcPr>
          <w:p>
            <w:pPr>
              <w:spacing w:after="0"/>
              <w:rPr>
                <w:sz w:val="10"/>
                <w:szCs w:val="10"/>
                <w:color w:val="auto"/>
              </w:rPr>
            </w:pPr>
          </w:p>
        </w:tc>
        <w:tc>
          <w:tcPr>
            <w:tcW w:w="268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420" w:type="dxa"/>
            <w:vAlign w:val="bottom"/>
            <w:tcBorders>
              <w:left w:val="single" w:sz="8" w:color="BEBEBE"/>
              <w:right w:val="single" w:sz="8" w:color="BEBEBE"/>
            </w:tcBorders>
          </w:tcPr>
          <w:p>
            <w:pPr>
              <w:ind w:left="120"/>
              <w:spacing w:after="0"/>
              <w:rPr>
                <w:sz w:val="20"/>
                <w:szCs w:val="20"/>
                <w:color w:val="auto"/>
              </w:rPr>
            </w:pPr>
            <w:r>
              <w:rPr>
                <w:rFonts w:ascii="Arial" w:cs="Arial" w:eastAsia="Arial" w:hAnsi="Arial"/>
                <w:sz w:val="18"/>
                <w:szCs w:val="18"/>
                <w:color w:val="auto"/>
              </w:rPr>
              <w:t>87/420,694</w:t>
            </w:r>
          </w:p>
        </w:tc>
        <w:tc>
          <w:tcPr>
            <w:tcW w:w="1420" w:type="dxa"/>
            <w:vAlign w:val="bottom"/>
            <w:tcBorders>
              <w:right w:val="single" w:sz="8" w:color="BEBEBE"/>
            </w:tcBorders>
          </w:tcPr>
          <w:p>
            <w:pPr>
              <w:jc w:val="center"/>
              <w:ind w:right="131"/>
              <w:spacing w:after="0"/>
              <w:rPr>
                <w:sz w:val="20"/>
                <w:szCs w:val="20"/>
                <w:color w:val="auto"/>
              </w:rPr>
            </w:pPr>
            <w:r>
              <w:rPr>
                <w:rFonts w:ascii="Arial" w:cs="Arial" w:eastAsia="Arial" w:hAnsi="Arial"/>
                <w:sz w:val="18"/>
                <w:szCs w:val="18"/>
                <w:color w:val="auto"/>
                <w:w w:val="99"/>
              </w:rPr>
              <w:t>4/21/2017</w:t>
            </w:r>
          </w:p>
        </w:tc>
        <w:tc>
          <w:tcPr>
            <w:tcW w:w="1440" w:type="dxa"/>
            <w:vAlign w:val="bottom"/>
            <w:tcBorders>
              <w:right w:val="single" w:sz="8" w:color="BEBEBE"/>
            </w:tcBorders>
          </w:tcPr>
          <w:p>
            <w:pPr>
              <w:ind w:left="120"/>
              <w:spacing w:after="0"/>
              <w:rPr>
                <w:sz w:val="20"/>
                <w:szCs w:val="20"/>
                <w:color w:val="auto"/>
              </w:rPr>
            </w:pPr>
            <w:r>
              <w:rPr>
                <w:rFonts w:ascii="Arial" w:cs="Arial" w:eastAsia="Arial" w:hAnsi="Arial"/>
                <w:sz w:val="18"/>
                <w:szCs w:val="18"/>
                <w:color w:val="auto"/>
              </w:rPr>
              <w:t>5,345,580</w:t>
            </w:r>
          </w:p>
        </w:tc>
        <w:tc>
          <w:tcPr>
            <w:tcW w:w="1520" w:type="dxa"/>
            <w:vAlign w:val="bottom"/>
            <w:tcBorders>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11/28/2017</w:t>
            </w:r>
          </w:p>
        </w:tc>
        <w:tc>
          <w:tcPr>
            <w:tcW w:w="13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68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CALIPERAY</w:t>
            </w:r>
          </w:p>
        </w:tc>
        <w:tc>
          <w:tcPr>
            <w:tcW w:w="104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tcPr>
          <w:p>
            <w:pPr>
              <w:spacing w:after="0"/>
              <w:rPr>
                <w:sz w:val="10"/>
                <w:szCs w:val="10"/>
                <w:color w:val="auto"/>
              </w:rPr>
            </w:pPr>
          </w:p>
        </w:tc>
        <w:tc>
          <w:tcPr>
            <w:tcW w:w="1520" w:type="dxa"/>
            <w:vAlign w:val="bottom"/>
            <w:tcBorders>
              <w:bottom w:val="single" w:sz="8" w:color="BEBEBE"/>
              <w:right w:val="single" w:sz="8" w:color="BEBEBE"/>
            </w:tcBorders>
            <w:vMerge w:val="continue"/>
          </w:tcPr>
          <w:p>
            <w:pPr>
              <w:spacing w:after="0"/>
              <w:rPr>
                <w:sz w:val="10"/>
                <w:szCs w:val="10"/>
                <w:color w:val="auto"/>
              </w:rPr>
            </w:pPr>
          </w:p>
        </w:tc>
        <w:tc>
          <w:tcPr>
            <w:tcW w:w="1380" w:type="dxa"/>
            <w:vAlign w:val="bottom"/>
            <w:tcBorders>
              <w:bottom w:val="single" w:sz="8" w:color="BEBEBE"/>
              <w:right w:val="single" w:sz="8" w:color="BEBEBE"/>
            </w:tcBorders>
          </w:tcPr>
          <w:p>
            <w:pPr>
              <w:spacing w:after="0"/>
              <w:rPr>
                <w:sz w:val="10"/>
                <w:szCs w:val="10"/>
                <w:color w:val="auto"/>
              </w:rPr>
            </w:pPr>
          </w:p>
        </w:tc>
        <w:tc>
          <w:tcPr>
            <w:tcW w:w="268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460" w:top="1433" w:right="559" w:bottom="1440" w:gutter="0" w:footer="0" w:header="0"/>
        </w:sectPr>
      </w:pPr>
    </w:p>
    <w:bookmarkStart w:id="262" w:name="page263"/>
    <w:bookmarkEnd w:id="2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1420" w:type="dxa"/>
            <w:vAlign w:val="bottom"/>
            <w:tcBorders>
              <w:top w:val="single" w:sz="8" w:color="BEBEBE"/>
              <w:left w:val="single" w:sz="8" w:color="BEBEBE"/>
              <w:right w:val="single" w:sz="8" w:color="BEBEBE"/>
            </w:tcBorders>
          </w:tcPr>
          <w:p>
            <w:pPr>
              <w:jc w:val="right"/>
              <w:ind w:right="311"/>
              <w:spacing w:after="0"/>
              <w:rPr>
                <w:sz w:val="20"/>
                <w:szCs w:val="20"/>
                <w:color w:val="auto"/>
              </w:rPr>
            </w:pPr>
            <w:r>
              <w:rPr>
                <w:rFonts w:ascii="Arial" w:cs="Arial" w:eastAsia="Arial" w:hAnsi="Arial"/>
                <w:sz w:val="18"/>
                <w:szCs w:val="18"/>
                <w:color w:val="auto"/>
              </w:rPr>
              <w:t>87/420,702</w:t>
            </w:r>
          </w:p>
        </w:tc>
        <w:tc>
          <w:tcPr>
            <w:tcW w:w="1420" w:type="dxa"/>
            <w:vAlign w:val="bottom"/>
            <w:tcBorders>
              <w:top w:val="single" w:sz="8" w:color="BEBEBE"/>
              <w:right w:val="single" w:sz="8" w:color="BEBEBE"/>
            </w:tcBorders>
          </w:tcPr>
          <w:p>
            <w:pPr>
              <w:jc w:val="right"/>
              <w:ind w:right="311"/>
              <w:spacing w:after="0"/>
              <w:rPr>
                <w:sz w:val="20"/>
                <w:szCs w:val="20"/>
                <w:color w:val="auto"/>
              </w:rPr>
            </w:pPr>
            <w:r>
              <w:rPr>
                <w:rFonts w:ascii="Arial" w:cs="Arial" w:eastAsia="Arial" w:hAnsi="Arial"/>
                <w:sz w:val="18"/>
                <w:szCs w:val="18"/>
                <w:color w:val="auto"/>
              </w:rPr>
              <w:t>4/21/2017</w:t>
            </w:r>
          </w:p>
        </w:tc>
        <w:tc>
          <w:tcPr>
            <w:tcW w:w="1460" w:type="dxa"/>
            <w:vAlign w:val="bottom"/>
            <w:tcBorders>
              <w:top w:val="single" w:sz="8" w:color="BEBEBE"/>
              <w:right w:val="single" w:sz="8" w:color="BEBEBE"/>
            </w:tcBorders>
          </w:tcPr>
          <w:p>
            <w:pPr>
              <w:jc w:val="right"/>
              <w:ind w:right="471"/>
              <w:spacing w:after="0"/>
              <w:rPr>
                <w:sz w:val="20"/>
                <w:szCs w:val="20"/>
                <w:color w:val="auto"/>
              </w:rPr>
            </w:pPr>
            <w:r>
              <w:rPr>
                <w:rFonts w:ascii="Arial" w:cs="Arial" w:eastAsia="Arial" w:hAnsi="Arial"/>
                <w:sz w:val="18"/>
                <w:szCs w:val="18"/>
                <w:color w:val="auto"/>
              </w:rPr>
              <w:t>5,345,581</w:t>
            </w:r>
          </w:p>
        </w:tc>
        <w:tc>
          <w:tcPr>
            <w:tcW w:w="1440" w:type="dxa"/>
            <w:vAlign w:val="bottom"/>
            <w:tcBorders>
              <w:top w:val="single" w:sz="8" w:color="BEBEBE"/>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11/28/2017</w:t>
            </w:r>
          </w:p>
        </w:tc>
        <w:tc>
          <w:tcPr>
            <w:tcW w:w="1420" w:type="dxa"/>
            <w:vAlign w:val="bottom"/>
            <w:tcBorders>
              <w:top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700" w:type="dxa"/>
            <w:vAlign w:val="bottom"/>
            <w:tcBorders>
              <w:top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CALIPERAY &amp; Design</w:t>
            </w:r>
          </w:p>
        </w:tc>
        <w:tc>
          <w:tcPr>
            <w:tcW w:w="1040" w:type="dxa"/>
            <w:vAlign w:val="bottom"/>
            <w:tcBorders>
              <w:top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6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vMerge w:val="continue"/>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270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420" w:type="dxa"/>
            <w:vAlign w:val="bottom"/>
            <w:tcBorders>
              <w:left w:val="single" w:sz="8" w:color="BEBEBE"/>
              <w:right w:val="single" w:sz="8" w:color="BEBEBE"/>
            </w:tcBorders>
          </w:tcPr>
          <w:p>
            <w:pPr>
              <w:jc w:val="right"/>
              <w:ind w:right="311"/>
              <w:spacing w:after="0"/>
              <w:rPr>
                <w:sz w:val="20"/>
                <w:szCs w:val="20"/>
                <w:color w:val="auto"/>
              </w:rPr>
            </w:pPr>
            <w:r>
              <w:rPr>
                <w:rFonts w:ascii="Arial" w:cs="Arial" w:eastAsia="Arial" w:hAnsi="Arial"/>
                <w:sz w:val="18"/>
                <w:szCs w:val="18"/>
                <w:color w:val="auto"/>
              </w:rPr>
              <w:t>88/482,039</w:t>
            </w:r>
          </w:p>
        </w:tc>
        <w:tc>
          <w:tcPr>
            <w:tcW w:w="1420" w:type="dxa"/>
            <w:vAlign w:val="bottom"/>
            <w:tcBorders>
              <w:right w:val="single" w:sz="8" w:color="BEBEBE"/>
            </w:tcBorders>
          </w:tcPr>
          <w:p>
            <w:pPr>
              <w:jc w:val="right"/>
              <w:ind w:right="311"/>
              <w:spacing w:after="0"/>
              <w:rPr>
                <w:sz w:val="20"/>
                <w:szCs w:val="20"/>
                <w:color w:val="auto"/>
              </w:rPr>
            </w:pPr>
            <w:r>
              <w:rPr>
                <w:rFonts w:ascii="Arial" w:cs="Arial" w:eastAsia="Arial" w:hAnsi="Arial"/>
                <w:sz w:val="18"/>
                <w:szCs w:val="18"/>
                <w:color w:val="auto"/>
              </w:rPr>
              <w:t>6/20/2019</w:t>
            </w:r>
          </w:p>
        </w:tc>
        <w:tc>
          <w:tcPr>
            <w:tcW w:w="1460" w:type="dxa"/>
            <w:vAlign w:val="bottom"/>
            <w:tcBorders>
              <w:right w:val="single" w:sz="8" w:color="BEBEBE"/>
            </w:tcBorders>
          </w:tcPr>
          <w:p>
            <w:pPr>
              <w:jc w:val="right"/>
              <w:ind w:right="471"/>
              <w:spacing w:after="0"/>
              <w:rPr>
                <w:sz w:val="20"/>
                <w:szCs w:val="20"/>
                <w:color w:val="auto"/>
              </w:rPr>
            </w:pPr>
            <w:r>
              <w:rPr>
                <w:rFonts w:ascii="Arial" w:cs="Arial" w:eastAsia="Arial" w:hAnsi="Arial"/>
                <w:sz w:val="18"/>
                <w:szCs w:val="18"/>
                <w:color w:val="auto"/>
              </w:rPr>
              <w:t>5,994,720</w:t>
            </w:r>
          </w:p>
        </w:tc>
        <w:tc>
          <w:tcPr>
            <w:tcW w:w="1440" w:type="dxa"/>
            <w:vAlign w:val="bottom"/>
            <w:tcBorders>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2/25/2020</w:t>
            </w:r>
          </w:p>
        </w:tc>
        <w:tc>
          <w:tcPr>
            <w:tcW w:w="142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70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MISTRAS DIGITAL</w:t>
            </w:r>
          </w:p>
        </w:tc>
        <w:tc>
          <w:tcPr>
            <w:tcW w:w="104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6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vMerge w:val="continue"/>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270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420" w:type="dxa"/>
            <w:vAlign w:val="bottom"/>
            <w:tcBorders>
              <w:left w:val="single" w:sz="8" w:color="BEBEBE"/>
              <w:bottom w:val="single" w:sz="8" w:color="BEBEBE"/>
              <w:right w:val="single" w:sz="8" w:color="BEBEBE"/>
            </w:tcBorders>
          </w:tcPr>
          <w:p>
            <w:pPr>
              <w:jc w:val="right"/>
              <w:ind w:right="311"/>
              <w:spacing w:after="0"/>
              <w:rPr>
                <w:sz w:val="20"/>
                <w:szCs w:val="20"/>
                <w:color w:val="auto"/>
              </w:rPr>
            </w:pPr>
            <w:r>
              <w:rPr>
                <w:rFonts w:ascii="Arial" w:cs="Arial" w:eastAsia="Arial" w:hAnsi="Arial"/>
                <w:sz w:val="18"/>
                <w:szCs w:val="18"/>
                <w:color w:val="auto"/>
              </w:rPr>
              <w:t>90/799,266</w:t>
            </w:r>
          </w:p>
        </w:tc>
        <w:tc>
          <w:tcPr>
            <w:tcW w:w="1420" w:type="dxa"/>
            <w:vAlign w:val="bottom"/>
            <w:tcBorders>
              <w:bottom w:val="single" w:sz="8" w:color="BEBEBE"/>
              <w:right w:val="single" w:sz="8" w:color="BEBEBE"/>
            </w:tcBorders>
          </w:tcPr>
          <w:p>
            <w:pPr>
              <w:jc w:val="right"/>
              <w:ind w:right="311"/>
              <w:spacing w:after="0"/>
              <w:rPr>
                <w:sz w:val="20"/>
                <w:szCs w:val="20"/>
                <w:color w:val="auto"/>
              </w:rPr>
            </w:pPr>
            <w:r>
              <w:rPr>
                <w:rFonts w:ascii="Arial" w:cs="Arial" w:eastAsia="Arial" w:hAnsi="Arial"/>
                <w:sz w:val="18"/>
                <w:szCs w:val="18"/>
                <w:color w:val="auto"/>
              </w:rPr>
              <w:t>6/28/2021</w:t>
            </w:r>
          </w:p>
        </w:tc>
        <w:tc>
          <w:tcPr>
            <w:tcW w:w="1460" w:type="dxa"/>
            <w:vAlign w:val="bottom"/>
            <w:tcBorders>
              <w:bottom w:val="single" w:sz="8" w:color="BEBEBE"/>
              <w:right w:val="single" w:sz="8" w:color="BEBEBE"/>
            </w:tcBorders>
          </w:tcPr>
          <w:p>
            <w:pPr>
              <w:spacing w:after="0"/>
              <w:rPr>
                <w:sz w:val="19"/>
                <w:szCs w:val="19"/>
                <w:color w:val="auto"/>
              </w:rPr>
            </w:pPr>
          </w:p>
        </w:tc>
        <w:tc>
          <w:tcPr>
            <w:tcW w:w="1440" w:type="dxa"/>
            <w:vAlign w:val="bottom"/>
            <w:tcBorders>
              <w:bottom w:val="single" w:sz="8" w:color="BEBEBE"/>
              <w:right w:val="single" w:sz="8" w:color="BEBEBE"/>
            </w:tcBorders>
          </w:tcPr>
          <w:p>
            <w:pPr>
              <w:spacing w:after="0"/>
              <w:rPr>
                <w:sz w:val="19"/>
                <w:szCs w:val="19"/>
                <w:color w:val="auto"/>
              </w:rPr>
            </w:pPr>
          </w:p>
        </w:tc>
        <w:tc>
          <w:tcPr>
            <w:tcW w:w="142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Pending</w:t>
            </w:r>
          </w:p>
        </w:tc>
        <w:tc>
          <w:tcPr>
            <w:tcW w:w="270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ONESUITE</w:t>
            </w:r>
          </w:p>
        </w:tc>
        <w:tc>
          <w:tcPr>
            <w:tcW w:w="104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21"/>
        </w:trPr>
        <w:tc>
          <w:tcPr>
            <w:tcW w:w="1420" w:type="dxa"/>
            <w:vAlign w:val="bottom"/>
            <w:tcBorders>
              <w:left w:val="single" w:sz="8" w:color="BEBEBE"/>
              <w:bottom w:val="single" w:sz="8" w:color="BEBEBE"/>
              <w:right w:val="single" w:sz="8" w:color="BEBEBE"/>
            </w:tcBorders>
          </w:tcPr>
          <w:p>
            <w:pPr>
              <w:jc w:val="right"/>
              <w:ind w:right="311"/>
              <w:spacing w:after="0"/>
              <w:rPr>
                <w:sz w:val="20"/>
                <w:szCs w:val="20"/>
                <w:color w:val="auto"/>
              </w:rPr>
            </w:pPr>
            <w:r>
              <w:rPr>
                <w:rFonts w:ascii="Arial" w:cs="Arial" w:eastAsia="Arial" w:hAnsi="Arial"/>
                <w:sz w:val="18"/>
                <w:szCs w:val="18"/>
                <w:color w:val="auto"/>
              </w:rPr>
              <w:t>90/799,280</w:t>
            </w:r>
          </w:p>
        </w:tc>
        <w:tc>
          <w:tcPr>
            <w:tcW w:w="1420" w:type="dxa"/>
            <w:vAlign w:val="bottom"/>
            <w:tcBorders>
              <w:bottom w:val="single" w:sz="8" w:color="BEBEBE"/>
              <w:right w:val="single" w:sz="8" w:color="BEBEBE"/>
            </w:tcBorders>
          </w:tcPr>
          <w:p>
            <w:pPr>
              <w:jc w:val="right"/>
              <w:ind w:right="311"/>
              <w:spacing w:after="0"/>
              <w:rPr>
                <w:sz w:val="20"/>
                <w:szCs w:val="20"/>
                <w:color w:val="auto"/>
              </w:rPr>
            </w:pPr>
            <w:r>
              <w:rPr>
                <w:rFonts w:ascii="Arial" w:cs="Arial" w:eastAsia="Arial" w:hAnsi="Arial"/>
                <w:sz w:val="18"/>
                <w:szCs w:val="18"/>
                <w:color w:val="auto"/>
              </w:rPr>
              <w:t>6/28/2021</w:t>
            </w:r>
          </w:p>
        </w:tc>
        <w:tc>
          <w:tcPr>
            <w:tcW w:w="1460" w:type="dxa"/>
            <w:vAlign w:val="bottom"/>
            <w:tcBorders>
              <w:bottom w:val="single" w:sz="8" w:color="BEBEBE"/>
              <w:right w:val="single" w:sz="8" w:color="BEBEBE"/>
            </w:tcBorders>
          </w:tcPr>
          <w:p>
            <w:pPr>
              <w:spacing w:after="0"/>
              <w:rPr>
                <w:sz w:val="19"/>
                <w:szCs w:val="19"/>
                <w:color w:val="auto"/>
              </w:rPr>
            </w:pPr>
          </w:p>
        </w:tc>
        <w:tc>
          <w:tcPr>
            <w:tcW w:w="1440" w:type="dxa"/>
            <w:vAlign w:val="bottom"/>
            <w:tcBorders>
              <w:bottom w:val="single" w:sz="8" w:color="BEBEBE"/>
              <w:right w:val="single" w:sz="8" w:color="BEBEBE"/>
            </w:tcBorders>
          </w:tcPr>
          <w:p>
            <w:pPr>
              <w:spacing w:after="0"/>
              <w:rPr>
                <w:sz w:val="19"/>
                <w:szCs w:val="19"/>
                <w:color w:val="auto"/>
              </w:rPr>
            </w:pPr>
          </w:p>
        </w:tc>
        <w:tc>
          <w:tcPr>
            <w:tcW w:w="142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Pending</w:t>
            </w:r>
          </w:p>
        </w:tc>
        <w:tc>
          <w:tcPr>
            <w:tcW w:w="270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SENSORIA</w:t>
            </w:r>
          </w:p>
        </w:tc>
        <w:tc>
          <w:tcPr>
            <w:tcW w:w="1040" w:type="dxa"/>
            <w:vAlign w:val="bottom"/>
            <w:tcBorders>
              <w:bottom w:val="single" w:sz="8" w:color="BEBEBE"/>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20"/>
        </w:trPr>
        <w:tc>
          <w:tcPr>
            <w:tcW w:w="1420" w:type="dxa"/>
            <w:vAlign w:val="bottom"/>
            <w:tcBorders>
              <w:left w:val="single" w:sz="8" w:color="BEBEBE"/>
              <w:right w:val="single" w:sz="8" w:color="BEBEBE"/>
            </w:tcBorders>
          </w:tcPr>
          <w:p>
            <w:pPr>
              <w:jc w:val="right"/>
              <w:ind w:right="311"/>
              <w:spacing w:after="0"/>
              <w:rPr>
                <w:sz w:val="20"/>
                <w:szCs w:val="20"/>
                <w:color w:val="auto"/>
              </w:rPr>
            </w:pPr>
            <w:r>
              <w:rPr>
                <w:rFonts w:ascii="Arial" w:cs="Arial" w:eastAsia="Arial" w:hAnsi="Arial"/>
                <w:sz w:val="18"/>
                <w:szCs w:val="18"/>
                <w:color w:val="auto"/>
              </w:rPr>
              <w:t>77/377,912</w:t>
            </w:r>
          </w:p>
        </w:tc>
        <w:tc>
          <w:tcPr>
            <w:tcW w:w="1420" w:type="dxa"/>
            <w:vAlign w:val="bottom"/>
            <w:tcBorders>
              <w:right w:val="single" w:sz="8" w:color="BEBEBE"/>
            </w:tcBorders>
          </w:tcPr>
          <w:p>
            <w:pPr>
              <w:jc w:val="right"/>
              <w:ind w:right="311"/>
              <w:spacing w:after="0"/>
              <w:rPr>
                <w:sz w:val="20"/>
                <w:szCs w:val="20"/>
                <w:color w:val="auto"/>
              </w:rPr>
            </w:pPr>
            <w:r>
              <w:rPr>
                <w:rFonts w:ascii="Arial" w:cs="Arial" w:eastAsia="Arial" w:hAnsi="Arial"/>
                <w:sz w:val="18"/>
                <w:szCs w:val="18"/>
                <w:color w:val="auto"/>
              </w:rPr>
              <w:t>1/22/2008</w:t>
            </w:r>
          </w:p>
        </w:tc>
        <w:tc>
          <w:tcPr>
            <w:tcW w:w="1460" w:type="dxa"/>
            <w:vAlign w:val="bottom"/>
            <w:tcBorders>
              <w:right w:val="single" w:sz="8" w:color="BEBEBE"/>
            </w:tcBorders>
          </w:tcPr>
          <w:p>
            <w:pPr>
              <w:jc w:val="right"/>
              <w:ind w:right="471"/>
              <w:spacing w:after="0"/>
              <w:rPr>
                <w:sz w:val="20"/>
                <w:szCs w:val="20"/>
                <w:color w:val="auto"/>
              </w:rPr>
            </w:pPr>
            <w:r>
              <w:rPr>
                <w:rFonts w:ascii="Arial" w:cs="Arial" w:eastAsia="Arial" w:hAnsi="Arial"/>
                <w:sz w:val="18"/>
                <w:szCs w:val="18"/>
                <w:color w:val="auto"/>
              </w:rPr>
              <w:t>3,713,812</w:t>
            </w:r>
          </w:p>
        </w:tc>
        <w:tc>
          <w:tcPr>
            <w:tcW w:w="1440" w:type="dxa"/>
            <w:vAlign w:val="bottom"/>
            <w:tcBorders>
              <w:right w:val="single" w:sz="8" w:color="BEBEBE"/>
            </w:tcBorders>
            <w:vMerge w:val="restart"/>
          </w:tcPr>
          <w:p>
            <w:pPr>
              <w:jc w:val="center"/>
              <w:spacing w:after="0"/>
              <w:rPr>
                <w:sz w:val="20"/>
                <w:szCs w:val="20"/>
                <w:color w:val="auto"/>
              </w:rPr>
            </w:pPr>
            <w:r>
              <w:rPr>
                <w:rFonts w:ascii="Arial" w:cs="Arial" w:eastAsia="Arial" w:hAnsi="Arial"/>
                <w:sz w:val="18"/>
                <w:szCs w:val="18"/>
                <w:color w:val="auto"/>
                <w:w w:val="99"/>
              </w:rPr>
              <w:t>11/24/2009</w:t>
            </w:r>
          </w:p>
        </w:tc>
        <w:tc>
          <w:tcPr>
            <w:tcW w:w="142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Registered</w:t>
            </w:r>
          </w:p>
        </w:tc>
        <w:tc>
          <w:tcPr>
            <w:tcW w:w="270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ONSTREAM &amp; Design</w:t>
            </w:r>
          </w:p>
        </w:tc>
        <w:tc>
          <w:tcPr>
            <w:tcW w:w="1040" w:type="dxa"/>
            <w:vAlign w:val="bottom"/>
            <w:tcBorders>
              <w:right w:val="single" w:sz="8" w:color="BEBEBE"/>
            </w:tcBorders>
          </w:tcPr>
          <w:p>
            <w:pPr>
              <w:ind w:left="1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21"/>
        </w:trPr>
        <w:tc>
          <w:tcPr>
            <w:tcW w:w="1420" w:type="dxa"/>
            <w:vAlign w:val="bottom"/>
            <w:tcBorders>
              <w:left w:val="single" w:sz="8" w:color="BEBEBE"/>
              <w:bottom w:val="single" w:sz="8" w:color="BEBEBE"/>
              <w:right w:val="single" w:sz="8" w:color="BEBEBE"/>
            </w:tcBorders>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1460" w:type="dxa"/>
            <w:vAlign w:val="bottom"/>
            <w:tcBorders>
              <w:bottom w:val="single" w:sz="8" w:color="BEBEBE"/>
              <w:right w:val="single" w:sz="8" w:color="BEBEBE"/>
            </w:tcBorders>
          </w:tcPr>
          <w:p>
            <w:pPr>
              <w:spacing w:after="0"/>
              <w:rPr>
                <w:sz w:val="10"/>
                <w:szCs w:val="10"/>
                <w:color w:val="auto"/>
              </w:rPr>
            </w:pPr>
          </w:p>
        </w:tc>
        <w:tc>
          <w:tcPr>
            <w:tcW w:w="1440" w:type="dxa"/>
            <w:vAlign w:val="bottom"/>
            <w:tcBorders>
              <w:bottom w:val="single" w:sz="8" w:color="BEBEBE"/>
              <w:right w:val="single" w:sz="8" w:color="BEBEBE"/>
            </w:tcBorders>
            <w:vMerge w:val="continue"/>
          </w:tcPr>
          <w:p>
            <w:pPr>
              <w:spacing w:after="0"/>
              <w:rPr>
                <w:sz w:val="10"/>
                <w:szCs w:val="10"/>
                <w:color w:val="auto"/>
              </w:rPr>
            </w:pPr>
          </w:p>
        </w:tc>
        <w:tc>
          <w:tcPr>
            <w:tcW w:w="1420" w:type="dxa"/>
            <w:vAlign w:val="bottom"/>
            <w:tcBorders>
              <w:bottom w:val="single" w:sz="8" w:color="BEBEBE"/>
              <w:right w:val="single" w:sz="8" w:color="BEBEBE"/>
            </w:tcBorders>
          </w:tcPr>
          <w:p>
            <w:pPr>
              <w:spacing w:after="0"/>
              <w:rPr>
                <w:sz w:val="10"/>
                <w:szCs w:val="10"/>
                <w:color w:val="auto"/>
              </w:rPr>
            </w:pPr>
          </w:p>
        </w:tc>
        <w:tc>
          <w:tcPr>
            <w:tcW w:w="2700" w:type="dxa"/>
            <w:vAlign w:val="bottom"/>
            <w:tcBorders>
              <w:bottom w:val="single" w:sz="8" w:color="BEBEBE"/>
              <w:right w:val="single" w:sz="8" w:color="BEBEBE"/>
            </w:tcBorders>
          </w:tcPr>
          <w:p>
            <w:pPr>
              <w:spacing w:after="0"/>
              <w:rPr>
                <w:sz w:val="10"/>
                <w:szCs w:val="10"/>
                <w:color w:val="auto"/>
              </w:rPr>
            </w:pPr>
          </w:p>
        </w:tc>
        <w:tc>
          <w:tcPr>
            <w:tcW w:w="1040" w:type="dxa"/>
            <w:vAlign w:val="bottom"/>
            <w:tcBorders>
              <w:bottom w:val="single" w:sz="8" w:color="BEBEBE"/>
              <w:right w:val="single" w:sz="8" w:color="BEBEBE"/>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460" w:top="1434" w:right="559" w:bottom="1440" w:gutter="0" w:footer="0" w:header="0"/>
        </w:sectPr>
      </w:pPr>
    </w:p>
    <w:bookmarkStart w:id="263" w:name="page264"/>
    <w:bookmarkEnd w:id="263"/>
    <w:p>
      <w:pPr>
        <w:jc w:val="center"/>
        <w:ind w:right="-59"/>
        <w:spacing w:after="0"/>
        <w:rPr>
          <w:sz w:val="20"/>
          <w:szCs w:val="20"/>
          <w:color w:val="auto"/>
        </w:rPr>
      </w:pPr>
      <w:r>
        <w:rPr>
          <w:rFonts w:ascii="Arial" w:cs="Arial" w:eastAsia="Arial" w:hAnsi="Arial"/>
          <w:sz w:val="21"/>
          <w:szCs w:val="21"/>
          <w:color w:val="auto"/>
        </w:rPr>
        <w:t>SCHEDULE 3.24(d)(i)</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Deposit Accounts and Securities Accounts</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42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Legal Name on Account</w:t>
            </w:r>
          </w:p>
        </w:tc>
        <w:tc>
          <w:tcPr>
            <w:tcW w:w="222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Bank Name</w:t>
            </w:r>
          </w:p>
        </w:tc>
        <w:tc>
          <w:tcPr>
            <w:tcW w:w="174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Bank Acct#</w:t>
            </w:r>
          </w:p>
        </w:tc>
        <w:tc>
          <w:tcPr>
            <w:tcW w:w="3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Description of Account -</w:t>
            </w:r>
          </w:p>
        </w:tc>
        <w:tc>
          <w:tcPr>
            <w:tcW w:w="142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1"/>
        </w:trPr>
        <w:tc>
          <w:tcPr>
            <w:tcW w:w="2420" w:type="dxa"/>
            <w:vAlign w:val="bottom"/>
            <w:tcBorders>
              <w:left w:val="single" w:sz="8" w:color="auto"/>
              <w:right w:val="single" w:sz="8" w:color="auto"/>
            </w:tcBorders>
            <w:vMerge w:val="continue"/>
          </w:tcPr>
          <w:p>
            <w:pPr>
              <w:spacing w:after="0"/>
              <w:rPr>
                <w:sz w:val="20"/>
                <w:szCs w:val="20"/>
                <w:color w:val="auto"/>
              </w:rPr>
            </w:pPr>
          </w:p>
        </w:tc>
        <w:tc>
          <w:tcPr>
            <w:tcW w:w="2220" w:type="dxa"/>
            <w:vAlign w:val="bottom"/>
            <w:tcBorders>
              <w:right w:val="single" w:sz="8" w:color="auto"/>
            </w:tcBorders>
            <w:vMerge w:val="continue"/>
          </w:tcPr>
          <w:p>
            <w:pPr>
              <w:spacing w:after="0"/>
              <w:rPr>
                <w:sz w:val="20"/>
                <w:szCs w:val="20"/>
                <w:color w:val="auto"/>
              </w:rPr>
            </w:pPr>
          </w:p>
        </w:tc>
        <w:tc>
          <w:tcPr>
            <w:tcW w:w="1740" w:type="dxa"/>
            <w:vAlign w:val="bottom"/>
            <w:tcBorders>
              <w:right w:val="single" w:sz="8" w:color="auto"/>
            </w:tcBorders>
            <w:vMerge w:val="continue"/>
          </w:tcPr>
          <w:p>
            <w:pPr>
              <w:spacing w:after="0"/>
              <w:rPr>
                <w:sz w:val="20"/>
                <w:szCs w:val="20"/>
                <w:color w:val="auto"/>
              </w:rPr>
            </w:pPr>
          </w:p>
        </w:tc>
        <w:tc>
          <w:tcPr>
            <w:tcW w:w="31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ZBA/Payroll/Deposit/Etc.</w:t>
            </w:r>
          </w:p>
        </w:tc>
        <w:tc>
          <w:tcPr>
            <w:tcW w:w="142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42"/>
        </w:trPr>
        <w:tc>
          <w:tcPr>
            <w:tcW w:w="2420" w:type="dxa"/>
            <w:vAlign w:val="bottom"/>
            <w:tcBorders>
              <w:left w:val="single" w:sz="8" w:color="auto"/>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1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Mistras Group, Inc.</w:t>
            </w:r>
          </w:p>
        </w:tc>
        <w:tc>
          <w:tcPr>
            <w:tcW w:w="2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Bank of America N.A.</w:t>
            </w:r>
          </w:p>
        </w:tc>
        <w:tc>
          <w:tcPr>
            <w:tcW w:w="1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002240000995</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Controlled Disbursement Account</w:t>
            </w:r>
          </w:p>
        </w:tc>
        <w:tc>
          <w:tcPr>
            <w:tcW w:w="1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1"/>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Mistras Group, Inc.</w:t>
            </w:r>
          </w:p>
        </w:tc>
        <w:tc>
          <w:tcPr>
            <w:tcW w:w="2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Bank of America N.A.</w:t>
            </w:r>
          </w:p>
        </w:tc>
        <w:tc>
          <w:tcPr>
            <w:tcW w:w="1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003812670214</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Mistras operating account</w:t>
            </w:r>
          </w:p>
        </w:tc>
        <w:tc>
          <w:tcPr>
            <w:tcW w:w="1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168"/>
        </w:trPr>
        <w:tc>
          <w:tcPr>
            <w:tcW w:w="24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8"/>
                <w:szCs w:val="18"/>
                <w:color w:val="auto"/>
              </w:rPr>
              <w:t>Mistras Group, Inc.</w:t>
            </w:r>
          </w:p>
        </w:tc>
        <w:tc>
          <w:tcPr>
            <w:tcW w:w="2220" w:type="dxa"/>
            <w:vAlign w:val="bottom"/>
            <w:tcBorders>
              <w:right w:val="single" w:sz="8" w:color="auto"/>
            </w:tcBorders>
          </w:tcPr>
          <w:p>
            <w:pPr>
              <w:ind w:left="120"/>
              <w:spacing w:after="0" w:line="168" w:lineRule="exact"/>
              <w:rPr>
                <w:sz w:val="20"/>
                <w:szCs w:val="20"/>
                <w:color w:val="auto"/>
              </w:rPr>
            </w:pPr>
            <w:r>
              <w:rPr>
                <w:rFonts w:ascii="Arial" w:cs="Arial" w:eastAsia="Arial" w:hAnsi="Arial"/>
                <w:sz w:val="18"/>
                <w:szCs w:val="18"/>
                <w:color w:val="auto"/>
              </w:rPr>
              <w:t>Bank of America N.A.</w:t>
            </w:r>
          </w:p>
        </w:tc>
        <w:tc>
          <w:tcPr>
            <w:tcW w:w="174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8"/>
                <w:szCs w:val="18"/>
                <w:color w:val="auto"/>
              </w:rPr>
              <w:t>003812670175</w:t>
            </w:r>
          </w:p>
        </w:tc>
        <w:tc>
          <w:tcPr>
            <w:tcW w:w="316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8"/>
                <w:szCs w:val="18"/>
                <w:color w:val="auto"/>
                <w:w w:val="91"/>
              </w:rPr>
              <w:t>Services operating, zero balance account</w:t>
            </w:r>
          </w:p>
        </w:tc>
        <w:tc>
          <w:tcPr>
            <w:tcW w:w="1420" w:type="dxa"/>
            <w:vAlign w:val="bottom"/>
            <w:tcBorders>
              <w:right w:val="single" w:sz="8" w:color="auto"/>
            </w:tcBorders>
          </w:tcPr>
          <w:p>
            <w:pPr>
              <w:ind w:left="100"/>
              <w:spacing w:after="0" w:line="16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5"/>
        </w:trPr>
        <w:tc>
          <w:tcPr>
            <w:tcW w:w="2420" w:type="dxa"/>
            <w:vAlign w:val="bottom"/>
            <w:tcBorders>
              <w:left w:val="single" w:sz="8" w:color="auto"/>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(ZBA)</w:t>
            </w:r>
          </w:p>
        </w:tc>
        <w:tc>
          <w:tcPr>
            <w:tcW w:w="1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Mistras Group, Inc.</w:t>
            </w:r>
          </w:p>
        </w:tc>
        <w:tc>
          <w:tcPr>
            <w:tcW w:w="22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Bank of America N.A.</w:t>
            </w:r>
          </w:p>
        </w:tc>
        <w:tc>
          <w:tcPr>
            <w:tcW w:w="1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002240001014</w:t>
            </w:r>
          </w:p>
        </w:tc>
        <w:tc>
          <w:tcPr>
            <w:tcW w:w="3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Controlled disbursement account</w:t>
            </w:r>
          </w:p>
        </w:tc>
        <w:tc>
          <w:tcPr>
            <w:tcW w:w="1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7"/>
        </w:trPr>
        <w:tc>
          <w:tcPr>
            <w:tcW w:w="2420" w:type="dxa"/>
            <w:vAlign w:val="bottom"/>
            <w:tcBorders>
              <w:left w:val="single" w:sz="8" w:color="auto"/>
              <w:righ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(CDA) Services</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Mistras Group, Inc.</w:t>
            </w:r>
          </w:p>
        </w:tc>
        <w:tc>
          <w:tcPr>
            <w:tcW w:w="22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Bank of America N.A.</w:t>
            </w:r>
          </w:p>
        </w:tc>
        <w:tc>
          <w:tcPr>
            <w:tcW w:w="1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002240016970</w:t>
            </w:r>
          </w:p>
        </w:tc>
        <w:tc>
          <w:tcPr>
            <w:tcW w:w="3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Corporate Controlled</w:t>
            </w:r>
          </w:p>
        </w:tc>
        <w:tc>
          <w:tcPr>
            <w:tcW w:w="1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7"/>
        </w:trPr>
        <w:tc>
          <w:tcPr>
            <w:tcW w:w="2420" w:type="dxa"/>
            <w:vAlign w:val="bottom"/>
            <w:tcBorders>
              <w:left w:val="single" w:sz="8" w:color="auto"/>
              <w:right w:val="single" w:sz="8" w:color="auto"/>
            </w:tcBorders>
          </w:tcPr>
          <w:p>
            <w:pPr>
              <w:spacing w:after="0"/>
              <w:rPr>
                <w:sz w:val="19"/>
                <w:szCs w:val="19"/>
                <w:color w:val="auto"/>
              </w:rPr>
            </w:pPr>
          </w:p>
        </w:tc>
        <w:tc>
          <w:tcPr>
            <w:tcW w:w="22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Disbursement Account</w:t>
            </w: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Mistras Group, Inc.</w:t>
            </w:r>
          </w:p>
        </w:tc>
        <w:tc>
          <w:tcPr>
            <w:tcW w:w="2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Bank of America N.A.</w:t>
            </w:r>
          </w:p>
        </w:tc>
        <w:tc>
          <w:tcPr>
            <w:tcW w:w="1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381032772931</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Payroll Operating account</w:t>
            </w:r>
          </w:p>
        </w:tc>
        <w:tc>
          <w:tcPr>
            <w:tcW w:w="1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7"/>
        </w:trPr>
        <w:tc>
          <w:tcPr>
            <w:tcW w:w="2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West Penn Non- Destructive</w:t>
            </w:r>
          </w:p>
        </w:tc>
        <w:tc>
          <w:tcPr>
            <w:tcW w:w="22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Bank of America N.A.</w:t>
            </w:r>
          </w:p>
        </w:tc>
        <w:tc>
          <w:tcPr>
            <w:tcW w:w="1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2240073338</w:t>
            </w:r>
          </w:p>
        </w:tc>
        <w:tc>
          <w:tcPr>
            <w:tcW w:w="3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Controlled Disbursement Account</w:t>
            </w:r>
          </w:p>
        </w:tc>
        <w:tc>
          <w:tcPr>
            <w:tcW w:w="1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7"/>
        </w:trPr>
        <w:tc>
          <w:tcPr>
            <w:tcW w:w="2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Testing, LLC</w:t>
            </w:r>
          </w:p>
        </w:tc>
        <w:tc>
          <w:tcPr>
            <w:tcW w:w="22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West Penn Non- Destructive</w:t>
            </w:r>
          </w:p>
        </w:tc>
        <w:tc>
          <w:tcPr>
            <w:tcW w:w="22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Bank of America N.A.</w:t>
            </w:r>
          </w:p>
        </w:tc>
        <w:tc>
          <w:tcPr>
            <w:tcW w:w="1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381032765715</w:t>
            </w:r>
          </w:p>
        </w:tc>
        <w:tc>
          <w:tcPr>
            <w:tcW w:w="3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Operating account</w:t>
            </w:r>
          </w:p>
        </w:tc>
        <w:tc>
          <w:tcPr>
            <w:tcW w:w="1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7"/>
        </w:trPr>
        <w:tc>
          <w:tcPr>
            <w:tcW w:w="2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Testing, LLC</w:t>
            </w:r>
          </w:p>
        </w:tc>
        <w:tc>
          <w:tcPr>
            <w:tcW w:w="22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Mistras Group, Inc.</w:t>
            </w:r>
          </w:p>
        </w:tc>
        <w:tc>
          <w:tcPr>
            <w:tcW w:w="2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JP Morgan Chase Bank</w:t>
            </w:r>
          </w:p>
        </w:tc>
        <w:tc>
          <w:tcPr>
            <w:tcW w:w="17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6014006753</w:t>
            </w:r>
          </w:p>
        </w:tc>
        <w:tc>
          <w:tcPr>
            <w:tcW w:w="3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Deposit Account</w:t>
            </w:r>
          </w:p>
        </w:tc>
        <w:tc>
          <w:tcPr>
            <w:tcW w:w="1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47"/>
        </w:trPr>
        <w:tc>
          <w:tcPr>
            <w:tcW w:w="2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Mistras International</w:t>
            </w:r>
          </w:p>
        </w:tc>
        <w:tc>
          <w:tcPr>
            <w:tcW w:w="22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JP Morgan Chase Bank</w:t>
            </w:r>
          </w:p>
        </w:tc>
        <w:tc>
          <w:tcPr>
            <w:tcW w:w="1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578161932</w:t>
            </w:r>
          </w:p>
        </w:tc>
        <w:tc>
          <w:tcPr>
            <w:tcW w:w="3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Deposit Account</w:t>
            </w:r>
          </w:p>
        </w:tc>
        <w:tc>
          <w:tcPr>
            <w:tcW w:w="1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8"/>
        </w:trPr>
        <w:tc>
          <w:tcPr>
            <w:tcW w:w="2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Holdings Inc</w:t>
            </w:r>
          </w:p>
        </w:tc>
        <w:tc>
          <w:tcPr>
            <w:tcW w:w="22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420" w:type="dxa"/>
            <w:vAlign w:val="bottom"/>
            <w:tcBorders>
              <w:left w:val="single" w:sz="8" w:color="auto"/>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316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1392" w:right="519" w:bottom="1440" w:gutter="0" w:footer="0" w:header="0"/>
        </w:sectPr>
      </w:pPr>
    </w:p>
    <w:bookmarkStart w:id="264" w:name="page265"/>
    <w:bookmarkEnd w:id="264"/>
    <w:p>
      <w:pPr>
        <w:jc w:val="center"/>
        <w:ind w:right="-500"/>
        <w:spacing w:after="0"/>
        <w:rPr>
          <w:sz w:val="20"/>
          <w:szCs w:val="20"/>
          <w:color w:val="auto"/>
        </w:rPr>
      </w:pPr>
      <w:r>
        <w:rPr>
          <w:rFonts w:ascii="Arial" w:cs="Arial" w:eastAsia="Arial" w:hAnsi="Arial"/>
          <w:sz w:val="21"/>
          <w:szCs w:val="21"/>
          <w:color w:val="auto"/>
        </w:rPr>
        <w:t>SCHEDULE 3.24(d)(ii)</w:t>
      </w:r>
    </w:p>
    <w:p>
      <w:pPr>
        <w:spacing w:after="0" w:line="134" w:lineRule="exact"/>
        <w:rPr>
          <w:sz w:val="20"/>
          <w:szCs w:val="20"/>
          <w:color w:val="auto"/>
        </w:rPr>
      </w:pPr>
    </w:p>
    <w:p>
      <w:pPr>
        <w:jc w:val="center"/>
        <w:ind w:right="-500"/>
        <w:spacing w:after="0"/>
        <w:rPr>
          <w:sz w:val="20"/>
          <w:szCs w:val="20"/>
          <w:color w:val="auto"/>
        </w:rPr>
      </w:pPr>
      <w:r>
        <w:rPr>
          <w:rFonts w:ascii="Arial" w:cs="Arial" w:eastAsia="Arial" w:hAnsi="Arial"/>
          <w:sz w:val="19"/>
          <w:szCs w:val="19"/>
          <w:color w:val="auto"/>
        </w:rPr>
        <w:t>Electronic Chattel Paper and Letter of Credit Rights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ectPr>
          <w:pgSz w:w="11900" w:h="16838" w:orient="portrait"/>
          <w:cols w:equalWidth="0" w:num="1">
            <w:col w:w="9519"/>
          </w:cols>
          <w:pgMar w:left="940" w:top="1392" w:right="1440" w:bottom="1440" w:gutter="0" w:footer="0" w:header="0"/>
        </w:sectPr>
      </w:pPr>
    </w:p>
    <w:bookmarkStart w:id="265" w:name="page266"/>
    <w:bookmarkEnd w:id="265"/>
    <w:p>
      <w:pPr>
        <w:jc w:val="center"/>
        <w:ind w:right="-480"/>
        <w:spacing w:after="0"/>
        <w:rPr>
          <w:sz w:val="20"/>
          <w:szCs w:val="20"/>
          <w:color w:val="auto"/>
        </w:rPr>
      </w:pPr>
      <w:r>
        <w:rPr>
          <w:rFonts w:ascii="Arial" w:cs="Arial" w:eastAsia="Arial" w:hAnsi="Arial"/>
          <w:sz w:val="21"/>
          <w:szCs w:val="21"/>
          <w:color w:val="auto"/>
        </w:rPr>
        <w:t>SCHEDULE 3.24(e)</w:t>
      </w:r>
    </w:p>
    <w:p>
      <w:pPr>
        <w:spacing w:after="0" w:line="134"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Commercial Tort Claims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ectPr>
          <w:pgSz w:w="11900" w:h="16838" w:orient="portrait"/>
          <w:cols w:equalWidth="0" w:num="1">
            <w:col w:w="9519"/>
          </w:cols>
          <w:pgMar w:left="940" w:top="1392" w:right="1440" w:bottom="1440" w:gutter="0" w:footer="0" w:header="0"/>
        </w:sectPr>
      </w:pPr>
    </w:p>
    <w:bookmarkStart w:id="266" w:name="page267"/>
    <w:bookmarkEnd w:id="266"/>
    <w:p>
      <w:pPr>
        <w:jc w:val="center"/>
        <w:ind w:right="380"/>
        <w:spacing w:after="0"/>
        <w:rPr>
          <w:sz w:val="20"/>
          <w:szCs w:val="20"/>
          <w:color w:val="auto"/>
        </w:rPr>
      </w:pPr>
      <w:r>
        <w:rPr>
          <w:rFonts w:ascii="Arial" w:cs="Arial" w:eastAsia="Arial" w:hAnsi="Arial"/>
          <w:sz w:val="21"/>
          <w:szCs w:val="21"/>
          <w:color w:val="auto"/>
        </w:rPr>
        <w:t>SCHEDULE 3.24(f)</w:t>
      </w:r>
    </w:p>
    <w:p>
      <w:pPr>
        <w:spacing w:after="0" w:line="214" w:lineRule="exact"/>
        <w:rPr>
          <w:sz w:val="20"/>
          <w:szCs w:val="20"/>
          <w:color w:val="auto"/>
        </w:rPr>
      </w:pPr>
    </w:p>
    <w:p>
      <w:pPr>
        <w:jc w:val="center"/>
        <w:ind w:right="380"/>
        <w:spacing w:after="0"/>
        <w:rPr>
          <w:sz w:val="20"/>
          <w:szCs w:val="20"/>
          <w:color w:val="auto"/>
        </w:rPr>
      </w:pPr>
      <w:r>
        <w:rPr>
          <w:rFonts w:ascii="Arial" w:cs="Arial" w:eastAsia="Arial" w:hAnsi="Arial"/>
          <w:sz w:val="21"/>
          <w:szCs w:val="21"/>
          <w:color w:val="auto"/>
        </w:rPr>
        <w:t>Pledged Equity Interests</w:t>
      </w:r>
    </w:p>
    <w:p>
      <w:pPr>
        <w:spacing w:after="0" w:line="214" w:lineRule="exact"/>
        <w:rPr>
          <w:sz w:val="20"/>
          <w:szCs w:val="20"/>
          <w:color w:val="auto"/>
        </w:rPr>
      </w:pPr>
    </w:p>
    <w:p>
      <w:pPr>
        <w:ind w:left="480" w:hanging="378"/>
        <w:spacing w:after="0"/>
        <w:tabs>
          <w:tab w:leader="none" w:pos="48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100% of the Shares of Aetos Group, Inc., a company organized under the laws of the state of Delaware.</w:t>
      </w:r>
    </w:p>
    <w:p>
      <w:pPr>
        <w:spacing w:after="0" w:line="89" w:lineRule="exact"/>
        <w:rPr>
          <w:rFonts w:ascii="Arial" w:cs="Arial" w:eastAsia="Arial" w:hAnsi="Arial"/>
          <w:sz w:val="19"/>
          <w:szCs w:val="19"/>
          <w:color w:val="auto"/>
        </w:rPr>
      </w:pPr>
    </w:p>
    <w:p>
      <w:pPr>
        <w:ind w:left="740" w:right="120" w:hanging="638"/>
        <w:spacing w:after="0" w:line="279" w:lineRule="auto"/>
        <w:tabs>
          <w:tab w:leader="none" w:pos="472" w:val="left"/>
        </w:tabs>
        <w:numPr>
          <w:ilvl w:val="0"/>
          <w:numId w:val="227"/>
        </w:numPr>
        <w:rPr>
          <w:rFonts w:ascii="Arial" w:cs="Arial" w:eastAsia="Arial" w:hAnsi="Arial"/>
          <w:sz w:val="21"/>
          <w:szCs w:val="21"/>
          <w:color w:val="auto"/>
        </w:rPr>
      </w:pPr>
      <w:r>
        <w:rPr>
          <w:rFonts w:ascii="Arial" w:cs="Arial" w:eastAsia="Arial" w:hAnsi="Arial"/>
          <w:sz w:val="21"/>
          <w:szCs w:val="21"/>
          <w:color w:val="auto"/>
        </w:rPr>
        <w:t>100% of the Shares of Mistras Engineering Services Inc., (fka Camagen Engineering, Inc.) a company organized under the laws of the state of New Jersey.</w:t>
      </w:r>
    </w:p>
    <w:p>
      <w:pPr>
        <w:spacing w:after="0" w:line="1" w:lineRule="exact"/>
        <w:rPr>
          <w:rFonts w:ascii="Arial" w:cs="Arial" w:eastAsia="Arial" w:hAnsi="Arial"/>
          <w:sz w:val="21"/>
          <w:szCs w:val="21"/>
          <w:color w:val="auto"/>
        </w:rPr>
      </w:pPr>
    </w:p>
    <w:p>
      <w:pPr>
        <w:ind w:left="740" w:right="200" w:hanging="638"/>
        <w:spacing w:after="0" w:line="244" w:lineRule="auto"/>
        <w:tabs>
          <w:tab w:leader="none" w:pos="472" w:val="left"/>
        </w:tabs>
        <w:numPr>
          <w:ilvl w:val="0"/>
          <w:numId w:val="227"/>
        </w:numPr>
        <w:rPr>
          <w:rFonts w:ascii="Arial" w:cs="Arial" w:eastAsia="Arial" w:hAnsi="Arial"/>
          <w:sz w:val="21"/>
          <w:szCs w:val="21"/>
          <w:color w:val="auto"/>
        </w:rPr>
      </w:pPr>
      <w:r>
        <w:rPr>
          <w:rFonts w:ascii="Arial" w:cs="Arial" w:eastAsia="Arial" w:hAnsi="Arial"/>
          <w:sz w:val="21"/>
          <w:szCs w:val="21"/>
          <w:color w:val="auto"/>
        </w:rPr>
        <w:t>100% of the Shares of CISMIS Springfield Corp., a company organized under the laws of the state of Delaware.</w:t>
      </w:r>
    </w:p>
    <w:p>
      <w:pPr>
        <w:spacing w:after="0" w:line="31" w:lineRule="exact"/>
        <w:rPr>
          <w:rFonts w:ascii="Arial" w:cs="Arial" w:eastAsia="Arial" w:hAnsi="Arial"/>
          <w:sz w:val="21"/>
          <w:szCs w:val="21"/>
          <w:color w:val="auto"/>
        </w:rPr>
      </w:pPr>
    </w:p>
    <w:p>
      <w:pPr>
        <w:ind w:left="740" w:right="40" w:hanging="638"/>
        <w:spacing w:after="0" w:line="279" w:lineRule="auto"/>
        <w:tabs>
          <w:tab w:leader="none" w:pos="472" w:val="left"/>
        </w:tabs>
        <w:numPr>
          <w:ilvl w:val="0"/>
          <w:numId w:val="227"/>
        </w:numPr>
        <w:rPr>
          <w:rFonts w:ascii="Arial" w:cs="Arial" w:eastAsia="Arial" w:hAnsi="Arial"/>
          <w:sz w:val="21"/>
          <w:szCs w:val="21"/>
          <w:color w:val="auto"/>
        </w:rPr>
      </w:pPr>
      <w:r>
        <w:rPr>
          <w:rFonts w:ascii="Arial" w:cs="Arial" w:eastAsia="Arial" w:hAnsi="Arial"/>
          <w:sz w:val="21"/>
          <w:szCs w:val="21"/>
          <w:color w:val="auto"/>
        </w:rPr>
        <w:t>100% of the Shares of Conam Inspection &amp; Engineering Services, Inc., a company organized under the laws of the state of Delaware.</w:t>
      </w:r>
    </w:p>
    <w:p>
      <w:pPr>
        <w:ind w:left="480" w:hanging="378"/>
        <w:spacing w:after="0"/>
        <w:tabs>
          <w:tab w:leader="none" w:pos="480" w:val="left"/>
        </w:tabs>
        <w:numPr>
          <w:ilvl w:val="0"/>
          <w:numId w:val="227"/>
        </w:numPr>
        <w:rPr>
          <w:rFonts w:ascii="Arial" w:cs="Arial" w:eastAsia="Arial" w:hAnsi="Arial"/>
          <w:sz w:val="21"/>
          <w:szCs w:val="21"/>
          <w:color w:val="auto"/>
        </w:rPr>
      </w:pPr>
      <w:r>
        <w:rPr>
          <w:rFonts w:ascii="Arial" w:cs="Arial" w:eastAsia="Arial" w:hAnsi="Arial"/>
          <w:sz w:val="21"/>
          <w:szCs w:val="21"/>
          <w:color w:val="auto"/>
        </w:rPr>
        <w:t>100% of the equity interests of Mistras Arizona Inspection Services LLC, a company organized</w:t>
      </w:r>
    </w:p>
    <w:p>
      <w:pPr>
        <w:ind w:left="740"/>
        <w:spacing w:after="0"/>
        <w:rPr>
          <w:sz w:val="20"/>
          <w:szCs w:val="20"/>
          <w:color w:val="auto"/>
        </w:rPr>
      </w:pPr>
      <w:r>
        <w:rPr>
          <w:rFonts w:ascii="Arial" w:cs="Arial" w:eastAsia="Arial" w:hAnsi="Arial"/>
          <w:sz w:val="21"/>
          <w:szCs w:val="21"/>
          <w:color w:val="auto"/>
        </w:rPr>
        <w:t>under the laws of the state of Delaware.</w:t>
      </w:r>
    </w:p>
    <w:p>
      <w:pPr>
        <w:spacing w:after="0" w:line="49" w:lineRule="exact"/>
        <w:rPr>
          <w:sz w:val="20"/>
          <w:szCs w:val="20"/>
          <w:color w:val="auto"/>
        </w:rPr>
      </w:pPr>
    </w:p>
    <w:p>
      <w:pPr>
        <w:ind w:left="480" w:hanging="378"/>
        <w:spacing w:after="0"/>
        <w:tabs>
          <w:tab w:leader="none" w:pos="48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100% of the Shares of QSL NDT Inc, a company organized under the laws of the state of Delaware.</w:t>
      </w:r>
    </w:p>
    <w:p>
      <w:pPr>
        <w:spacing w:after="0" w:line="91" w:lineRule="exact"/>
        <w:rPr>
          <w:rFonts w:ascii="Arial" w:cs="Arial" w:eastAsia="Arial" w:hAnsi="Arial"/>
          <w:sz w:val="20"/>
          <w:szCs w:val="20"/>
          <w:color w:val="auto"/>
        </w:rPr>
      </w:pPr>
    </w:p>
    <w:p>
      <w:pPr>
        <w:ind w:left="740" w:right="160" w:hanging="638"/>
        <w:spacing w:after="0" w:line="244" w:lineRule="auto"/>
        <w:tabs>
          <w:tab w:leader="none" w:pos="472" w:val="left"/>
        </w:tabs>
        <w:numPr>
          <w:ilvl w:val="0"/>
          <w:numId w:val="228"/>
        </w:numPr>
        <w:rPr>
          <w:rFonts w:ascii="Arial" w:cs="Arial" w:eastAsia="Arial" w:hAnsi="Arial"/>
          <w:sz w:val="21"/>
          <w:szCs w:val="21"/>
          <w:color w:val="auto"/>
        </w:rPr>
      </w:pPr>
      <w:r>
        <w:rPr>
          <w:rFonts w:ascii="Arial" w:cs="Arial" w:eastAsia="Arial" w:hAnsi="Arial"/>
          <w:sz w:val="21"/>
          <w:szCs w:val="21"/>
          <w:color w:val="auto"/>
        </w:rPr>
        <w:t>100% of the Shares of Quality Services Laboratories, Inc., a company organized under the laws of the state of Delaware.</w:t>
      </w:r>
    </w:p>
    <w:p>
      <w:pPr>
        <w:spacing w:after="0" w:line="18" w:lineRule="exact"/>
        <w:rPr>
          <w:rFonts w:ascii="Arial" w:cs="Arial" w:eastAsia="Arial" w:hAnsi="Arial"/>
          <w:sz w:val="21"/>
          <w:szCs w:val="21"/>
          <w:color w:val="auto"/>
        </w:rPr>
      </w:pPr>
    </w:p>
    <w:p>
      <w:pPr>
        <w:ind w:left="740" w:right="340" w:hanging="638"/>
        <w:spacing w:after="0" w:line="284" w:lineRule="auto"/>
        <w:tabs>
          <w:tab w:leader="none" w:pos="472" w:val="left"/>
        </w:tabs>
        <w:numPr>
          <w:ilvl w:val="0"/>
          <w:numId w:val="228"/>
        </w:numPr>
        <w:rPr>
          <w:rFonts w:ascii="Arial" w:cs="Arial" w:eastAsia="Arial" w:hAnsi="Arial"/>
          <w:sz w:val="21"/>
          <w:szCs w:val="21"/>
          <w:color w:val="auto"/>
        </w:rPr>
      </w:pPr>
      <w:r>
        <w:rPr>
          <w:rFonts w:ascii="Arial" w:cs="Arial" w:eastAsia="Arial" w:hAnsi="Arial"/>
          <w:sz w:val="21"/>
          <w:szCs w:val="21"/>
          <w:color w:val="auto"/>
        </w:rPr>
        <w:t>100% of the equity interests of University of Ultrasonics LLC, organized under the laws of the state of Delaware.</w:t>
      </w:r>
    </w:p>
    <w:p>
      <w:pPr>
        <w:spacing w:after="0" w:line="4" w:lineRule="exact"/>
        <w:rPr>
          <w:rFonts w:ascii="Arial" w:cs="Arial" w:eastAsia="Arial" w:hAnsi="Arial"/>
          <w:sz w:val="21"/>
          <w:szCs w:val="21"/>
          <w:color w:val="auto"/>
        </w:rPr>
      </w:pPr>
    </w:p>
    <w:p>
      <w:pPr>
        <w:ind w:left="740" w:right="40" w:hanging="638"/>
        <w:spacing w:after="0" w:line="244" w:lineRule="auto"/>
        <w:tabs>
          <w:tab w:leader="none" w:pos="472" w:val="left"/>
        </w:tabs>
        <w:numPr>
          <w:ilvl w:val="0"/>
          <w:numId w:val="228"/>
        </w:numPr>
        <w:rPr>
          <w:rFonts w:ascii="Arial" w:cs="Arial" w:eastAsia="Arial" w:hAnsi="Arial"/>
          <w:sz w:val="21"/>
          <w:szCs w:val="21"/>
          <w:color w:val="auto"/>
        </w:rPr>
      </w:pPr>
      <w:r>
        <w:rPr>
          <w:rFonts w:ascii="Arial" w:cs="Arial" w:eastAsia="Arial" w:hAnsi="Arial"/>
          <w:sz w:val="21"/>
          <w:szCs w:val="21"/>
          <w:color w:val="auto"/>
        </w:rPr>
        <w:t>100% of the equity interests of Mistras Ropeworks Training LLC, organized under the laws of the state of Delaware.</w:t>
      </w:r>
    </w:p>
    <w:p>
      <w:pPr>
        <w:spacing w:after="0" w:line="31" w:lineRule="exact"/>
        <w:rPr>
          <w:rFonts w:ascii="Arial" w:cs="Arial" w:eastAsia="Arial" w:hAnsi="Arial"/>
          <w:sz w:val="21"/>
          <w:szCs w:val="21"/>
          <w:color w:val="auto"/>
        </w:rPr>
      </w:pPr>
    </w:p>
    <w:p>
      <w:pPr>
        <w:ind w:left="580" w:hanging="478"/>
        <w:spacing w:after="0"/>
        <w:tabs>
          <w:tab w:leader="none" w:pos="580" w:val="left"/>
        </w:tabs>
        <w:numPr>
          <w:ilvl w:val="0"/>
          <w:numId w:val="228"/>
        </w:numPr>
        <w:rPr>
          <w:rFonts w:ascii="Arial" w:cs="Arial" w:eastAsia="Arial" w:hAnsi="Arial"/>
          <w:sz w:val="21"/>
          <w:szCs w:val="21"/>
          <w:color w:val="auto"/>
        </w:rPr>
      </w:pPr>
      <w:r>
        <w:rPr>
          <w:rFonts w:ascii="Arial" w:cs="Arial" w:eastAsia="Arial" w:hAnsi="Arial"/>
          <w:sz w:val="21"/>
          <w:szCs w:val="21"/>
          <w:color w:val="auto"/>
        </w:rPr>
        <w:t>100% of the equity interests of West Penn Non-Destructive Testing, LLC, organized under the</w:t>
      </w:r>
    </w:p>
    <w:p>
      <w:pPr>
        <w:spacing w:after="0" w:line="18" w:lineRule="exact"/>
        <w:rPr>
          <w:sz w:val="20"/>
          <w:szCs w:val="20"/>
          <w:color w:val="auto"/>
        </w:rPr>
      </w:pPr>
    </w:p>
    <w:p>
      <w:pPr>
        <w:ind w:left="740"/>
        <w:spacing w:after="0"/>
        <w:rPr>
          <w:sz w:val="20"/>
          <w:szCs w:val="20"/>
          <w:color w:val="auto"/>
        </w:rPr>
      </w:pPr>
      <w:r>
        <w:rPr>
          <w:rFonts w:ascii="Arial" w:cs="Arial" w:eastAsia="Arial" w:hAnsi="Arial"/>
          <w:sz w:val="21"/>
          <w:szCs w:val="21"/>
          <w:color w:val="auto"/>
        </w:rPr>
        <w:t>laws of the state of Pennsylvania.</w:t>
      </w:r>
    </w:p>
    <w:p>
      <w:pPr>
        <w:spacing w:after="0" w:line="62" w:lineRule="exact"/>
        <w:rPr>
          <w:sz w:val="20"/>
          <w:szCs w:val="20"/>
          <w:color w:val="auto"/>
        </w:rPr>
      </w:pPr>
    </w:p>
    <w:p>
      <w:pPr>
        <w:ind w:left="740" w:right="340" w:hanging="638"/>
        <w:spacing w:after="0" w:line="222" w:lineRule="auto"/>
        <w:tabs>
          <w:tab w:leader="none" w:pos="571" w:val="left"/>
        </w:tabs>
        <w:numPr>
          <w:ilvl w:val="0"/>
          <w:numId w:val="229"/>
        </w:numPr>
        <w:rPr>
          <w:rFonts w:ascii="Arial" w:cs="Arial" w:eastAsia="Arial" w:hAnsi="Arial"/>
          <w:sz w:val="21"/>
          <w:szCs w:val="21"/>
          <w:color w:val="auto"/>
        </w:rPr>
      </w:pPr>
      <w:r>
        <w:rPr>
          <w:rFonts w:ascii="Arial" w:cs="Arial" w:eastAsia="Arial" w:hAnsi="Arial"/>
          <w:sz w:val="21"/>
          <w:szCs w:val="21"/>
          <w:color w:val="auto"/>
        </w:rPr>
        <w:t>100% of the Shares of Mistras International Holdings Inc., organized under the laws of the state of Delaware.</w:t>
      </w:r>
    </w:p>
    <w:p>
      <w:pPr>
        <w:ind w:left="580" w:hanging="478"/>
        <w:spacing w:after="0" w:line="213" w:lineRule="auto"/>
        <w:tabs>
          <w:tab w:leader="none" w:pos="580" w:val="left"/>
        </w:tabs>
        <w:numPr>
          <w:ilvl w:val="0"/>
          <w:numId w:val="229"/>
        </w:numPr>
        <w:rPr>
          <w:rFonts w:ascii="Arial" w:cs="Arial" w:eastAsia="Arial" w:hAnsi="Arial"/>
          <w:sz w:val="21"/>
          <w:szCs w:val="21"/>
          <w:color w:val="auto"/>
        </w:rPr>
      </w:pPr>
      <w:r>
        <w:rPr>
          <w:rFonts w:ascii="Arial" w:cs="Arial" w:eastAsia="Arial" w:hAnsi="Arial"/>
          <w:sz w:val="21"/>
          <w:szCs w:val="21"/>
          <w:color w:val="auto"/>
        </w:rPr>
        <w:t>65% of the Shares of Mistras Group Limited (f/k/a Physical Acoustics Limited), a</w:t>
      </w:r>
    </w:p>
    <w:p>
      <w:pPr>
        <w:ind w:left="740"/>
        <w:spacing w:after="0" w:line="213" w:lineRule="auto"/>
        <w:rPr>
          <w:sz w:val="20"/>
          <w:szCs w:val="20"/>
          <w:color w:val="auto"/>
        </w:rPr>
      </w:pPr>
      <w:r>
        <w:rPr>
          <w:rFonts w:ascii="Arial" w:cs="Arial" w:eastAsia="Arial" w:hAnsi="Arial"/>
          <w:sz w:val="21"/>
          <w:szCs w:val="21"/>
          <w:color w:val="auto"/>
        </w:rPr>
        <w:t>company organized under the laws of England and Wales.</w:t>
      </w:r>
    </w:p>
    <w:p>
      <w:pPr>
        <w:ind w:left="740" w:right="560" w:hanging="638"/>
        <w:spacing w:after="0" w:line="213" w:lineRule="auto"/>
        <w:tabs>
          <w:tab w:leader="none" w:pos="579" w:val="left"/>
        </w:tabs>
        <w:numPr>
          <w:ilvl w:val="0"/>
          <w:numId w:val="230"/>
        </w:numPr>
        <w:rPr>
          <w:rFonts w:ascii="Arial" w:cs="Arial" w:eastAsia="Arial" w:hAnsi="Arial"/>
          <w:sz w:val="21"/>
          <w:szCs w:val="21"/>
          <w:color w:val="auto"/>
        </w:rPr>
      </w:pPr>
      <w:r>
        <w:rPr>
          <w:rFonts w:ascii="Arial" w:cs="Arial" w:eastAsia="Arial" w:hAnsi="Arial"/>
          <w:sz w:val="21"/>
          <w:szCs w:val="21"/>
          <w:color w:val="auto"/>
        </w:rPr>
        <w:t>65% of the Shares of Mistras Canada, Inc., a company organized under the laws of the Province of Alberta, Canada.</w:t>
      </w:r>
    </w:p>
    <w:p>
      <w:pPr>
        <w:ind w:left="580" w:hanging="478"/>
        <w:spacing w:after="0"/>
        <w:tabs>
          <w:tab w:leader="none" w:pos="580" w:val="left"/>
        </w:tabs>
        <w:numPr>
          <w:ilvl w:val="0"/>
          <w:numId w:val="230"/>
        </w:numPr>
        <w:rPr>
          <w:rFonts w:ascii="Arial" w:cs="Arial" w:eastAsia="Arial" w:hAnsi="Arial"/>
          <w:sz w:val="21"/>
          <w:szCs w:val="21"/>
          <w:color w:val="auto"/>
        </w:rPr>
      </w:pPr>
      <w:r>
        <w:rPr>
          <w:rFonts w:ascii="Arial" w:cs="Arial" w:eastAsia="Arial" w:hAnsi="Arial"/>
          <w:sz w:val="21"/>
          <w:szCs w:val="21"/>
          <w:color w:val="auto"/>
        </w:rPr>
        <w:t>65% of the Shares of Mistras Group GmbH, a company organized under the laws of</w:t>
      </w:r>
    </w:p>
    <w:p>
      <w:pPr>
        <w:spacing w:after="0" w:line="160" w:lineRule="exact"/>
        <w:rPr>
          <w:sz w:val="20"/>
          <w:szCs w:val="20"/>
          <w:color w:val="auto"/>
        </w:rPr>
      </w:pPr>
    </w:p>
    <w:p>
      <w:pPr>
        <w:ind w:left="580" w:hanging="478"/>
        <w:spacing w:after="0"/>
        <w:tabs>
          <w:tab w:leader="none" w:pos="580" w:val="left"/>
        </w:tabs>
        <w:numPr>
          <w:ilvl w:val="0"/>
          <w:numId w:val="231"/>
        </w:numPr>
        <w:rPr>
          <w:rFonts w:ascii="Arial" w:cs="Arial" w:eastAsia="Arial" w:hAnsi="Arial"/>
          <w:sz w:val="21"/>
          <w:szCs w:val="21"/>
          <w:color w:val="auto"/>
        </w:rPr>
      </w:pPr>
      <w:r>
        <w:rPr>
          <w:rFonts w:ascii="Arial" w:cs="Arial" w:eastAsia="Arial" w:hAnsi="Arial"/>
          <w:sz w:val="21"/>
          <w:szCs w:val="21"/>
          <w:color w:val="auto"/>
        </w:rPr>
        <w:t>65% of the Shares of Mistras Group SAS, a company organized under the laws of France.</w:t>
      </w:r>
    </w:p>
    <w:p>
      <w:pPr>
        <w:ind w:left="740" w:right="840" w:hanging="638"/>
        <w:spacing w:after="0" w:line="213" w:lineRule="auto"/>
        <w:tabs>
          <w:tab w:leader="none" w:pos="579" w:val="left"/>
        </w:tabs>
        <w:numPr>
          <w:ilvl w:val="0"/>
          <w:numId w:val="231"/>
        </w:numPr>
        <w:rPr>
          <w:rFonts w:ascii="Arial" w:cs="Arial" w:eastAsia="Arial" w:hAnsi="Arial"/>
          <w:sz w:val="21"/>
          <w:szCs w:val="21"/>
          <w:color w:val="auto"/>
        </w:rPr>
      </w:pPr>
      <w:r>
        <w:rPr>
          <w:rFonts w:ascii="Arial" w:cs="Arial" w:eastAsia="Arial" w:hAnsi="Arial"/>
          <w:sz w:val="21"/>
          <w:szCs w:val="21"/>
          <w:color w:val="auto"/>
        </w:rPr>
        <w:t>65% of the Shares of Mistras Quebec Holdings, Inc., a company organized under the laws of the Province of Quebec, Canada.</w:t>
      </w:r>
    </w:p>
    <w:p>
      <w:pPr>
        <w:ind w:left="740" w:right="840" w:hanging="638"/>
        <w:spacing w:after="0" w:line="219" w:lineRule="auto"/>
        <w:tabs>
          <w:tab w:leader="none" w:pos="579" w:val="left"/>
        </w:tabs>
        <w:numPr>
          <w:ilvl w:val="0"/>
          <w:numId w:val="231"/>
        </w:numPr>
        <w:rPr>
          <w:rFonts w:ascii="Arial" w:cs="Arial" w:eastAsia="Arial" w:hAnsi="Arial"/>
          <w:sz w:val="21"/>
          <w:szCs w:val="21"/>
          <w:color w:val="auto"/>
        </w:rPr>
      </w:pPr>
      <w:r>
        <w:rPr>
          <w:rFonts w:ascii="Arial" w:cs="Arial" w:eastAsia="Arial" w:hAnsi="Arial"/>
          <w:sz w:val="21"/>
          <w:szCs w:val="21"/>
          <w:color w:val="auto"/>
        </w:rPr>
        <w:t>65% of the Shares of Mistras Western Canada Holdings Inc., a company organized under the laws of the Province of Alberta, Canada</w:t>
      </w:r>
    </w:p>
    <w:p>
      <w:pPr>
        <w:spacing w:after="0" w:line="1" w:lineRule="exact"/>
        <w:rPr>
          <w:rFonts w:ascii="Arial" w:cs="Arial" w:eastAsia="Arial" w:hAnsi="Arial"/>
          <w:sz w:val="21"/>
          <w:szCs w:val="21"/>
          <w:color w:val="auto"/>
        </w:rPr>
      </w:pPr>
    </w:p>
    <w:p>
      <w:pPr>
        <w:ind w:left="740" w:right="1300" w:hanging="638"/>
        <w:spacing w:after="0" w:line="239" w:lineRule="auto"/>
        <w:tabs>
          <w:tab w:leader="none" w:pos="579" w:val="left"/>
        </w:tabs>
        <w:numPr>
          <w:ilvl w:val="0"/>
          <w:numId w:val="231"/>
        </w:numPr>
        <w:rPr>
          <w:rFonts w:ascii="Arial" w:cs="Arial" w:eastAsia="Arial" w:hAnsi="Arial"/>
          <w:sz w:val="21"/>
          <w:szCs w:val="21"/>
          <w:color w:val="auto"/>
        </w:rPr>
      </w:pPr>
      <w:r>
        <w:rPr>
          <w:rFonts w:ascii="Arial" w:cs="Arial" w:eastAsia="Arial" w:hAnsi="Arial"/>
          <w:sz w:val="21"/>
          <w:szCs w:val="21"/>
          <w:color w:val="auto"/>
        </w:rPr>
        <w:t>65% of the Shares of 2324617 Alberta Ltd., a company organized under the laws of the Province of Alberta, Canada.</w:t>
      </w:r>
    </w:p>
    <w:p>
      <w:pPr>
        <w:spacing w:after="0" w:line="1" w:lineRule="exact"/>
        <w:rPr>
          <w:rFonts w:ascii="Arial" w:cs="Arial" w:eastAsia="Arial" w:hAnsi="Arial"/>
          <w:sz w:val="21"/>
          <w:szCs w:val="21"/>
          <w:color w:val="auto"/>
        </w:rPr>
      </w:pPr>
    </w:p>
    <w:p>
      <w:pPr>
        <w:ind w:left="740" w:right="1300" w:hanging="638"/>
        <w:spacing w:after="0" w:line="213" w:lineRule="auto"/>
        <w:tabs>
          <w:tab w:leader="none" w:pos="579" w:val="left"/>
        </w:tabs>
        <w:numPr>
          <w:ilvl w:val="0"/>
          <w:numId w:val="231"/>
        </w:numPr>
        <w:rPr>
          <w:rFonts w:ascii="Arial" w:cs="Arial" w:eastAsia="Arial" w:hAnsi="Arial"/>
          <w:sz w:val="21"/>
          <w:szCs w:val="21"/>
          <w:color w:val="auto"/>
        </w:rPr>
      </w:pPr>
      <w:r>
        <w:rPr>
          <w:rFonts w:ascii="Arial" w:cs="Arial" w:eastAsia="Arial" w:hAnsi="Arial"/>
          <w:sz w:val="21"/>
          <w:szCs w:val="21"/>
          <w:color w:val="auto"/>
        </w:rPr>
        <w:t>65% of the Shares of 2385943 Alberta Ltd., a company organized under the laws of the Province of Alberta, Canada.</w:t>
      </w:r>
    </w:p>
    <w:p>
      <w:pPr>
        <w:ind w:left="580" w:hanging="479"/>
        <w:spacing w:after="0"/>
        <w:tabs>
          <w:tab w:leader="none" w:pos="580" w:val="left"/>
        </w:tabs>
        <w:numPr>
          <w:ilvl w:val="0"/>
          <w:numId w:val="231"/>
        </w:numPr>
        <w:rPr>
          <w:rFonts w:ascii="Arial" w:cs="Arial" w:eastAsia="Arial" w:hAnsi="Arial"/>
          <w:sz w:val="21"/>
          <w:szCs w:val="21"/>
          <w:color w:val="auto"/>
        </w:rPr>
      </w:pPr>
      <w:r>
        <w:rPr>
          <w:rFonts w:ascii="Arial" w:cs="Arial" w:eastAsia="Arial" w:hAnsi="Arial"/>
          <w:sz w:val="21"/>
          <w:szCs w:val="21"/>
          <w:color w:val="auto"/>
        </w:rPr>
        <w:t>65% of the Shares of MWC Management Inc., a company organized under</w:t>
      </w:r>
    </w:p>
    <w:p>
      <w:pPr>
        <w:sectPr>
          <w:pgSz w:w="11900" w:h="16838" w:orient="portrait"/>
          <w:cols w:equalWidth="0" w:num="1">
            <w:col w:w="9380"/>
          </w:cols>
          <w:pgMar w:left="1440" w:top="1392" w:right="1079" w:bottom="1440" w:gutter="0" w:footer="0" w:header="0"/>
        </w:sectPr>
      </w:pPr>
    </w:p>
    <w:bookmarkStart w:id="267" w:name="page268"/>
    <w:bookmarkEnd w:id="267"/>
    <w:p>
      <w:pPr>
        <w:ind w:left="740"/>
        <w:spacing w:after="0"/>
        <w:rPr>
          <w:sz w:val="20"/>
          <w:szCs w:val="20"/>
          <w:color w:val="auto"/>
        </w:rPr>
      </w:pPr>
      <w:r>
        <w:rPr>
          <w:rFonts w:ascii="Arial" w:cs="Arial" w:eastAsia="Arial" w:hAnsi="Arial"/>
          <w:sz w:val="21"/>
          <w:szCs w:val="21"/>
          <w:color w:val="auto"/>
        </w:rPr>
        <w:t>the laws of the Province of Alberta, Canada.</w:t>
      </w:r>
    </w:p>
    <w:p>
      <w:pPr>
        <w:ind w:left="740" w:right="379" w:hanging="638"/>
        <w:spacing w:after="0" w:line="219" w:lineRule="auto"/>
        <w:tabs>
          <w:tab w:leader="none" w:pos="579" w:val="left"/>
        </w:tabs>
        <w:numPr>
          <w:ilvl w:val="0"/>
          <w:numId w:val="232"/>
        </w:numPr>
        <w:rPr>
          <w:rFonts w:ascii="Arial" w:cs="Arial" w:eastAsia="Arial" w:hAnsi="Arial"/>
          <w:sz w:val="21"/>
          <w:szCs w:val="21"/>
          <w:color w:val="auto"/>
        </w:rPr>
      </w:pPr>
      <w:r>
        <w:rPr>
          <w:rFonts w:ascii="Arial" w:cs="Arial" w:eastAsia="Arial" w:hAnsi="Arial"/>
          <w:sz w:val="21"/>
          <w:szCs w:val="21"/>
          <w:color w:val="auto"/>
        </w:rPr>
        <w:t>65% of the equity interests of Mistras South America Comercio e Servicos LTDA, a company organized under the laws of Brazil.</w:t>
      </w:r>
    </w:p>
    <w:p>
      <w:pPr>
        <w:spacing w:after="0" w:line="1" w:lineRule="exact"/>
        <w:rPr>
          <w:rFonts w:ascii="Arial" w:cs="Arial" w:eastAsia="Arial" w:hAnsi="Arial"/>
          <w:sz w:val="21"/>
          <w:szCs w:val="21"/>
          <w:color w:val="auto"/>
        </w:rPr>
      </w:pPr>
    </w:p>
    <w:p>
      <w:pPr>
        <w:ind w:left="580" w:hanging="478"/>
        <w:spacing w:after="0"/>
        <w:tabs>
          <w:tab w:leader="none" w:pos="58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65% of the equity interests of Mistras Southern America LTDA, a company organized</w:t>
      </w:r>
    </w:p>
    <w:p>
      <w:pPr>
        <w:ind w:left="740"/>
        <w:spacing w:after="0"/>
        <w:rPr>
          <w:sz w:val="20"/>
          <w:szCs w:val="20"/>
          <w:color w:val="auto"/>
        </w:rPr>
      </w:pPr>
      <w:r>
        <w:rPr>
          <w:rFonts w:ascii="Arial" w:cs="Arial" w:eastAsia="Arial" w:hAnsi="Arial"/>
          <w:sz w:val="21"/>
          <w:szCs w:val="21"/>
          <w:color w:val="auto"/>
        </w:rPr>
        <w:t>under the laws of Brazil.</w:t>
      </w:r>
    </w:p>
    <w:p>
      <w:pPr>
        <w:sectPr>
          <w:pgSz w:w="11900" w:h="16838" w:orient="portrait"/>
          <w:cols w:equalWidth="0" w:num="1">
            <w:col w:w="9019"/>
          </w:cols>
          <w:pgMar w:left="1440" w:top="1383" w:right="1440" w:bottom="1440" w:gutter="0" w:footer="0" w:header="0"/>
        </w:sectPr>
      </w:pPr>
    </w:p>
    <w:bookmarkStart w:id="268" w:name="page269"/>
    <w:bookmarkEnd w:id="268"/>
    <w:p>
      <w:pPr>
        <w:jc w:val="center"/>
        <w:ind w:right="-500"/>
        <w:spacing w:after="0"/>
        <w:rPr>
          <w:sz w:val="20"/>
          <w:szCs w:val="20"/>
          <w:color w:val="auto"/>
        </w:rPr>
      </w:pPr>
      <w:r>
        <w:rPr>
          <w:rFonts w:ascii="Arial" w:cs="Arial" w:eastAsia="Arial" w:hAnsi="Arial"/>
          <w:sz w:val="21"/>
          <w:szCs w:val="21"/>
          <w:color w:val="auto"/>
        </w:rPr>
        <w:t>SCHEDULE 3.24(g)</w:t>
      </w:r>
    </w:p>
    <w:p>
      <w:pPr>
        <w:spacing w:after="0" w:line="214" w:lineRule="exact"/>
        <w:rPr>
          <w:sz w:val="20"/>
          <w:szCs w:val="20"/>
          <w:color w:val="auto"/>
        </w:rPr>
      </w:pPr>
    </w:p>
    <w:p>
      <w:pPr>
        <w:jc w:val="center"/>
        <w:ind w:right="-500"/>
        <w:spacing w:after="0"/>
        <w:rPr>
          <w:sz w:val="20"/>
          <w:szCs w:val="20"/>
          <w:color w:val="auto"/>
        </w:rPr>
      </w:pPr>
      <w:r>
        <w:rPr>
          <w:rFonts w:ascii="Arial" w:cs="Arial" w:eastAsia="Arial" w:hAnsi="Arial"/>
          <w:sz w:val="21"/>
          <w:szCs w:val="21"/>
          <w:color w:val="auto"/>
        </w:rPr>
        <w:t>Properties</w:t>
      </w:r>
    </w:p>
    <w:p>
      <w:pPr>
        <w:spacing w:after="0" w:line="342"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Headquarters Location of Borrower - 195 Clarksville Road, Princeton Junction, New Jersey 08550 Landlord: S.J.</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Vahaviolos Partners, LLC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Other properties:</w:t>
      </w:r>
    </w:p>
    <w:p>
      <w:pPr>
        <w:spacing w:after="0" w:line="249" w:lineRule="exact"/>
        <w:rPr>
          <w:sz w:val="20"/>
          <w:szCs w:val="20"/>
          <w:color w:val="auto"/>
        </w:rPr>
      </w:pPr>
    </w:p>
    <w:p>
      <w:pPr>
        <w:ind w:left="640" w:right="4619" w:hanging="418"/>
        <w:spacing w:after="0" w:line="250" w:lineRule="auto"/>
        <w:tabs>
          <w:tab w:leader="none" w:pos="49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Mistras Arizona Inspection Services Inc. 3027 E. Washington Street</w:t>
      </w:r>
    </w:p>
    <w:p>
      <w:pPr>
        <w:ind w:left="640"/>
        <w:spacing w:after="0"/>
        <w:rPr>
          <w:rFonts w:ascii="Arial" w:cs="Arial" w:eastAsia="Arial" w:hAnsi="Arial"/>
          <w:sz w:val="18"/>
          <w:szCs w:val="18"/>
          <w:color w:val="auto"/>
        </w:rPr>
      </w:pPr>
      <w:r>
        <w:rPr>
          <w:rFonts w:ascii="Arial" w:cs="Arial" w:eastAsia="Arial" w:hAnsi="Arial"/>
          <w:sz w:val="18"/>
          <w:szCs w:val="18"/>
          <w:color w:val="auto"/>
        </w:rPr>
        <w:t>Phoenix, AZ 85034</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Naiman Phoenix Ltd</w:t>
      </w:r>
    </w:p>
    <w:p>
      <w:pPr>
        <w:spacing w:after="0" w:line="316" w:lineRule="exact"/>
        <w:rPr>
          <w:sz w:val="20"/>
          <w:szCs w:val="20"/>
          <w:color w:val="auto"/>
        </w:rPr>
      </w:pPr>
    </w:p>
    <w:p>
      <w:pPr>
        <w:ind w:left="640" w:right="6019" w:hanging="467"/>
        <w:spacing w:after="0" w:line="272" w:lineRule="auto"/>
        <w:tabs>
          <w:tab w:leader="none" w:pos="49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Mistras Group, Inc. 5430 Fairbanks Street Anchorage, AK 99518</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Active Realty Investments, LLC</w:t>
      </w:r>
    </w:p>
    <w:p>
      <w:pPr>
        <w:spacing w:after="0" w:line="316" w:lineRule="exact"/>
        <w:rPr>
          <w:sz w:val="20"/>
          <w:szCs w:val="20"/>
          <w:color w:val="auto"/>
        </w:rPr>
      </w:pPr>
    </w:p>
    <w:p>
      <w:pPr>
        <w:ind w:left="640" w:right="6019" w:hanging="516"/>
        <w:spacing w:after="0" w:line="272" w:lineRule="auto"/>
        <w:tabs>
          <w:tab w:leader="none" w:pos="49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Mistras Group, Inc. 8427 Atlantic Avenue Cudahy, CA 90201</w:t>
      </w:r>
    </w:p>
    <w:p>
      <w:pPr>
        <w:spacing w:after="0" w:line="188" w:lineRule="exact"/>
        <w:rPr>
          <w:sz w:val="20"/>
          <w:szCs w:val="20"/>
          <w:color w:val="auto"/>
        </w:rPr>
      </w:pPr>
    </w:p>
    <w:p>
      <w:pPr>
        <w:ind w:left="1360"/>
        <w:spacing w:after="0"/>
        <w:rPr>
          <w:sz w:val="20"/>
          <w:szCs w:val="20"/>
          <w:color w:val="auto"/>
        </w:rPr>
      </w:pPr>
      <w:r>
        <w:rPr>
          <w:rFonts w:ascii="Arial" w:cs="Arial" w:eastAsia="Arial" w:hAnsi="Arial"/>
          <w:sz w:val="16"/>
          <w:szCs w:val="16"/>
          <w:u w:val="single" w:color="auto"/>
          <w:color w:val="auto"/>
        </w:rPr>
        <w:t>Landlord</w:t>
      </w:r>
      <w:r>
        <w:rPr>
          <w:rFonts w:ascii="Arial" w:cs="Arial" w:eastAsia="Arial" w:hAnsi="Arial"/>
          <w:sz w:val="16"/>
          <w:szCs w:val="16"/>
          <w:color w:val="auto"/>
        </w:rPr>
        <w:t>: Julie Dykstra Trustee of the Restated Beverly A. Barber Trust Agreement dated 07/31/1997</w:t>
      </w:r>
    </w:p>
    <w:p>
      <w:pPr>
        <w:spacing w:after="0" w:line="339" w:lineRule="exact"/>
        <w:rPr>
          <w:sz w:val="20"/>
          <w:szCs w:val="20"/>
          <w:color w:val="auto"/>
        </w:rPr>
      </w:pPr>
    </w:p>
    <w:p>
      <w:pPr>
        <w:ind w:left="640" w:right="5559" w:hanging="508"/>
        <w:spacing w:after="0" w:line="272" w:lineRule="auto"/>
        <w:tabs>
          <w:tab w:leader="none" w:pos="48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Mistras Group, Inc. 16F International Drive East Granby CT 06026</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Griffin Industrial Realty, Inc. (f/k/a</w:t>
      </w:r>
    </w:p>
    <w:p>
      <w:pPr>
        <w:spacing w:after="0" w:line="316" w:lineRule="exact"/>
        <w:rPr>
          <w:sz w:val="20"/>
          <w:szCs w:val="20"/>
          <w:color w:val="auto"/>
        </w:rPr>
      </w:pPr>
    </w:p>
    <w:p>
      <w:pPr>
        <w:ind w:left="640" w:right="6179" w:hanging="456"/>
        <w:spacing w:after="0" w:line="272" w:lineRule="auto"/>
        <w:tabs>
          <w:tab w:leader="none" w:pos="48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Mistras Group, Inc. 111 E. Angus Drive Youngsville, LA 70592</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Anatori, LLC</w:t>
      </w:r>
    </w:p>
    <w:p>
      <w:pPr>
        <w:spacing w:after="0" w:line="316" w:lineRule="exact"/>
        <w:rPr>
          <w:sz w:val="20"/>
          <w:szCs w:val="20"/>
          <w:color w:val="auto"/>
        </w:rPr>
      </w:pPr>
    </w:p>
    <w:p>
      <w:pPr>
        <w:ind w:left="640" w:right="6359" w:hanging="508"/>
        <w:spacing w:after="0" w:line="272" w:lineRule="auto"/>
        <w:tabs>
          <w:tab w:leader="none" w:pos="49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Mistras Group, Inc. 2 Millbury Street Auburn, MA 01501</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JEM Realty</w:t>
      </w:r>
    </w:p>
    <w:p>
      <w:pPr>
        <w:spacing w:after="0" w:line="316" w:lineRule="exact"/>
        <w:rPr>
          <w:sz w:val="20"/>
          <w:szCs w:val="20"/>
          <w:color w:val="auto"/>
        </w:rPr>
      </w:pPr>
    </w:p>
    <w:p>
      <w:pPr>
        <w:ind w:left="640" w:right="6079" w:hanging="557"/>
        <w:spacing w:after="0" w:line="272" w:lineRule="auto"/>
        <w:tabs>
          <w:tab w:leader="none" w:pos="49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Mistras Group, Inc. 1480 James Parkway Heath, OH 43056</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Heath-Newark-Licking County Port Authority</w:t>
      </w:r>
    </w:p>
    <w:p>
      <w:pPr>
        <w:spacing w:after="0" w:line="316" w:lineRule="exact"/>
        <w:rPr>
          <w:sz w:val="20"/>
          <w:szCs w:val="20"/>
          <w:color w:val="auto"/>
        </w:rPr>
      </w:pPr>
    </w:p>
    <w:p>
      <w:pPr>
        <w:ind w:left="500" w:hanging="467"/>
        <w:spacing w:after="0"/>
        <w:tabs>
          <w:tab w:leader="none" w:pos="5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Mistras Group, Inc.</w:t>
      </w:r>
    </w:p>
    <w:p>
      <w:pPr>
        <w:sectPr>
          <w:pgSz w:w="11900" w:h="16838" w:orient="portrait"/>
          <w:cols w:equalWidth="0" w:num="1">
            <w:col w:w="9519"/>
          </w:cols>
          <w:pgMar w:left="940" w:top="1392" w:right="1440" w:bottom="1440" w:gutter="0" w:footer="0" w:header="0"/>
        </w:sectPr>
      </w:pPr>
    </w:p>
    <w:bookmarkStart w:id="269" w:name="page270"/>
    <w:bookmarkEnd w:id="269"/>
    <w:p>
      <w:pPr>
        <w:ind w:left="607"/>
        <w:spacing w:after="0"/>
        <w:rPr>
          <w:sz w:val="20"/>
          <w:szCs w:val="20"/>
          <w:color w:val="auto"/>
        </w:rPr>
      </w:pPr>
      <w:r>
        <w:rPr>
          <w:rFonts w:ascii="Arial" w:cs="Arial" w:eastAsia="Arial" w:hAnsi="Arial"/>
          <w:sz w:val="18"/>
          <w:szCs w:val="18"/>
          <w:color w:val="auto"/>
        </w:rPr>
        <w:t>10980 Metronome</w:t>
      </w:r>
    </w:p>
    <w:p>
      <w:pPr>
        <w:ind w:left="607"/>
        <w:spacing w:after="0"/>
        <w:rPr>
          <w:sz w:val="20"/>
          <w:szCs w:val="20"/>
          <w:color w:val="auto"/>
        </w:rPr>
      </w:pPr>
      <w:r>
        <w:rPr>
          <w:rFonts w:ascii="Arial" w:cs="Arial" w:eastAsia="Arial" w:hAnsi="Arial"/>
          <w:sz w:val="18"/>
          <w:szCs w:val="18"/>
          <w:color w:val="auto"/>
        </w:rPr>
        <w:t>Houston, TX 77043</w:t>
      </w:r>
    </w:p>
    <w:p>
      <w:pPr>
        <w:spacing w:after="0" w:line="206" w:lineRule="exact"/>
        <w:rPr>
          <w:sz w:val="20"/>
          <w:szCs w:val="20"/>
          <w:color w:val="auto"/>
        </w:rPr>
      </w:pPr>
    </w:p>
    <w:p>
      <w:pPr>
        <w:ind w:left="607"/>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HMBB Properties, LLC</w:t>
      </w:r>
    </w:p>
    <w:p>
      <w:pPr>
        <w:spacing w:after="0" w:line="302" w:lineRule="exact"/>
        <w:rPr>
          <w:sz w:val="20"/>
          <w:szCs w:val="20"/>
          <w:color w:val="auto"/>
        </w:rPr>
      </w:pPr>
    </w:p>
    <w:p>
      <w:pPr>
        <w:ind w:left="467" w:hanging="368"/>
        <w:spacing w:after="0"/>
        <w:tabs>
          <w:tab w:leader="none" w:pos="46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Mistras Group, Inc.</w:t>
      </w:r>
    </w:p>
    <w:p>
      <w:pPr>
        <w:spacing w:after="0" w:line="10" w:lineRule="exact"/>
        <w:rPr>
          <w:sz w:val="20"/>
          <w:szCs w:val="20"/>
          <w:color w:val="auto"/>
        </w:rPr>
      </w:pPr>
    </w:p>
    <w:p>
      <w:pPr>
        <w:ind w:left="607"/>
        <w:spacing w:after="0"/>
        <w:rPr>
          <w:sz w:val="20"/>
          <w:szCs w:val="20"/>
          <w:color w:val="auto"/>
        </w:rPr>
      </w:pPr>
      <w:r>
        <w:rPr>
          <w:rFonts w:ascii="Arial" w:cs="Arial" w:eastAsia="Arial" w:hAnsi="Arial"/>
          <w:sz w:val="18"/>
          <w:szCs w:val="18"/>
          <w:color w:val="auto"/>
        </w:rPr>
        <w:t>7223 Empire Central Drive Houston, TX 77040</w:t>
      </w:r>
    </w:p>
    <w:p>
      <w:pPr>
        <w:spacing w:after="0" w:line="219" w:lineRule="exact"/>
        <w:rPr>
          <w:sz w:val="20"/>
          <w:szCs w:val="20"/>
          <w:color w:val="auto"/>
        </w:rPr>
      </w:pPr>
    </w:p>
    <w:p>
      <w:pPr>
        <w:ind w:left="607"/>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Nickson Brookhollow West</w:t>
      </w:r>
    </w:p>
    <w:p>
      <w:pPr>
        <w:spacing w:after="0" w:line="302" w:lineRule="exact"/>
        <w:rPr>
          <w:sz w:val="20"/>
          <w:szCs w:val="20"/>
          <w:color w:val="auto"/>
        </w:rPr>
      </w:pPr>
    </w:p>
    <w:p>
      <w:pPr>
        <w:ind w:left="607" w:right="7379" w:hanging="456"/>
        <w:spacing w:after="0" w:line="223" w:lineRule="auto"/>
        <w:tabs>
          <w:tab w:leader="none" w:pos="46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Mistras Group, Inc. 7820 South 210th St. Suite 110</w:t>
      </w:r>
    </w:p>
    <w:p>
      <w:pPr>
        <w:spacing w:after="0" w:line="2" w:lineRule="exact"/>
        <w:rPr>
          <w:rFonts w:ascii="Arial" w:cs="Arial" w:eastAsia="Arial" w:hAnsi="Arial"/>
          <w:sz w:val="18"/>
          <w:szCs w:val="18"/>
          <w:color w:val="auto"/>
        </w:rPr>
      </w:pPr>
    </w:p>
    <w:p>
      <w:pPr>
        <w:ind w:left="607"/>
        <w:spacing w:after="0"/>
        <w:rPr>
          <w:rFonts w:ascii="Arial" w:cs="Arial" w:eastAsia="Arial" w:hAnsi="Arial"/>
          <w:sz w:val="18"/>
          <w:szCs w:val="18"/>
          <w:color w:val="auto"/>
        </w:rPr>
      </w:pPr>
      <w:r>
        <w:rPr>
          <w:rFonts w:ascii="Arial" w:cs="Arial" w:eastAsia="Arial" w:hAnsi="Arial"/>
          <w:sz w:val="18"/>
          <w:szCs w:val="18"/>
          <w:color w:val="auto"/>
        </w:rPr>
        <w:t>Kent, WA 98032</w:t>
      </w:r>
    </w:p>
    <w:p>
      <w:pPr>
        <w:spacing w:after="0" w:line="206" w:lineRule="exact"/>
        <w:rPr>
          <w:sz w:val="20"/>
          <w:szCs w:val="20"/>
          <w:color w:val="auto"/>
        </w:rPr>
      </w:pPr>
    </w:p>
    <w:p>
      <w:pPr>
        <w:ind w:left="607"/>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PS Business Parks, LP</w:t>
      </w:r>
    </w:p>
    <w:p>
      <w:pPr>
        <w:spacing w:after="0" w:line="289" w:lineRule="exact"/>
        <w:rPr>
          <w:sz w:val="20"/>
          <w:szCs w:val="20"/>
          <w:color w:val="auto"/>
        </w:rPr>
      </w:pPr>
    </w:p>
    <w:p>
      <w:pPr>
        <w:ind w:left="647" w:right="4659" w:hanging="548"/>
        <w:spacing w:after="0" w:line="241" w:lineRule="auto"/>
        <w:tabs>
          <w:tab w:leader="none" w:pos="45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West Penn Non-Destructive Testing, LLC 1001 Oracal Pkwy Ellabell, GA 31308</w:t>
      </w:r>
    </w:p>
    <w:p>
      <w:pPr>
        <w:spacing w:after="0" w:line="214" w:lineRule="exact"/>
        <w:rPr>
          <w:sz w:val="20"/>
          <w:szCs w:val="20"/>
          <w:color w:val="auto"/>
        </w:rPr>
      </w:pPr>
    </w:p>
    <w:p>
      <w:pPr>
        <w:ind w:left="607"/>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Development Authority of Bryan County</w:t>
      </w:r>
    </w:p>
    <w:p>
      <w:pPr>
        <w:spacing w:after="0" w:line="289" w:lineRule="exact"/>
        <w:rPr>
          <w:sz w:val="20"/>
          <w:szCs w:val="20"/>
          <w:color w:val="auto"/>
        </w:rPr>
      </w:pPr>
    </w:p>
    <w:p>
      <w:pPr>
        <w:ind w:left="607" w:right="4519" w:hanging="557"/>
        <w:spacing w:after="0" w:line="423" w:lineRule="auto"/>
        <w:tabs>
          <w:tab w:leader="none" w:pos="4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West Penn Non-Destructive Testing, LLC 1010 Industrial Blvd New Kensington, PA 15068 </w:t>
      </w:r>
      <w:r>
        <w:rPr>
          <w:rFonts w:ascii="Arial" w:cs="Arial" w:eastAsia="Arial" w:hAnsi="Arial"/>
          <w:sz w:val="16"/>
          <w:szCs w:val="16"/>
          <w:u w:val="single" w:color="auto"/>
          <w:color w:val="auto"/>
        </w:rPr>
        <w:t>Landlord</w:t>
      </w:r>
      <w:r>
        <w:rPr>
          <w:rFonts w:ascii="Arial" w:cs="Arial" w:eastAsia="Arial" w:hAnsi="Arial"/>
          <w:sz w:val="16"/>
          <w:szCs w:val="16"/>
          <w:color w:val="auto"/>
        </w:rPr>
        <w:t>: Campbell Holdings,</w:t>
      </w:r>
    </w:p>
    <w:p>
      <w:pPr>
        <w:spacing w:after="0" w:line="49" w:lineRule="exact"/>
        <w:rPr>
          <w:sz w:val="20"/>
          <w:szCs w:val="20"/>
          <w:color w:val="auto"/>
        </w:rPr>
      </w:pPr>
    </w:p>
    <w:p>
      <w:pPr>
        <w:ind w:left="607"/>
        <w:spacing w:after="0"/>
        <w:rPr>
          <w:sz w:val="20"/>
          <w:szCs w:val="20"/>
          <w:color w:val="auto"/>
        </w:rPr>
      </w:pPr>
      <w:r>
        <w:rPr>
          <w:rFonts w:ascii="Arial" w:cs="Arial" w:eastAsia="Arial" w:hAnsi="Arial"/>
          <w:sz w:val="18"/>
          <w:szCs w:val="18"/>
          <w:color w:val="auto"/>
        </w:rPr>
        <w:t>LLC</w:t>
      </w:r>
    </w:p>
    <w:p>
      <w:pPr>
        <w:spacing w:after="0" w:line="142" w:lineRule="exact"/>
        <w:rPr>
          <w:sz w:val="20"/>
          <w:szCs w:val="20"/>
          <w:color w:val="auto"/>
        </w:rPr>
      </w:pPr>
    </w:p>
    <w:p>
      <w:pPr>
        <w:ind w:left="607" w:right="4279" w:hanging="607"/>
        <w:spacing w:after="0" w:line="417" w:lineRule="auto"/>
        <w:tabs>
          <w:tab w:leader="none" w:pos="4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West Penn Non-Destructive Testing, LLC 795 Old Richburg Road Richburg, South Carolina 29729 </w:t>
      </w:r>
      <w:r>
        <w:rPr>
          <w:rFonts w:ascii="Arial" w:cs="Arial" w:eastAsia="Arial" w:hAnsi="Arial"/>
          <w:sz w:val="17"/>
          <w:szCs w:val="17"/>
          <w:u w:val="single" w:color="auto"/>
          <w:color w:val="auto"/>
        </w:rPr>
        <w:t>Landlord</w:t>
      </w:r>
      <w:r>
        <w:rPr>
          <w:rFonts w:ascii="Arial" w:cs="Arial" w:eastAsia="Arial" w:hAnsi="Arial"/>
          <w:sz w:val="17"/>
          <w:szCs w:val="17"/>
          <w:color w:val="auto"/>
        </w:rPr>
        <w:t>: Campbell</w:t>
      </w:r>
    </w:p>
    <w:p>
      <w:pPr>
        <w:spacing w:after="0" w:line="71" w:lineRule="exact"/>
        <w:rPr>
          <w:sz w:val="20"/>
          <w:szCs w:val="20"/>
          <w:color w:val="auto"/>
        </w:rPr>
      </w:pPr>
    </w:p>
    <w:p>
      <w:pPr>
        <w:ind w:left="607"/>
        <w:spacing w:after="0"/>
        <w:rPr>
          <w:sz w:val="20"/>
          <w:szCs w:val="20"/>
          <w:color w:val="auto"/>
        </w:rPr>
      </w:pPr>
      <w:r>
        <w:rPr>
          <w:rFonts w:ascii="Arial" w:cs="Arial" w:eastAsia="Arial" w:hAnsi="Arial"/>
          <w:sz w:val="18"/>
          <w:szCs w:val="18"/>
          <w:color w:val="auto"/>
        </w:rPr>
        <w:t>Holdings, LLC</w:t>
      </w:r>
    </w:p>
    <w:p>
      <w:pPr>
        <w:sectPr>
          <w:pgSz w:w="11900" w:h="16838" w:orient="portrait"/>
          <w:cols w:equalWidth="0" w:num="1">
            <w:col w:w="9486"/>
          </w:cols>
          <w:pgMar w:left="973" w:top="1409" w:right="1440" w:bottom="1440" w:gutter="0" w:footer="0" w:header="0"/>
        </w:sectPr>
      </w:pPr>
    </w:p>
    <w:bookmarkStart w:id="270" w:name="page271"/>
    <w:bookmarkEnd w:id="270"/>
    <w:p>
      <w:pPr>
        <w:ind w:left="4220"/>
        <w:spacing w:after="0"/>
        <w:rPr>
          <w:sz w:val="20"/>
          <w:szCs w:val="20"/>
          <w:color w:val="auto"/>
        </w:rPr>
      </w:pPr>
      <w:r>
        <w:rPr>
          <w:rFonts w:ascii="Arial" w:cs="Arial" w:eastAsia="Arial" w:hAnsi="Arial"/>
          <w:sz w:val="21"/>
          <w:szCs w:val="21"/>
          <w:color w:val="auto"/>
        </w:rPr>
        <w:t>SCHEDULE 5.19</w:t>
      </w:r>
    </w:p>
    <w:p>
      <w:pPr>
        <w:spacing w:after="0" w:line="214"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Post-Closing Matters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Borrower shall deliver to the Administrative Agent the following items no later than the dates specified</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below:</w:t>
      </w:r>
    </w:p>
    <w:p>
      <w:pPr>
        <w:spacing w:after="0" w:line="196" w:lineRule="exact"/>
        <w:rPr>
          <w:sz w:val="20"/>
          <w:szCs w:val="20"/>
          <w:color w:val="auto"/>
        </w:rPr>
      </w:pPr>
    </w:p>
    <w:p>
      <w:pPr>
        <w:jc w:val="both"/>
        <w:ind w:left="960" w:hanging="322"/>
        <w:spacing w:after="0" w:line="227" w:lineRule="auto"/>
        <w:tabs>
          <w:tab w:leader="none" w:pos="1025" w:val="left"/>
        </w:tabs>
        <w:numPr>
          <w:ilvl w:val="0"/>
          <w:numId w:val="246"/>
        </w:numPr>
        <w:rPr>
          <w:rFonts w:ascii="Arial" w:cs="Arial" w:eastAsia="Arial" w:hAnsi="Arial"/>
          <w:sz w:val="21"/>
          <w:szCs w:val="21"/>
          <w:color w:val="auto"/>
        </w:rPr>
      </w:pPr>
      <w:r>
        <w:rPr>
          <w:rFonts w:ascii="Arial" w:cs="Arial" w:eastAsia="Arial" w:hAnsi="Arial"/>
          <w:sz w:val="21"/>
          <w:szCs w:val="21"/>
          <w:color w:val="auto"/>
        </w:rPr>
        <w:t>Within five (5) Business Days of the Effective Date (or such later date as the Administrative Agent may agree in its sole discretion), pledged instruments and allonges and stock certificates and stock powers executed in blank, in each case to the extent required pursuant to the Credit Agreement and the Collateral Documents.</w:t>
      </w:r>
    </w:p>
    <w:p>
      <w:pPr>
        <w:spacing w:after="0" w:line="199" w:lineRule="exact"/>
        <w:rPr>
          <w:rFonts w:ascii="Arial" w:cs="Arial" w:eastAsia="Arial" w:hAnsi="Arial"/>
          <w:sz w:val="21"/>
          <w:szCs w:val="21"/>
          <w:color w:val="auto"/>
        </w:rPr>
      </w:pPr>
    </w:p>
    <w:p>
      <w:pPr>
        <w:jc w:val="both"/>
        <w:ind w:left="960" w:hanging="322"/>
        <w:spacing w:after="0" w:line="227" w:lineRule="auto"/>
        <w:tabs>
          <w:tab w:leader="none" w:pos="1041" w:val="left"/>
        </w:tabs>
        <w:numPr>
          <w:ilvl w:val="0"/>
          <w:numId w:val="246"/>
        </w:numPr>
        <w:rPr>
          <w:rFonts w:ascii="Arial" w:cs="Arial" w:eastAsia="Arial" w:hAnsi="Arial"/>
          <w:sz w:val="21"/>
          <w:szCs w:val="21"/>
          <w:color w:val="auto"/>
        </w:rPr>
      </w:pPr>
      <w:r>
        <w:rPr>
          <w:rFonts w:ascii="Arial" w:cs="Arial" w:eastAsia="Arial" w:hAnsi="Arial"/>
          <w:sz w:val="21"/>
          <w:szCs w:val="21"/>
          <w:color w:val="auto"/>
        </w:rPr>
        <w:t>Within ten (10) days of the Effective Date (or such later date as the Administrative Agent may agree in its sole discretion), a Trademark and Patent Security Agreement entered into by the Borrower and other applicable Loan Parties, if any, in favor of the Administrative Agent in proper form for recordation with the U.S. patent and trademark office.</w:t>
      </w:r>
    </w:p>
    <w:p>
      <w:pPr>
        <w:spacing w:after="0" w:line="199" w:lineRule="exact"/>
        <w:rPr>
          <w:rFonts w:ascii="Arial" w:cs="Arial" w:eastAsia="Arial" w:hAnsi="Arial"/>
          <w:sz w:val="21"/>
          <w:szCs w:val="21"/>
          <w:color w:val="auto"/>
        </w:rPr>
      </w:pPr>
    </w:p>
    <w:p>
      <w:pPr>
        <w:jc w:val="both"/>
        <w:ind w:left="960" w:hanging="322"/>
        <w:spacing w:after="0" w:line="236" w:lineRule="auto"/>
        <w:tabs>
          <w:tab w:leader="none" w:pos="1046" w:val="left"/>
        </w:tabs>
        <w:numPr>
          <w:ilvl w:val="0"/>
          <w:numId w:val="246"/>
        </w:numPr>
        <w:rPr>
          <w:rFonts w:ascii="Arial" w:cs="Arial" w:eastAsia="Arial" w:hAnsi="Arial"/>
          <w:sz w:val="20"/>
          <w:szCs w:val="20"/>
          <w:color w:val="auto"/>
        </w:rPr>
      </w:pPr>
      <w:r>
        <w:rPr>
          <w:rFonts w:ascii="Arial" w:cs="Arial" w:eastAsia="Arial" w:hAnsi="Arial"/>
          <w:sz w:val="20"/>
          <w:szCs w:val="20"/>
          <w:color w:val="auto"/>
        </w:rPr>
        <w:t>Within thirty (30) days of the Effective Date (or such later date as the Administrative Agent may agree in its sole discretion), documentation evidencing the termination and release of all foreign law governed “Collateral Documents” or other foreign law lien documentation (including, without limitation, pursuant to the laws of Germany, France, or Quebec) in effect pursuant to the Existing Credit Agreement, each in form and substance reasonably satisfactory to the Administrative Agent.</w:t>
      </w:r>
    </w:p>
    <w:p>
      <w:pPr>
        <w:spacing w:after="0" w:line="196" w:lineRule="exact"/>
        <w:rPr>
          <w:rFonts w:ascii="Arial" w:cs="Arial" w:eastAsia="Arial" w:hAnsi="Arial"/>
          <w:sz w:val="20"/>
          <w:szCs w:val="20"/>
          <w:color w:val="auto"/>
        </w:rPr>
      </w:pPr>
    </w:p>
    <w:p>
      <w:pPr>
        <w:ind w:left="960" w:right="20" w:hanging="322"/>
        <w:spacing w:after="0" w:line="222" w:lineRule="auto"/>
        <w:tabs>
          <w:tab w:leader="none" w:pos="1046" w:val="left"/>
        </w:tabs>
        <w:numPr>
          <w:ilvl w:val="0"/>
          <w:numId w:val="246"/>
        </w:numPr>
        <w:rPr>
          <w:rFonts w:ascii="Arial" w:cs="Arial" w:eastAsia="Arial" w:hAnsi="Arial"/>
          <w:sz w:val="21"/>
          <w:szCs w:val="21"/>
          <w:color w:val="auto"/>
        </w:rPr>
      </w:pPr>
      <w:r>
        <w:rPr>
          <w:rFonts w:ascii="Arial" w:cs="Arial" w:eastAsia="Arial" w:hAnsi="Arial"/>
          <w:sz w:val="21"/>
          <w:szCs w:val="21"/>
          <w:color w:val="auto"/>
        </w:rPr>
        <w:t>Within thirty (30) days of the Effective Date (or such later date as the Administrative Agent may agree in its sole discretion), termination letters signed by Bank of America,</w:t>
      </w:r>
    </w:p>
    <w:p>
      <w:pPr>
        <w:jc w:val="both"/>
        <w:ind w:left="960"/>
        <w:spacing w:after="0" w:line="226" w:lineRule="auto"/>
        <w:rPr>
          <w:rFonts w:ascii="Arial" w:cs="Arial" w:eastAsia="Arial" w:hAnsi="Arial"/>
          <w:sz w:val="21"/>
          <w:szCs w:val="21"/>
          <w:color w:val="auto"/>
        </w:rPr>
      </w:pPr>
      <w:r>
        <w:rPr>
          <w:rFonts w:ascii="Arial" w:cs="Arial" w:eastAsia="Arial" w:hAnsi="Arial"/>
          <w:sz w:val="21"/>
          <w:szCs w:val="21"/>
          <w:color w:val="auto"/>
        </w:rPr>
        <w:t>N.A. as administrative agent pursuant to the Existing Credit Agreement (the “</w:t>
      </w:r>
      <w:r>
        <w:rPr>
          <w:rFonts w:ascii="Arial" w:cs="Arial" w:eastAsia="Arial" w:hAnsi="Arial"/>
          <w:sz w:val="21"/>
          <w:szCs w:val="21"/>
          <w:u w:val="single" w:color="auto"/>
          <w:color w:val="auto"/>
        </w:rPr>
        <w:t>Existing Agent</w:t>
      </w:r>
      <w:r>
        <w:rPr>
          <w:rFonts w:ascii="Arial" w:cs="Arial" w:eastAsia="Arial" w:hAnsi="Arial"/>
          <w:sz w:val="21"/>
          <w:szCs w:val="21"/>
          <w:color w:val="auto"/>
        </w:rPr>
        <w:t>”), terminating each landlord subordination agreement that was entered into in favor of the Existing Agent, and each in appropriate form for delivery to the applicable landlord thereunder.</w:t>
      </w:r>
    </w:p>
    <w:p>
      <w:pPr>
        <w:spacing w:after="0" w:line="184" w:lineRule="exact"/>
        <w:rPr>
          <w:rFonts w:ascii="Arial" w:cs="Arial" w:eastAsia="Arial" w:hAnsi="Arial"/>
          <w:sz w:val="21"/>
          <w:szCs w:val="21"/>
          <w:color w:val="auto"/>
        </w:rPr>
      </w:pPr>
    </w:p>
    <w:p>
      <w:pPr>
        <w:jc w:val="both"/>
        <w:ind w:left="960" w:hanging="322"/>
        <w:spacing w:after="0" w:line="224" w:lineRule="auto"/>
        <w:tabs>
          <w:tab w:leader="none" w:pos="1015" w:val="left"/>
        </w:tabs>
        <w:numPr>
          <w:ilvl w:val="0"/>
          <w:numId w:val="246"/>
        </w:numPr>
        <w:rPr>
          <w:rFonts w:ascii="Arial" w:cs="Arial" w:eastAsia="Arial" w:hAnsi="Arial"/>
          <w:sz w:val="21"/>
          <w:szCs w:val="21"/>
          <w:color w:val="auto"/>
        </w:rPr>
      </w:pPr>
      <w:r>
        <w:rPr>
          <w:rFonts w:ascii="Arial" w:cs="Arial" w:eastAsia="Arial" w:hAnsi="Arial"/>
          <w:sz w:val="21"/>
          <w:szCs w:val="21"/>
          <w:color w:val="auto"/>
        </w:rPr>
        <w:t>Within sixty (60) days of the Effective Date (or such later date as the Administrative Agent may agree in its sole discretion), certificates of Insurance listing the Administrative Agent as (x) lender loss payee for the property casualty insurance policies of the Loan Parties, together with separate lender loss payable endorsements and (y) additional insured with respect to the liability insurance of the Loan Parties, together with separate additional insured endorsements.</w:t>
      </w:r>
    </w:p>
    <w:p>
      <w:pPr>
        <w:spacing w:after="0" w:line="200" w:lineRule="exact"/>
        <w:rPr>
          <w:rFonts w:ascii="Arial" w:cs="Arial" w:eastAsia="Arial" w:hAnsi="Arial"/>
          <w:sz w:val="21"/>
          <w:szCs w:val="21"/>
          <w:color w:val="auto"/>
        </w:rPr>
      </w:pPr>
    </w:p>
    <w:p>
      <w:pPr>
        <w:jc w:val="both"/>
        <w:ind w:left="960" w:hanging="322"/>
        <w:spacing w:after="0" w:line="232" w:lineRule="auto"/>
        <w:tabs>
          <w:tab w:leader="none" w:pos="1012" w:val="left"/>
        </w:tabs>
        <w:numPr>
          <w:ilvl w:val="0"/>
          <w:numId w:val="246"/>
        </w:numPr>
        <w:rPr>
          <w:rFonts w:ascii="Arial" w:cs="Arial" w:eastAsia="Arial" w:hAnsi="Arial"/>
          <w:sz w:val="21"/>
          <w:szCs w:val="21"/>
          <w:color w:val="auto"/>
        </w:rPr>
      </w:pPr>
      <w:r>
        <w:rPr>
          <w:rFonts w:ascii="Arial" w:cs="Arial" w:eastAsia="Arial" w:hAnsi="Arial"/>
          <w:sz w:val="21"/>
          <w:szCs w:val="21"/>
          <w:color w:val="auto"/>
        </w:rPr>
        <w:t>Within sixty (60) days of the Effective Date (or such later date as the Administrative Agent may agree in its sole discretion), landlord subordination agreements as required pursuant to Section 5.14(b) of the Credit Agreement.</w:t>
      </w:r>
    </w:p>
    <w:p>
      <w:pPr>
        <w:sectPr>
          <w:pgSz w:w="11900" w:h="16838" w:orient="portrait"/>
          <w:cols w:equalWidth="0" w:num="1">
            <w:col w:w="10020"/>
          </w:cols>
          <w:pgMar w:left="940" w:top="1392" w:right="939" w:bottom="1440" w:gutter="0" w:footer="0" w:header="0"/>
        </w:sectPr>
      </w:pPr>
    </w:p>
    <w:bookmarkStart w:id="271" w:name="page272"/>
    <w:bookmarkEnd w:id="271"/>
    <w:p>
      <w:pPr>
        <w:ind w:left="4220"/>
        <w:spacing w:after="0"/>
        <w:rPr>
          <w:sz w:val="20"/>
          <w:szCs w:val="20"/>
          <w:color w:val="auto"/>
        </w:rPr>
      </w:pPr>
      <w:r>
        <w:rPr>
          <w:rFonts w:ascii="Arial" w:cs="Arial" w:eastAsia="Arial" w:hAnsi="Arial"/>
          <w:sz w:val="21"/>
          <w:szCs w:val="21"/>
          <w:color w:val="auto"/>
        </w:rPr>
        <w:t>SCHEDULE 6.01</w:t>
      </w:r>
    </w:p>
    <w:p>
      <w:pPr>
        <w:spacing w:after="0" w:line="214" w:lineRule="exact"/>
        <w:rPr>
          <w:sz w:val="20"/>
          <w:szCs w:val="20"/>
          <w:color w:val="auto"/>
        </w:rPr>
      </w:pPr>
    </w:p>
    <w:p>
      <w:pPr>
        <w:ind w:left="4380"/>
        <w:spacing w:after="0"/>
        <w:rPr>
          <w:sz w:val="20"/>
          <w:szCs w:val="20"/>
          <w:color w:val="auto"/>
        </w:rPr>
      </w:pPr>
      <w:r>
        <w:rPr>
          <w:rFonts w:ascii="Arial" w:cs="Arial" w:eastAsia="Arial" w:hAnsi="Arial"/>
          <w:sz w:val="21"/>
          <w:szCs w:val="21"/>
          <w:color w:val="auto"/>
        </w:rPr>
        <w:t>Existing Liens</w:t>
      </w:r>
    </w:p>
    <w:p>
      <w:pPr>
        <w:spacing w:after="0" w:line="219" w:lineRule="exact"/>
        <w:rPr>
          <w:sz w:val="20"/>
          <w:szCs w:val="20"/>
          <w:color w:val="auto"/>
        </w:rPr>
      </w:pPr>
    </w:p>
    <w:p>
      <w:pPr>
        <w:ind w:left="3560"/>
        <w:spacing w:after="0"/>
        <w:rPr>
          <w:sz w:val="20"/>
          <w:szCs w:val="20"/>
          <w:color w:val="auto"/>
        </w:rPr>
      </w:pPr>
      <w:r>
        <w:rPr>
          <w:rFonts w:ascii="Arial" w:cs="Arial" w:eastAsia="Arial" w:hAnsi="Arial"/>
          <w:sz w:val="21"/>
          <w:szCs w:val="21"/>
          <w:b w:val="1"/>
          <w:bCs w:val="1"/>
          <w:color w:val="auto"/>
        </w:rPr>
        <w:t xml:space="preserve">MISTRAS GROUP, INC., </w:t>
      </w:r>
      <w:r>
        <w:rPr>
          <w:rFonts w:ascii="Arial" w:cs="Arial" w:eastAsia="Arial" w:hAnsi="Arial"/>
          <w:sz w:val="21"/>
          <w:szCs w:val="21"/>
          <w:b w:val="1"/>
          <w:bCs w:val="1"/>
          <w:i w:val="1"/>
          <w:iCs w:val="1"/>
          <w:color w:val="auto"/>
        </w:rPr>
        <w:t>et al.</w:t>
      </w:r>
    </w:p>
    <w:p>
      <w:pPr>
        <w:ind w:left="3100"/>
        <w:spacing w:after="0"/>
        <w:rPr>
          <w:sz w:val="20"/>
          <w:szCs w:val="20"/>
          <w:color w:val="auto"/>
        </w:rPr>
      </w:pPr>
      <w:r>
        <w:rPr>
          <w:rFonts w:ascii="Arial" w:cs="Arial" w:eastAsia="Arial" w:hAnsi="Arial"/>
          <w:sz w:val="21"/>
          <w:szCs w:val="21"/>
          <w:b w:val="1"/>
          <w:bCs w:val="1"/>
          <w:color w:val="auto"/>
        </w:rPr>
        <w:t>Summary of UCC Lien Searches 07/25/22</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Mistras Group, Inc. - Delaware</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660" w:type="dxa"/>
            <w:vAlign w:val="bottom"/>
            <w:tcBorders>
              <w:top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21"/>
                <w:szCs w:val="21"/>
                <w:color w:val="auto"/>
              </w:rPr>
              <w:t>UCC Filing Number</w:t>
            </w:r>
          </w:p>
        </w:tc>
        <w:tc>
          <w:tcPr>
            <w:tcW w:w="4920" w:type="dxa"/>
            <w:vAlign w:val="bottom"/>
            <w:tcBorders>
              <w:top w:val="single" w:sz="8" w:color="auto"/>
              <w:bottom w:val="single" w:sz="8" w:color="auto"/>
              <w:right w:val="single" w:sz="8" w:color="auto"/>
            </w:tcBorders>
          </w:tcPr>
          <w:p>
            <w:pPr>
              <w:ind w:left="1840"/>
              <w:spacing w:after="0"/>
              <w:rPr>
                <w:sz w:val="20"/>
                <w:szCs w:val="20"/>
                <w:color w:val="auto"/>
              </w:rPr>
            </w:pPr>
            <w:r>
              <w:rPr>
                <w:rFonts w:ascii="Arial" w:cs="Arial" w:eastAsia="Arial" w:hAnsi="Arial"/>
                <w:sz w:val="21"/>
                <w:szCs w:val="21"/>
                <w:color w:val="auto"/>
              </w:rPr>
              <w:t>Secured Party</w:t>
            </w:r>
          </w:p>
        </w:tc>
      </w:tr>
      <w:tr>
        <w:trPr>
          <w:trHeight w:val="268"/>
        </w:trPr>
        <w:tc>
          <w:tcPr>
            <w:tcW w:w="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1"/>
                <w:szCs w:val="21"/>
                <w:color w:val="auto"/>
              </w:rPr>
              <w:t>1.</w:t>
            </w: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2019 0403147</w:t>
            </w:r>
          </w:p>
        </w:tc>
        <w:tc>
          <w:tcPr>
            <w:tcW w:w="4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Bank of America Leasing &amp; Capital, LLC</w:t>
            </w:r>
          </w:p>
        </w:tc>
      </w:tr>
      <w:tr>
        <w:trPr>
          <w:trHeight w:val="262"/>
        </w:trPr>
        <w:tc>
          <w:tcPr>
            <w:tcW w:w="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1"/>
                <w:szCs w:val="21"/>
                <w:color w:val="auto"/>
              </w:rPr>
              <w:t>2.</w:t>
            </w: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2015 0737931</w:t>
            </w:r>
          </w:p>
        </w:tc>
        <w:tc>
          <w:tcPr>
            <w:tcW w:w="4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Citibank, N.A.</w:t>
            </w:r>
          </w:p>
        </w:tc>
      </w:tr>
      <w:tr>
        <w:trPr>
          <w:trHeight w:val="262"/>
        </w:trPr>
        <w:tc>
          <w:tcPr>
            <w:tcW w:w="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1"/>
                <w:szCs w:val="21"/>
                <w:color w:val="auto"/>
              </w:rPr>
              <w:t>3.</w:t>
            </w: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2019 2231905</w:t>
            </w:r>
          </w:p>
        </w:tc>
        <w:tc>
          <w:tcPr>
            <w:tcW w:w="4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Citibank, N.A.</w:t>
            </w:r>
          </w:p>
        </w:tc>
      </w:tr>
      <w:tr>
        <w:trPr>
          <w:trHeight w:val="262"/>
        </w:trPr>
        <w:tc>
          <w:tcPr>
            <w:tcW w:w="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1"/>
                <w:szCs w:val="21"/>
                <w:color w:val="auto"/>
              </w:rPr>
              <w:t>4.</w:t>
            </w: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2019 2231913</w:t>
            </w:r>
          </w:p>
        </w:tc>
        <w:tc>
          <w:tcPr>
            <w:tcW w:w="4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Citibank, N.A.</w:t>
            </w:r>
          </w:p>
        </w:tc>
      </w:tr>
      <w:tr>
        <w:trPr>
          <w:trHeight w:val="262"/>
        </w:trPr>
        <w:tc>
          <w:tcPr>
            <w:tcW w:w="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1"/>
                <w:szCs w:val="21"/>
                <w:color w:val="auto"/>
              </w:rPr>
              <w:t>5.</w:t>
            </w: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2020 9039886</w:t>
            </w:r>
          </w:p>
        </w:tc>
        <w:tc>
          <w:tcPr>
            <w:tcW w:w="4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Citibank, N.A.</w:t>
            </w:r>
          </w:p>
        </w:tc>
      </w:tr>
      <w:tr>
        <w:trPr>
          <w:trHeight w:val="262"/>
        </w:trPr>
        <w:tc>
          <w:tcPr>
            <w:tcW w:w="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1"/>
                <w:szCs w:val="21"/>
                <w:color w:val="auto"/>
              </w:rPr>
              <w:t>6.</w:t>
            </w: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2017 7219944</w:t>
            </w:r>
          </w:p>
        </w:tc>
        <w:tc>
          <w:tcPr>
            <w:tcW w:w="4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U.S. Bank Equipment Finance</w:t>
            </w:r>
          </w:p>
        </w:tc>
      </w:tr>
      <w:tr>
        <w:trPr>
          <w:trHeight w:val="262"/>
        </w:trPr>
        <w:tc>
          <w:tcPr>
            <w:tcW w:w="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1"/>
                <w:szCs w:val="21"/>
                <w:color w:val="auto"/>
              </w:rPr>
              <w:t>7.</w:t>
            </w: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2019 5858159</w:t>
            </w:r>
          </w:p>
        </w:tc>
        <w:tc>
          <w:tcPr>
            <w:tcW w:w="4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Wells Fargo Bank, N.A.</w:t>
            </w:r>
          </w:p>
        </w:tc>
      </w:tr>
      <w:tr>
        <w:trPr>
          <w:trHeight w:val="262"/>
        </w:trPr>
        <w:tc>
          <w:tcPr>
            <w:tcW w:w="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1"/>
                <w:szCs w:val="21"/>
                <w:color w:val="auto"/>
              </w:rPr>
              <w:t>8.</w:t>
            </w: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2021 3936839</w:t>
            </w:r>
          </w:p>
        </w:tc>
        <w:tc>
          <w:tcPr>
            <w:tcW w:w="4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Wells Fargo Bank, N.A.</w:t>
            </w:r>
          </w:p>
        </w:tc>
      </w:tr>
      <w:tr>
        <w:trPr>
          <w:trHeight w:val="262"/>
        </w:trPr>
        <w:tc>
          <w:tcPr>
            <w:tcW w:w="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1"/>
                <w:szCs w:val="21"/>
                <w:color w:val="auto"/>
              </w:rPr>
              <w:t>9.</w:t>
            </w: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2020 0196206</w:t>
            </w:r>
          </w:p>
        </w:tc>
        <w:tc>
          <w:tcPr>
            <w:tcW w:w="4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MUFG Union Bank, N.A.</w:t>
            </w:r>
          </w:p>
        </w:tc>
      </w:tr>
      <w:tr>
        <w:trPr>
          <w:trHeight w:val="262"/>
        </w:trPr>
        <w:tc>
          <w:tcPr>
            <w:tcW w:w="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1"/>
                <w:szCs w:val="21"/>
                <w:color w:val="auto"/>
              </w:rPr>
              <w:t>10.</w:t>
            </w:r>
          </w:p>
        </w:tc>
        <w:tc>
          <w:tcPr>
            <w:tcW w:w="3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1"/>
                <w:szCs w:val="21"/>
                <w:color w:val="auto"/>
              </w:rPr>
              <w:t>2020 4442711</w:t>
            </w:r>
          </w:p>
        </w:tc>
        <w:tc>
          <w:tcPr>
            <w:tcW w:w="4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Somerset Trust Company</w:t>
            </w:r>
          </w:p>
        </w:tc>
      </w:tr>
    </w:tbl>
    <w:p>
      <w:pPr>
        <w:sectPr>
          <w:pgSz w:w="11900" w:h="16838" w:orient="portrait"/>
          <w:cols w:equalWidth="0" w:num="1">
            <w:col w:w="9519"/>
          </w:cols>
          <w:pgMar w:left="940" w:top="1392" w:right="1440" w:bottom="1440" w:gutter="0" w:footer="0" w:header="0"/>
        </w:sectPr>
      </w:pPr>
    </w:p>
    <w:bookmarkStart w:id="272" w:name="page273"/>
    <w:bookmarkEnd w:id="272"/>
    <w:p>
      <w:pPr>
        <w:jc w:val="center"/>
        <w:spacing w:after="0"/>
        <w:rPr>
          <w:sz w:val="20"/>
          <w:szCs w:val="20"/>
          <w:color w:val="auto"/>
        </w:rPr>
      </w:pPr>
      <w:r>
        <w:rPr>
          <w:rFonts w:ascii="Arial" w:cs="Arial" w:eastAsia="Arial" w:hAnsi="Arial"/>
          <w:sz w:val="21"/>
          <w:szCs w:val="21"/>
          <w:color w:val="auto"/>
        </w:rPr>
        <w:t>SCHEDULE 6.02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Existing Investments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Though Mistras KAA Partners Inc., an indirect wholly owned subsidiary of the Borrower, the Borrower has a 49% interest in Mikisew-Mistras Limited Partnership, an Alberta limited partnership, and has a 49% interest in M&amp;M Ltd., an Alberta corporation and the general partner of Mikisew-Mistras Limited Partnership.</w:t>
      </w:r>
    </w:p>
    <w:p>
      <w:pPr>
        <w:sectPr>
          <w:pgSz w:w="11900" w:h="16838" w:orient="portrait"/>
          <w:cols w:equalWidth="0" w:num="1">
            <w:col w:w="10020"/>
          </w:cols>
          <w:pgMar w:left="940" w:top="1392" w:right="939" w:bottom="144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21"/>
          <w:szCs w:val="21"/>
          <w:color w:val="auto"/>
        </w:rPr>
        <w:t>SCHEDULE 6.03</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Existing Indebtedness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60" w:type="dxa"/>
        <w:tblCellMar>
          <w:top w:w="0" w:type="dxa"/>
          <w:left w:w="0" w:type="dxa"/>
          <w:bottom w:w="0" w:type="dxa"/>
          <w:right w:w="0" w:type="dxa"/>
        </w:tblCellMar>
      </w:tblPr>
      <w:tr>
        <w:trPr>
          <w:trHeight w:val="273"/>
        </w:trPr>
        <w:tc>
          <w:tcPr>
            <w:tcW w:w="4820" w:type="dxa"/>
            <w:vAlign w:val="bottom"/>
          </w:tcPr>
          <w:p>
            <w:pPr>
              <w:spacing w:after="0"/>
              <w:rPr>
                <w:sz w:val="20"/>
                <w:szCs w:val="20"/>
                <w:color w:val="auto"/>
              </w:rPr>
            </w:pPr>
            <w:r>
              <w:rPr>
                <w:rFonts w:ascii="Arial" w:cs="Arial" w:eastAsia="Arial" w:hAnsi="Arial"/>
                <w:sz w:val="21"/>
                <w:szCs w:val="21"/>
                <w:color w:val="auto"/>
              </w:rPr>
              <w:t>Balance as of 7/25/22</w:t>
            </w: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4820" w:type="dxa"/>
            <w:vAlign w:val="bottom"/>
            <w:vMerge w:val="restart"/>
          </w:tcPr>
          <w:p>
            <w:pPr>
              <w:spacing w:after="0"/>
              <w:rPr>
                <w:sz w:val="20"/>
                <w:szCs w:val="20"/>
                <w:color w:val="auto"/>
              </w:rPr>
            </w:pPr>
            <w:r>
              <w:rPr>
                <w:rFonts w:ascii="Arial" w:cs="Arial" w:eastAsia="Arial" w:hAnsi="Arial"/>
                <w:sz w:val="21"/>
                <w:szCs w:val="21"/>
                <w:color w:val="auto"/>
              </w:rPr>
              <w:t>Capital Leases (as of 6/30/22)</w:t>
            </w:r>
          </w:p>
        </w:tc>
        <w:tc>
          <w:tcPr>
            <w:tcW w:w="60" w:type="dxa"/>
            <w:vAlign w:val="bottom"/>
            <w:vMerge w:val="restart"/>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90"/>
              </w:rPr>
              <w:t>$ 11,563,307.00</w:t>
            </w:r>
          </w:p>
        </w:tc>
        <w:tc>
          <w:tcPr>
            <w:tcW w:w="0" w:type="dxa"/>
            <w:vAlign w:val="bottom"/>
          </w:tcPr>
          <w:p>
            <w:pPr>
              <w:spacing w:after="0"/>
              <w:rPr>
                <w:sz w:val="1"/>
                <w:szCs w:val="1"/>
                <w:color w:val="auto"/>
              </w:rPr>
            </w:pPr>
          </w:p>
        </w:tc>
      </w:tr>
      <w:tr>
        <w:trPr>
          <w:trHeight w:val="98"/>
        </w:trPr>
        <w:tc>
          <w:tcPr>
            <w:tcW w:w="48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4820" w:type="dxa"/>
            <w:vAlign w:val="bottom"/>
          </w:tcPr>
          <w:p>
            <w:pPr>
              <w:spacing w:after="0"/>
              <w:rPr>
                <w:sz w:val="20"/>
                <w:szCs w:val="20"/>
                <w:color w:val="auto"/>
              </w:rPr>
            </w:pPr>
            <w:r>
              <w:rPr>
                <w:rFonts w:ascii="Arial" w:cs="Arial" w:eastAsia="Arial" w:hAnsi="Arial"/>
                <w:sz w:val="21"/>
                <w:szCs w:val="21"/>
                <w:color w:val="auto"/>
              </w:rPr>
              <w:t>International Subsidiaries Debt and</w:t>
            </w:r>
          </w:p>
        </w:tc>
        <w:tc>
          <w:tcPr>
            <w:tcW w:w="1460" w:type="dxa"/>
            <w:vAlign w:val="bottom"/>
            <w:gridSpan w:val="2"/>
            <w:vMerge w:val="restart"/>
          </w:tcPr>
          <w:p>
            <w:pPr>
              <w:jc w:val="right"/>
              <w:spacing w:after="0"/>
              <w:rPr>
                <w:sz w:val="20"/>
                <w:szCs w:val="20"/>
                <w:color w:val="auto"/>
              </w:rPr>
            </w:pPr>
            <w:r>
              <w:rPr>
                <w:rFonts w:ascii="Arial" w:cs="Arial" w:eastAsia="Arial" w:hAnsi="Arial"/>
                <w:sz w:val="21"/>
                <w:szCs w:val="21"/>
                <w:color w:val="auto"/>
                <w:w w:val="98"/>
              </w:rPr>
              <w:t>$  6,888,341.00</w:t>
            </w:r>
          </w:p>
        </w:tc>
        <w:tc>
          <w:tcPr>
            <w:tcW w:w="0" w:type="dxa"/>
            <w:vAlign w:val="bottom"/>
          </w:tcPr>
          <w:p>
            <w:pPr>
              <w:spacing w:after="0"/>
              <w:rPr>
                <w:sz w:val="1"/>
                <w:szCs w:val="1"/>
                <w:color w:val="auto"/>
              </w:rPr>
            </w:pPr>
          </w:p>
        </w:tc>
      </w:tr>
      <w:tr>
        <w:trPr>
          <w:trHeight w:val="160"/>
        </w:trPr>
        <w:tc>
          <w:tcPr>
            <w:tcW w:w="4820" w:type="dxa"/>
            <w:vAlign w:val="bottom"/>
            <w:vMerge w:val="restart"/>
          </w:tcPr>
          <w:p>
            <w:pPr>
              <w:spacing w:after="0"/>
              <w:rPr>
                <w:sz w:val="20"/>
                <w:szCs w:val="20"/>
                <w:color w:val="auto"/>
              </w:rPr>
            </w:pPr>
            <w:r>
              <w:rPr>
                <w:rFonts w:ascii="Arial" w:cs="Arial" w:eastAsia="Arial" w:hAnsi="Arial"/>
                <w:sz w:val="21"/>
                <w:szCs w:val="21"/>
                <w:color w:val="auto"/>
              </w:rPr>
              <w:t>Capital Leases (as of 6/30/22)</w:t>
            </w:r>
          </w:p>
        </w:tc>
        <w:tc>
          <w:tcPr>
            <w:tcW w:w="146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4820" w:type="dxa"/>
            <w:vAlign w:val="bottom"/>
            <w:vMerge w:val="continue"/>
          </w:tcPr>
          <w:p>
            <w:pPr>
              <w:spacing w:after="0"/>
              <w:rPr>
                <w:sz w:val="8"/>
                <w:szCs w:val="8"/>
                <w:color w:val="auto"/>
              </w:rPr>
            </w:pPr>
          </w:p>
        </w:tc>
        <w:tc>
          <w:tcPr>
            <w:tcW w:w="14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tbl>
      <w:tblPr>
        <w:tblLayout w:type="fixed"/>
        <w:tblInd w:w="160" w:type="dxa"/>
        <w:tblCellMar>
          <w:top w:w="0" w:type="dxa"/>
          <w:left w:w="0" w:type="dxa"/>
          <w:bottom w:w="0" w:type="dxa"/>
          <w:right w:w="0" w:type="dxa"/>
        </w:tblCellMar>
      </w:tblPr>
      <w:tr>
        <w:trPr>
          <w:trHeight w:val="273"/>
        </w:trPr>
        <w:tc>
          <w:tcPr>
            <w:tcW w:w="3580" w:type="dxa"/>
            <w:vAlign w:val="bottom"/>
          </w:tcPr>
          <w:p>
            <w:pPr>
              <w:spacing w:after="0"/>
              <w:rPr>
                <w:sz w:val="20"/>
                <w:szCs w:val="20"/>
                <w:color w:val="auto"/>
              </w:rPr>
            </w:pPr>
            <w:r>
              <w:rPr>
                <w:rFonts w:ascii="Arial" w:cs="Arial" w:eastAsia="Arial" w:hAnsi="Arial"/>
                <w:sz w:val="21"/>
                <w:szCs w:val="21"/>
                <w:color w:val="auto"/>
              </w:rPr>
              <w:t>Total Existing Indebtedness</w:t>
            </w:r>
          </w:p>
        </w:tc>
        <w:tc>
          <w:tcPr>
            <w:tcW w:w="2580" w:type="dxa"/>
            <w:vAlign w:val="bottom"/>
            <w:vMerge w:val="restart"/>
          </w:tcPr>
          <w:p>
            <w:pPr>
              <w:jc w:val="right"/>
              <w:spacing w:after="0"/>
              <w:rPr>
                <w:sz w:val="20"/>
                <w:szCs w:val="20"/>
                <w:color w:val="auto"/>
              </w:rPr>
            </w:pPr>
            <w:r>
              <w:rPr>
                <w:rFonts w:ascii="Arial" w:cs="Arial" w:eastAsia="Arial" w:hAnsi="Arial"/>
                <w:sz w:val="21"/>
                <w:szCs w:val="21"/>
                <w:u w:val="single" w:color="auto"/>
                <w:color w:val="auto"/>
              </w:rPr>
              <w:t>$ 18,451,648.00</w:t>
            </w:r>
          </w:p>
        </w:tc>
        <w:tc>
          <w:tcPr>
            <w:tcW w:w="0" w:type="dxa"/>
            <w:vAlign w:val="bottom"/>
          </w:tcPr>
          <w:p>
            <w:pPr>
              <w:spacing w:after="0"/>
              <w:rPr>
                <w:sz w:val="1"/>
                <w:szCs w:val="1"/>
                <w:color w:val="auto"/>
              </w:rPr>
            </w:pPr>
          </w:p>
        </w:tc>
      </w:tr>
      <w:tr>
        <w:trPr>
          <w:trHeight w:val="107"/>
        </w:trPr>
        <w:tc>
          <w:tcPr>
            <w:tcW w:w="358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92" w:right="1440" w:bottom="1440" w:gutter="0" w:footer="0" w:header="0"/>
        </w:sectPr>
      </w:pPr>
    </w:p>
    <w:bookmarkStart w:id="274" w:name="page275"/>
    <w:bookmarkEnd w:id="274"/>
    <w:p>
      <w:pPr>
        <w:spacing w:after="0" w:line="73" w:lineRule="exact"/>
        <w:rPr>
          <w:sz w:val="20"/>
          <w:szCs w:val="20"/>
          <w:color w:val="auto"/>
        </w:rPr>
      </w:pPr>
    </w:p>
    <w:p>
      <w:pPr>
        <w:ind w:left="4180"/>
        <w:spacing w:after="0"/>
        <w:rPr>
          <w:sz w:val="20"/>
          <w:szCs w:val="20"/>
          <w:color w:val="auto"/>
        </w:rPr>
      </w:pPr>
      <w:r>
        <w:rPr>
          <w:rFonts w:ascii="Arial" w:cs="Arial" w:eastAsia="Arial" w:hAnsi="Arial"/>
          <w:sz w:val="21"/>
          <w:szCs w:val="21"/>
          <w:color w:val="auto"/>
        </w:rPr>
        <w:t>EXHIBIT A ASSIGNMENT AND</w:t>
      </w:r>
    </w:p>
    <w:p>
      <w:pPr>
        <w:spacing w:after="0" w:line="214" w:lineRule="exact"/>
        <w:rPr>
          <w:sz w:val="20"/>
          <w:szCs w:val="20"/>
          <w:color w:val="auto"/>
        </w:rPr>
      </w:pPr>
    </w:p>
    <w:p>
      <w:pPr>
        <w:ind w:left="3060"/>
        <w:spacing w:after="0"/>
        <w:rPr>
          <w:sz w:val="20"/>
          <w:szCs w:val="20"/>
          <w:color w:val="auto"/>
        </w:rPr>
      </w:pPr>
      <w:r>
        <w:rPr>
          <w:rFonts w:ascii="Arial" w:cs="Arial" w:eastAsia="Arial" w:hAnsi="Arial"/>
          <w:sz w:val="21"/>
          <w:szCs w:val="21"/>
          <w:color w:val="auto"/>
        </w:rPr>
        <w:t>ASSUMPTION</w:t>
      </w:r>
    </w:p>
    <w:p>
      <w:pPr>
        <w:spacing w:after="0" w:line="107" w:lineRule="exact"/>
        <w:rPr>
          <w:sz w:val="20"/>
          <w:szCs w:val="20"/>
          <w:color w:val="auto"/>
        </w:rPr>
      </w:pPr>
    </w:p>
    <w:p>
      <w:pPr>
        <w:jc w:val="both"/>
        <w:ind w:left="540" w:firstLine="642"/>
        <w:spacing w:after="0" w:line="245" w:lineRule="auto"/>
        <w:rPr>
          <w:sz w:val="20"/>
          <w:szCs w:val="20"/>
          <w:color w:val="auto"/>
        </w:rPr>
      </w:pPr>
      <w:r>
        <w:rPr>
          <w:rFonts w:ascii="Arial" w:cs="Arial" w:eastAsia="Arial" w:hAnsi="Arial"/>
          <w:sz w:val="19"/>
          <w:szCs w:val="19"/>
          <w:color w:val="auto"/>
        </w:rPr>
        <w:t>This Assignment and Assumption (the “</w:t>
      </w:r>
      <w:r>
        <w:rPr>
          <w:rFonts w:ascii="Arial" w:cs="Arial" w:eastAsia="Arial" w:hAnsi="Arial"/>
          <w:sz w:val="19"/>
          <w:szCs w:val="19"/>
          <w:b w:val="1"/>
          <w:bCs w:val="1"/>
          <w:i w:val="1"/>
          <w:iCs w:val="1"/>
          <w:color w:val="auto"/>
        </w:rPr>
        <w:t>Assignment and Assumption</w:t>
      </w:r>
      <w:r>
        <w:rPr>
          <w:rFonts w:ascii="Arial" w:cs="Arial" w:eastAsia="Arial" w:hAnsi="Arial"/>
          <w:sz w:val="19"/>
          <w:szCs w:val="19"/>
          <w:color w:val="auto"/>
        </w:rPr>
        <w:t xml:space="preserve">”) is dated as of the Effective Date set forth below and is entered into by and between </w:t>
      </w:r>
      <w:r>
        <w:rPr>
          <w:rFonts w:ascii="Arial" w:cs="Arial" w:eastAsia="Arial" w:hAnsi="Arial"/>
          <w:sz w:val="22"/>
          <w:szCs w:val="22"/>
          <w:b w:val="1"/>
          <w:bCs w:val="1"/>
          <w:u w:val="single" w:color="auto"/>
          <w:color w:val="auto"/>
        </w:rPr>
        <w:t>[</w:t>
      </w:r>
      <w:r>
        <w:rPr>
          <w:rFonts w:ascii="Arial" w:cs="Arial" w:eastAsia="Arial" w:hAnsi="Arial"/>
          <w:sz w:val="19"/>
          <w:szCs w:val="19"/>
          <w:i w:val="1"/>
          <w:iCs w:val="1"/>
          <w:color w:val="auto"/>
        </w:rPr>
        <w:t>Insert name of Assignor</w:t>
      </w:r>
      <w:r>
        <w:rPr>
          <w:rFonts w:ascii="Arial" w:cs="Arial" w:eastAsia="Arial" w:hAnsi="Arial"/>
          <w:sz w:val="22"/>
          <w:szCs w:val="22"/>
          <w:b w:val="1"/>
          <w:bCs w:val="1"/>
          <w:u w:val="single" w:color="auto"/>
          <w:color w:val="auto"/>
        </w:rPr>
        <w:t>]</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Assignor</w:t>
      </w:r>
      <w:r>
        <w:rPr>
          <w:rFonts w:ascii="Arial" w:cs="Arial" w:eastAsia="Arial" w:hAnsi="Arial"/>
          <w:sz w:val="19"/>
          <w:szCs w:val="19"/>
          <w:color w:val="auto"/>
        </w:rPr>
        <w:t xml:space="preserve">”) and </w:t>
      </w:r>
      <w:r>
        <w:rPr>
          <w:rFonts w:ascii="Arial" w:cs="Arial" w:eastAsia="Arial" w:hAnsi="Arial"/>
          <w:sz w:val="22"/>
          <w:szCs w:val="22"/>
          <w:b w:val="1"/>
          <w:bCs w:val="1"/>
          <w:u w:val="single" w:color="auto"/>
          <w:color w:val="auto"/>
        </w:rPr>
        <w:t>[</w:t>
      </w:r>
      <w:r>
        <w:rPr>
          <w:rFonts w:ascii="Arial" w:cs="Arial" w:eastAsia="Arial" w:hAnsi="Arial"/>
          <w:sz w:val="19"/>
          <w:szCs w:val="19"/>
          <w:i w:val="1"/>
          <w:iCs w:val="1"/>
          <w:color w:val="auto"/>
        </w:rPr>
        <w:t>Insert name of</w:t>
      </w:r>
    </w:p>
    <w:p>
      <w:pPr>
        <w:spacing w:after="0" w:line="1" w:lineRule="exact"/>
        <w:rPr>
          <w:sz w:val="20"/>
          <w:szCs w:val="20"/>
          <w:color w:val="auto"/>
        </w:rPr>
      </w:pPr>
    </w:p>
    <w:p>
      <w:pPr>
        <w:jc w:val="both"/>
        <w:ind w:left="540"/>
        <w:spacing w:after="0" w:line="231" w:lineRule="auto"/>
        <w:rPr>
          <w:sz w:val="20"/>
          <w:szCs w:val="20"/>
          <w:color w:val="auto"/>
        </w:rPr>
      </w:pPr>
      <w:r>
        <w:rPr>
          <w:rFonts w:ascii="Arial" w:cs="Arial" w:eastAsia="Arial" w:hAnsi="Arial"/>
          <w:sz w:val="20"/>
          <w:szCs w:val="20"/>
          <w:i w:val="1"/>
          <w:iCs w:val="1"/>
          <w:color w:val="auto"/>
        </w:rPr>
        <w:t>Assignee</w:t>
      </w:r>
      <w:r>
        <w:rPr>
          <w:rFonts w:ascii="Arial" w:cs="Arial" w:eastAsia="Arial" w:hAnsi="Arial"/>
          <w:sz w:val="23"/>
          <w:szCs w:val="23"/>
          <w:b w:val="1"/>
          <w:bCs w:val="1"/>
          <w:u w:val="single" w:color="auto"/>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i w:val="1"/>
          <w:iCs w:val="1"/>
          <w:color w:val="auto"/>
        </w:rPr>
        <w:t>Assignee</w:t>
      </w:r>
      <w:r>
        <w:rPr>
          <w:rFonts w:ascii="Arial" w:cs="Arial" w:eastAsia="Arial" w:hAnsi="Arial"/>
          <w:sz w:val="20"/>
          <w:szCs w:val="20"/>
          <w:color w:val="auto"/>
        </w:rPr>
        <w:t>”). Capitalized terms used but not defined herein shall have the meanings given to them in</w:t>
      </w:r>
      <w:r>
        <w:rPr>
          <w:rFonts w:ascii="Arial" w:cs="Arial" w:eastAsia="Arial" w:hAnsi="Arial"/>
          <w:sz w:val="20"/>
          <w:szCs w:val="20"/>
          <w:i w:val="1"/>
          <w:iCs w:val="1"/>
          <w:color w:val="auto"/>
        </w:rPr>
        <w:t xml:space="preserve"> </w:t>
      </w:r>
      <w:r>
        <w:rPr>
          <w:rFonts w:ascii="Arial" w:cs="Arial" w:eastAsia="Arial" w:hAnsi="Arial"/>
          <w:sz w:val="20"/>
          <w:szCs w:val="20"/>
          <w:color w:val="auto"/>
        </w:rPr>
        <w:t>the Credit Agreement identified below (as amended, supplemented or otherwise modified from time to time,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201" w:lineRule="exact"/>
        <w:rPr>
          <w:sz w:val="20"/>
          <w:szCs w:val="20"/>
          <w:color w:val="auto"/>
        </w:rPr>
      </w:pPr>
    </w:p>
    <w:p>
      <w:pPr>
        <w:jc w:val="both"/>
        <w:ind w:left="540" w:firstLine="642"/>
        <w:spacing w:after="0" w:line="239" w:lineRule="auto"/>
        <w:rPr>
          <w:sz w:val="20"/>
          <w:szCs w:val="20"/>
          <w:color w:val="auto"/>
        </w:rPr>
      </w:pPr>
      <w:r>
        <w:rPr>
          <w:rFonts w:ascii="Arial" w:cs="Arial" w:eastAsia="Arial" w:hAnsi="Arial"/>
          <w:sz w:val="19"/>
          <w:szCs w:val="19"/>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9"/>
          <w:szCs w:val="19"/>
          <w:b w:val="1"/>
          <w:bCs w:val="1"/>
          <w:i w:val="1"/>
          <w:iCs w:val="1"/>
          <w:color w:val="auto"/>
        </w:rPr>
        <w:t>Assigned Interest</w:t>
      </w:r>
      <w:r>
        <w:rPr>
          <w:rFonts w:ascii="Arial" w:cs="Arial" w:eastAsia="Arial" w:hAnsi="Arial"/>
          <w:sz w:val="19"/>
          <w:szCs w:val="19"/>
          <w:color w:val="auto"/>
        </w:rPr>
        <w:t>”). Such sale and assignment is without recourse to the Assignor and, except as expressly provided in this Assignment and Assumption, without representation or warranty by the Assignor.</w:t>
      </w:r>
    </w:p>
    <w:p>
      <w:pPr>
        <w:spacing w:after="0" w:line="205" w:lineRule="exact"/>
        <w:rPr>
          <w:sz w:val="20"/>
          <w:szCs w:val="20"/>
          <w:color w:val="auto"/>
        </w:rPr>
      </w:pPr>
    </w:p>
    <w:p>
      <w:pPr>
        <w:ind w:left="1000" w:hanging="363"/>
        <w:spacing w:after="0"/>
        <w:tabs>
          <w:tab w:leader="none" w:pos="1000" w:val="left"/>
        </w:tabs>
        <w:numPr>
          <w:ilvl w:val="0"/>
          <w:numId w:val="247"/>
        </w:numPr>
        <w:rPr>
          <w:rFonts w:ascii="Arial" w:cs="Arial" w:eastAsia="Arial" w:hAnsi="Arial"/>
          <w:sz w:val="21"/>
          <w:szCs w:val="21"/>
          <w:color w:val="auto"/>
        </w:rPr>
      </w:pPr>
      <w:r>
        <w:rPr>
          <w:rFonts w:ascii="Arial" w:cs="Arial" w:eastAsia="Arial" w:hAnsi="Arial"/>
          <w:sz w:val="21"/>
          <w:szCs w:val="21"/>
          <w:color w:val="auto"/>
        </w:rPr>
        <w:t>Assignor:</w:t>
      </w:r>
    </w:p>
    <w:p>
      <w:pPr>
        <w:spacing w:after="0" w:line="214" w:lineRule="exact"/>
        <w:rPr>
          <w:rFonts w:ascii="Arial" w:cs="Arial" w:eastAsia="Arial" w:hAnsi="Arial"/>
          <w:sz w:val="21"/>
          <w:szCs w:val="21"/>
          <w:color w:val="auto"/>
        </w:rPr>
      </w:pPr>
    </w:p>
    <w:p>
      <w:pPr>
        <w:ind w:left="1000" w:hanging="363"/>
        <w:spacing w:after="0"/>
        <w:tabs>
          <w:tab w:leader="none" w:pos="1000" w:val="left"/>
        </w:tabs>
        <w:numPr>
          <w:ilvl w:val="0"/>
          <w:numId w:val="247"/>
        </w:numPr>
        <w:rPr>
          <w:rFonts w:ascii="Arial" w:cs="Arial" w:eastAsia="Arial" w:hAnsi="Arial"/>
          <w:sz w:val="21"/>
          <w:szCs w:val="21"/>
          <w:color w:val="auto"/>
        </w:rPr>
      </w:pPr>
      <w:r>
        <w:rPr>
          <w:rFonts w:ascii="Arial" w:cs="Arial" w:eastAsia="Arial" w:hAnsi="Arial"/>
          <w:sz w:val="21"/>
          <w:szCs w:val="21"/>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-300990</wp:posOffset>
            </wp:positionV>
            <wp:extent cx="170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-11430</wp:posOffset>
            </wp:positionV>
            <wp:extent cx="170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spacing w:after="0" w:line="193" w:lineRule="exact"/>
        <w:rPr>
          <w:sz w:val="20"/>
          <w:szCs w:val="20"/>
          <w:color w:val="auto"/>
        </w:rPr>
      </w:pPr>
    </w:p>
    <w:p>
      <w:pPr>
        <w:ind w:left="346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and is an Affiliate/Approved Fund of</w:t>
      </w:r>
      <w:r>
        <w:rPr>
          <w:rFonts w:ascii="Arial" w:cs="Arial" w:eastAsia="Arial" w:hAnsi="Arial"/>
          <w:sz w:val="25"/>
          <w:szCs w:val="25"/>
          <w:b w:val="1"/>
          <w:bCs w:val="1"/>
          <w:color w:val="auto"/>
        </w:rPr>
        <w:t xml:space="preserve"> </w:t>
      </w:r>
      <w:r>
        <w:rPr>
          <w:rFonts w:ascii="Arial" w:cs="Arial" w:eastAsia="Arial" w:hAnsi="Arial"/>
          <w:sz w:val="25"/>
          <w:szCs w:val="25"/>
          <w:b w:val="1"/>
          <w:bCs w:val="1"/>
          <w:u w:val="single" w:color="auto"/>
          <w:color w:val="auto"/>
        </w:rPr>
        <w:t>[</w:t>
      </w:r>
      <w:r>
        <w:rPr>
          <w:rFonts w:ascii="Arial" w:cs="Arial" w:eastAsia="Arial" w:hAnsi="Arial"/>
          <w:sz w:val="21"/>
          <w:szCs w:val="21"/>
          <w:i w:val="1"/>
          <w:iCs w:val="1"/>
          <w:color w:val="auto"/>
        </w:rPr>
        <w:t>identify Lender</w:t>
      </w:r>
      <w:r>
        <w:rPr>
          <w:rFonts w:ascii="Arial" w:cs="Arial" w:eastAsia="Arial" w:hAnsi="Arial"/>
          <w:sz w:val="25"/>
          <w:szCs w:val="25"/>
          <w:b w:val="1"/>
          <w:bCs w:val="1"/>
          <w:u w:val="single" w:color="auto"/>
          <w:color w:val="auto"/>
        </w:rPr>
        <w:t>]</w:t>
      </w:r>
      <w:r>
        <w:rPr>
          <w:rFonts w:ascii="Arial" w:cs="Arial" w:eastAsia="Arial" w:hAnsi="Arial"/>
          <w:sz w:val="14"/>
          <w:szCs w:val="14"/>
          <w:color w:val="auto"/>
        </w:rPr>
        <w:t>1</w:t>
      </w:r>
      <w:r>
        <w:rPr>
          <w:rFonts w:ascii="Arial" w:cs="Arial" w:eastAsia="Arial" w:hAnsi="Arial"/>
          <w:sz w:val="25"/>
          <w:szCs w:val="25"/>
          <w:b w:val="1"/>
          <w:bCs w:val="1"/>
          <w:color w:val="auto"/>
        </w:rPr>
        <w:t xml:space="preserve"> </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2192655</wp:posOffset>
            </wp:positionH>
            <wp:positionV relativeFrom="paragraph">
              <wp:posOffset>10795</wp:posOffset>
            </wp:positionV>
            <wp:extent cx="229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229870" cy="8255"/>
                    </a:xfrm>
                    <a:prstGeom prst="rect">
                      <a:avLst/>
                    </a:prstGeom>
                    <a:noFill/>
                  </pic:spPr>
                </pic:pic>
              </a:graphicData>
            </a:graphic>
          </wp:anchor>
        </w:drawing>
      </w:r>
    </w:p>
    <w:p>
      <w:pPr>
        <w:spacing w:after="0" w:line="242" w:lineRule="exact"/>
        <w:rPr>
          <w:sz w:val="20"/>
          <w:szCs w:val="20"/>
          <w:color w:val="auto"/>
        </w:rPr>
      </w:pPr>
    </w:p>
    <w:p>
      <w:pPr>
        <w:ind w:left="1020" w:hanging="383"/>
        <w:spacing w:after="0"/>
        <w:tabs>
          <w:tab w:leader="none" w:pos="1020" w:val="left"/>
        </w:tabs>
        <w:numPr>
          <w:ilvl w:val="0"/>
          <w:numId w:val="248"/>
        </w:numPr>
        <w:rPr>
          <w:rFonts w:ascii="Arial" w:cs="Arial" w:eastAsia="Arial" w:hAnsi="Arial"/>
          <w:sz w:val="21"/>
          <w:szCs w:val="21"/>
          <w:color w:val="auto"/>
        </w:rPr>
      </w:pPr>
      <w:r>
        <w:rPr>
          <w:rFonts w:ascii="Arial" w:cs="Arial" w:eastAsia="Arial" w:hAnsi="Arial"/>
          <w:sz w:val="21"/>
          <w:szCs w:val="21"/>
          <w:color w:val="auto"/>
        </w:rPr>
        <w:t>Borrower</w:t>
      </w:r>
      <w:r>
        <w:rPr>
          <w:rFonts w:ascii="Arial" w:cs="Arial" w:eastAsia="Arial" w:hAnsi="Arial"/>
          <w:sz w:val="25"/>
          <w:szCs w:val="25"/>
          <w:b w:val="1"/>
          <w:bCs w:val="1"/>
          <w:u w:val="single" w:color="auto"/>
          <w:color w:val="auto"/>
        </w:rPr>
        <w:t>[</w:t>
      </w:r>
      <w:r>
        <w:rPr>
          <w:rFonts w:ascii="Arial" w:cs="Arial" w:eastAsia="Arial" w:hAnsi="Arial"/>
          <w:sz w:val="21"/>
          <w:szCs w:val="21"/>
          <w:color w:val="auto"/>
        </w:rPr>
        <w:t>(s)</w:t>
      </w:r>
      <w:r>
        <w:rPr>
          <w:rFonts w:ascii="Arial" w:cs="Arial" w:eastAsia="Arial" w:hAnsi="Arial"/>
          <w:sz w:val="25"/>
          <w:szCs w:val="25"/>
          <w:b w:val="1"/>
          <w:bCs w:val="1"/>
          <w:u w:val="single" w:color="auto"/>
          <w:color w:val="auto"/>
        </w:rPr>
        <w:t>]</w:t>
      </w:r>
      <w:r>
        <w:rPr>
          <w:rFonts w:ascii="Arial" w:cs="Arial" w:eastAsia="Arial" w:hAnsi="Arial"/>
          <w:sz w:val="21"/>
          <w:szCs w:val="21"/>
          <w:color w:val="auto"/>
        </w:rPr>
        <w:t>:  Mistras Group, Inc.</w:t>
      </w:r>
    </w:p>
    <w:p>
      <w:pPr>
        <w:spacing w:after="0" w:line="277" w:lineRule="exact"/>
        <w:rPr>
          <w:rFonts w:ascii="Arial" w:cs="Arial" w:eastAsia="Arial" w:hAnsi="Arial"/>
          <w:sz w:val="21"/>
          <w:szCs w:val="21"/>
          <w:color w:val="auto"/>
        </w:rPr>
      </w:pPr>
    </w:p>
    <w:p>
      <w:pPr>
        <w:ind w:left="3460" w:right="2540" w:hanging="2823"/>
        <w:spacing w:after="0" w:line="244" w:lineRule="auto"/>
        <w:tabs>
          <w:tab w:leader="none" w:pos="1008" w:val="left"/>
        </w:tabs>
        <w:numPr>
          <w:ilvl w:val="0"/>
          <w:numId w:val="248"/>
        </w:numPr>
        <w:rPr>
          <w:rFonts w:ascii="Arial" w:cs="Arial" w:eastAsia="Arial" w:hAnsi="Arial"/>
          <w:sz w:val="21"/>
          <w:szCs w:val="21"/>
          <w:color w:val="auto"/>
        </w:rPr>
      </w:pPr>
      <w:r>
        <w:rPr>
          <w:rFonts w:ascii="Arial" w:cs="Arial" w:eastAsia="Arial" w:hAnsi="Arial"/>
          <w:sz w:val="21"/>
          <w:szCs w:val="21"/>
          <w:color w:val="auto"/>
        </w:rPr>
        <w:t>Administrative Agent: JPMorgan Chase Bank, N.A.,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1281430</wp:posOffset>
            </wp:positionH>
            <wp:positionV relativeFrom="paragraph">
              <wp:posOffset>-476250</wp:posOffset>
            </wp:positionV>
            <wp:extent cx="1104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11049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288925</wp:posOffset>
            </wp:positionV>
            <wp:extent cx="16344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163449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1 </w:t>
      </w:r>
      <w:r>
        <w:rPr>
          <w:rFonts w:ascii="Arial" w:cs="Arial" w:eastAsia="Arial" w:hAnsi="Arial"/>
          <w:sz w:val="17"/>
          <w:szCs w:val="17"/>
          <w:color w:val="auto"/>
        </w:rPr>
        <w:t>Select as applicable.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0560"/>
          </w:cols>
          <w:pgMar w:left="400" w:top="1440" w:right="939" w:bottom="1440" w:gutter="0" w:footer="0" w:header="0"/>
        </w:sectPr>
      </w:pPr>
    </w:p>
    <w:bookmarkStart w:id="275" w:name="page276"/>
    <w:bookmarkEnd w:id="275"/>
    <w:p>
      <w:pPr>
        <w:spacing w:after="0" w:line="185" w:lineRule="exact"/>
        <w:rPr>
          <w:sz w:val="20"/>
          <w:szCs w:val="20"/>
          <w:color w:val="auto"/>
        </w:rPr>
      </w:pPr>
    </w:p>
    <w:p>
      <w:pPr>
        <w:ind w:left="640"/>
        <w:spacing w:after="0"/>
        <w:tabs>
          <w:tab w:leader="none" w:pos="1000" w:val="left"/>
          <w:tab w:leader="none" w:pos="2800" w:val="left"/>
        </w:tabs>
        <w:rPr>
          <w:sz w:val="20"/>
          <w:szCs w:val="20"/>
          <w:color w:val="auto"/>
        </w:rPr>
      </w:pPr>
      <w:r>
        <w:rPr>
          <w:rFonts w:ascii="Arial" w:cs="Arial" w:eastAsia="Arial" w:hAnsi="Arial"/>
          <w:sz w:val="21"/>
          <w:szCs w:val="21"/>
          <w:color w:val="auto"/>
        </w:rPr>
        <w:t>5.</w:t>
        <w:tab/>
        <w:t>Credit Agreement:</w:t>
      </w:r>
      <w:r>
        <w:rPr>
          <w:sz w:val="20"/>
          <w:szCs w:val="20"/>
          <w:color w:val="auto"/>
        </w:rPr>
        <w:tab/>
      </w:r>
      <w:r>
        <w:rPr>
          <w:rFonts w:ascii="Arial" w:cs="Arial" w:eastAsia="Arial" w:hAnsi="Arial"/>
          <w:sz w:val="19"/>
          <w:szCs w:val="19"/>
          <w:color w:val="auto"/>
        </w:rPr>
        <w:t>The $315,000,000 Credit Agreement dated as of August 1,</w:t>
      </w:r>
    </w:p>
    <w:p>
      <w:pPr>
        <w:ind w:left="3460" w:right="360"/>
        <w:spacing w:after="0" w:line="275" w:lineRule="auto"/>
        <w:rPr>
          <w:sz w:val="20"/>
          <w:szCs w:val="20"/>
          <w:color w:val="auto"/>
        </w:rPr>
      </w:pPr>
      <w:r>
        <w:rPr>
          <w:rFonts w:ascii="Arial" w:cs="Arial" w:eastAsia="Arial" w:hAnsi="Arial"/>
          <w:sz w:val="19"/>
          <w:szCs w:val="19"/>
          <w:color w:val="auto"/>
        </w:rPr>
        <w:t>2022 among Mistras Group, Inc., the Lenders parties thereto, JPMorgan Chase Bank, N.A., as Administrative Agent, and the other agents parties thereto</w:t>
      </w:r>
    </w:p>
    <w:p>
      <w:pPr>
        <w:spacing w:after="0" w:line="232" w:lineRule="exact"/>
        <w:rPr>
          <w:sz w:val="20"/>
          <w:szCs w:val="20"/>
          <w:color w:val="auto"/>
        </w:rPr>
      </w:pPr>
    </w:p>
    <w:p>
      <w:pPr>
        <w:ind w:left="640"/>
        <w:spacing w:after="0"/>
        <w:tabs>
          <w:tab w:leader="none" w:pos="980" w:val="left"/>
        </w:tabs>
        <w:rPr>
          <w:sz w:val="20"/>
          <w:szCs w:val="20"/>
          <w:color w:val="auto"/>
        </w:rPr>
      </w:pPr>
      <w:r>
        <w:rPr>
          <w:rFonts w:ascii="Arial" w:cs="Arial" w:eastAsia="Arial" w:hAnsi="Arial"/>
          <w:sz w:val="21"/>
          <w:szCs w:val="21"/>
          <w:color w:val="auto"/>
        </w:rPr>
        <w:t>6.</w:t>
      </w:r>
      <w:r>
        <w:rPr>
          <w:sz w:val="20"/>
          <w:szCs w:val="20"/>
          <w:color w:val="auto"/>
        </w:rPr>
        <w:tab/>
      </w:r>
      <w:r>
        <w:rPr>
          <w:rFonts w:ascii="Arial" w:cs="Arial" w:eastAsia="Arial" w:hAnsi="Arial"/>
          <w:sz w:val="19"/>
          <w:szCs w:val="19"/>
          <w:color w:val="auto"/>
        </w:rPr>
        <w:t>Assigned Interest:</w:t>
      </w:r>
    </w:p>
    <w:p>
      <w:pPr>
        <w:spacing w:after="0" w:line="200" w:lineRule="exact"/>
        <w:rPr>
          <w:sz w:val="20"/>
          <w:szCs w:val="20"/>
          <w:color w:val="auto"/>
        </w:rPr>
      </w:pPr>
    </w:p>
    <w:p>
      <w:pPr>
        <w:spacing w:after="0" w:line="297" w:lineRule="exact"/>
        <w:rPr>
          <w:sz w:val="20"/>
          <w:szCs w:val="20"/>
          <w:color w:val="auto"/>
        </w:rPr>
      </w:pPr>
    </w:p>
    <w:tbl>
      <w:tblPr>
        <w:tblLayout w:type="fixed"/>
        <w:tblInd w:w="550" w:type="dxa"/>
        <w:tblCellMar>
          <w:top w:w="0" w:type="dxa"/>
          <w:left w:w="0" w:type="dxa"/>
          <w:bottom w:w="0" w:type="dxa"/>
          <w:right w:w="0" w:type="dxa"/>
        </w:tblCellMar>
      </w:tblPr>
      <w:tr>
        <w:trPr>
          <w:trHeight w:val="273"/>
        </w:trPr>
        <w:tc>
          <w:tcPr>
            <w:tcW w:w="2160" w:type="dxa"/>
            <w:vAlign w:val="bottom"/>
            <w:tcBorders>
              <w:top w:val="single" w:sz="8" w:color="auto"/>
              <w:left w:val="single" w:sz="8" w:color="auto"/>
              <w:right w:val="single" w:sz="8" w:color="auto"/>
            </w:tcBorders>
          </w:tcPr>
          <w:p>
            <w:pPr>
              <w:spacing w:after="0"/>
              <w:rPr>
                <w:sz w:val="23"/>
                <w:szCs w:val="23"/>
                <w:color w:val="auto"/>
              </w:rPr>
            </w:pPr>
          </w:p>
        </w:tc>
        <w:tc>
          <w:tcPr>
            <w:tcW w:w="23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21"/>
                <w:szCs w:val="21"/>
                <w:color w:val="auto"/>
                <w:w w:val="94"/>
              </w:rPr>
              <w:t>Aggregate Amount of</w:t>
            </w:r>
          </w:p>
        </w:tc>
        <w:tc>
          <w:tcPr>
            <w:tcW w:w="240" w:type="dxa"/>
            <w:vAlign w:val="bottom"/>
            <w:tcBorders>
              <w:top w:val="single" w:sz="8" w:color="auto"/>
            </w:tcBorders>
          </w:tcPr>
          <w:p>
            <w:pPr>
              <w:spacing w:after="0"/>
              <w:rPr>
                <w:sz w:val="23"/>
                <w:szCs w:val="23"/>
                <w:color w:val="auto"/>
              </w:rPr>
            </w:pPr>
          </w:p>
        </w:tc>
        <w:tc>
          <w:tcPr>
            <w:tcW w:w="2080" w:type="dxa"/>
            <w:vAlign w:val="bottom"/>
            <w:tcBorders>
              <w:top w:val="single" w:sz="8" w:color="auto"/>
              <w:right w:val="single" w:sz="8" w:color="auto"/>
            </w:tcBorders>
          </w:tcPr>
          <w:p>
            <w:pPr>
              <w:jc w:val="center"/>
              <w:ind w:right="173"/>
              <w:spacing w:after="0"/>
              <w:rPr>
                <w:sz w:val="20"/>
                <w:szCs w:val="20"/>
                <w:color w:val="auto"/>
              </w:rPr>
            </w:pPr>
            <w:r>
              <w:rPr>
                <w:rFonts w:ascii="Arial" w:cs="Arial" w:eastAsia="Arial" w:hAnsi="Arial"/>
                <w:sz w:val="21"/>
                <w:szCs w:val="21"/>
                <w:color w:val="auto"/>
                <w:w w:val="96"/>
              </w:rPr>
              <w:t>Amount of</w:t>
            </w:r>
          </w:p>
        </w:tc>
        <w:tc>
          <w:tcPr>
            <w:tcW w:w="24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16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21"/>
                <w:szCs w:val="21"/>
                <w:color w:val="auto"/>
              </w:rPr>
              <w:t>Facility Assigned</w:t>
            </w:r>
            <w:r>
              <w:rPr>
                <w:rFonts w:ascii="Arial" w:cs="Arial" w:eastAsia="Arial" w:hAnsi="Arial"/>
                <w:sz w:val="14"/>
                <w:szCs w:val="14"/>
                <w:color w:val="auto"/>
              </w:rPr>
              <w:t>2</w:t>
            </w:r>
          </w:p>
        </w:tc>
        <w:tc>
          <w:tcPr>
            <w:tcW w:w="2320" w:type="dxa"/>
            <w:vAlign w:val="bottom"/>
            <w:tcBorders>
              <w:right w:val="single" w:sz="8" w:color="auto"/>
            </w:tcBorders>
            <w:gridSpan w:val="2"/>
          </w:tcPr>
          <w:p>
            <w:pPr>
              <w:jc w:val="center"/>
              <w:spacing w:after="0"/>
              <w:rPr>
                <w:sz w:val="20"/>
                <w:szCs w:val="20"/>
                <w:color w:val="auto"/>
              </w:rPr>
            </w:pPr>
            <w:r>
              <w:rPr>
                <w:rFonts w:ascii="Arial" w:cs="Arial" w:eastAsia="Arial" w:hAnsi="Arial"/>
                <w:sz w:val="21"/>
                <w:szCs w:val="21"/>
                <w:color w:val="auto"/>
                <w:w w:val="95"/>
              </w:rPr>
              <w:t>Commitment/Loans for</w:t>
            </w:r>
          </w:p>
        </w:tc>
        <w:tc>
          <w:tcPr>
            <w:tcW w:w="240" w:type="dxa"/>
            <w:vAlign w:val="bottom"/>
          </w:tcPr>
          <w:p>
            <w:pPr>
              <w:spacing w:after="0"/>
              <w:rPr>
                <w:sz w:val="20"/>
                <w:szCs w:val="20"/>
                <w:color w:val="auto"/>
              </w:rPr>
            </w:pPr>
          </w:p>
        </w:tc>
        <w:tc>
          <w:tcPr>
            <w:tcW w:w="2080" w:type="dxa"/>
            <w:vAlign w:val="bottom"/>
            <w:tcBorders>
              <w:right w:val="single" w:sz="8" w:color="auto"/>
            </w:tcBorders>
          </w:tcPr>
          <w:p>
            <w:pPr>
              <w:jc w:val="center"/>
              <w:ind w:right="173"/>
              <w:spacing w:after="0"/>
              <w:rPr>
                <w:sz w:val="20"/>
                <w:szCs w:val="20"/>
                <w:color w:val="auto"/>
              </w:rPr>
            </w:pPr>
            <w:r>
              <w:rPr>
                <w:rFonts w:ascii="Arial" w:cs="Arial" w:eastAsia="Arial" w:hAnsi="Arial"/>
                <w:sz w:val="21"/>
                <w:szCs w:val="21"/>
                <w:color w:val="auto"/>
                <w:w w:val="94"/>
              </w:rPr>
              <w:t>Commitment/Loans</w:t>
            </w:r>
          </w:p>
        </w:tc>
        <w:tc>
          <w:tcPr>
            <w:tcW w:w="2480" w:type="dxa"/>
            <w:vAlign w:val="bottom"/>
            <w:tcBorders>
              <w:right w:val="single" w:sz="8" w:color="auto"/>
            </w:tcBorders>
          </w:tcPr>
          <w:p>
            <w:pPr>
              <w:jc w:val="right"/>
              <w:ind w:right="233"/>
              <w:spacing w:after="0"/>
              <w:rPr>
                <w:sz w:val="20"/>
                <w:szCs w:val="20"/>
                <w:color w:val="auto"/>
              </w:rPr>
            </w:pPr>
            <w:r>
              <w:rPr>
                <w:rFonts w:ascii="Arial" w:cs="Arial" w:eastAsia="Arial" w:hAnsi="Arial"/>
                <w:sz w:val="21"/>
                <w:szCs w:val="21"/>
                <w:color w:val="auto"/>
                <w:w w:val="95"/>
              </w:rPr>
              <w:t>Percentage Assigned of</w:t>
            </w:r>
          </w:p>
        </w:tc>
        <w:tc>
          <w:tcPr>
            <w:tcW w:w="0" w:type="dxa"/>
            <w:vAlign w:val="bottom"/>
          </w:tcPr>
          <w:p>
            <w:pPr>
              <w:spacing w:after="0"/>
              <w:rPr>
                <w:sz w:val="1"/>
                <w:szCs w:val="1"/>
                <w:color w:val="auto"/>
              </w:rPr>
            </w:pPr>
          </w:p>
        </w:tc>
      </w:tr>
      <w:tr>
        <w:trPr>
          <w:trHeight w:val="340"/>
        </w:trPr>
        <w:tc>
          <w:tcPr>
            <w:tcW w:w="2160" w:type="dxa"/>
            <w:vAlign w:val="bottom"/>
            <w:tcBorders>
              <w:left w:val="single" w:sz="8" w:color="auto"/>
              <w:right w:val="single" w:sz="8" w:color="auto"/>
            </w:tcBorders>
            <w:vMerge w:val="continue"/>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Borders>
              <w:right w:val="single" w:sz="8" w:color="auto"/>
            </w:tcBorders>
          </w:tcPr>
          <w:p>
            <w:pPr>
              <w:jc w:val="center"/>
              <w:ind w:right="373"/>
              <w:spacing w:after="0"/>
              <w:rPr>
                <w:sz w:val="20"/>
                <w:szCs w:val="20"/>
                <w:color w:val="auto"/>
              </w:rPr>
            </w:pPr>
            <w:r>
              <w:rPr>
                <w:rFonts w:ascii="Arial" w:cs="Arial" w:eastAsia="Arial" w:hAnsi="Arial"/>
                <w:sz w:val="21"/>
                <w:szCs w:val="21"/>
                <w:color w:val="auto"/>
                <w:w w:val="93"/>
              </w:rPr>
              <w:t>all Lenders</w:t>
            </w:r>
          </w:p>
        </w:tc>
        <w:tc>
          <w:tcPr>
            <w:tcW w:w="240" w:type="dxa"/>
            <w:vAlign w:val="bottom"/>
          </w:tcPr>
          <w:p>
            <w:pPr>
              <w:spacing w:after="0"/>
              <w:rPr>
                <w:sz w:val="24"/>
                <w:szCs w:val="24"/>
                <w:color w:val="auto"/>
              </w:rPr>
            </w:pPr>
          </w:p>
        </w:tc>
        <w:tc>
          <w:tcPr>
            <w:tcW w:w="2080" w:type="dxa"/>
            <w:vAlign w:val="bottom"/>
            <w:tcBorders>
              <w:right w:val="single" w:sz="8" w:color="auto"/>
            </w:tcBorders>
          </w:tcPr>
          <w:p>
            <w:pPr>
              <w:jc w:val="center"/>
              <w:ind w:right="173"/>
              <w:spacing w:after="0"/>
              <w:rPr>
                <w:sz w:val="20"/>
                <w:szCs w:val="20"/>
                <w:color w:val="auto"/>
              </w:rPr>
            </w:pPr>
            <w:r>
              <w:rPr>
                <w:rFonts w:ascii="Arial" w:cs="Arial" w:eastAsia="Arial" w:hAnsi="Arial"/>
                <w:sz w:val="21"/>
                <w:szCs w:val="21"/>
                <w:color w:val="auto"/>
                <w:w w:val="92"/>
              </w:rPr>
              <w:t>Assigned</w:t>
            </w:r>
          </w:p>
        </w:tc>
        <w:tc>
          <w:tcPr>
            <w:tcW w:w="2480" w:type="dxa"/>
            <w:vAlign w:val="bottom"/>
            <w:tcBorders>
              <w:right w:val="single" w:sz="8" w:color="auto"/>
            </w:tcBorders>
          </w:tcPr>
          <w:p>
            <w:pPr>
              <w:jc w:val="right"/>
              <w:ind w:right="353"/>
              <w:spacing w:after="0"/>
              <w:rPr>
                <w:sz w:val="20"/>
                <w:szCs w:val="20"/>
                <w:color w:val="auto"/>
              </w:rPr>
            </w:pPr>
            <w:r>
              <w:rPr>
                <w:rFonts w:ascii="Arial" w:cs="Arial" w:eastAsia="Arial" w:hAnsi="Arial"/>
                <w:sz w:val="21"/>
                <w:szCs w:val="21"/>
                <w:color w:val="auto"/>
              </w:rPr>
              <w:t>Commitment/Loans</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43"/>
        </w:trPr>
        <w:tc>
          <w:tcPr>
            <w:tcW w:w="2160" w:type="dxa"/>
            <w:vAlign w:val="bottom"/>
            <w:tcBorders>
              <w:left w:val="single" w:sz="8" w:color="auto"/>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160" w:type="dxa"/>
            <w:vAlign w:val="bottom"/>
            <w:tcBorders>
              <w:left w:val="single" w:sz="8" w:color="auto"/>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21"/>
                <w:szCs w:val="21"/>
                <w:color w:val="auto"/>
              </w:rPr>
              <w:t>$</w:t>
            </w:r>
          </w:p>
        </w:tc>
        <w:tc>
          <w:tcPr>
            <w:tcW w:w="188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2080" w:type="dxa"/>
            <w:vAlign w:val="bottom"/>
            <w:tcBorders>
              <w:bottom w:val="single" w:sz="8" w:color="auto"/>
              <w:right w:val="single" w:sz="8" w:color="auto"/>
            </w:tcBorders>
          </w:tcPr>
          <w:p>
            <w:pPr>
              <w:spacing w:after="0"/>
              <w:rPr>
                <w:sz w:val="23"/>
                <w:szCs w:val="23"/>
                <w:color w:val="auto"/>
              </w:rPr>
            </w:pPr>
          </w:p>
        </w:tc>
        <w:tc>
          <w:tcPr>
            <w:tcW w:w="24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66"/>
        </w:trPr>
        <w:tc>
          <w:tcPr>
            <w:tcW w:w="2160" w:type="dxa"/>
            <w:vAlign w:val="bottom"/>
            <w:tcBorders>
              <w:left w:val="single" w:sz="8" w:color="auto"/>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21"/>
                <w:szCs w:val="21"/>
                <w:color w:val="auto"/>
              </w:rPr>
              <w:t>$</w:t>
            </w:r>
          </w:p>
        </w:tc>
        <w:tc>
          <w:tcPr>
            <w:tcW w:w="188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2080" w:type="dxa"/>
            <w:vAlign w:val="bottom"/>
            <w:tcBorders>
              <w:bottom w:val="single" w:sz="8" w:color="auto"/>
              <w:right w:val="single" w:sz="8" w:color="auto"/>
            </w:tcBorders>
          </w:tcPr>
          <w:p>
            <w:pPr>
              <w:spacing w:after="0"/>
              <w:rPr>
                <w:sz w:val="23"/>
                <w:szCs w:val="23"/>
                <w:color w:val="auto"/>
              </w:rPr>
            </w:pPr>
          </w:p>
        </w:tc>
        <w:tc>
          <w:tcPr>
            <w:tcW w:w="2480" w:type="dxa"/>
            <w:vAlign w:val="bottom"/>
            <w:tcBorders>
              <w:bottom w:val="single" w:sz="8" w:color="auto"/>
              <w:right w:val="single" w:sz="8" w:color="auto"/>
            </w:tcBorders>
          </w:tcPr>
          <w:p>
            <w:pPr>
              <w:jc w:val="right"/>
              <w:ind w:right="2093"/>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73"/>
        </w:trPr>
        <w:tc>
          <w:tcPr>
            <w:tcW w:w="2160" w:type="dxa"/>
            <w:vAlign w:val="bottom"/>
            <w:tcBorders>
              <w:left w:val="single" w:sz="8" w:color="auto"/>
              <w:bottom w:val="single" w:sz="8" w:color="auto"/>
              <w:right w:val="single" w:sz="8" w:color="auto"/>
            </w:tcBorders>
          </w:tcPr>
          <w:p>
            <w:pPr>
              <w:spacing w:after="0"/>
              <w:rPr>
                <w:sz w:val="23"/>
                <w:szCs w:val="23"/>
                <w:color w:val="auto"/>
              </w:rPr>
            </w:pPr>
          </w:p>
        </w:tc>
        <w:tc>
          <w:tcPr>
            <w:tcW w:w="440" w:type="dxa"/>
            <w:vAlign w:val="bottom"/>
            <w:tcBorders>
              <w:bottom w:val="single" w:sz="8" w:color="auto"/>
            </w:tcBorders>
          </w:tcPr>
          <w:p>
            <w:pPr>
              <w:jc w:val="right"/>
              <w:ind w:right="133"/>
              <w:spacing w:after="0"/>
              <w:rPr>
                <w:sz w:val="20"/>
                <w:szCs w:val="20"/>
                <w:color w:val="auto"/>
              </w:rPr>
            </w:pPr>
            <w:r>
              <w:rPr>
                <w:rFonts w:ascii="Arial" w:cs="Arial" w:eastAsia="Arial" w:hAnsi="Arial"/>
                <w:sz w:val="21"/>
                <w:szCs w:val="21"/>
                <w:color w:val="auto"/>
              </w:rPr>
              <w:t>$</w:t>
            </w:r>
          </w:p>
        </w:tc>
        <w:tc>
          <w:tcPr>
            <w:tcW w:w="188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w:t>
            </w:r>
          </w:p>
        </w:tc>
        <w:tc>
          <w:tcPr>
            <w:tcW w:w="2080" w:type="dxa"/>
            <w:vAlign w:val="bottom"/>
            <w:tcBorders>
              <w:bottom w:val="single" w:sz="8" w:color="auto"/>
              <w:right w:val="single" w:sz="8" w:color="auto"/>
            </w:tcBorders>
          </w:tcPr>
          <w:p>
            <w:pPr>
              <w:spacing w:after="0"/>
              <w:rPr>
                <w:sz w:val="23"/>
                <w:szCs w:val="23"/>
                <w:color w:val="auto"/>
              </w:rPr>
            </w:pPr>
          </w:p>
        </w:tc>
        <w:tc>
          <w:tcPr>
            <w:tcW w:w="24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bl>
    <w:p>
      <w:pPr>
        <w:spacing w:after="0" w:line="366" w:lineRule="exact"/>
        <w:rPr>
          <w:sz w:val="20"/>
          <w:szCs w:val="20"/>
          <w:color w:val="auto"/>
        </w:rPr>
      </w:pPr>
    </w:p>
    <w:p>
      <w:pPr>
        <w:ind w:left="540" w:right="20"/>
        <w:spacing w:after="0" w:line="243" w:lineRule="auto"/>
        <w:rPr>
          <w:sz w:val="20"/>
          <w:szCs w:val="20"/>
          <w:color w:val="auto"/>
        </w:rPr>
      </w:pPr>
      <w:r>
        <w:rPr>
          <w:rFonts w:ascii="Arial" w:cs="Arial" w:eastAsia="Arial" w:hAnsi="Arial"/>
          <w:sz w:val="21"/>
          <w:szCs w:val="21"/>
          <w:color w:val="auto"/>
        </w:rPr>
        <w:t xml:space="preserve">Effective Date: , 20 </w:t>
      </w:r>
      <w:r>
        <w:rPr>
          <w:rFonts w:ascii="Arial" w:cs="Arial" w:eastAsia="Arial" w:hAnsi="Arial"/>
          <w:sz w:val="25"/>
          <w:szCs w:val="25"/>
          <w:b w:val="1"/>
          <w:bCs w:val="1"/>
          <w:color w:val="auto"/>
        </w:rPr>
        <w:t>[</w:t>
      </w:r>
      <w:r>
        <w:rPr>
          <w:rFonts w:ascii="Arial" w:cs="Arial" w:eastAsia="Arial" w:hAnsi="Arial"/>
          <w:sz w:val="21"/>
          <w:szCs w:val="21"/>
          <w:color w:val="auto"/>
        </w:rPr>
        <w:t>TO BE INSERTED BY ADMINISTRATIVE AGENT AND WHICH SHALL BE THE EFFECTIVE DATE OF RECORDATION OF TRANSFER IN THE REGISTER THEREFOR.</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1173480</wp:posOffset>
            </wp:positionH>
            <wp:positionV relativeFrom="paragraph">
              <wp:posOffset>-201295</wp:posOffset>
            </wp:positionV>
            <wp:extent cx="2470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247015" cy="825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-201295</wp:posOffset>
            </wp:positionV>
            <wp:extent cx="1041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104140" cy="8255"/>
                    </a:xfrm>
                    <a:prstGeom prst="rect">
                      <a:avLst/>
                    </a:prstGeom>
                    <a:noFill/>
                  </pic:spPr>
                </pic:pic>
              </a:graphicData>
            </a:graphic>
          </wp:anchor>
        </w:drawing>
        <w:drawing>
          <wp:anchor simplePos="0" relativeHeight="251657728" behindDoc="1" locked="0" layoutInCell="0" allowOverlap="1">
            <wp:simplePos x="0" y="0"/>
            <wp:positionH relativeFrom="column">
              <wp:posOffset>2056130</wp:posOffset>
            </wp:positionH>
            <wp:positionV relativeFrom="paragraph">
              <wp:posOffset>-22225</wp:posOffset>
            </wp:positionV>
            <wp:extent cx="508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17" w:lineRule="exact"/>
        <w:rPr>
          <w:sz w:val="20"/>
          <w:szCs w:val="20"/>
          <w:color w:val="auto"/>
        </w:rPr>
      </w:pPr>
    </w:p>
    <w:p>
      <w:pPr>
        <w:jc w:val="both"/>
        <w:ind w:left="540"/>
        <w:spacing w:after="0" w:line="236" w:lineRule="auto"/>
        <w:rPr>
          <w:sz w:val="20"/>
          <w:szCs w:val="20"/>
          <w:color w:val="auto"/>
        </w:rPr>
      </w:pPr>
      <w:r>
        <w:rPr>
          <w:rFonts w:ascii="Arial" w:cs="Arial" w:eastAsia="Arial" w:hAnsi="Arial"/>
          <w:sz w:val="20"/>
          <w:szCs w:val="20"/>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21"/>
          <w:szCs w:val="21"/>
          <w:color w:val="auto"/>
        </w:rPr>
        <w:t>The terms set forth in this Assignment and Assumption are hereby agreed to:</w:t>
      </w:r>
    </w:p>
    <w:p>
      <w:pPr>
        <w:spacing w:after="0" w:line="228" w:lineRule="exact"/>
        <w:rPr>
          <w:sz w:val="20"/>
          <w:szCs w:val="20"/>
          <w:color w:val="auto"/>
        </w:rPr>
      </w:pPr>
    </w:p>
    <w:p>
      <w:pPr>
        <w:ind w:left="4400"/>
        <w:spacing w:after="0"/>
        <w:rPr>
          <w:sz w:val="20"/>
          <w:szCs w:val="20"/>
          <w:color w:val="auto"/>
        </w:rPr>
      </w:pPr>
      <w:r>
        <w:rPr>
          <w:rFonts w:ascii="Arial" w:cs="Arial" w:eastAsia="Arial" w:hAnsi="Arial"/>
          <w:sz w:val="21"/>
          <w:szCs w:val="21"/>
          <w:u w:val="single" w:color="auto"/>
          <w:color w:val="auto"/>
        </w:rPr>
        <w:t>ASSIGNOR</w:t>
      </w:r>
    </w:p>
    <w:p>
      <w:pPr>
        <w:spacing w:after="0" w:line="199" w:lineRule="exact"/>
        <w:rPr>
          <w:sz w:val="20"/>
          <w:szCs w:val="20"/>
          <w:color w:val="auto"/>
        </w:rPr>
      </w:pPr>
    </w:p>
    <w:p>
      <w:pPr>
        <w:ind w:left="440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NAME OF ASSIGNOR</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10795</wp:posOffset>
            </wp:positionV>
            <wp:extent cx="1193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0"/>
        <w:spacing w:after="0"/>
        <w:tabs>
          <w:tab w:leader="none" w:pos="51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-11430</wp:posOffset>
            </wp:positionV>
            <wp:extent cx="2724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272415"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1392555</wp:posOffset>
            </wp:positionV>
            <wp:extent cx="16344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1634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40" w:right="560" w:firstLine="642"/>
        <w:spacing w:after="0" w:line="252" w:lineRule="auto"/>
        <w:rPr>
          <w:sz w:val="20"/>
          <w:szCs w:val="20"/>
          <w:color w:val="auto"/>
        </w:rPr>
      </w:pPr>
      <w:r>
        <w:rPr>
          <w:rFonts w:ascii="Arial" w:cs="Arial" w:eastAsia="Arial" w:hAnsi="Arial"/>
          <w:sz w:val="12"/>
          <w:szCs w:val="12"/>
          <w:color w:val="auto"/>
        </w:rPr>
        <w:t xml:space="preserve">2 </w:t>
      </w:r>
      <w:r>
        <w:rPr>
          <w:rFonts w:ascii="Arial" w:cs="Arial" w:eastAsia="Arial" w:hAnsi="Arial"/>
          <w:sz w:val="17"/>
          <w:szCs w:val="17"/>
          <w:color w:val="auto"/>
        </w:rPr>
        <w:t>Fill in the appropriate terminology for the types of facilities under the Credit Agreement that are being assigned under this</w:t>
      </w:r>
      <w:r>
        <w:rPr>
          <w:rFonts w:ascii="Arial" w:cs="Arial" w:eastAsia="Arial" w:hAnsi="Arial"/>
          <w:sz w:val="12"/>
          <w:szCs w:val="12"/>
          <w:color w:val="auto"/>
        </w:rPr>
        <w:t xml:space="preserve"> </w:t>
      </w:r>
      <w:r>
        <w:rPr>
          <w:rFonts w:ascii="Arial" w:cs="Arial" w:eastAsia="Arial" w:hAnsi="Arial"/>
          <w:sz w:val="17"/>
          <w:szCs w:val="17"/>
          <w:color w:val="auto"/>
        </w:rPr>
        <w:t>Assignment (e.g., “</w:t>
      </w:r>
      <w:r>
        <w:rPr>
          <w:rFonts w:ascii="Arial" w:cs="Arial" w:eastAsia="Arial" w:hAnsi="Arial"/>
          <w:sz w:val="17"/>
          <w:szCs w:val="17"/>
          <w:b w:val="1"/>
          <w:bCs w:val="1"/>
          <w:i w:val="1"/>
          <w:iCs w:val="1"/>
          <w:color w:val="auto"/>
        </w:rPr>
        <w:t>Revolving Commitment</w:t>
      </w:r>
      <w:r>
        <w:rPr>
          <w:rFonts w:ascii="Arial" w:cs="Arial" w:eastAsia="Arial" w:hAnsi="Arial"/>
          <w:sz w:val="17"/>
          <w:szCs w:val="17"/>
          <w:color w:val="auto"/>
        </w:rPr>
        <w:t>,” “</w:t>
      </w:r>
      <w:r>
        <w:rPr>
          <w:rFonts w:ascii="Arial" w:cs="Arial" w:eastAsia="Arial" w:hAnsi="Arial"/>
          <w:sz w:val="17"/>
          <w:szCs w:val="17"/>
          <w:b w:val="1"/>
          <w:bCs w:val="1"/>
          <w:i w:val="1"/>
          <w:iCs w:val="1"/>
          <w:color w:val="auto"/>
        </w:rPr>
        <w:t>Term Loan Commitment</w:t>
      </w:r>
      <w:r>
        <w:rPr>
          <w:rFonts w:ascii="Arial" w:cs="Arial" w:eastAsia="Arial" w:hAnsi="Arial"/>
          <w:sz w:val="17"/>
          <w:szCs w:val="17"/>
          <w:color w:val="auto"/>
        </w:rPr>
        <w:t>,” etc.)</w:t>
      </w:r>
    </w:p>
    <w:p>
      <w:pPr>
        <w:spacing w:after="0" w:line="45"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3 </w:t>
      </w:r>
      <w:r>
        <w:rPr>
          <w:rFonts w:ascii="Arial" w:cs="Arial" w:eastAsia="Arial" w:hAnsi="Arial"/>
          <w:sz w:val="17"/>
          <w:szCs w:val="17"/>
          <w:color w:val="auto"/>
        </w:rPr>
        <w:t>Set forth, to at least 9 decimals, as a percentage of the Commitment/Loans of all Lenders thereunder.</w:t>
      </w:r>
    </w:p>
    <w:p>
      <w:pPr>
        <w:sectPr>
          <w:pgSz w:w="11900" w:h="16838" w:orient="portrait"/>
          <w:cols w:equalWidth="0" w:num="1">
            <w:col w:w="10560"/>
          </w:cols>
          <w:pgMar w:left="400" w:top="1440"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60"/>
          </w:cols>
          <w:pgMar w:left="400" w:top="1440" w:right="939" w:bottom="1440" w:gutter="0" w:footer="0" w:header="0"/>
          <w:type w:val="continuous"/>
        </w:sectPr>
      </w:pPr>
    </w:p>
    <w:bookmarkStart w:id="276" w:name="page277"/>
    <w:bookmarkEnd w:id="276"/>
    <w:p>
      <w:pPr>
        <w:spacing w:after="0" w:line="194" w:lineRule="exact"/>
        <w:rPr>
          <w:sz w:val="20"/>
          <w:szCs w:val="20"/>
          <w:color w:val="auto"/>
        </w:rPr>
      </w:pPr>
    </w:p>
    <w:p>
      <w:pPr>
        <w:ind w:left="4400"/>
        <w:spacing w:after="0"/>
        <w:rPr>
          <w:sz w:val="20"/>
          <w:szCs w:val="20"/>
          <w:color w:val="auto"/>
        </w:rPr>
      </w:pPr>
      <w:r>
        <w:rPr>
          <w:rFonts w:ascii="Arial" w:cs="Arial" w:eastAsia="Arial" w:hAnsi="Arial"/>
          <w:sz w:val="21"/>
          <w:szCs w:val="21"/>
          <w:u w:val="single" w:color="auto"/>
          <w:color w:val="auto"/>
        </w:rPr>
        <w:t>ASSIGNEE</w:t>
      </w:r>
    </w:p>
    <w:p>
      <w:pPr>
        <w:spacing w:after="0" w:line="199" w:lineRule="exact"/>
        <w:rPr>
          <w:sz w:val="20"/>
          <w:szCs w:val="20"/>
          <w:color w:val="auto"/>
        </w:rPr>
      </w:pPr>
    </w:p>
    <w:p>
      <w:pPr>
        <w:ind w:left="4400"/>
        <w:spacing w:after="0"/>
        <w:rPr>
          <w:sz w:val="20"/>
          <w:szCs w:val="20"/>
          <w:color w:val="auto"/>
        </w:rPr>
      </w:pPr>
      <w:r>
        <w:rPr>
          <w:rFonts w:ascii="Arial" w:cs="Arial" w:eastAsia="Arial" w:hAnsi="Arial"/>
          <w:sz w:val="24"/>
          <w:szCs w:val="24"/>
          <w:b w:val="1"/>
          <w:bCs w:val="1"/>
          <w:u w:val="single" w:color="auto"/>
          <w:color w:val="auto"/>
        </w:rPr>
        <w:t>[</w:t>
      </w:r>
      <w:r>
        <w:rPr>
          <w:rFonts w:ascii="Arial" w:cs="Arial" w:eastAsia="Arial" w:hAnsi="Arial"/>
          <w:sz w:val="20"/>
          <w:szCs w:val="20"/>
          <w:color w:val="auto"/>
        </w:rPr>
        <w:t>NAME OF ASSIGNEE</w:t>
      </w:r>
      <w:r>
        <w:rPr>
          <w:rFonts w:ascii="Arial" w:cs="Arial" w:eastAsia="Arial" w:hAnsi="Arial"/>
          <w:sz w:val="24"/>
          <w:szCs w:val="24"/>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9525</wp:posOffset>
            </wp:positionV>
            <wp:extent cx="1193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00"/>
        <w:spacing w:after="0"/>
        <w:tabs>
          <w:tab w:leader="none" w:pos="51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-11430</wp:posOffset>
            </wp:positionV>
            <wp:extent cx="2724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27241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059"/>
          </w:cols>
          <w:pgMar w:left="400" w:top="1440" w:right="1440" w:bottom="1440" w:gutter="0" w:footer="0" w:header="0"/>
        </w:sectPr>
      </w:pPr>
    </w:p>
    <w:bookmarkStart w:id="277" w:name="page278"/>
    <w:bookmarkEnd w:id="277"/>
    <w:p>
      <w:pPr>
        <w:ind w:left="54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Consented to and</w:t>
      </w:r>
      <w:r>
        <w:rPr>
          <w:rFonts w:ascii="Arial" w:cs="Arial" w:eastAsia="Arial" w:hAnsi="Arial"/>
          <w:sz w:val="25"/>
          <w:szCs w:val="25"/>
          <w:b w:val="1"/>
          <w:bCs w:val="1"/>
          <w:u w:val="single" w:color="auto"/>
          <w:color w:val="auto"/>
        </w:rPr>
        <w:t>]</w:t>
      </w:r>
      <w:r>
        <w:rPr>
          <w:rFonts w:ascii="Arial" w:cs="Arial" w:eastAsia="Arial" w:hAnsi="Arial"/>
          <w:sz w:val="14"/>
          <w:szCs w:val="14"/>
          <w:color w:val="auto"/>
        </w:rPr>
        <w:t>4</w:t>
      </w:r>
      <w:r>
        <w:rPr>
          <w:rFonts w:ascii="Arial" w:cs="Arial" w:eastAsia="Arial" w:hAnsi="Arial"/>
          <w:sz w:val="25"/>
          <w:szCs w:val="25"/>
          <w:b w:val="1"/>
          <w:bCs w:val="1"/>
          <w:color w:val="auto"/>
        </w:rPr>
        <w:t xml:space="preserve"> </w:t>
      </w:r>
      <w:r>
        <w:rPr>
          <w:rFonts w:ascii="Arial" w:cs="Arial" w:eastAsia="Arial" w:hAnsi="Arial"/>
          <w:sz w:val="21"/>
          <w:szCs w:val="21"/>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10795</wp:posOffset>
            </wp:positionV>
            <wp:extent cx="1193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391" w:lineRule="exact"/>
        <w:rPr>
          <w:sz w:val="20"/>
          <w:szCs w:val="20"/>
          <w:color w:val="auto"/>
        </w:rPr>
      </w:pPr>
    </w:p>
    <w:p>
      <w:pPr>
        <w:ind w:left="540"/>
        <w:spacing w:after="0"/>
        <w:rPr>
          <w:sz w:val="20"/>
          <w:szCs w:val="20"/>
          <w:color w:val="auto"/>
        </w:rPr>
      </w:pPr>
      <w:r>
        <w:rPr>
          <w:rFonts w:ascii="Arial" w:cs="Arial" w:eastAsia="Arial" w:hAnsi="Arial"/>
          <w:sz w:val="21"/>
          <w:szCs w:val="21"/>
          <w:color w:val="auto"/>
        </w:rPr>
        <w:t>JPMORGAN CHASE BANK, N.A., as Administrative Agent</w:t>
      </w:r>
    </w:p>
    <w:p>
      <w:pPr>
        <w:spacing w:after="0" w:line="200" w:lineRule="exact"/>
        <w:rPr>
          <w:sz w:val="20"/>
          <w:szCs w:val="20"/>
          <w:color w:val="auto"/>
        </w:rPr>
      </w:pPr>
    </w:p>
    <w:p>
      <w:pPr>
        <w:spacing w:after="0" w:line="256" w:lineRule="exact"/>
        <w:rPr>
          <w:sz w:val="20"/>
          <w:szCs w:val="20"/>
          <w:color w:val="auto"/>
        </w:rPr>
      </w:pPr>
    </w:p>
    <w:p>
      <w:pPr>
        <w:ind w:left="540"/>
        <w:spacing w:after="0"/>
        <w:tabs>
          <w:tab w:leader="none" w:pos="13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-11430</wp:posOffset>
            </wp:positionV>
            <wp:extent cx="2724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272415" cy="8255"/>
                    </a:xfrm>
                    <a:prstGeom prst="rect">
                      <a:avLst/>
                    </a:prstGeom>
                    <a:noFill/>
                  </pic:spPr>
                </pic:pic>
              </a:graphicData>
            </a:graphic>
          </wp:anchor>
        </w:drawing>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Consented to:</w:t>
      </w:r>
      <w:r>
        <w:rPr>
          <w:rFonts w:ascii="Arial" w:cs="Arial" w:eastAsia="Arial" w:hAnsi="Arial"/>
          <w:sz w:val="25"/>
          <w:szCs w:val="25"/>
          <w:b w:val="1"/>
          <w:bCs w:val="1"/>
          <w:u w:val="single" w:color="auto"/>
          <w:color w:val="auto"/>
        </w:rPr>
        <w:t>]</w:t>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10795</wp:posOffset>
            </wp:positionV>
            <wp:extent cx="1193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282" w:lineRule="exact"/>
        <w:rPr>
          <w:sz w:val="20"/>
          <w:szCs w:val="20"/>
          <w:color w:val="auto"/>
        </w:rPr>
      </w:pPr>
    </w:p>
    <w:p>
      <w:pPr>
        <w:ind w:left="54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NAME OF RELEVANT PARTY</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2540</wp:posOffset>
            </wp:positionV>
            <wp:extent cx="1193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spacing w:after="0"/>
        <w:tabs>
          <w:tab w:leader="none" w:pos="13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-11430</wp:posOffset>
            </wp:positionV>
            <wp:extent cx="2724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272415"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4763135</wp:posOffset>
            </wp:positionV>
            <wp:extent cx="16344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1634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4 </w:t>
      </w:r>
      <w:r>
        <w:rPr>
          <w:rFonts w:ascii="Arial" w:cs="Arial" w:eastAsia="Arial" w:hAnsi="Arial"/>
          <w:sz w:val="17"/>
          <w:szCs w:val="17"/>
          <w:color w:val="auto"/>
        </w:rPr>
        <w:t>To be added only if the consent of the Administrative Agent is required by the terms of the Credit Agreement.</w:t>
      </w:r>
    </w:p>
    <w:p>
      <w:pPr>
        <w:spacing w:after="0" w:line="86" w:lineRule="exact"/>
        <w:rPr>
          <w:sz w:val="20"/>
          <w:szCs w:val="20"/>
          <w:color w:val="auto"/>
        </w:rPr>
      </w:pPr>
    </w:p>
    <w:p>
      <w:pPr>
        <w:ind w:left="540" w:firstLine="642"/>
        <w:spacing w:after="0" w:line="252" w:lineRule="auto"/>
        <w:rPr>
          <w:sz w:val="20"/>
          <w:szCs w:val="20"/>
          <w:color w:val="auto"/>
        </w:rPr>
      </w:pPr>
      <w:r>
        <w:rPr>
          <w:rFonts w:ascii="Arial" w:cs="Arial" w:eastAsia="Arial" w:hAnsi="Arial"/>
          <w:sz w:val="12"/>
          <w:szCs w:val="12"/>
          <w:color w:val="auto"/>
        </w:rPr>
        <w:t xml:space="preserve">5 </w:t>
      </w:r>
      <w:r>
        <w:rPr>
          <w:rFonts w:ascii="Arial" w:cs="Arial" w:eastAsia="Arial" w:hAnsi="Arial"/>
          <w:sz w:val="17"/>
          <w:szCs w:val="17"/>
          <w:color w:val="auto"/>
        </w:rPr>
        <w:t>To be added only if the consent of the Borrower and/or other parties (e.g. Swingline Lenders, Issuing Banks) is required by the</w:t>
      </w:r>
      <w:r>
        <w:rPr>
          <w:rFonts w:ascii="Arial" w:cs="Arial" w:eastAsia="Arial" w:hAnsi="Arial"/>
          <w:sz w:val="12"/>
          <w:szCs w:val="12"/>
          <w:color w:val="auto"/>
        </w:rPr>
        <w:t xml:space="preserve"> </w:t>
      </w:r>
      <w:r>
        <w:rPr>
          <w:rFonts w:ascii="Arial" w:cs="Arial" w:eastAsia="Arial" w:hAnsi="Arial"/>
          <w:sz w:val="17"/>
          <w:szCs w:val="17"/>
          <w:color w:val="auto"/>
        </w:rPr>
        <w:t>terms of the Credit Agreement.</w:t>
      </w:r>
    </w:p>
    <w:p>
      <w:pPr>
        <w:sectPr>
          <w:pgSz w:w="11900" w:h="16838" w:orient="portrait"/>
          <w:cols w:equalWidth="0" w:num="1">
            <w:col w:w="10320"/>
          </w:cols>
          <w:pgMar w:left="400" w:top="1377" w:right="117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320"/>
          </w:cols>
          <w:pgMar w:left="400" w:top="1377" w:right="1179" w:bottom="1440" w:gutter="0" w:footer="0" w:header="0"/>
          <w:type w:val="continuous"/>
        </w:sectPr>
      </w:pPr>
    </w:p>
    <w:bookmarkStart w:id="278" w:name="page279"/>
    <w:bookmarkEnd w:id="278"/>
    <w:p>
      <w:pPr>
        <w:ind w:left="9640"/>
        <w:spacing w:after="0"/>
        <w:rPr>
          <w:sz w:val="20"/>
          <w:szCs w:val="20"/>
          <w:color w:val="auto"/>
        </w:rPr>
      </w:pPr>
      <w:r>
        <w:rPr>
          <w:rFonts w:ascii="Arial" w:cs="Arial" w:eastAsia="Arial" w:hAnsi="Arial"/>
          <w:sz w:val="21"/>
          <w:szCs w:val="21"/>
          <w:color w:val="auto"/>
        </w:rPr>
        <w:t>ANNEX 1</w:t>
      </w:r>
    </w:p>
    <w:p>
      <w:pPr>
        <w:spacing w:after="0" w:line="199" w:lineRule="exact"/>
        <w:rPr>
          <w:sz w:val="20"/>
          <w:szCs w:val="20"/>
          <w:color w:val="auto"/>
        </w:rPr>
      </w:pPr>
    </w:p>
    <w:p>
      <w:pPr>
        <w:jc w:val="center"/>
        <w:ind w:right="-519"/>
        <w:spacing w:after="0"/>
        <w:tabs>
          <w:tab w:leader="none" w:pos="240" w:val="left"/>
        </w:tabs>
        <w:rPr>
          <w:sz w:val="20"/>
          <w:szCs w:val="20"/>
          <w:color w:val="auto"/>
        </w:rPr>
      </w:pPr>
      <w:r>
        <w:rPr>
          <w:rFonts w:ascii="Arial" w:cs="Arial" w:eastAsia="Arial" w:hAnsi="Arial"/>
          <w:sz w:val="25"/>
          <w:szCs w:val="25"/>
          <w:b w:val="1"/>
          <w:bCs w:val="1"/>
          <w:u w:val="single" w:color="auto"/>
          <w:color w:val="auto"/>
        </w:rPr>
        <w:t>[</w:t>
      </w:r>
      <w:r>
        <w:rPr>
          <w:sz w:val="20"/>
          <w:szCs w:val="20"/>
          <w:color w:val="auto"/>
        </w:rPr>
        <w:tab/>
      </w:r>
      <w:r>
        <w:rPr>
          <w:rFonts w:ascii="Arial" w:cs="Arial" w:eastAsia="Arial" w:hAnsi="Arial"/>
          <w:sz w:val="21"/>
          <w:szCs w:val="21"/>
          <w:b w:val="1"/>
          <w:bCs w:val="1"/>
          <w:u w:val="single" w:color="auto"/>
          <w:color w:val="auto"/>
        </w:rPr>
        <w:t>]</w:t>
      </w:r>
      <w:r>
        <w:rPr>
          <w:rFonts w:ascii="Arial" w:cs="Arial" w:eastAsia="Arial" w:hAnsi="Arial"/>
          <w:sz w:val="12"/>
          <w:szCs w:val="12"/>
          <w:color w:val="auto"/>
        </w:rPr>
        <w:t>6</w:t>
      </w:r>
    </w:p>
    <w:p>
      <w:pPr>
        <w:spacing w:after="0" w:line="174" w:lineRule="exact"/>
        <w:rPr>
          <w:sz w:val="20"/>
          <w:szCs w:val="20"/>
          <w:color w:val="auto"/>
        </w:rPr>
      </w:pPr>
    </w:p>
    <w:p>
      <w:pPr>
        <w:jc w:val="center"/>
        <w:ind w:right="-519"/>
        <w:spacing w:after="0"/>
        <w:rPr>
          <w:sz w:val="20"/>
          <w:szCs w:val="20"/>
          <w:color w:val="auto"/>
        </w:rPr>
      </w:pPr>
      <w:r>
        <w:rPr>
          <w:rFonts w:ascii="Arial" w:cs="Arial" w:eastAsia="Arial" w:hAnsi="Arial"/>
          <w:sz w:val="21"/>
          <w:szCs w:val="21"/>
          <w:color w:val="auto"/>
        </w:rPr>
        <w:t>STANDARD TERMS AND CONDITIONS FOR ASSIGNMENT</w:t>
      </w:r>
    </w:p>
    <w:p>
      <w:pPr>
        <w:jc w:val="center"/>
        <w:ind w:right="-539"/>
        <w:spacing w:after="0"/>
        <w:rPr>
          <w:sz w:val="20"/>
          <w:szCs w:val="20"/>
          <w:color w:val="auto"/>
        </w:rPr>
      </w:pPr>
      <w:r>
        <w:rPr>
          <w:rFonts w:ascii="Arial" w:cs="Arial" w:eastAsia="Arial" w:hAnsi="Arial"/>
          <w:sz w:val="21"/>
          <w:szCs w:val="21"/>
          <w:color w:val="auto"/>
        </w:rPr>
        <w:t>AND ASSUMPTION</w:t>
      </w:r>
    </w:p>
    <w:p>
      <w:pPr>
        <w:spacing w:after="0" w:line="210" w:lineRule="exact"/>
        <w:rPr>
          <w:sz w:val="20"/>
          <w:szCs w:val="20"/>
          <w:color w:val="auto"/>
        </w:rPr>
      </w:pPr>
    </w:p>
    <w:p>
      <w:pPr>
        <w:ind w:left="1560" w:hanging="383"/>
        <w:spacing w:after="0"/>
        <w:tabs>
          <w:tab w:leader="none" w:pos="1560" w:val="left"/>
        </w:tabs>
        <w:numPr>
          <w:ilvl w:val="0"/>
          <w:numId w:val="249"/>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w:t>
      </w:r>
    </w:p>
    <w:p>
      <w:pPr>
        <w:spacing w:after="0" w:line="295" w:lineRule="exact"/>
        <w:rPr>
          <w:sz w:val="20"/>
          <w:szCs w:val="20"/>
          <w:color w:val="auto"/>
        </w:rPr>
      </w:pPr>
    </w:p>
    <w:p>
      <w:pPr>
        <w:ind w:left="540" w:firstLine="642"/>
        <w:spacing w:after="0" w:line="233"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Assignor</w:t>
      </w:r>
      <w:r>
        <w:rPr>
          <w:rFonts w:ascii="Arial" w:cs="Arial" w:eastAsia="Arial" w:hAnsi="Arial"/>
          <w:sz w:val="20"/>
          <w:szCs w:val="20"/>
          <w:color w:val="auto"/>
        </w:rPr>
        <w:t>. The Assignor (a) represents and warrants that (i) it is the legal and beneficial owner of the Assigned Interest, (ii) the Assigned Interest is free and clear of any lien, encumbrance or other adverse claim and</w:t>
      </w:r>
    </w:p>
    <w:p>
      <w:pPr>
        <w:jc w:val="both"/>
        <w:ind w:left="540" w:hanging="5"/>
        <w:spacing w:after="0"/>
        <w:tabs>
          <w:tab w:leader="none" w:pos="929" w:val="left"/>
        </w:tabs>
        <w:numPr>
          <w:ilvl w:val="0"/>
          <w:numId w:val="250"/>
        </w:numPr>
        <w:rPr>
          <w:rFonts w:ascii="Arial" w:cs="Arial" w:eastAsia="Arial" w:hAnsi="Arial"/>
          <w:sz w:val="19"/>
          <w:szCs w:val="19"/>
          <w:color w:val="auto"/>
        </w:rPr>
      </w:pPr>
      <w:r>
        <w:rPr>
          <w:rFonts w:ascii="Arial" w:cs="Arial" w:eastAsia="Arial" w:hAnsi="Arial"/>
          <w:sz w:val="19"/>
          <w:szCs w:val="19"/>
          <w:color w:val="auto"/>
        </w:rPr>
        <w:t>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Credit Agreement or any collateral thereunder, (iii) the financial condition of the Borrower, any of its Subsidiaries or Affiliates or any other Person obligated in respect of any Loan Document, (iv) any requirements under applicable law for the Assignee to become a lender under the Credit Agreement or to charge interest at the rate set forth therein from time to time or (v) the performance or observance by the Borrower, any of its Subsidiaries or Affiliates or any other Person of any of their respective obligations under any Loan Document.</w:t>
      </w:r>
    </w:p>
    <w:p>
      <w:pPr>
        <w:spacing w:after="0" w:line="187" w:lineRule="exact"/>
        <w:rPr>
          <w:sz w:val="20"/>
          <w:szCs w:val="20"/>
          <w:color w:val="auto"/>
        </w:rPr>
      </w:pPr>
    </w:p>
    <w:p>
      <w:pPr>
        <w:jc w:val="both"/>
        <w:ind w:left="540" w:firstLine="642"/>
        <w:spacing w:after="0" w:line="238"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Assignee</w:t>
      </w:r>
      <w:r>
        <w:rPr>
          <w:rFonts w:ascii="Arial" w:cs="Arial" w:eastAsia="Arial" w:hAnsi="Arial"/>
          <w:sz w:val="19"/>
          <w:szCs w:val="19"/>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or Syndication Agent, the Assignor or any other Lender or any of their respective Related Parties, and based on such documents and information as it shall deem appropriate at the time, continue to make its own credit decisions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4445</wp:posOffset>
            </wp:positionV>
            <wp:extent cx="16344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1634490" cy="8255"/>
                    </a:xfrm>
                    <a:prstGeom prst="rect">
                      <a:avLst/>
                    </a:prstGeom>
                    <a:noFill/>
                  </pic:spPr>
                </pic:pic>
              </a:graphicData>
            </a:graphic>
          </wp:anchor>
        </w:drawing>
      </w:r>
    </w:p>
    <w:p>
      <w:pPr>
        <w:spacing w:after="0" w:line="120"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6 </w:t>
      </w:r>
      <w:r>
        <w:rPr>
          <w:rFonts w:ascii="Arial" w:cs="Arial" w:eastAsia="Arial" w:hAnsi="Arial"/>
          <w:sz w:val="17"/>
          <w:szCs w:val="17"/>
          <w:color w:val="auto"/>
        </w:rPr>
        <w:t>Describe Credit Agreement at option of Administrative Agent.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0560"/>
          </w:cols>
          <w:pgMar w:left="400" w:top="1392" w:right="939" w:bottom="1440" w:gutter="0" w:footer="0" w:header="0"/>
        </w:sectPr>
      </w:pPr>
    </w:p>
    <w:bookmarkStart w:id="279" w:name="page280"/>
    <w:bookmarkEnd w:id="279"/>
    <w:p>
      <w:pPr>
        <w:spacing w:after="0" w:line="194" w:lineRule="exact"/>
        <w:rPr>
          <w:sz w:val="20"/>
          <w:szCs w:val="20"/>
          <w:color w:val="auto"/>
        </w:rPr>
      </w:pPr>
    </w:p>
    <w:p>
      <w:pPr>
        <w:ind w:left="540" w:right="20"/>
        <w:spacing w:after="0" w:line="268" w:lineRule="auto"/>
        <w:rPr>
          <w:sz w:val="20"/>
          <w:szCs w:val="20"/>
          <w:color w:val="auto"/>
        </w:rPr>
      </w:pPr>
      <w:r>
        <w:rPr>
          <w:rFonts w:ascii="Arial" w:cs="Arial" w:eastAsia="Arial" w:hAnsi="Arial"/>
          <w:sz w:val="20"/>
          <w:szCs w:val="20"/>
          <w:color w:val="auto"/>
        </w:rPr>
        <w:t>taking or not taking action under the Loan Documents, and (ii) it will perform in accordance with their terms all of the obligations which by the terms of the Loan Documents are required to be performed by it as a Lender.</w:t>
      </w:r>
    </w:p>
    <w:p>
      <w:pPr>
        <w:spacing w:after="0" w:line="157" w:lineRule="exact"/>
        <w:rPr>
          <w:sz w:val="20"/>
          <w:szCs w:val="20"/>
          <w:color w:val="auto"/>
        </w:rPr>
      </w:pPr>
    </w:p>
    <w:p>
      <w:pPr>
        <w:jc w:val="both"/>
        <w:ind w:left="540" w:firstLine="637"/>
        <w:spacing w:after="0" w:line="227" w:lineRule="auto"/>
        <w:tabs>
          <w:tab w:leader="none" w:pos="1678" w:val="left"/>
        </w:tabs>
        <w:numPr>
          <w:ilvl w:val="0"/>
          <w:numId w:val="251"/>
        </w:numPr>
        <w:rPr>
          <w:rFonts w:ascii="Arial" w:cs="Arial" w:eastAsia="Arial" w:hAnsi="Arial"/>
          <w:sz w:val="21"/>
          <w:szCs w:val="21"/>
          <w:color w:val="auto"/>
        </w:rPr>
      </w:pPr>
      <w:r>
        <w:rPr>
          <w:rFonts w:ascii="Arial" w:cs="Arial" w:eastAsia="Arial" w:hAnsi="Arial"/>
          <w:sz w:val="21"/>
          <w:szCs w:val="21"/>
          <w:u w:val="single" w:color="auto"/>
          <w:color w:val="auto"/>
        </w:rPr>
        <w:t>Payments</w:t>
      </w:r>
      <w:r>
        <w:rPr>
          <w:rFonts w:ascii="Arial" w:cs="Arial" w:eastAsia="Arial" w:hAnsi="Arial"/>
          <w:sz w:val="21"/>
          <w:szCs w:val="21"/>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99" w:lineRule="exact"/>
        <w:rPr>
          <w:rFonts w:ascii="Arial" w:cs="Arial" w:eastAsia="Arial" w:hAnsi="Arial"/>
          <w:sz w:val="21"/>
          <w:szCs w:val="21"/>
          <w:color w:val="auto"/>
        </w:rPr>
      </w:pPr>
    </w:p>
    <w:p>
      <w:pPr>
        <w:jc w:val="both"/>
        <w:ind w:left="540" w:firstLine="637"/>
        <w:spacing w:after="0" w:line="220" w:lineRule="auto"/>
        <w:tabs>
          <w:tab w:leader="none" w:pos="1558" w:val="left"/>
        </w:tabs>
        <w:numPr>
          <w:ilvl w:val="0"/>
          <w:numId w:val="251"/>
        </w:numPr>
        <w:rPr>
          <w:rFonts w:ascii="Arial" w:cs="Arial" w:eastAsia="Arial" w:hAnsi="Arial"/>
          <w:sz w:val="21"/>
          <w:szCs w:val="21"/>
          <w:color w:val="auto"/>
        </w:rPr>
      </w:pPr>
      <w:r>
        <w:rPr>
          <w:rFonts w:ascii="Arial" w:cs="Arial" w:eastAsia="Arial" w:hAnsi="Arial"/>
          <w:sz w:val="21"/>
          <w:szCs w:val="21"/>
          <w:u w:val="single" w:color="auto"/>
          <w:color w:val="auto"/>
        </w:rPr>
        <w:t>General Provisions</w:t>
      </w:r>
      <w:r>
        <w:rPr>
          <w:rFonts w:ascii="Arial" w:cs="Arial" w:eastAsia="Arial" w:hAnsi="Arial"/>
          <w:sz w:val="21"/>
          <w:szCs w:val="21"/>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560"/>
          </w:cols>
          <w:pgMar w:left="400" w:top="1440" w:right="939" w:bottom="1440" w:gutter="0" w:footer="0" w:header="0"/>
        </w:sectPr>
      </w:pPr>
    </w:p>
    <w:bookmarkStart w:id="280" w:name="page281"/>
    <w:bookmarkEnd w:id="280"/>
    <w:p>
      <w:pPr>
        <w:jc w:val="center"/>
        <w:ind w:right="-539"/>
        <w:spacing w:after="0"/>
        <w:rPr>
          <w:sz w:val="20"/>
          <w:szCs w:val="20"/>
          <w:color w:val="auto"/>
        </w:rPr>
      </w:pPr>
      <w:r>
        <w:rPr>
          <w:rFonts w:ascii="Arial" w:cs="Arial" w:eastAsia="Arial" w:hAnsi="Arial"/>
          <w:sz w:val="21"/>
          <w:szCs w:val="21"/>
          <w:color w:val="auto"/>
        </w:rPr>
        <w:t>EXHIBIT B</w:t>
      </w:r>
    </w:p>
    <w:p>
      <w:pPr>
        <w:spacing w:after="0" w:line="199" w:lineRule="exact"/>
        <w:rPr>
          <w:sz w:val="20"/>
          <w:szCs w:val="20"/>
          <w:color w:val="auto"/>
        </w:rPr>
      </w:pPr>
    </w:p>
    <w:p>
      <w:pPr>
        <w:jc w:val="center"/>
        <w:ind w:right="-539"/>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FORM OF</w:t>
      </w:r>
      <w:r>
        <w:rPr>
          <w:rFonts w:ascii="Arial" w:cs="Arial" w:eastAsia="Arial" w:hAnsi="Arial"/>
          <w:sz w:val="25"/>
          <w:szCs w:val="25"/>
          <w:b w:val="1"/>
          <w:bCs w:val="1"/>
          <w:u w:val="single" w:color="auto"/>
          <w:color w:val="auto"/>
        </w:rPr>
        <w:t>]</w:t>
      </w:r>
      <w:r>
        <w:rPr>
          <w:rFonts w:ascii="Arial" w:cs="Arial" w:eastAsia="Arial" w:hAnsi="Arial"/>
          <w:sz w:val="25"/>
          <w:szCs w:val="25"/>
          <w:b w:val="1"/>
          <w:bCs w:val="1"/>
          <w:color w:val="auto"/>
        </w:rPr>
        <w:t xml:space="preserve"> </w:t>
      </w:r>
      <w:r>
        <w:rPr>
          <w:rFonts w:ascii="Arial" w:cs="Arial" w:eastAsia="Arial" w:hAnsi="Arial"/>
          <w:sz w:val="21"/>
          <w:szCs w:val="21"/>
          <w:color w:val="auto"/>
        </w:rPr>
        <w:t>BORROWING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2540</wp:posOffset>
            </wp:positionV>
            <wp:extent cx="1104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230" w:lineRule="exact"/>
        <w:rPr>
          <w:sz w:val="20"/>
          <w:szCs w:val="20"/>
          <w:color w:val="auto"/>
        </w:rPr>
      </w:pPr>
    </w:p>
    <w:p>
      <w:pPr>
        <w:ind w:left="540"/>
        <w:spacing w:after="0"/>
        <w:rPr>
          <w:sz w:val="20"/>
          <w:szCs w:val="20"/>
          <w:color w:val="auto"/>
        </w:rPr>
      </w:pPr>
      <w:r>
        <w:rPr>
          <w:rFonts w:ascii="Arial" w:cs="Arial" w:eastAsia="Arial" w:hAnsi="Arial"/>
          <w:sz w:val="21"/>
          <w:szCs w:val="21"/>
          <w:color w:val="auto"/>
        </w:rPr>
        <w:t>JPMorgan Chase Bank, N.A., as Administrative</w:t>
      </w:r>
    </w:p>
    <w:p>
      <w:pPr>
        <w:ind w:left="540"/>
        <w:spacing w:after="0"/>
        <w:rPr>
          <w:sz w:val="20"/>
          <w:szCs w:val="20"/>
          <w:color w:val="auto"/>
        </w:rPr>
      </w:pPr>
      <w:r>
        <w:rPr>
          <w:rFonts w:ascii="Arial" w:cs="Arial" w:eastAsia="Arial" w:hAnsi="Arial"/>
          <w:sz w:val="21"/>
          <w:szCs w:val="21"/>
          <w:color w:val="auto"/>
        </w:rPr>
        <w:t xml:space="preserve">Agent </w:t>
      </w:r>
      <w:r>
        <w:rPr>
          <w:rFonts w:ascii="Arial" w:cs="Arial" w:eastAsia="Arial" w:hAnsi="Arial"/>
          <w:sz w:val="25"/>
          <w:szCs w:val="25"/>
          <w:b w:val="1"/>
          <w:bCs w:val="1"/>
          <w:u w:val="single" w:color="auto"/>
          <w:color w:val="auto"/>
        </w:rPr>
        <w:t>[</w:t>
      </w:r>
      <w:r>
        <w:rPr>
          <w:rFonts w:ascii="Arial" w:cs="Arial" w:eastAsia="Arial" w:hAnsi="Arial"/>
          <w:sz w:val="21"/>
          <w:szCs w:val="21"/>
          <w:color w:val="auto"/>
        </w:rPr>
        <w:t>ADDRESS</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-6350</wp:posOffset>
            </wp:positionV>
            <wp:extent cx="1193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49" w:lineRule="exact"/>
        <w:rPr>
          <w:sz w:val="20"/>
          <w:szCs w:val="20"/>
          <w:color w:val="auto"/>
        </w:rPr>
      </w:pPr>
    </w:p>
    <w:p>
      <w:pPr>
        <w:ind w:left="540"/>
        <w:spacing w:after="0"/>
        <w:rPr>
          <w:sz w:val="20"/>
          <w:szCs w:val="20"/>
          <w:color w:val="auto"/>
        </w:rPr>
      </w:pPr>
      <w:r>
        <w:rPr>
          <w:rFonts w:ascii="Arial" w:cs="Arial" w:eastAsia="Arial" w:hAnsi="Arial"/>
          <w:sz w:val="21"/>
          <w:szCs w:val="21"/>
          <w:color w:val="auto"/>
        </w:rPr>
        <w:t xml:space="preserve">Telephone: </w:t>
      </w:r>
      <w:r>
        <w:rPr>
          <w:rFonts w:ascii="Arial" w:cs="Arial" w:eastAsia="Arial" w:hAnsi="Arial"/>
          <w:sz w:val="25"/>
          <w:szCs w:val="25"/>
          <w:b w:val="1"/>
          <w:bCs w:val="1"/>
          <w:u w:val="single" w:color="auto"/>
          <w:color w:val="auto"/>
        </w:rPr>
        <w:t>[ ]</w:t>
      </w:r>
    </w:p>
    <w:p>
      <w:pPr>
        <w:ind w:left="540"/>
        <w:spacing w:after="0"/>
        <w:rPr>
          <w:sz w:val="20"/>
          <w:szCs w:val="20"/>
          <w:color w:val="auto"/>
        </w:rPr>
      </w:pPr>
      <w:r>
        <w:rPr>
          <w:rFonts w:ascii="Arial" w:cs="Arial" w:eastAsia="Arial" w:hAnsi="Arial"/>
          <w:sz w:val="21"/>
          <w:szCs w:val="21"/>
          <w:color w:val="auto"/>
        </w:rPr>
        <w:t xml:space="preserve">Email: </w:t>
      </w:r>
      <w:r>
        <w:rPr>
          <w:rFonts w:ascii="Arial" w:cs="Arial" w:eastAsia="Arial" w:hAnsi="Arial"/>
          <w:sz w:val="25"/>
          <w:szCs w:val="25"/>
          <w:b w:val="1"/>
          <w:bCs w:val="1"/>
          <w:u w:val="single" w:color="auto"/>
          <w:color w:val="auto"/>
        </w:rPr>
        <w:t>[ ]</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21"/>
          <w:szCs w:val="21"/>
          <w:color w:val="auto"/>
        </w:rPr>
        <w:t xml:space="preserve">Fax: </w:t>
      </w:r>
      <w:r>
        <w:rPr>
          <w:rFonts w:ascii="Arial" w:cs="Arial" w:eastAsia="Arial" w:hAnsi="Arial"/>
          <w:sz w:val="25"/>
          <w:szCs w:val="25"/>
          <w:b w:val="1"/>
          <w:bCs w:val="1"/>
          <w:u w:val="single" w:color="auto"/>
          <w:color w:val="auto"/>
        </w:rPr>
        <w:t>[ ]</w:t>
      </w:r>
      <w:r>
        <w:rPr>
          <w:rFonts w:ascii="Arial" w:cs="Arial" w:eastAsia="Arial" w:hAnsi="Arial"/>
          <w:sz w:val="21"/>
          <w:szCs w:val="21"/>
          <w:color w:val="auto"/>
        </w:rPr>
        <w:t xml:space="preserve"> Attention: </w:t>
      </w:r>
      <w:r>
        <w:rPr>
          <w:rFonts w:ascii="Arial" w:cs="Arial" w:eastAsia="Arial" w:hAnsi="Arial"/>
          <w:sz w:val="25"/>
          <w:szCs w:val="25"/>
          <w:b w:val="1"/>
          <w:bCs w:val="1"/>
          <w:u w:val="single" w:color="auto"/>
          <w:color w:val="auto"/>
        </w:rPr>
        <w:t>[ ]</w:t>
      </w:r>
      <w:r>
        <w:rPr>
          <w:rFonts w:ascii="Arial" w:cs="Arial" w:eastAsia="Arial" w:hAnsi="Arial"/>
          <w:sz w:val="21"/>
          <w:szCs w:val="21"/>
          <w:color w:val="auto"/>
        </w:rPr>
        <w:t xml:space="preserve"> Copy to:</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21"/>
          <w:szCs w:val="21"/>
          <w:color w:val="auto"/>
        </w:rPr>
        <w:t>JPMorgan Chase Bank, N.A., as Administrative</w:t>
      </w:r>
    </w:p>
    <w:p>
      <w:pPr>
        <w:ind w:left="540"/>
        <w:spacing w:after="0"/>
        <w:rPr>
          <w:sz w:val="20"/>
          <w:szCs w:val="20"/>
          <w:color w:val="auto"/>
        </w:rPr>
      </w:pPr>
      <w:r>
        <w:rPr>
          <w:rFonts w:ascii="Arial" w:cs="Arial" w:eastAsia="Arial" w:hAnsi="Arial"/>
          <w:sz w:val="21"/>
          <w:szCs w:val="21"/>
          <w:color w:val="auto"/>
        </w:rPr>
        <w:t xml:space="preserve">Agent </w:t>
      </w:r>
      <w:r>
        <w:rPr>
          <w:rFonts w:ascii="Arial" w:cs="Arial" w:eastAsia="Arial" w:hAnsi="Arial"/>
          <w:sz w:val="25"/>
          <w:szCs w:val="25"/>
          <w:b w:val="1"/>
          <w:bCs w:val="1"/>
          <w:u w:val="single" w:color="auto"/>
          <w:color w:val="auto"/>
        </w:rPr>
        <w:t>[</w:t>
      </w:r>
      <w:r>
        <w:rPr>
          <w:rFonts w:ascii="Arial" w:cs="Arial" w:eastAsia="Arial" w:hAnsi="Arial"/>
          <w:sz w:val="21"/>
          <w:szCs w:val="21"/>
          <w:color w:val="auto"/>
        </w:rPr>
        <w:t>ADDRESS</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-14605</wp:posOffset>
            </wp:positionV>
            <wp:extent cx="1193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21"/>
          <w:szCs w:val="21"/>
          <w:color w:val="auto"/>
        </w:rPr>
        <w:t xml:space="preserve">Attention: </w:t>
      </w:r>
      <w:r>
        <w:rPr>
          <w:rFonts w:ascii="Arial" w:cs="Arial" w:eastAsia="Arial" w:hAnsi="Arial"/>
          <w:sz w:val="25"/>
          <w:szCs w:val="25"/>
          <w:b w:val="1"/>
          <w:bCs w:val="1"/>
          <w:u w:val="single" w:color="auto"/>
          <w:color w:val="auto"/>
        </w:rPr>
        <w:t>[ ] [</w:t>
      </w:r>
      <w:r>
        <w:rPr>
          <w:rFonts w:ascii="Arial" w:cs="Arial" w:eastAsia="Arial" w:hAnsi="Arial"/>
          <w:sz w:val="21"/>
          <w:szCs w:val="21"/>
          <w:color w:val="auto"/>
        </w:rPr>
        <w:t>Date</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-65405</wp:posOffset>
            </wp:positionV>
            <wp:extent cx="1022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102235" cy="8255"/>
                    </a:xfrm>
                    <a:prstGeom prst="rect">
                      <a:avLst/>
                    </a:prstGeom>
                    <a:noFill/>
                  </pic:spPr>
                </pic:pic>
              </a:graphicData>
            </a:graphic>
          </wp:anchor>
        </w:drawing>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21"/>
          <w:szCs w:val="21"/>
          <w:color w:val="auto"/>
        </w:rPr>
        <w:t>Ladies and Gentlemen:</w:t>
      </w:r>
    </w:p>
    <w:p>
      <w:pPr>
        <w:spacing w:after="0" w:line="228" w:lineRule="exact"/>
        <w:rPr>
          <w:sz w:val="20"/>
          <w:szCs w:val="20"/>
          <w:color w:val="auto"/>
        </w:rPr>
      </w:pPr>
    </w:p>
    <w:p>
      <w:pPr>
        <w:jc w:val="both"/>
        <w:ind w:left="540" w:firstLine="642"/>
        <w:spacing w:after="0" w:line="238" w:lineRule="auto"/>
        <w:rPr>
          <w:sz w:val="20"/>
          <w:szCs w:val="20"/>
          <w:color w:val="auto"/>
        </w:rPr>
      </w:pPr>
      <w:r>
        <w:rPr>
          <w:rFonts w:ascii="Arial" w:cs="Arial" w:eastAsia="Arial" w:hAnsi="Arial"/>
          <w:sz w:val="19"/>
          <w:szCs w:val="19"/>
          <w:color w:val="auto"/>
        </w:rPr>
        <w:t>Reference is hereby made to the Credit Agreement dated as of August 1, 2022 (as amended, supplemented or otherwise modified from time to time, the “</w:t>
      </w:r>
      <w:r>
        <w:rPr>
          <w:rFonts w:ascii="Arial" w:cs="Arial" w:eastAsia="Arial" w:hAnsi="Arial"/>
          <w:sz w:val="19"/>
          <w:szCs w:val="19"/>
          <w:b w:val="1"/>
          <w:bCs w:val="1"/>
          <w:i w:val="1"/>
          <w:iCs w:val="1"/>
          <w:color w:val="auto"/>
        </w:rPr>
        <w:t>Credit Agreement</w:t>
      </w:r>
      <w:r>
        <w:rPr>
          <w:rFonts w:ascii="Arial" w:cs="Arial" w:eastAsia="Arial" w:hAnsi="Arial"/>
          <w:sz w:val="19"/>
          <w:szCs w:val="19"/>
          <w:color w:val="auto"/>
        </w:rPr>
        <w:t>”), among Mistras Group, Inc., each lender from time to time party thereto and JPMorgan Chase Bank, N.A. as Administrative Agent. Unless otherwise defined herein, terms defined in the Credit Agreement and used herein shall have the meanings given to them in the Credit Agreement. This notice constitutes a Borrowing Request and the Borrower hereby gives you notice, pursuant to</w:t>
      </w:r>
    </w:p>
    <w:p>
      <w:pPr>
        <w:spacing w:after="0" w:line="2" w:lineRule="exact"/>
        <w:rPr>
          <w:sz w:val="20"/>
          <w:szCs w:val="20"/>
          <w:color w:val="auto"/>
        </w:rPr>
      </w:pPr>
    </w:p>
    <w:p>
      <w:pPr>
        <w:jc w:val="both"/>
        <w:ind w:left="540"/>
        <w:spacing w:after="0" w:line="214" w:lineRule="auto"/>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Section 2.03</w:t>
      </w:r>
      <w:r>
        <w:rPr>
          <w:rFonts w:ascii="Arial" w:cs="Arial" w:eastAsia="Arial" w:hAnsi="Arial"/>
          <w:sz w:val="25"/>
          <w:szCs w:val="25"/>
          <w:b w:val="1"/>
          <w:bCs w:val="1"/>
          <w:u w:val="single" w:color="auto"/>
          <w:color w:val="auto"/>
        </w:rPr>
        <w:t>]</w:t>
      </w:r>
      <w:r>
        <w:rPr>
          <w:rFonts w:ascii="Arial" w:cs="Arial" w:eastAsia="Arial" w:hAnsi="Arial"/>
          <w:sz w:val="25"/>
          <w:szCs w:val="25"/>
          <w:b w:val="1"/>
          <w:bCs w:val="1"/>
          <w:color w:val="auto"/>
        </w:rPr>
        <w:t xml:space="preserve"> </w:t>
      </w:r>
      <w:r>
        <w:rPr>
          <w:rFonts w:ascii="Arial" w:cs="Arial" w:eastAsia="Arial" w:hAnsi="Arial"/>
          <w:sz w:val="21"/>
          <w:szCs w:val="21"/>
          <w:color w:val="auto"/>
        </w:rPr>
        <w:t>of the Credit Agreement, that it requests a Borrowing under the Credit Agreement, and in that</w:t>
      </w:r>
      <w:r>
        <w:rPr>
          <w:rFonts w:ascii="Arial" w:cs="Arial" w:eastAsia="Arial" w:hAnsi="Arial"/>
          <w:sz w:val="25"/>
          <w:szCs w:val="25"/>
          <w:b w:val="1"/>
          <w:bCs w:val="1"/>
          <w:color w:val="auto"/>
        </w:rPr>
        <w:t xml:space="preserve"> </w:t>
      </w:r>
      <w:r>
        <w:rPr>
          <w:rFonts w:ascii="Arial" w:cs="Arial" w:eastAsia="Arial" w:hAnsi="Arial"/>
          <w:sz w:val="21"/>
          <w:szCs w:val="21"/>
          <w:color w:val="auto"/>
        </w:rPr>
        <w:t>connection the Borrower specifies the following information with respect to such Borrowing:</w:t>
      </w:r>
    </w:p>
    <w:p>
      <w:pPr>
        <w:spacing w:after="0" w:line="265" w:lineRule="exact"/>
        <w:rPr>
          <w:sz w:val="20"/>
          <w:szCs w:val="20"/>
          <w:color w:val="auto"/>
        </w:rPr>
      </w:pPr>
    </w:p>
    <w:p>
      <w:pPr>
        <w:ind w:left="2320" w:hanging="499"/>
        <w:spacing w:after="0"/>
        <w:tabs>
          <w:tab w:leader="none" w:pos="2320" w:val="left"/>
        </w:tabs>
        <w:numPr>
          <w:ilvl w:val="0"/>
          <w:numId w:val="252"/>
        </w:numPr>
        <w:rPr>
          <w:rFonts w:ascii="Arial" w:cs="Arial" w:eastAsia="Arial" w:hAnsi="Arial"/>
          <w:sz w:val="21"/>
          <w:szCs w:val="21"/>
          <w:color w:val="auto"/>
        </w:rPr>
      </w:pPr>
      <w:r>
        <w:rPr>
          <w:rFonts w:ascii="Arial" w:cs="Arial" w:eastAsia="Arial" w:hAnsi="Arial"/>
          <w:sz w:val="21"/>
          <w:szCs w:val="21"/>
          <w:color w:val="auto"/>
        </w:rPr>
        <w:t>Aggregate principal amount of Borrowing:</w:t>
      </w:r>
      <w:r>
        <w:rPr>
          <w:rFonts w:ascii="Arial" w:cs="Arial" w:eastAsia="Arial" w:hAnsi="Arial"/>
          <w:sz w:val="14"/>
          <w:szCs w:val="14"/>
          <w:color w:val="auto"/>
        </w:rPr>
        <w:t>7</w:t>
      </w:r>
      <w:r>
        <w:rPr>
          <w:rFonts w:ascii="Arial" w:cs="Arial" w:eastAsia="Arial" w:hAnsi="Arial"/>
          <w:sz w:val="21"/>
          <w:szCs w:val="21"/>
          <w:color w:val="auto"/>
        </w:rPr>
        <w:t xml:space="preserve"> $</w:t>
      </w:r>
    </w:p>
    <w:p>
      <w:pPr>
        <w:spacing w:after="0" w:line="187" w:lineRule="exact"/>
        <w:rPr>
          <w:rFonts w:ascii="Arial" w:cs="Arial" w:eastAsia="Arial" w:hAnsi="Arial"/>
          <w:sz w:val="21"/>
          <w:szCs w:val="21"/>
          <w:color w:val="auto"/>
        </w:rPr>
      </w:pPr>
    </w:p>
    <w:p>
      <w:pPr>
        <w:ind w:left="2320" w:hanging="499"/>
        <w:spacing w:after="0"/>
        <w:tabs>
          <w:tab w:leader="none" w:pos="2320" w:val="left"/>
        </w:tabs>
        <w:numPr>
          <w:ilvl w:val="0"/>
          <w:numId w:val="252"/>
        </w:numPr>
        <w:rPr>
          <w:rFonts w:ascii="Arial" w:cs="Arial" w:eastAsia="Arial" w:hAnsi="Arial"/>
          <w:sz w:val="21"/>
          <w:szCs w:val="21"/>
          <w:color w:val="auto"/>
        </w:rPr>
      </w:pPr>
      <w:r>
        <w:rPr>
          <w:rFonts w:ascii="Arial" w:cs="Arial" w:eastAsia="Arial" w:hAnsi="Arial"/>
          <w:sz w:val="21"/>
          <w:szCs w:val="21"/>
          <w:color w:val="auto"/>
        </w:rPr>
        <w:t>Currency of Borrowing:</w:t>
      </w:r>
    </w:p>
    <w:p>
      <w:pPr>
        <w:spacing w:after="0" w:line="174" w:lineRule="exact"/>
        <w:rPr>
          <w:rFonts w:ascii="Arial" w:cs="Arial" w:eastAsia="Arial" w:hAnsi="Arial"/>
          <w:sz w:val="21"/>
          <w:szCs w:val="21"/>
          <w:color w:val="auto"/>
        </w:rPr>
      </w:pPr>
    </w:p>
    <w:p>
      <w:pPr>
        <w:ind w:left="2320" w:hanging="499"/>
        <w:spacing w:after="0"/>
        <w:tabs>
          <w:tab w:leader="none" w:pos="2320" w:val="left"/>
        </w:tabs>
        <w:numPr>
          <w:ilvl w:val="0"/>
          <w:numId w:val="252"/>
        </w:numPr>
        <w:rPr>
          <w:rFonts w:ascii="Arial" w:cs="Arial" w:eastAsia="Arial" w:hAnsi="Arial"/>
          <w:sz w:val="21"/>
          <w:szCs w:val="21"/>
          <w:color w:val="auto"/>
        </w:rPr>
      </w:pPr>
      <w:r>
        <w:rPr>
          <w:rFonts w:ascii="Arial" w:cs="Arial" w:eastAsia="Arial" w:hAnsi="Arial"/>
          <w:sz w:val="21"/>
          <w:szCs w:val="21"/>
          <w:color w:val="auto"/>
        </w:rPr>
        <w:t>Date of Borrowing</w:t>
      </w:r>
      <w:r>
        <w:rPr>
          <w:rFonts w:ascii="Arial" w:cs="Arial" w:eastAsia="Arial" w:hAnsi="Arial"/>
          <w:sz w:val="14"/>
          <w:szCs w:val="14"/>
          <w:color w:val="auto"/>
        </w:rPr>
        <w:t>8</w:t>
      </w:r>
      <w:r>
        <w:rPr>
          <w:rFonts w:ascii="Arial" w:cs="Arial" w:eastAsia="Arial" w:hAnsi="Arial"/>
          <w:sz w:val="21"/>
          <w:szCs w:val="21"/>
          <w:color w:val="auto"/>
        </w:rPr>
        <w:t xml:space="preserve"> (which is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-547370</wp:posOffset>
            </wp:positionV>
            <wp:extent cx="170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-275590</wp:posOffset>
            </wp:positionV>
            <wp:extent cx="135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4030980</wp:posOffset>
            </wp:positionH>
            <wp:positionV relativeFrom="paragraph">
              <wp:posOffset>-11430</wp:posOffset>
            </wp:positionV>
            <wp:extent cx="170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779780</wp:posOffset>
            </wp:positionV>
            <wp:extent cx="16344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1634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7 </w:t>
      </w:r>
      <w:r>
        <w:rPr>
          <w:rFonts w:ascii="Arial" w:cs="Arial" w:eastAsia="Arial" w:hAnsi="Arial"/>
          <w:sz w:val="17"/>
          <w:szCs w:val="17"/>
          <w:color w:val="auto"/>
        </w:rPr>
        <w:t>Must comply with Section 2.02(c) of the Credit Agreement.</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8 </w:t>
      </w:r>
      <w:r>
        <w:rPr>
          <w:rFonts w:ascii="Arial" w:cs="Arial" w:eastAsia="Arial" w:hAnsi="Arial"/>
          <w:sz w:val="17"/>
          <w:szCs w:val="17"/>
          <w:color w:val="auto"/>
        </w:rPr>
        <w:t>For Daily Simple RFR Loans, the date should be 5 Business Days after the date of the Borrowing Request.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0560"/>
          </w:cols>
          <w:pgMar w:left="400" w:top="1392" w:right="939" w:bottom="1440" w:gutter="0" w:footer="0" w:header="0"/>
        </w:sectPr>
      </w:pPr>
    </w:p>
    <w:bookmarkStart w:id="281" w:name="page282"/>
    <w:bookmarkEnd w:id="281"/>
    <w:p>
      <w:pPr>
        <w:ind w:left="2380" w:hanging="505"/>
        <w:spacing w:after="0"/>
        <w:tabs>
          <w:tab w:leader="none" w:pos="2380" w:val="left"/>
        </w:tabs>
        <w:numPr>
          <w:ilvl w:val="0"/>
          <w:numId w:val="253"/>
        </w:numPr>
        <w:rPr>
          <w:rFonts w:ascii="Arial" w:cs="Arial" w:eastAsia="Arial" w:hAnsi="Arial"/>
          <w:sz w:val="21"/>
          <w:szCs w:val="21"/>
          <w:color w:val="auto"/>
        </w:rPr>
      </w:pPr>
      <w:r>
        <w:rPr>
          <w:rFonts w:ascii="Arial" w:cs="Arial" w:eastAsia="Arial" w:hAnsi="Arial"/>
          <w:sz w:val="21"/>
          <w:szCs w:val="21"/>
          <w:color w:val="auto"/>
        </w:rPr>
        <w:t>Type of Borrowing:</w:t>
      </w:r>
      <w:r>
        <w:rPr>
          <w:rFonts w:ascii="Arial" w:cs="Arial" w:eastAsia="Arial" w:hAnsi="Arial"/>
          <w:sz w:val="14"/>
          <w:szCs w:val="14"/>
          <w:color w:val="auto"/>
        </w:rPr>
        <w:t>9</w:t>
      </w:r>
    </w:p>
    <w:p>
      <w:pPr>
        <w:spacing w:after="0" w:line="174" w:lineRule="exact"/>
        <w:rPr>
          <w:rFonts w:ascii="Arial" w:cs="Arial" w:eastAsia="Arial" w:hAnsi="Arial"/>
          <w:sz w:val="21"/>
          <w:szCs w:val="21"/>
          <w:color w:val="auto"/>
        </w:rPr>
      </w:pPr>
    </w:p>
    <w:p>
      <w:pPr>
        <w:ind w:left="2360" w:hanging="485"/>
        <w:spacing w:after="0"/>
        <w:tabs>
          <w:tab w:leader="none" w:pos="2360" w:val="left"/>
        </w:tabs>
        <w:numPr>
          <w:ilvl w:val="0"/>
          <w:numId w:val="253"/>
        </w:numPr>
        <w:rPr>
          <w:rFonts w:ascii="Arial" w:cs="Arial" w:eastAsia="Arial" w:hAnsi="Arial"/>
          <w:sz w:val="21"/>
          <w:szCs w:val="21"/>
          <w:color w:val="auto"/>
        </w:rPr>
      </w:pPr>
      <w:r>
        <w:rPr>
          <w:rFonts w:ascii="Arial" w:cs="Arial" w:eastAsia="Arial" w:hAnsi="Arial"/>
          <w:sz w:val="21"/>
          <w:szCs w:val="21"/>
          <w:color w:val="auto"/>
        </w:rPr>
        <w:t>Interest Period:</w:t>
      </w:r>
      <w:r>
        <w:rPr>
          <w:rFonts w:ascii="Arial" w:cs="Arial" w:eastAsia="Arial" w:hAnsi="Arial"/>
          <w:sz w:val="14"/>
          <w:szCs w:val="14"/>
          <w:color w:val="auto"/>
        </w:rPr>
        <w:t>10</w:t>
      </w:r>
    </w:p>
    <w:p>
      <w:pPr>
        <w:spacing w:after="0" w:line="267" w:lineRule="exact"/>
        <w:rPr>
          <w:rFonts w:ascii="Arial" w:cs="Arial" w:eastAsia="Arial" w:hAnsi="Arial"/>
          <w:sz w:val="21"/>
          <w:szCs w:val="21"/>
          <w:color w:val="auto"/>
        </w:rPr>
      </w:pPr>
    </w:p>
    <w:p>
      <w:pPr>
        <w:ind w:left="2460" w:hanging="585"/>
        <w:spacing w:after="0" w:line="237" w:lineRule="auto"/>
        <w:tabs>
          <w:tab w:leader="none" w:pos="2358" w:val="left"/>
        </w:tabs>
        <w:numPr>
          <w:ilvl w:val="0"/>
          <w:numId w:val="253"/>
        </w:numPr>
        <w:rPr>
          <w:rFonts w:ascii="Arial" w:cs="Arial" w:eastAsia="Arial" w:hAnsi="Arial"/>
          <w:sz w:val="21"/>
          <w:szCs w:val="21"/>
          <w:b w:val="1"/>
          <w:bCs w:val="1"/>
          <w:color w:val="auto"/>
        </w:rPr>
      </w:pPr>
      <w:r>
        <w:rPr>
          <w:rFonts w:ascii="Arial" w:cs="Arial" w:eastAsia="Arial" w:hAnsi="Arial"/>
          <w:sz w:val="21"/>
          <w:szCs w:val="21"/>
          <w:color w:val="auto"/>
        </w:rPr>
        <w:t xml:space="preserve">Location and number of the Borrower’s account to which proceeds of the requested Borrowing are to be disbursed: </w:t>
      </w:r>
      <w:r>
        <w:rPr>
          <w:rFonts w:ascii="Arial" w:cs="Arial" w:eastAsia="Arial" w:hAnsi="Arial"/>
          <w:sz w:val="25"/>
          <w:szCs w:val="25"/>
          <w:b w:val="1"/>
          <w:bCs w:val="1"/>
          <w:color w:val="auto"/>
        </w:rPr>
        <w:t>[</w:t>
      </w:r>
      <w:r>
        <w:rPr>
          <w:rFonts w:ascii="Arial" w:cs="Arial" w:eastAsia="Arial" w:hAnsi="Arial"/>
          <w:sz w:val="21"/>
          <w:szCs w:val="21"/>
          <w:color w:val="auto"/>
        </w:rPr>
        <w:t>NAME OF BANK</w:t>
      </w:r>
      <w:r>
        <w:rPr>
          <w:rFonts w:ascii="Arial" w:cs="Arial" w:eastAsia="Arial" w:hAnsi="Arial"/>
          <w:sz w:val="25"/>
          <w:szCs w:val="25"/>
          <w:b w:val="1"/>
          <w:bCs w:val="1"/>
          <w:u w:val="single" w:color="auto"/>
          <w:color w:val="auto"/>
        </w:rPr>
        <w:t>]</w:t>
      </w:r>
      <w:r>
        <w:rPr>
          <w:rFonts w:ascii="Arial" w:cs="Arial" w:eastAsia="Arial" w:hAnsi="Arial"/>
          <w:sz w:val="21"/>
          <w:szCs w:val="21"/>
          <w:color w:val="auto"/>
        </w:rPr>
        <w:t xml:space="preserve"> (Account No.: )</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-777240</wp:posOffset>
            </wp:positionV>
            <wp:extent cx="908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9080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-495935</wp:posOffset>
            </wp:positionV>
            <wp:extent cx="14300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1430020" cy="8255"/>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-36830</wp:posOffset>
            </wp:positionV>
            <wp:extent cx="170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-10795</wp:posOffset>
            </wp:positionV>
            <wp:extent cx="508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21"/>
          <w:szCs w:val="21"/>
          <w:color w:val="auto"/>
        </w:rPr>
        <w:t>The Borrower hereby certifies that the conditions specified in paragraphs (a) and (b) of Section</w:t>
      </w:r>
    </w:p>
    <w:p>
      <w:pPr>
        <w:jc w:val="both"/>
        <w:ind w:left="540"/>
        <w:spacing w:after="0" w:line="226" w:lineRule="auto"/>
        <w:rPr>
          <w:sz w:val="20"/>
          <w:szCs w:val="20"/>
          <w:color w:val="auto"/>
        </w:rPr>
      </w:pPr>
      <w:r>
        <w:rPr>
          <w:rFonts w:ascii="Arial" w:cs="Arial" w:eastAsia="Arial" w:hAnsi="Arial"/>
          <w:sz w:val="21"/>
          <w:szCs w:val="21"/>
          <w:color w:val="auto"/>
        </w:rPr>
        <w:t>4.02 of the Credit Agreement have been satisfied and that, after giving effect to the Borrowing requested hereby, the Total Revolving Credit Exposure shall not exceed the maximum amount thereof specified in Section 2.01 of the Credit Agreement.</w:t>
      </w:r>
    </w:p>
    <w:p>
      <w:pPr>
        <w:spacing w:after="0" w:line="345"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Very truly yours, MISTRAS GROUP, INC.,</w:t>
      </w:r>
    </w:p>
    <w:p>
      <w:pPr>
        <w:spacing w:after="0" w:line="98" w:lineRule="exact"/>
        <w:rPr>
          <w:sz w:val="20"/>
          <w:szCs w:val="20"/>
          <w:color w:val="auto"/>
        </w:rPr>
      </w:pPr>
    </w:p>
    <w:p>
      <w:pPr>
        <w:ind w:left="4400"/>
        <w:spacing w:after="0"/>
        <w:tabs>
          <w:tab w:leader="none" w:pos="51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-5715</wp:posOffset>
            </wp:positionV>
            <wp:extent cx="2724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272415" cy="8255"/>
                    </a:xfrm>
                    <a:prstGeom prst="rect">
                      <a:avLst/>
                    </a:prstGeom>
                    <a:noFill/>
                  </pic:spPr>
                </pic:pic>
              </a:graphicData>
            </a:graphic>
          </wp:anchor>
        </w:drawing>
      </w:r>
    </w:p>
    <w:p>
      <w:pPr>
        <w:jc w:val="center"/>
        <w:ind w:right="34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3823970</wp:posOffset>
            </wp:positionV>
            <wp:extent cx="16344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1634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540" w:firstLine="642"/>
        <w:spacing w:after="0" w:line="252" w:lineRule="auto"/>
        <w:rPr>
          <w:sz w:val="20"/>
          <w:szCs w:val="20"/>
          <w:color w:val="auto"/>
        </w:rPr>
      </w:pPr>
      <w:r>
        <w:rPr>
          <w:rFonts w:ascii="Arial" w:cs="Arial" w:eastAsia="Arial" w:hAnsi="Arial"/>
          <w:sz w:val="12"/>
          <w:szCs w:val="12"/>
          <w:color w:val="auto"/>
        </w:rPr>
        <w:t xml:space="preserve">9 </w:t>
      </w:r>
      <w:r>
        <w:rPr>
          <w:rFonts w:ascii="Arial" w:cs="Arial" w:eastAsia="Arial" w:hAnsi="Arial"/>
          <w:sz w:val="17"/>
          <w:szCs w:val="17"/>
          <w:color w:val="auto"/>
        </w:rPr>
        <w:t>Specify ABR Borrowing or Term Benchmark Borrowing. If no election as to the Type of Borrowing is specified, then the</w:t>
      </w:r>
      <w:r>
        <w:rPr>
          <w:rFonts w:ascii="Arial" w:cs="Arial" w:eastAsia="Arial" w:hAnsi="Arial"/>
          <w:sz w:val="12"/>
          <w:szCs w:val="12"/>
          <w:color w:val="auto"/>
        </w:rPr>
        <w:t xml:space="preserve"> </w:t>
      </w:r>
      <w:r>
        <w:rPr>
          <w:rFonts w:ascii="Arial" w:cs="Arial" w:eastAsia="Arial" w:hAnsi="Arial"/>
          <w:sz w:val="17"/>
          <w:szCs w:val="17"/>
          <w:color w:val="auto"/>
        </w:rPr>
        <w:t>requested Borrowing shall be an ABR Borrowing.</w:t>
      </w:r>
    </w:p>
    <w:p>
      <w:pPr>
        <w:spacing w:after="0" w:line="45" w:lineRule="exact"/>
        <w:rPr>
          <w:sz w:val="20"/>
          <w:szCs w:val="20"/>
          <w:color w:val="auto"/>
        </w:rPr>
      </w:pPr>
    </w:p>
    <w:p>
      <w:pPr>
        <w:jc w:val="both"/>
        <w:ind w:left="540" w:right="20" w:firstLine="642"/>
        <w:spacing w:after="0" w:line="235" w:lineRule="auto"/>
        <w:rPr>
          <w:sz w:val="20"/>
          <w:szCs w:val="20"/>
          <w:color w:val="auto"/>
        </w:rPr>
      </w:pPr>
      <w:r>
        <w:rPr>
          <w:rFonts w:ascii="Arial" w:cs="Arial" w:eastAsia="Arial" w:hAnsi="Arial"/>
          <w:sz w:val="12"/>
          <w:szCs w:val="12"/>
          <w:color w:val="auto"/>
        </w:rPr>
        <w:t xml:space="preserve">10 </w:t>
      </w:r>
      <w:r>
        <w:rPr>
          <w:rFonts w:ascii="Arial" w:cs="Arial" w:eastAsia="Arial" w:hAnsi="Arial"/>
          <w:sz w:val="17"/>
          <w:szCs w:val="17"/>
          <w:color w:val="auto"/>
        </w:rPr>
        <w:t>Applicable to Term Benchmark Borrowings only. Shall be subject to the definition of “Interest Period” and can be a period of</w:t>
      </w:r>
      <w:r>
        <w:rPr>
          <w:rFonts w:ascii="Arial" w:cs="Arial" w:eastAsia="Arial" w:hAnsi="Arial"/>
          <w:sz w:val="12"/>
          <w:szCs w:val="12"/>
          <w:color w:val="auto"/>
        </w:rPr>
        <w:t xml:space="preserve"> </w:t>
      </w:r>
      <w:r>
        <w:rPr>
          <w:rFonts w:ascii="Arial" w:cs="Arial" w:eastAsia="Arial" w:hAnsi="Arial"/>
          <w:sz w:val="17"/>
          <w:szCs w:val="17"/>
          <w:color w:val="auto"/>
        </w:rPr>
        <w:t>one, three or six months. Cannot extend beyond the Maturity Date. If an Interest Period is not specified, then the Borrower shall be deemed to have selected an Interest Period of one month’s duration.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560"/>
          </w:cols>
          <w:pgMar w:left="400" w:top="1378" w:right="939" w:bottom="1440" w:gutter="0" w:footer="0" w:header="0"/>
        </w:sectPr>
      </w:pPr>
    </w:p>
    <w:bookmarkStart w:id="282" w:name="page283"/>
    <w:bookmarkEnd w:id="282"/>
    <w:p>
      <w:pPr>
        <w:jc w:val="center"/>
        <w:ind w:right="-539"/>
        <w:spacing w:after="0"/>
        <w:rPr>
          <w:sz w:val="20"/>
          <w:szCs w:val="20"/>
          <w:color w:val="auto"/>
        </w:rPr>
      </w:pPr>
      <w:r>
        <w:rPr>
          <w:rFonts w:ascii="Arial" w:cs="Arial" w:eastAsia="Arial" w:hAnsi="Arial"/>
          <w:sz w:val="21"/>
          <w:szCs w:val="21"/>
          <w:color w:val="auto"/>
        </w:rPr>
        <w:t>EXHIBIT C</w:t>
      </w:r>
    </w:p>
    <w:p>
      <w:pPr>
        <w:spacing w:after="0" w:line="199" w:lineRule="exact"/>
        <w:rPr>
          <w:sz w:val="20"/>
          <w:szCs w:val="20"/>
          <w:color w:val="auto"/>
        </w:rPr>
      </w:pPr>
    </w:p>
    <w:p>
      <w:pPr>
        <w:jc w:val="center"/>
        <w:ind w:right="-539"/>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FORM OF</w:t>
      </w:r>
      <w:r>
        <w:rPr>
          <w:rFonts w:ascii="Arial" w:cs="Arial" w:eastAsia="Arial" w:hAnsi="Arial"/>
          <w:sz w:val="25"/>
          <w:szCs w:val="25"/>
          <w:b w:val="1"/>
          <w:bCs w:val="1"/>
          <w:u w:val="single" w:color="auto"/>
          <w:color w:val="auto"/>
        </w:rPr>
        <w:t>]</w:t>
      </w:r>
      <w:r>
        <w:rPr>
          <w:rFonts w:ascii="Arial" w:cs="Arial" w:eastAsia="Arial" w:hAnsi="Arial"/>
          <w:sz w:val="25"/>
          <w:szCs w:val="25"/>
          <w:b w:val="1"/>
          <w:bCs w:val="1"/>
          <w:color w:val="auto"/>
        </w:rPr>
        <w:t xml:space="preserve"> </w:t>
      </w:r>
      <w:r>
        <w:rPr>
          <w:rFonts w:ascii="Arial" w:cs="Arial" w:eastAsia="Arial" w:hAnsi="Arial"/>
          <w:sz w:val="21"/>
          <w:szCs w:val="21"/>
          <w:color w:val="auto"/>
        </w:rPr>
        <w:t>INTEREST ELECTION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1630680</wp:posOffset>
            </wp:positionH>
            <wp:positionV relativeFrom="paragraph">
              <wp:posOffset>2540</wp:posOffset>
            </wp:positionV>
            <wp:extent cx="1193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230" w:lineRule="exact"/>
        <w:rPr>
          <w:sz w:val="20"/>
          <w:szCs w:val="20"/>
          <w:color w:val="auto"/>
        </w:rPr>
      </w:pPr>
    </w:p>
    <w:p>
      <w:pPr>
        <w:ind w:left="540"/>
        <w:spacing w:after="0"/>
        <w:rPr>
          <w:sz w:val="20"/>
          <w:szCs w:val="20"/>
          <w:color w:val="auto"/>
        </w:rPr>
      </w:pPr>
      <w:r>
        <w:rPr>
          <w:rFonts w:ascii="Arial" w:cs="Arial" w:eastAsia="Arial" w:hAnsi="Arial"/>
          <w:sz w:val="21"/>
          <w:szCs w:val="21"/>
          <w:color w:val="auto"/>
        </w:rPr>
        <w:t>JPMorgan Chase Bank, N.A., as Administrative</w:t>
      </w:r>
    </w:p>
    <w:p>
      <w:pPr>
        <w:ind w:left="540"/>
        <w:spacing w:after="0"/>
        <w:rPr>
          <w:sz w:val="20"/>
          <w:szCs w:val="20"/>
          <w:color w:val="auto"/>
        </w:rPr>
      </w:pPr>
      <w:r>
        <w:rPr>
          <w:rFonts w:ascii="Arial" w:cs="Arial" w:eastAsia="Arial" w:hAnsi="Arial"/>
          <w:sz w:val="21"/>
          <w:szCs w:val="21"/>
          <w:color w:val="auto"/>
        </w:rPr>
        <w:t xml:space="preserve">Agent </w:t>
      </w:r>
      <w:r>
        <w:rPr>
          <w:rFonts w:ascii="Arial" w:cs="Arial" w:eastAsia="Arial" w:hAnsi="Arial"/>
          <w:sz w:val="25"/>
          <w:szCs w:val="25"/>
          <w:b w:val="1"/>
          <w:bCs w:val="1"/>
          <w:u w:val="single" w:color="auto"/>
          <w:color w:val="auto"/>
        </w:rPr>
        <w:t>[</w:t>
      </w:r>
      <w:r>
        <w:rPr>
          <w:rFonts w:ascii="Arial" w:cs="Arial" w:eastAsia="Arial" w:hAnsi="Arial"/>
          <w:sz w:val="21"/>
          <w:szCs w:val="21"/>
          <w:color w:val="auto"/>
        </w:rPr>
        <w:t>ADDRESS</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-6350</wp:posOffset>
            </wp:positionV>
            <wp:extent cx="1193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49" w:lineRule="exact"/>
        <w:rPr>
          <w:sz w:val="20"/>
          <w:szCs w:val="20"/>
          <w:color w:val="auto"/>
        </w:rPr>
      </w:pPr>
    </w:p>
    <w:p>
      <w:pPr>
        <w:ind w:left="540"/>
        <w:spacing w:after="0"/>
        <w:rPr>
          <w:sz w:val="20"/>
          <w:szCs w:val="20"/>
          <w:color w:val="auto"/>
        </w:rPr>
      </w:pPr>
      <w:r>
        <w:rPr>
          <w:rFonts w:ascii="Arial" w:cs="Arial" w:eastAsia="Arial" w:hAnsi="Arial"/>
          <w:sz w:val="21"/>
          <w:szCs w:val="21"/>
          <w:color w:val="auto"/>
        </w:rPr>
        <w:t xml:space="preserve">Telephone: </w:t>
      </w:r>
      <w:r>
        <w:rPr>
          <w:rFonts w:ascii="Arial" w:cs="Arial" w:eastAsia="Arial" w:hAnsi="Arial"/>
          <w:sz w:val="25"/>
          <w:szCs w:val="25"/>
          <w:b w:val="1"/>
          <w:bCs w:val="1"/>
          <w:u w:val="single" w:color="auto"/>
          <w:color w:val="auto"/>
        </w:rPr>
        <w:t>[ ]</w:t>
      </w:r>
    </w:p>
    <w:p>
      <w:pPr>
        <w:ind w:left="540"/>
        <w:spacing w:after="0"/>
        <w:rPr>
          <w:sz w:val="20"/>
          <w:szCs w:val="20"/>
          <w:color w:val="auto"/>
        </w:rPr>
      </w:pPr>
      <w:r>
        <w:rPr>
          <w:rFonts w:ascii="Arial" w:cs="Arial" w:eastAsia="Arial" w:hAnsi="Arial"/>
          <w:sz w:val="21"/>
          <w:szCs w:val="21"/>
          <w:color w:val="auto"/>
        </w:rPr>
        <w:t xml:space="preserve">Email: </w:t>
      </w:r>
      <w:r>
        <w:rPr>
          <w:rFonts w:ascii="Arial" w:cs="Arial" w:eastAsia="Arial" w:hAnsi="Arial"/>
          <w:sz w:val="25"/>
          <w:szCs w:val="25"/>
          <w:b w:val="1"/>
          <w:bCs w:val="1"/>
          <w:u w:val="single" w:color="auto"/>
          <w:color w:val="auto"/>
        </w:rPr>
        <w:t>[ ]</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21"/>
          <w:szCs w:val="21"/>
          <w:color w:val="auto"/>
        </w:rPr>
        <w:t xml:space="preserve">Fax: </w:t>
      </w:r>
      <w:r>
        <w:rPr>
          <w:rFonts w:ascii="Arial" w:cs="Arial" w:eastAsia="Arial" w:hAnsi="Arial"/>
          <w:sz w:val="25"/>
          <w:szCs w:val="25"/>
          <w:b w:val="1"/>
          <w:bCs w:val="1"/>
          <w:u w:val="single" w:color="auto"/>
          <w:color w:val="auto"/>
        </w:rPr>
        <w:t>[ ]</w:t>
      </w:r>
      <w:r>
        <w:rPr>
          <w:rFonts w:ascii="Arial" w:cs="Arial" w:eastAsia="Arial" w:hAnsi="Arial"/>
          <w:sz w:val="21"/>
          <w:szCs w:val="21"/>
          <w:color w:val="auto"/>
        </w:rPr>
        <w:t xml:space="preserve"> Attention: </w:t>
      </w:r>
      <w:r>
        <w:rPr>
          <w:rFonts w:ascii="Arial" w:cs="Arial" w:eastAsia="Arial" w:hAnsi="Arial"/>
          <w:sz w:val="25"/>
          <w:szCs w:val="25"/>
          <w:b w:val="1"/>
          <w:bCs w:val="1"/>
          <w:u w:val="single" w:color="auto"/>
          <w:color w:val="auto"/>
        </w:rPr>
        <w:t>[ ]</w:t>
      </w:r>
      <w:r>
        <w:rPr>
          <w:rFonts w:ascii="Arial" w:cs="Arial" w:eastAsia="Arial" w:hAnsi="Arial"/>
          <w:sz w:val="21"/>
          <w:szCs w:val="21"/>
          <w:color w:val="auto"/>
        </w:rPr>
        <w:t xml:space="preserve"> Copy to:</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21"/>
          <w:szCs w:val="21"/>
          <w:color w:val="auto"/>
        </w:rPr>
        <w:t>JPMorgan Chase Bank, N.A., as Administrative</w:t>
      </w:r>
    </w:p>
    <w:p>
      <w:pPr>
        <w:ind w:left="540"/>
        <w:spacing w:after="0"/>
        <w:rPr>
          <w:sz w:val="20"/>
          <w:szCs w:val="20"/>
          <w:color w:val="auto"/>
        </w:rPr>
      </w:pPr>
      <w:r>
        <w:rPr>
          <w:rFonts w:ascii="Arial" w:cs="Arial" w:eastAsia="Arial" w:hAnsi="Arial"/>
          <w:sz w:val="21"/>
          <w:szCs w:val="21"/>
          <w:color w:val="auto"/>
        </w:rPr>
        <w:t xml:space="preserve">Agent </w:t>
      </w:r>
      <w:r>
        <w:rPr>
          <w:rFonts w:ascii="Arial" w:cs="Arial" w:eastAsia="Arial" w:hAnsi="Arial"/>
          <w:sz w:val="25"/>
          <w:szCs w:val="25"/>
          <w:b w:val="1"/>
          <w:bCs w:val="1"/>
          <w:u w:val="single" w:color="auto"/>
          <w:color w:val="auto"/>
        </w:rPr>
        <w:t>[</w:t>
      </w:r>
      <w:r>
        <w:rPr>
          <w:rFonts w:ascii="Arial" w:cs="Arial" w:eastAsia="Arial" w:hAnsi="Arial"/>
          <w:sz w:val="21"/>
          <w:szCs w:val="21"/>
          <w:color w:val="auto"/>
        </w:rPr>
        <w:t>ADDRESS</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-15240</wp:posOffset>
            </wp:positionV>
            <wp:extent cx="1193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21"/>
          <w:szCs w:val="21"/>
          <w:color w:val="auto"/>
        </w:rPr>
        <w:t xml:space="preserve">Attention: </w:t>
      </w:r>
      <w:r>
        <w:rPr>
          <w:rFonts w:ascii="Arial" w:cs="Arial" w:eastAsia="Arial" w:hAnsi="Arial"/>
          <w:sz w:val="25"/>
          <w:szCs w:val="25"/>
          <w:b w:val="1"/>
          <w:bCs w:val="1"/>
          <w:u w:val="single" w:color="auto"/>
          <w:color w:val="auto"/>
        </w:rPr>
        <w:t>[ ] [</w:t>
      </w:r>
      <w:r>
        <w:rPr>
          <w:rFonts w:ascii="Arial" w:cs="Arial" w:eastAsia="Arial" w:hAnsi="Arial"/>
          <w:sz w:val="21"/>
          <w:szCs w:val="21"/>
          <w:color w:val="auto"/>
        </w:rPr>
        <w:t>Date</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-65405</wp:posOffset>
            </wp:positionV>
            <wp:extent cx="1022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102235" cy="8255"/>
                    </a:xfrm>
                    <a:prstGeom prst="rect">
                      <a:avLst/>
                    </a:prstGeom>
                    <a:noFill/>
                  </pic:spPr>
                </pic:pic>
              </a:graphicData>
            </a:graphic>
          </wp:anchor>
        </w:drawing>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21"/>
          <w:szCs w:val="21"/>
          <w:color w:val="auto"/>
        </w:rPr>
        <w:t>Ladies and Gentlemen:</w:t>
      </w:r>
    </w:p>
    <w:p>
      <w:pPr>
        <w:spacing w:after="0" w:line="228" w:lineRule="exact"/>
        <w:rPr>
          <w:sz w:val="20"/>
          <w:szCs w:val="20"/>
          <w:color w:val="auto"/>
        </w:rPr>
      </w:pPr>
    </w:p>
    <w:p>
      <w:pPr>
        <w:jc w:val="both"/>
        <w:ind w:left="540"/>
        <w:spacing w:after="0" w:line="238" w:lineRule="auto"/>
        <w:rPr>
          <w:sz w:val="20"/>
          <w:szCs w:val="20"/>
          <w:color w:val="auto"/>
        </w:rPr>
      </w:pPr>
      <w:r>
        <w:rPr>
          <w:rFonts w:ascii="Arial" w:cs="Arial" w:eastAsia="Arial" w:hAnsi="Arial"/>
          <w:sz w:val="19"/>
          <w:szCs w:val="19"/>
          <w:color w:val="auto"/>
        </w:rPr>
        <w:t>Reference is hereby made to the Credit Agreement dated as of August 1, 2022 (as amended, supplemented or otherwise modified from time to time, the “</w:t>
      </w:r>
      <w:r>
        <w:rPr>
          <w:rFonts w:ascii="Arial" w:cs="Arial" w:eastAsia="Arial" w:hAnsi="Arial"/>
          <w:sz w:val="19"/>
          <w:szCs w:val="19"/>
          <w:b w:val="1"/>
          <w:bCs w:val="1"/>
          <w:i w:val="1"/>
          <w:iCs w:val="1"/>
          <w:color w:val="auto"/>
        </w:rPr>
        <w:t>Credit Agreement</w:t>
      </w:r>
      <w:r>
        <w:rPr>
          <w:rFonts w:ascii="Arial" w:cs="Arial" w:eastAsia="Arial" w:hAnsi="Arial"/>
          <w:sz w:val="19"/>
          <w:szCs w:val="19"/>
          <w:color w:val="auto"/>
        </w:rPr>
        <w:t>”), among Mistras Group, Inc., each lender from time to time party thereto and JPMorgan Chase Bank, N.A., as Administrative Agent. Unless otherwise defined herein, terms defined in the Credit Agreement and used herein shall have the meanings given to them in the Credit Agreement. This notice constitutes an Interest Election Request and the Borrower hereby gives you notice, pursuant</w:t>
      </w:r>
    </w:p>
    <w:p>
      <w:pPr>
        <w:ind w:left="540"/>
        <w:spacing w:after="0" w:line="218" w:lineRule="auto"/>
        <w:rPr>
          <w:sz w:val="20"/>
          <w:szCs w:val="20"/>
          <w:color w:val="auto"/>
        </w:rPr>
      </w:pPr>
      <w:r>
        <w:rPr>
          <w:rFonts w:ascii="Arial" w:cs="Arial" w:eastAsia="Arial" w:hAnsi="Arial"/>
          <w:sz w:val="21"/>
          <w:szCs w:val="21"/>
          <w:color w:val="auto"/>
        </w:rPr>
        <w:t xml:space="preserve">to </w:t>
      </w:r>
      <w:r>
        <w:rPr>
          <w:rFonts w:ascii="Arial" w:cs="Arial" w:eastAsia="Arial" w:hAnsi="Arial"/>
          <w:sz w:val="25"/>
          <w:szCs w:val="25"/>
          <w:b w:val="1"/>
          <w:bCs w:val="1"/>
          <w:u w:val="single" w:color="auto"/>
          <w:color w:val="auto"/>
        </w:rPr>
        <w:t>[</w:t>
      </w:r>
      <w:r>
        <w:rPr>
          <w:rFonts w:ascii="Arial" w:cs="Arial" w:eastAsia="Arial" w:hAnsi="Arial"/>
          <w:sz w:val="21"/>
          <w:szCs w:val="21"/>
          <w:color w:val="auto"/>
        </w:rPr>
        <w:t>Section 2.08</w:t>
      </w:r>
      <w:r>
        <w:rPr>
          <w:rFonts w:ascii="Arial" w:cs="Arial" w:eastAsia="Arial" w:hAnsi="Arial"/>
          <w:sz w:val="25"/>
          <w:szCs w:val="25"/>
          <w:b w:val="1"/>
          <w:bCs w:val="1"/>
          <w:u w:val="single" w:color="auto"/>
          <w:color w:val="auto"/>
        </w:rPr>
        <w:t>]</w:t>
      </w:r>
      <w:r>
        <w:rPr>
          <w:rFonts w:ascii="Arial" w:cs="Arial" w:eastAsia="Arial" w:hAnsi="Arial"/>
          <w:sz w:val="21"/>
          <w:szCs w:val="21"/>
          <w:color w:val="auto"/>
        </w:rPr>
        <w:t xml:space="preserve"> of the Credit Agreement, that it requests to convert an existing Borrowing under the Credit</w:t>
      </w:r>
    </w:p>
    <w:p>
      <w:pPr>
        <w:spacing w:after="0" w:line="1" w:lineRule="exact"/>
        <w:rPr>
          <w:sz w:val="20"/>
          <w:szCs w:val="20"/>
          <w:color w:val="auto"/>
        </w:rPr>
      </w:pPr>
    </w:p>
    <w:p>
      <w:pPr>
        <w:jc w:val="both"/>
        <w:ind w:left="540" w:right="20"/>
        <w:spacing w:after="0" w:line="233" w:lineRule="auto"/>
        <w:rPr>
          <w:sz w:val="20"/>
          <w:szCs w:val="20"/>
          <w:color w:val="auto"/>
        </w:rPr>
      </w:pPr>
      <w:r>
        <w:rPr>
          <w:rFonts w:ascii="Arial" w:cs="Arial" w:eastAsia="Arial" w:hAnsi="Arial"/>
          <w:sz w:val="21"/>
          <w:szCs w:val="21"/>
          <w:color w:val="auto"/>
        </w:rPr>
        <w:t>Agreement, and in that connection the Borrower specifies the following information with respect to such conversion requested hereby:</w:t>
      </w:r>
    </w:p>
    <w:p>
      <w:pPr>
        <w:spacing w:after="0" w:line="183" w:lineRule="exact"/>
        <w:rPr>
          <w:sz w:val="20"/>
          <w:szCs w:val="20"/>
          <w:color w:val="auto"/>
        </w:rPr>
      </w:pPr>
    </w:p>
    <w:p>
      <w:pPr>
        <w:ind w:left="2460" w:right="780" w:hanging="638"/>
        <w:spacing w:after="0" w:line="244" w:lineRule="auto"/>
        <w:tabs>
          <w:tab w:leader="none" w:pos="2329" w:val="left"/>
        </w:tabs>
        <w:numPr>
          <w:ilvl w:val="0"/>
          <w:numId w:val="254"/>
        </w:numPr>
        <w:rPr>
          <w:rFonts w:ascii="Arial" w:cs="Arial" w:eastAsia="Arial" w:hAnsi="Arial"/>
          <w:sz w:val="21"/>
          <w:szCs w:val="21"/>
          <w:color w:val="auto"/>
        </w:rPr>
      </w:pPr>
      <w:r>
        <w:rPr>
          <w:rFonts w:ascii="Arial" w:cs="Arial" w:eastAsia="Arial" w:hAnsi="Arial"/>
          <w:sz w:val="21"/>
          <w:szCs w:val="21"/>
          <w:color w:val="auto"/>
        </w:rPr>
        <w:t>List date, Type, Class, principal amount, currency and Interest Period (if applicable) of existing Borrowing:</w:t>
      </w:r>
    </w:p>
    <w:p>
      <w:pPr>
        <w:spacing w:after="0" w:line="139" w:lineRule="exact"/>
        <w:rPr>
          <w:rFonts w:ascii="Arial" w:cs="Arial" w:eastAsia="Arial" w:hAnsi="Arial"/>
          <w:sz w:val="21"/>
          <w:szCs w:val="21"/>
          <w:color w:val="auto"/>
        </w:rPr>
      </w:pPr>
    </w:p>
    <w:p>
      <w:pPr>
        <w:ind w:left="2300" w:hanging="479"/>
        <w:spacing w:after="0"/>
        <w:tabs>
          <w:tab w:leader="none" w:pos="2300" w:val="left"/>
        </w:tabs>
        <w:numPr>
          <w:ilvl w:val="0"/>
          <w:numId w:val="254"/>
        </w:numPr>
        <w:rPr>
          <w:rFonts w:ascii="Arial" w:cs="Arial" w:eastAsia="Arial" w:hAnsi="Arial"/>
          <w:sz w:val="21"/>
          <w:szCs w:val="21"/>
          <w:color w:val="auto"/>
        </w:rPr>
      </w:pPr>
      <w:r>
        <w:rPr>
          <w:rFonts w:ascii="Arial" w:cs="Arial" w:eastAsia="Arial" w:hAnsi="Arial"/>
          <w:sz w:val="21"/>
          <w:szCs w:val="21"/>
          <w:color w:val="auto"/>
        </w:rPr>
        <w:t>Aggregate principal amount of resulting Borrowing:</w:t>
      </w: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2693035</wp:posOffset>
            </wp:positionH>
            <wp:positionV relativeFrom="paragraph">
              <wp:posOffset>-275590</wp:posOffset>
            </wp:positionV>
            <wp:extent cx="135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ind w:left="2460"/>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1633220</wp:posOffset>
            </wp:positionH>
            <wp:positionV relativeFrom="paragraph">
              <wp:posOffset>-22860</wp:posOffset>
            </wp:positionV>
            <wp:extent cx="170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spacing w:after="0" w:line="176" w:lineRule="exact"/>
        <w:rPr>
          <w:sz w:val="20"/>
          <w:szCs w:val="20"/>
          <w:color w:val="auto"/>
        </w:rPr>
      </w:pPr>
    </w:p>
    <w:p>
      <w:pPr>
        <w:ind w:left="2320" w:hanging="498"/>
        <w:spacing w:after="0"/>
        <w:tabs>
          <w:tab w:leader="none" w:pos="2320" w:val="left"/>
        </w:tabs>
        <w:numPr>
          <w:ilvl w:val="0"/>
          <w:numId w:val="255"/>
        </w:numPr>
        <w:rPr>
          <w:rFonts w:ascii="Arial" w:cs="Arial" w:eastAsia="Arial" w:hAnsi="Arial"/>
          <w:sz w:val="21"/>
          <w:szCs w:val="21"/>
          <w:color w:val="auto"/>
        </w:rPr>
      </w:pPr>
      <w:r>
        <w:rPr>
          <w:rFonts w:ascii="Arial" w:cs="Arial" w:eastAsia="Arial" w:hAnsi="Arial"/>
          <w:sz w:val="21"/>
          <w:szCs w:val="21"/>
          <w:color w:val="auto"/>
        </w:rPr>
        <w:t>Effective date of interest election (which is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4773930</wp:posOffset>
            </wp:positionH>
            <wp:positionV relativeFrom="paragraph">
              <wp:posOffset>-11430</wp:posOffset>
            </wp:positionV>
            <wp:extent cx="170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320040</wp:posOffset>
            </wp:positionV>
            <wp:extent cx="16344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1634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11 </w:t>
      </w:r>
      <w:r>
        <w:rPr>
          <w:rFonts w:ascii="Arial" w:cs="Arial" w:eastAsia="Arial" w:hAnsi="Arial"/>
          <w:sz w:val="17"/>
          <w:szCs w:val="17"/>
          <w:color w:val="auto"/>
        </w:rPr>
        <w:t>Must comply with Section 2.02(c) of the Credit Agreement.</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0560"/>
          </w:cols>
          <w:pgMar w:left="400" w:top="1392" w:right="939" w:bottom="1440" w:gutter="0" w:footer="0" w:header="0"/>
        </w:sectPr>
      </w:pPr>
    </w:p>
    <w:bookmarkStart w:id="283" w:name="page284"/>
    <w:bookmarkEnd w:id="283"/>
    <w:p>
      <w:pPr>
        <w:ind w:left="2320" w:hanging="499"/>
        <w:spacing w:after="0"/>
        <w:tabs>
          <w:tab w:leader="none" w:pos="2320"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Type of Borrowing:</w:t>
      </w:r>
      <w:r>
        <w:rPr>
          <w:rFonts w:ascii="Arial" w:cs="Arial" w:eastAsia="Arial" w:hAnsi="Arial"/>
          <w:sz w:val="14"/>
          <w:szCs w:val="14"/>
          <w:color w:val="auto"/>
        </w:rPr>
        <w:t>12</w:t>
      </w:r>
    </w:p>
    <w:p>
      <w:pPr>
        <w:spacing w:after="0" w:line="174" w:lineRule="exact"/>
        <w:rPr>
          <w:rFonts w:ascii="Arial" w:cs="Arial" w:eastAsia="Arial" w:hAnsi="Arial"/>
          <w:sz w:val="21"/>
          <w:szCs w:val="21"/>
          <w:color w:val="auto"/>
        </w:rPr>
      </w:pPr>
    </w:p>
    <w:p>
      <w:pPr>
        <w:ind w:left="2300" w:hanging="479"/>
        <w:spacing w:after="0"/>
        <w:tabs>
          <w:tab w:leader="none" w:pos="2300" w:val="left"/>
        </w:tabs>
        <w:numPr>
          <w:ilvl w:val="0"/>
          <w:numId w:val="256"/>
        </w:numPr>
        <w:rPr>
          <w:rFonts w:ascii="Arial" w:cs="Arial" w:eastAsia="Arial" w:hAnsi="Arial"/>
          <w:sz w:val="21"/>
          <w:szCs w:val="21"/>
          <w:color w:val="auto"/>
        </w:rPr>
      </w:pPr>
      <w:r>
        <w:rPr>
          <w:rFonts w:ascii="Arial" w:cs="Arial" w:eastAsia="Arial" w:hAnsi="Arial"/>
          <w:sz w:val="21"/>
          <w:szCs w:val="21"/>
          <w:color w:val="auto"/>
        </w:rPr>
        <w:t>Interest Period and last day thereof (if a Term Benchmark Borrowing):</w:t>
      </w: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-275590</wp:posOffset>
            </wp:positionV>
            <wp:extent cx="908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90805"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5080</wp:posOffset>
            </wp:positionV>
            <wp:extent cx="14300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Very truly yours, MISTRAS GROUP, INC.,</w:t>
      </w:r>
    </w:p>
    <w:p>
      <w:pPr>
        <w:spacing w:after="0" w:line="111" w:lineRule="exact"/>
        <w:rPr>
          <w:sz w:val="20"/>
          <w:szCs w:val="20"/>
          <w:color w:val="auto"/>
        </w:rPr>
      </w:pPr>
    </w:p>
    <w:p>
      <w:pPr>
        <w:ind w:left="4400"/>
        <w:spacing w:after="0"/>
        <w:tabs>
          <w:tab w:leader="none" w:pos="51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-5715</wp:posOffset>
            </wp:positionV>
            <wp:extent cx="2724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272415" cy="8255"/>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5509260</wp:posOffset>
            </wp:positionV>
            <wp:extent cx="16344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1634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12 </w:t>
      </w:r>
      <w:r>
        <w:rPr>
          <w:rFonts w:ascii="Arial" w:cs="Arial" w:eastAsia="Arial" w:hAnsi="Arial"/>
          <w:sz w:val="17"/>
          <w:szCs w:val="17"/>
          <w:color w:val="auto"/>
        </w:rPr>
        <w:t>Specify ABR Borrowing, RFR Borrowing or Term Benchmark Borrowing.</w:t>
      </w:r>
    </w:p>
    <w:p>
      <w:pPr>
        <w:spacing w:after="0" w:line="86" w:lineRule="exact"/>
        <w:rPr>
          <w:sz w:val="20"/>
          <w:szCs w:val="20"/>
          <w:color w:val="auto"/>
        </w:rPr>
      </w:pPr>
    </w:p>
    <w:p>
      <w:pPr>
        <w:ind w:left="540" w:firstLine="642"/>
        <w:spacing w:after="0" w:line="246" w:lineRule="auto"/>
        <w:rPr>
          <w:sz w:val="20"/>
          <w:szCs w:val="20"/>
          <w:color w:val="auto"/>
        </w:rPr>
      </w:pPr>
      <w:r>
        <w:rPr>
          <w:rFonts w:ascii="Arial" w:cs="Arial" w:eastAsia="Arial" w:hAnsi="Arial"/>
          <w:sz w:val="11"/>
          <w:szCs w:val="11"/>
          <w:color w:val="auto"/>
        </w:rPr>
        <w:t xml:space="preserve">13 </w:t>
      </w:r>
      <w:r>
        <w:rPr>
          <w:rFonts w:ascii="Arial" w:cs="Arial" w:eastAsia="Arial" w:hAnsi="Arial"/>
          <w:sz w:val="16"/>
          <w:szCs w:val="16"/>
          <w:color w:val="auto"/>
        </w:rPr>
        <w:t>Applicable to Term Benchmark Borrowings only. Shall be subject to the definition of “Interest Period” and can be a period of</w:t>
      </w:r>
      <w:r>
        <w:rPr>
          <w:rFonts w:ascii="Arial" w:cs="Arial" w:eastAsia="Arial" w:hAnsi="Arial"/>
          <w:sz w:val="11"/>
          <w:szCs w:val="11"/>
          <w:color w:val="auto"/>
        </w:rPr>
        <w:t xml:space="preserve"> </w:t>
      </w:r>
      <w:r>
        <w:rPr>
          <w:rFonts w:ascii="Arial" w:cs="Arial" w:eastAsia="Arial" w:hAnsi="Arial"/>
          <w:sz w:val="16"/>
          <w:szCs w:val="16"/>
          <w:color w:val="auto"/>
        </w:rPr>
        <w:t>one, three or six months. Cannot extend beyond the Maturity Date. If an Interest Period is not specified, then the Borrower shall be deemed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have selected an Interest Period of one month’s duration.</w:t>
      </w:r>
    </w:p>
    <w:p>
      <w:pPr>
        <w:sectPr>
          <w:pgSz w:w="11900" w:h="16838" w:orient="portrait"/>
          <w:cols w:equalWidth="0" w:num="1">
            <w:col w:w="10540"/>
          </w:cols>
          <w:pgMar w:left="400" w:top="1378" w:right="95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40"/>
          </w:cols>
          <w:pgMar w:left="400" w:top="1378" w:right="959" w:bottom="1440" w:gutter="0" w:footer="0" w:header="0"/>
          <w:type w:val="continuous"/>
        </w:sectPr>
      </w:pPr>
    </w:p>
    <w:bookmarkStart w:id="284" w:name="page285"/>
    <w:bookmarkEnd w:id="284"/>
    <w:p>
      <w:pPr>
        <w:ind w:left="1160"/>
        <w:spacing w:after="0"/>
        <w:rPr>
          <w:sz w:val="20"/>
          <w:szCs w:val="20"/>
          <w:color w:val="auto"/>
        </w:rPr>
      </w:pPr>
      <w:r>
        <w:rPr>
          <w:rFonts w:ascii="Arial" w:cs="Arial" w:eastAsia="Arial" w:hAnsi="Arial"/>
          <w:sz w:val="21"/>
          <w:szCs w:val="21"/>
          <w:color w:val="auto"/>
        </w:rPr>
        <w:t>EXHIBIT D</w:t>
      </w:r>
    </w:p>
    <w:p>
      <w:pPr>
        <w:spacing w:after="0" w:line="205"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FORM OF</w:t>
      </w:r>
    </w:p>
    <w:p>
      <w:pPr>
        <w:ind w:left="1040"/>
        <w:spacing w:after="0" w:line="181" w:lineRule="auto"/>
        <w:rPr>
          <w:sz w:val="20"/>
          <w:szCs w:val="20"/>
          <w:color w:val="auto"/>
        </w:rPr>
      </w:pPr>
      <w:r>
        <w:rPr>
          <w:rFonts w:ascii="Arial" w:cs="Arial" w:eastAsia="Arial" w:hAnsi="Arial"/>
          <w:sz w:val="20"/>
          <w:szCs w:val="20"/>
          <w:color w:val="auto"/>
        </w:rPr>
        <w:t>INCREASING</w:t>
      </w:r>
    </w:p>
    <w:p>
      <w:pPr>
        <w:jc w:val="both"/>
        <w:ind w:left="1260"/>
        <w:spacing w:after="0" w:line="183" w:lineRule="auto"/>
        <w:tabs>
          <w:tab w:leader="none" w:pos="4540" w:val="left"/>
        </w:tabs>
        <w:rPr>
          <w:sz w:val="20"/>
          <w:szCs w:val="20"/>
          <w:color w:val="auto"/>
        </w:rPr>
      </w:pPr>
      <w:r>
        <w:rPr>
          <w:rFonts w:ascii="Arial" w:cs="Arial" w:eastAsia="Arial" w:hAnsi="Arial"/>
          <w:sz w:val="16"/>
          <w:szCs w:val="16"/>
          <w:color w:val="auto"/>
        </w:rPr>
        <w:t>LENDER</w:t>
      </w:r>
      <w:r>
        <w:rPr>
          <w:sz w:val="20"/>
          <w:szCs w:val="20"/>
          <w:color w:val="auto"/>
        </w:rPr>
        <w:tab/>
      </w:r>
      <w:r>
        <w:rPr>
          <w:rFonts w:ascii="Arial" w:cs="Arial" w:eastAsia="Arial" w:hAnsi="Arial"/>
          <w:sz w:val="29"/>
          <w:szCs w:val="29"/>
          <w:color w:val="auto"/>
          <w:vertAlign w:val="superscript"/>
        </w:rPr>
        <w:t>(this</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SUPPLEMENT</w:t>
      </w:r>
    </w:p>
    <w:p>
      <w:pPr>
        <w:spacing w:after="0" w:line="201" w:lineRule="exact"/>
        <w:rPr>
          <w:sz w:val="20"/>
          <w:szCs w:val="20"/>
          <w:color w:val="auto"/>
        </w:rPr>
      </w:pPr>
    </w:p>
    <w:p>
      <w:pPr>
        <w:ind w:left="780"/>
        <w:spacing w:after="0"/>
        <w:rPr>
          <w:sz w:val="20"/>
          <w:szCs w:val="20"/>
          <w:color w:val="auto"/>
        </w:rPr>
      </w:pPr>
      <w:r>
        <w:rPr>
          <w:rFonts w:ascii="Arial" w:cs="Arial" w:eastAsia="Arial" w:hAnsi="Arial"/>
          <w:sz w:val="21"/>
          <w:szCs w:val="21"/>
          <w:color w:val="auto"/>
        </w:rPr>
        <w:t>INCREASING LENDER SUPPLEMENT,</w:t>
      </w:r>
    </w:p>
    <w:p>
      <w:pPr>
        <w:ind w:left="780"/>
        <w:spacing w:after="0"/>
        <w:tabs>
          <w:tab w:leader="none" w:pos="1500" w:val="left"/>
        </w:tabs>
        <w:rPr>
          <w:sz w:val="20"/>
          <w:szCs w:val="20"/>
          <w:color w:val="auto"/>
        </w:rPr>
      </w:pPr>
      <w:r>
        <w:rPr>
          <w:rFonts w:ascii="Arial" w:cs="Arial" w:eastAsia="Arial" w:hAnsi="Arial"/>
          <w:sz w:val="21"/>
          <w:szCs w:val="21"/>
          <w:color w:val="auto"/>
        </w:rPr>
        <w:t>dated</w:t>
        <w:tab/>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-22860</wp:posOffset>
            </wp:positionV>
            <wp:extent cx="1701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-22860</wp:posOffset>
            </wp:positionV>
            <wp:extent cx="1701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sectPr>
          <w:pgSz w:w="11900" w:h="16838" w:orient="portrait"/>
          <w:cols w:equalWidth="0" w:num="1">
            <w:col w:w="9019"/>
          </w:cols>
          <w:pgMar w:left="1440" w:top="1392" w:right="1440" w:bottom="1440" w:gutter="0" w:footer="0" w:header="0"/>
        </w:sectPr>
      </w:pPr>
    </w:p>
    <w:bookmarkStart w:id="285" w:name="page286"/>
    <w:bookmarkEnd w:id="285"/>
    <w:p>
      <w:pPr>
        <w:jc w:val="both"/>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Supplement</w:t>
      </w:r>
      <w:r>
        <w:rPr>
          <w:rFonts w:ascii="Arial" w:cs="Arial" w:eastAsia="Arial" w:hAnsi="Arial"/>
          <w:sz w:val="21"/>
          <w:szCs w:val="21"/>
          <w:color w:val="auto"/>
        </w:rPr>
        <w:t>”), by and among each of the signatories hereto, to the Credit Agreement, dated as of August 1, 2022 (as amended, restated, supplemented or otherwise modified from time to time, the “</w:t>
      </w:r>
      <w:r>
        <w:rPr>
          <w:rFonts w:ascii="Arial" w:cs="Arial" w:eastAsia="Arial" w:hAnsi="Arial"/>
          <w:sz w:val="21"/>
          <w:szCs w:val="21"/>
          <w:b w:val="1"/>
          <w:bCs w:val="1"/>
          <w:i w:val="1"/>
          <w:iCs w:val="1"/>
          <w:color w:val="auto"/>
        </w:rPr>
        <w:t>Credit Agreement</w:t>
      </w:r>
      <w:r>
        <w:rPr>
          <w:rFonts w:ascii="Arial" w:cs="Arial" w:eastAsia="Arial" w:hAnsi="Arial"/>
          <w:sz w:val="21"/>
          <w:szCs w:val="21"/>
          <w:color w:val="auto"/>
        </w:rPr>
        <w:t>”), among Mistras Group, Inc. (the “</w:t>
      </w:r>
      <w:r>
        <w:rPr>
          <w:rFonts w:ascii="Arial" w:cs="Arial" w:eastAsia="Arial" w:hAnsi="Arial"/>
          <w:sz w:val="21"/>
          <w:szCs w:val="21"/>
          <w:b w:val="1"/>
          <w:bCs w:val="1"/>
          <w:i w:val="1"/>
          <w:iCs w:val="1"/>
          <w:color w:val="auto"/>
        </w:rPr>
        <w:t>Borrower</w:t>
      </w:r>
      <w:r>
        <w:rPr>
          <w:rFonts w:ascii="Arial" w:cs="Arial" w:eastAsia="Arial" w:hAnsi="Arial"/>
          <w:sz w:val="21"/>
          <w:szCs w:val="21"/>
          <w:color w:val="auto"/>
        </w:rPr>
        <w:t>”), the Lenders party thereto and JPMorgan Chase Bank, N.A., as administrative agent (in such capacity, the “</w:t>
      </w:r>
      <w:r>
        <w:rPr>
          <w:rFonts w:ascii="Arial" w:cs="Arial" w:eastAsia="Arial" w:hAnsi="Arial"/>
          <w:sz w:val="21"/>
          <w:szCs w:val="21"/>
          <w:b w:val="1"/>
          <w:bCs w:val="1"/>
          <w:i w:val="1"/>
          <w:iCs w:val="1"/>
          <w:color w:val="auto"/>
        </w:rPr>
        <w:t>Administrative Agent</w:t>
      </w:r>
      <w:r>
        <w:rPr>
          <w:rFonts w:ascii="Arial" w:cs="Arial" w:eastAsia="Arial" w:hAnsi="Arial"/>
          <w:sz w:val="21"/>
          <w:szCs w:val="21"/>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w:t>
      </w:r>
    </w:p>
    <w:p>
      <w:pPr>
        <w:spacing w:after="0" w:line="228" w:lineRule="exact"/>
        <w:rPr>
          <w:sz w:val="20"/>
          <w:szCs w:val="20"/>
          <w:color w:val="auto"/>
        </w:rPr>
      </w:pPr>
    </w:p>
    <w:p>
      <w:pPr>
        <w:jc w:val="both"/>
        <w:ind w:firstLine="1286"/>
        <w:spacing w:after="0" w:line="255" w:lineRule="auto"/>
        <w:rPr>
          <w:sz w:val="20"/>
          <w:szCs w:val="20"/>
          <w:color w:val="auto"/>
        </w:rPr>
      </w:pPr>
      <w:r>
        <w:rPr>
          <w:rFonts w:ascii="Arial" w:cs="Arial" w:eastAsia="Arial" w:hAnsi="Arial"/>
          <w:sz w:val="19"/>
          <w:szCs w:val="19"/>
          <w:color w:val="auto"/>
        </w:rPr>
        <w:t>WHEREAS, pursuant to Section 2.22 of the Credit Agreement, the Borrower has the right, subject to the terms and conditions thereof, to effectuate from time to time an increase in the aggregate Revolving Commitments and/or one or more tranches of Incremental Term Loans under the Credit Agreement by requesting one or more Lenders to increase the amount of its Revolving Commitment and/or to participate in such a tranche;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 xml:space="preserve">WHEREAS, the Borrower has given notice to the Administrative Agent of its intention to </w:t>
      </w:r>
      <w:r>
        <w:rPr>
          <w:rFonts w:ascii="Arial" w:cs="Arial" w:eastAsia="Arial" w:hAnsi="Arial"/>
          <w:sz w:val="23"/>
          <w:szCs w:val="23"/>
          <w:b w:val="1"/>
          <w:bCs w:val="1"/>
          <w:u w:val="single" w:color="auto"/>
          <w:color w:val="auto"/>
        </w:rPr>
        <w:t>[</w:t>
      </w:r>
      <w:r>
        <w:rPr>
          <w:rFonts w:ascii="Arial" w:cs="Arial" w:eastAsia="Arial" w:hAnsi="Arial"/>
          <w:sz w:val="20"/>
          <w:szCs w:val="20"/>
          <w:color w:val="auto"/>
        </w:rPr>
        <w:t>increase</w:t>
      </w:r>
    </w:p>
    <w:p>
      <w:pPr>
        <w:spacing w:after="0" w:line="18" w:lineRule="exact"/>
        <w:rPr>
          <w:sz w:val="20"/>
          <w:szCs w:val="20"/>
          <w:color w:val="auto"/>
        </w:rPr>
      </w:pPr>
    </w:p>
    <w:p>
      <w:pPr>
        <w:jc w:val="both"/>
        <w:ind w:right="20"/>
        <w:spacing w:after="0" w:line="233" w:lineRule="auto"/>
        <w:rPr>
          <w:sz w:val="20"/>
          <w:szCs w:val="20"/>
          <w:color w:val="auto"/>
        </w:rPr>
      </w:pPr>
      <w:r>
        <w:rPr>
          <w:rFonts w:ascii="Arial" w:cs="Arial" w:eastAsia="Arial" w:hAnsi="Arial"/>
          <w:sz w:val="21"/>
          <w:szCs w:val="21"/>
          <w:color w:val="auto"/>
        </w:rPr>
        <w:t xml:space="preserve">the aggregate </w:t>
      </w:r>
      <w:r>
        <w:rPr>
          <w:rFonts w:ascii="Arial" w:cs="Arial" w:eastAsia="Arial" w:hAnsi="Arial"/>
          <w:sz w:val="25"/>
          <w:szCs w:val="25"/>
          <w:b w:val="1"/>
          <w:bCs w:val="1"/>
          <w:u w:val="single" w:color="auto"/>
          <w:color w:val="auto"/>
        </w:rPr>
        <w:t>[</w:t>
      </w:r>
      <w:r>
        <w:rPr>
          <w:rFonts w:ascii="Arial" w:cs="Arial" w:eastAsia="Arial" w:hAnsi="Arial"/>
          <w:sz w:val="21"/>
          <w:szCs w:val="21"/>
          <w:color w:val="auto"/>
        </w:rPr>
        <w:t>Revolving</w:t>
      </w:r>
      <w:r>
        <w:rPr>
          <w:rFonts w:ascii="Arial" w:cs="Arial" w:eastAsia="Arial" w:hAnsi="Arial"/>
          <w:sz w:val="25"/>
          <w:szCs w:val="25"/>
          <w:b w:val="1"/>
          <w:bCs w:val="1"/>
          <w:u w:val="single" w:color="auto"/>
          <w:color w:val="auto"/>
        </w:rPr>
        <w:t>]</w:t>
      </w:r>
      <w:r>
        <w:rPr>
          <w:rFonts w:ascii="Arial" w:cs="Arial" w:eastAsia="Arial" w:hAnsi="Arial"/>
          <w:sz w:val="21"/>
          <w:szCs w:val="21"/>
          <w:color w:val="auto"/>
        </w:rPr>
        <w:t xml:space="preserve"> Commitments</w:t>
      </w:r>
      <w:r>
        <w:rPr>
          <w:rFonts w:ascii="Arial" w:cs="Arial" w:eastAsia="Arial" w:hAnsi="Arial"/>
          <w:sz w:val="25"/>
          <w:szCs w:val="25"/>
          <w:b w:val="1"/>
          <w:bCs w:val="1"/>
          <w:u w:val="single" w:color="auto"/>
          <w:color w:val="auto"/>
        </w:rPr>
        <w:t>] [</w:t>
      </w:r>
      <w:r>
        <w:rPr>
          <w:rFonts w:ascii="Arial" w:cs="Arial" w:eastAsia="Arial" w:hAnsi="Arial"/>
          <w:sz w:val="21"/>
          <w:szCs w:val="21"/>
          <w:color w:val="auto"/>
        </w:rPr>
        <w:t>and</w:t>
      </w:r>
      <w:r>
        <w:rPr>
          <w:rFonts w:ascii="Arial" w:cs="Arial" w:eastAsia="Arial" w:hAnsi="Arial"/>
          <w:sz w:val="25"/>
          <w:szCs w:val="25"/>
          <w:b w:val="1"/>
          <w:bCs w:val="1"/>
          <w:u w:val="single" w:color="auto"/>
          <w:color w:val="auto"/>
        </w:rPr>
        <w:t>] [</w:t>
      </w:r>
      <w:r>
        <w:rPr>
          <w:rFonts w:ascii="Arial" w:cs="Arial" w:eastAsia="Arial" w:hAnsi="Arial"/>
          <w:sz w:val="21"/>
          <w:szCs w:val="21"/>
          <w:color w:val="auto"/>
        </w:rPr>
        <w:t>enter into a tranche of Incremental Term Loans</w:t>
      </w:r>
      <w:r>
        <w:rPr>
          <w:rFonts w:ascii="Arial" w:cs="Arial" w:eastAsia="Arial" w:hAnsi="Arial"/>
          <w:sz w:val="25"/>
          <w:szCs w:val="25"/>
          <w:b w:val="1"/>
          <w:bCs w:val="1"/>
          <w:u w:val="single" w:color="auto"/>
          <w:color w:val="auto"/>
        </w:rPr>
        <w:t>]</w:t>
      </w:r>
      <w:r>
        <w:rPr>
          <w:rFonts w:ascii="Arial" w:cs="Arial" w:eastAsia="Arial" w:hAnsi="Arial"/>
          <w:sz w:val="21"/>
          <w:szCs w:val="21"/>
          <w:color w:val="auto"/>
        </w:rPr>
        <w:t xml:space="preserve"> pursuant to such Section 2.22;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1347470</wp:posOffset>
            </wp:positionH>
            <wp:positionV relativeFrom="paragraph">
              <wp:posOffset>-13970</wp:posOffset>
            </wp:positionV>
            <wp:extent cx="508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18" w:lineRule="exact"/>
        <w:rPr>
          <w:sz w:val="20"/>
          <w:szCs w:val="20"/>
          <w:color w:val="auto"/>
        </w:rPr>
      </w:pPr>
    </w:p>
    <w:p>
      <w:pPr>
        <w:jc w:val="both"/>
        <w:ind w:firstLine="1286"/>
        <w:spacing w:after="0" w:line="245" w:lineRule="auto"/>
        <w:rPr>
          <w:sz w:val="20"/>
          <w:szCs w:val="20"/>
          <w:color w:val="auto"/>
        </w:rPr>
      </w:pPr>
      <w:r>
        <w:rPr>
          <w:rFonts w:ascii="Arial" w:cs="Arial" w:eastAsia="Arial" w:hAnsi="Arial"/>
          <w:sz w:val="19"/>
          <w:szCs w:val="19"/>
          <w:color w:val="auto"/>
        </w:rPr>
        <w:t xml:space="preserve">WHEREAS, pursuant to Section 2.22 of the Credit Agreement, the undersigned Increasing Lender now desires to </w:t>
      </w:r>
      <w:r>
        <w:rPr>
          <w:rFonts w:ascii="Arial" w:cs="Arial" w:eastAsia="Arial" w:hAnsi="Arial"/>
          <w:sz w:val="22"/>
          <w:szCs w:val="22"/>
          <w:b w:val="1"/>
          <w:bCs w:val="1"/>
          <w:u w:val="single" w:color="auto"/>
          <w:color w:val="auto"/>
        </w:rPr>
        <w:t>[</w:t>
      </w:r>
      <w:r>
        <w:rPr>
          <w:rFonts w:ascii="Arial" w:cs="Arial" w:eastAsia="Arial" w:hAnsi="Arial"/>
          <w:sz w:val="19"/>
          <w:szCs w:val="19"/>
          <w:color w:val="auto"/>
        </w:rPr>
        <w:t xml:space="preserve">increase the amount of its </w:t>
      </w:r>
      <w:r>
        <w:rPr>
          <w:rFonts w:ascii="Arial" w:cs="Arial" w:eastAsia="Arial" w:hAnsi="Arial"/>
          <w:sz w:val="22"/>
          <w:szCs w:val="22"/>
          <w:b w:val="1"/>
          <w:bCs w:val="1"/>
          <w:u w:val="single" w:color="auto"/>
          <w:color w:val="auto"/>
        </w:rPr>
        <w:t>[</w:t>
      </w:r>
      <w:r>
        <w:rPr>
          <w:rFonts w:ascii="Arial" w:cs="Arial" w:eastAsia="Arial" w:hAnsi="Arial"/>
          <w:sz w:val="19"/>
          <w:szCs w:val="19"/>
          <w:color w:val="auto"/>
        </w:rPr>
        <w:t>Revolving</w:t>
      </w:r>
      <w:r>
        <w:rPr>
          <w:rFonts w:ascii="Arial" w:cs="Arial" w:eastAsia="Arial" w:hAnsi="Arial"/>
          <w:sz w:val="22"/>
          <w:szCs w:val="22"/>
          <w:b w:val="1"/>
          <w:bCs w:val="1"/>
          <w:u w:val="single" w:color="auto"/>
          <w:color w:val="auto"/>
        </w:rPr>
        <w:t>]</w:t>
      </w:r>
      <w:r>
        <w:rPr>
          <w:rFonts w:ascii="Arial" w:cs="Arial" w:eastAsia="Arial" w:hAnsi="Arial"/>
          <w:sz w:val="19"/>
          <w:szCs w:val="19"/>
          <w:color w:val="auto"/>
        </w:rPr>
        <w:t xml:space="preserve"> Commitment</w:t>
      </w:r>
      <w:r>
        <w:rPr>
          <w:rFonts w:ascii="Arial" w:cs="Arial" w:eastAsia="Arial" w:hAnsi="Arial"/>
          <w:sz w:val="22"/>
          <w:szCs w:val="22"/>
          <w:b w:val="1"/>
          <w:bCs w:val="1"/>
          <w:u w:val="single" w:color="auto"/>
          <w:color w:val="auto"/>
        </w:rPr>
        <w:t>] [</w:t>
      </w:r>
      <w:r>
        <w:rPr>
          <w:rFonts w:ascii="Arial" w:cs="Arial" w:eastAsia="Arial" w:hAnsi="Arial"/>
          <w:sz w:val="19"/>
          <w:szCs w:val="19"/>
          <w:color w:val="auto"/>
        </w:rPr>
        <w:t>and</w:t>
      </w:r>
      <w:r>
        <w:rPr>
          <w:rFonts w:ascii="Arial" w:cs="Arial" w:eastAsia="Arial" w:hAnsi="Arial"/>
          <w:sz w:val="22"/>
          <w:szCs w:val="22"/>
          <w:b w:val="1"/>
          <w:bCs w:val="1"/>
          <w:u w:val="single" w:color="auto"/>
          <w:color w:val="auto"/>
        </w:rPr>
        <w:t>] [</w:t>
      </w:r>
      <w:r>
        <w:rPr>
          <w:rFonts w:ascii="Arial" w:cs="Arial" w:eastAsia="Arial" w:hAnsi="Arial"/>
          <w:sz w:val="19"/>
          <w:szCs w:val="19"/>
          <w:color w:val="auto"/>
        </w:rPr>
        <w:t>participate in a tranche of Incremental</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1"/>
          <w:szCs w:val="21"/>
          <w:color w:val="auto"/>
        </w:rPr>
        <w:t>Term Loans</w:t>
      </w:r>
      <w:r>
        <w:rPr>
          <w:rFonts w:ascii="Arial" w:cs="Arial" w:eastAsia="Arial" w:hAnsi="Arial"/>
          <w:sz w:val="25"/>
          <w:szCs w:val="25"/>
          <w:b w:val="1"/>
          <w:bCs w:val="1"/>
          <w:u w:val="single" w:color="auto"/>
          <w:color w:val="auto"/>
        </w:rPr>
        <w:t>]</w:t>
      </w:r>
      <w:r>
        <w:rPr>
          <w:rFonts w:ascii="Arial" w:cs="Arial" w:eastAsia="Arial" w:hAnsi="Arial"/>
          <w:sz w:val="21"/>
          <w:szCs w:val="21"/>
          <w:color w:val="auto"/>
        </w:rPr>
        <w:t xml:space="preserve"> under the Credit Agreement by executing and delivering to the Borrower and the Administrative Agent this Supplement;</w:t>
      </w:r>
    </w:p>
    <w:p>
      <w:pPr>
        <w:spacing w:after="0" w:line="197"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NOW, THEREFORE, each of the parties hereto hereby agrees as follows:</w:t>
      </w:r>
    </w:p>
    <w:p>
      <w:pPr>
        <w:spacing w:after="0" w:line="228" w:lineRule="exact"/>
        <w:rPr>
          <w:sz w:val="20"/>
          <w:szCs w:val="20"/>
          <w:color w:val="auto"/>
        </w:rPr>
      </w:pPr>
    </w:p>
    <w:p>
      <w:pPr>
        <w:ind w:right="500" w:firstLine="1281"/>
        <w:spacing w:after="0" w:line="237" w:lineRule="auto"/>
        <w:tabs>
          <w:tab w:leader="none" w:pos="1657" w:val="left"/>
        </w:tabs>
        <w:numPr>
          <w:ilvl w:val="0"/>
          <w:numId w:val="257"/>
        </w:numPr>
        <w:rPr>
          <w:rFonts w:ascii="Arial" w:cs="Arial" w:eastAsia="Arial" w:hAnsi="Arial"/>
          <w:sz w:val="21"/>
          <w:szCs w:val="21"/>
          <w:color w:val="auto"/>
        </w:rPr>
      </w:pPr>
      <w:r>
        <w:rPr>
          <w:rFonts w:ascii="Arial" w:cs="Arial" w:eastAsia="Arial" w:hAnsi="Arial"/>
          <w:sz w:val="21"/>
          <w:szCs w:val="21"/>
          <w:color w:val="auto"/>
        </w:rPr>
        <w:t xml:space="preserve">The undersigned Increasing Lender agrees, subject to the terms and conditions of the Credit Agreement, that on the date of this Supplement it shall </w:t>
      </w:r>
      <w:r>
        <w:rPr>
          <w:rFonts w:ascii="Arial" w:cs="Arial" w:eastAsia="Arial" w:hAnsi="Arial"/>
          <w:sz w:val="25"/>
          <w:szCs w:val="25"/>
          <w:b w:val="1"/>
          <w:bCs w:val="1"/>
          <w:u w:val="single" w:color="auto"/>
          <w:color w:val="auto"/>
        </w:rPr>
        <w:t>[</w:t>
      </w:r>
      <w:r>
        <w:rPr>
          <w:rFonts w:ascii="Arial" w:cs="Arial" w:eastAsia="Arial" w:hAnsi="Arial"/>
          <w:sz w:val="21"/>
          <w:szCs w:val="21"/>
          <w:color w:val="auto"/>
        </w:rPr>
        <w:t>have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-19685</wp:posOffset>
            </wp:positionV>
            <wp:extent cx="508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5440" w:type="dxa"/>
            <w:vAlign w:val="bottom"/>
            <w:gridSpan w:val="13"/>
            <w:vMerge w:val="restart"/>
          </w:tcPr>
          <w:p>
            <w:pPr>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color w:val="auto"/>
              </w:rPr>
              <w:t>Revolving</w:t>
            </w:r>
            <w:r>
              <w:rPr>
                <w:rFonts w:ascii="Arial" w:cs="Arial" w:eastAsia="Arial" w:hAnsi="Arial"/>
                <w:sz w:val="25"/>
                <w:szCs w:val="25"/>
                <w:b w:val="1"/>
                <w:bCs w:val="1"/>
                <w:color w:val="auto"/>
              </w:rPr>
              <w:t xml:space="preserve">] </w:t>
            </w:r>
            <w:r>
              <w:rPr>
                <w:rFonts w:ascii="Arial" w:cs="Arial" w:eastAsia="Arial" w:hAnsi="Arial"/>
                <w:sz w:val="21"/>
                <w:szCs w:val="21"/>
                <w:color w:val="auto"/>
              </w:rPr>
              <w:t>Commitment increased by $</w:t>
            </w:r>
            <w:r>
              <w:rPr>
                <w:rFonts w:ascii="Arial" w:cs="Arial" w:eastAsia="Arial" w:hAnsi="Arial"/>
                <w:sz w:val="25"/>
                <w:szCs w:val="25"/>
                <w:b w:val="1"/>
                <w:bCs w:val="1"/>
                <w:color w:val="auto"/>
              </w:rPr>
              <w:t>[</w:t>
            </w:r>
          </w:p>
        </w:tc>
        <w:tc>
          <w:tcPr>
            <w:tcW w:w="22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3680" w:type="dxa"/>
            <w:vAlign w:val="bottom"/>
            <w:gridSpan w:val="10"/>
            <w:vMerge w:val="restart"/>
          </w:tcPr>
          <w:p>
            <w:pPr>
              <w:jc w:val="right"/>
              <w:spacing w:after="0"/>
              <w:rPr>
                <w:sz w:val="20"/>
                <w:szCs w:val="20"/>
                <w:color w:val="auto"/>
              </w:rPr>
            </w:pPr>
            <w:r>
              <w:rPr>
                <w:rFonts w:ascii="Arial" w:cs="Arial" w:eastAsia="Arial" w:hAnsi="Arial"/>
                <w:sz w:val="25"/>
                <w:szCs w:val="25"/>
                <w:b w:val="1"/>
                <w:bCs w:val="1"/>
                <w:color w:val="auto"/>
                <w:w w:val="91"/>
              </w:rPr>
              <w:t>]</w:t>
            </w:r>
            <w:r>
              <w:rPr>
                <w:rFonts w:ascii="Arial" w:cs="Arial" w:eastAsia="Arial" w:hAnsi="Arial"/>
                <w:sz w:val="21"/>
                <w:szCs w:val="21"/>
                <w:color w:val="auto"/>
                <w:w w:val="91"/>
              </w:rPr>
              <w:t>, thereby making the aggregate amount of</w:t>
            </w:r>
          </w:p>
        </w:tc>
        <w:tc>
          <w:tcPr>
            <w:tcW w:w="0" w:type="dxa"/>
            <w:vAlign w:val="bottom"/>
          </w:tcPr>
          <w:p>
            <w:pPr>
              <w:spacing w:after="0"/>
              <w:rPr>
                <w:sz w:val="1"/>
                <w:szCs w:val="1"/>
                <w:color w:val="auto"/>
              </w:rPr>
            </w:pPr>
          </w:p>
        </w:tc>
      </w:tr>
      <w:tr>
        <w:trPr>
          <w:trHeight w:val="60"/>
        </w:trPr>
        <w:tc>
          <w:tcPr>
            <w:tcW w:w="1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5440" w:type="dxa"/>
            <w:vAlign w:val="bottom"/>
            <w:gridSpan w:val="13"/>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368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restart"/>
          </w:tcPr>
          <w:p>
            <w:pPr>
              <w:spacing w:after="0"/>
              <w:rPr>
                <w:sz w:val="20"/>
                <w:szCs w:val="20"/>
                <w:color w:val="auto"/>
              </w:rPr>
            </w:pPr>
            <w:r>
              <w:rPr>
                <w:rFonts w:ascii="Arial" w:cs="Arial" w:eastAsia="Arial" w:hAnsi="Arial"/>
                <w:sz w:val="19"/>
                <w:szCs w:val="19"/>
                <w:color w:val="auto"/>
                <w:w w:val="73"/>
              </w:rPr>
              <w:t>its</w:t>
            </w:r>
          </w:p>
        </w:tc>
        <w:tc>
          <w:tcPr>
            <w:tcW w:w="4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580" w:type="dxa"/>
            <w:vAlign w:val="bottom"/>
            <w:gridSpan w:val="9"/>
            <w:vMerge w:val="restart"/>
          </w:tcPr>
          <w:p>
            <w:pPr>
              <w:jc w:val="right"/>
              <w:spacing w:after="0" w:line="268" w:lineRule="exact"/>
              <w:rPr>
                <w:sz w:val="20"/>
                <w:szCs w:val="20"/>
                <w:color w:val="auto"/>
              </w:rPr>
            </w:pPr>
            <w:r>
              <w:rPr>
                <w:rFonts w:ascii="Arial" w:cs="Arial" w:eastAsia="Arial" w:hAnsi="Arial"/>
                <w:sz w:val="25"/>
                <w:szCs w:val="25"/>
                <w:b w:val="1"/>
                <w:bCs w:val="1"/>
                <w:color w:val="auto"/>
              </w:rPr>
              <w:t>]] [</w:t>
            </w:r>
            <w:r>
              <w:rPr>
                <w:rFonts w:ascii="Arial" w:cs="Arial" w:eastAsia="Arial" w:hAnsi="Arial"/>
                <w:sz w:val="21"/>
                <w:szCs w:val="21"/>
                <w:color w:val="auto"/>
              </w:rPr>
              <w:t>and</w:t>
            </w:r>
            <w:r>
              <w:rPr>
                <w:rFonts w:ascii="Arial" w:cs="Arial" w:eastAsia="Arial" w:hAnsi="Arial"/>
                <w:sz w:val="25"/>
                <w:szCs w:val="25"/>
                <w:b w:val="1"/>
                <w:bCs w:val="1"/>
                <w:color w:val="auto"/>
              </w:rPr>
              <w:t>] [</w:t>
            </w:r>
            <w:r>
              <w:rPr>
                <w:rFonts w:ascii="Arial" w:cs="Arial" w:eastAsia="Arial" w:hAnsi="Arial"/>
                <w:sz w:val="21"/>
                <w:szCs w:val="21"/>
                <w:color w:val="auto"/>
              </w:rPr>
              <w:t>participate in a tranche of</w:t>
            </w:r>
          </w:p>
        </w:tc>
        <w:tc>
          <w:tcPr>
            <w:tcW w:w="0" w:type="dxa"/>
            <w:vAlign w:val="bottom"/>
          </w:tcPr>
          <w:p>
            <w:pPr>
              <w:spacing w:after="0" w:line="20" w:lineRule="exact"/>
              <w:rPr>
                <w:sz w:val="1"/>
                <w:szCs w:val="1"/>
                <w:color w:val="auto"/>
              </w:rPr>
            </w:pPr>
          </w:p>
        </w:tc>
      </w:tr>
      <w:tr>
        <w:trPr>
          <w:trHeight w:val="248"/>
        </w:trPr>
        <w:tc>
          <w:tcPr>
            <w:tcW w:w="180" w:type="dxa"/>
            <w:vAlign w:val="bottom"/>
            <w:gridSpan w:val="2"/>
            <w:vMerge w:val="continue"/>
          </w:tcPr>
          <w:p>
            <w:pPr>
              <w:spacing w:after="0"/>
              <w:rPr>
                <w:sz w:val="21"/>
                <w:szCs w:val="21"/>
                <w:color w:val="auto"/>
              </w:rPr>
            </w:pPr>
          </w:p>
        </w:tc>
        <w:tc>
          <w:tcPr>
            <w:tcW w:w="5440" w:type="dxa"/>
            <w:vAlign w:val="bottom"/>
            <w:gridSpan w:val="13"/>
          </w:tcPr>
          <w:p>
            <w:pPr>
              <w:ind w:left="80"/>
              <w:spacing w:after="0" w:line="248" w:lineRule="exact"/>
              <w:rPr>
                <w:sz w:val="20"/>
                <w:szCs w:val="20"/>
                <w:color w:val="auto"/>
              </w:rPr>
            </w:pPr>
            <w:r>
              <w:rPr>
                <w:rFonts w:ascii="Arial" w:cs="Arial" w:eastAsia="Arial" w:hAnsi="Arial"/>
                <w:sz w:val="21"/>
                <w:szCs w:val="21"/>
                <w:color w:val="auto"/>
              </w:rPr>
              <w:t xml:space="preserve">total </w:t>
            </w:r>
            <w:r>
              <w:rPr>
                <w:rFonts w:ascii="Arial" w:cs="Arial" w:eastAsia="Arial" w:hAnsi="Arial"/>
                <w:sz w:val="25"/>
                <w:szCs w:val="25"/>
                <w:b w:val="1"/>
                <w:bCs w:val="1"/>
                <w:color w:val="auto"/>
              </w:rPr>
              <w:t>[</w:t>
            </w:r>
            <w:r>
              <w:rPr>
                <w:rFonts w:ascii="Arial" w:cs="Arial" w:eastAsia="Arial" w:hAnsi="Arial"/>
                <w:sz w:val="21"/>
                <w:szCs w:val="21"/>
                <w:color w:val="auto"/>
              </w:rPr>
              <w:t>Revolving</w:t>
            </w:r>
            <w:r>
              <w:rPr>
                <w:rFonts w:ascii="Arial" w:cs="Arial" w:eastAsia="Arial" w:hAnsi="Arial"/>
                <w:sz w:val="25"/>
                <w:szCs w:val="25"/>
                <w:b w:val="1"/>
                <w:bCs w:val="1"/>
                <w:color w:val="auto"/>
              </w:rPr>
              <w:t>]</w:t>
            </w:r>
            <w:r>
              <w:rPr>
                <w:rFonts w:ascii="Arial" w:cs="Arial" w:eastAsia="Arial" w:hAnsi="Arial"/>
                <w:sz w:val="21"/>
                <w:szCs w:val="21"/>
                <w:color w:val="auto"/>
              </w:rPr>
              <w:t xml:space="preserve"> Commitments equal to $</w:t>
            </w:r>
            <w:r>
              <w:rPr>
                <w:rFonts w:ascii="Arial" w:cs="Arial" w:eastAsia="Arial" w:hAnsi="Arial"/>
                <w:sz w:val="25"/>
                <w:szCs w:val="25"/>
                <w:b w:val="1"/>
                <w:bCs w:val="1"/>
                <w:color w:val="auto"/>
              </w:rPr>
              <w:t>[</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80" w:type="dxa"/>
            <w:vAlign w:val="bottom"/>
            <w:gridSpan w:val="9"/>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5620" w:type="dxa"/>
            <w:vAlign w:val="bottom"/>
            <w:gridSpan w:val="15"/>
          </w:tcPr>
          <w:p>
            <w:pPr>
              <w:spacing w:after="0"/>
              <w:rPr>
                <w:sz w:val="20"/>
                <w:szCs w:val="20"/>
                <w:color w:val="auto"/>
              </w:rPr>
            </w:pPr>
            <w:r>
              <w:rPr>
                <w:rFonts w:ascii="Arial" w:cs="Arial" w:eastAsia="Arial" w:hAnsi="Arial"/>
                <w:sz w:val="21"/>
                <w:szCs w:val="21"/>
                <w:color w:val="auto"/>
                <w:w w:val="94"/>
              </w:rPr>
              <w:t>Incremental Term Loans with a commitment amount equal to $</w:t>
            </w:r>
            <w:r>
              <w:rPr>
                <w:rFonts w:ascii="Arial" w:cs="Arial" w:eastAsia="Arial" w:hAnsi="Arial"/>
                <w:sz w:val="25"/>
                <w:szCs w:val="25"/>
                <w:b w:val="1"/>
                <w:bCs w:val="1"/>
                <w:color w:val="auto"/>
                <w:w w:val="94"/>
              </w:rPr>
              <w:t>[</w:t>
            </w:r>
          </w:p>
        </w:tc>
        <w:tc>
          <w:tcPr>
            <w:tcW w:w="4360" w:type="dxa"/>
            <w:vAlign w:val="bottom"/>
            <w:gridSpan w:val="12"/>
          </w:tcPr>
          <w:p>
            <w:pPr>
              <w:jc w:val="right"/>
              <w:ind w:right="3040"/>
              <w:spacing w:after="0"/>
              <w:rPr>
                <w:sz w:val="20"/>
                <w:szCs w:val="20"/>
                <w:color w:val="auto"/>
              </w:rPr>
            </w:pPr>
            <w:r>
              <w:rPr>
                <w:rFonts w:ascii="Arial" w:cs="Arial" w:eastAsia="Arial" w:hAnsi="Arial"/>
                <w:sz w:val="25"/>
                <w:szCs w:val="25"/>
                <w:b w:val="1"/>
                <w:bCs w:val="1"/>
                <w:color w:val="auto"/>
              </w:rPr>
              <w:t xml:space="preserve">] </w:t>
            </w:r>
            <w:r>
              <w:rPr>
                <w:rFonts w:ascii="Arial" w:cs="Arial" w:eastAsia="Arial" w:hAnsi="Arial"/>
                <w:sz w:val="21"/>
                <w:szCs w:val="21"/>
                <w:color w:val="auto"/>
              </w:rPr>
              <w:t>with respect</w:t>
            </w:r>
          </w:p>
        </w:tc>
        <w:tc>
          <w:tcPr>
            <w:tcW w:w="0" w:type="dxa"/>
            <w:vAlign w:val="bottom"/>
          </w:tcPr>
          <w:p>
            <w:pPr>
              <w:spacing w:after="0"/>
              <w:rPr>
                <w:sz w:val="1"/>
                <w:szCs w:val="1"/>
                <w:color w:val="auto"/>
              </w:rPr>
            </w:pPr>
          </w:p>
        </w:tc>
      </w:tr>
      <w:tr>
        <w:trPr>
          <w:trHeight w:val="248"/>
        </w:trPr>
        <w:tc>
          <w:tcPr>
            <w:tcW w:w="5420" w:type="dxa"/>
            <w:vAlign w:val="bottom"/>
            <w:gridSpan w:val="14"/>
          </w:tcPr>
          <w:p>
            <w:pPr>
              <w:spacing w:after="0" w:line="248" w:lineRule="exact"/>
              <w:rPr>
                <w:sz w:val="20"/>
                <w:szCs w:val="20"/>
                <w:color w:val="auto"/>
              </w:rPr>
            </w:pPr>
            <w:r>
              <w:rPr>
                <w:rFonts w:ascii="Arial" w:cs="Arial" w:eastAsia="Arial" w:hAnsi="Arial"/>
                <w:sz w:val="21"/>
                <w:szCs w:val="21"/>
                <w:color w:val="auto"/>
              </w:rPr>
              <w:t>thereto</w:t>
            </w:r>
            <w:r>
              <w:rPr>
                <w:rFonts w:ascii="Arial" w:cs="Arial" w:eastAsia="Arial" w:hAnsi="Arial"/>
                <w:sz w:val="25"/>
                <w:szCs w:val="25"/>
                <w:b w:val="1"/>
                <w:bCs w:val="1"/>
                <w:color w:val="auto"/>
              </w:rPr>
              <w:t>]</w:t>
            </w:r>
            <w:r>
              <w:rPr>
                <w:rFonts w:ascii="Arial" w:cs="Arial" w:eastAsia="Arial" w:hAnsi="Arial"/>
                <w:sz w:val="21"/>
                <w:szCs w:val="21"/>
                <w:color w:val="auto"/>
              </w:rPr>
              <w:t>.</w:t>
            </w:r>
          </w:p>
        </w:tc>
        <w:tc>
          <w:tcPr>
            <w:tcW w:w="2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-552450</wp:posOffset>
            </wp:positionV>
            <wp:extent cx="1193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-552450</wp:posOffset>
            </wp:positionV>
            <wp:extent cx="1619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8255</wp:posOffset>
            </wp:positionV>
            <wp:extent cx="508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388" w:lineRule="exact"/>
        <w:rPr>
          <w:sz w:val="20"/>
          <w:szCs w:val="20"/>
          <w:color w:val="auto"/>
        </w:rPr>
      </w:pPr>
    </w:p>
    <w:p>
      <w:pPr>
        <w:ind w:right="240" w:firstLine="1281"/>
        <w:spacing w:after="0" w:line="244" w:lineRule="auto"/>
        <w:tabs>
          <w:tab w:leader="none" w:pos="1657" w:val="left"/>
        </w:tabs>
        <w:numPr>
          <w:ilvl w:val="0"/>
          <w:numId w:val="258"/>
        </w:numPr>
        <w:rPr>
          <w:rFonts w:ascii="Arial" w:cs="Arial" w:eastAsia="Arial" w:hAnsi="Arial"/>
          <w:sz w:val="21"/>
          <w:szCs w:val="21"/>
          <w:color w:val="auto"/>
        </w:rPr>
      </w:pPr>
      <w:r>
        <w:rPr>
          <w:rFonts w:ascii="Arial" w:cs="Arial" w:eastAsia="Arial" w:hAnsi="Arial"/>
          <w:sz w:val="21"/>
          <w:szCs w:val="21"/>
          <w:color w:val="auto"/>
        </w:rPr>
        <w:t>The Borrower hereby represents and warrants that no Default or Event of Default has occurred and is continuing on and as of the date hereof.</w:t>
      </w:r>
    </w:p>
    <w:p>
      <w:pPr>
        <w:spacing w:after="0" w:line="192" w:lineRule="exact"/>
        <w:rPr>
          <w:rFonts w:ascii="Arial" w:cs="Arial" w:eastAsia="Arial" w:hAnsi="Arial"/>
          <w:sz w:val="21"/>
          <w:szCs w:val="21"/>
          <w:color w:val="auto"/>
        </w:rPr>
      </w:pPr>
    </w:p>
    <w:p>
      <w:pPr>
        <w:ind w:left="1660" w:hanging="379"/>
        <w:spacing w:after="0"/>
        <w:tabs>
          <w:tab w:leader="none" w:pos="166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Terms defined in the Credit Agreement shall have their defined meanings when used herein.</w:t>
      </w:r>
    </w:p>
    <w:p>
      <w:pPr>
        <w:spacing w:after="0" w:line="225" w:lineRule="exact"/>
        <w:rPr>
          <w:rFonts w:ascii="Arial" w:cs="Arial" w:eastAsia="Arial" w:hAnsi="Arial"/>
          <w:sz w:val="20"/>
          <w:szCs w:val="20"/>
          <w:color w:val="auto"/>
        </w:rPr>
      </w:pPr>
    </w:p>
    <w:p>
      <w:pPr>
        <w:ind w:left="1660" w:hanging="379"/>
        <w:spacing w:after="0"/>
        <w:tabs>
          <w:tab w:leader="none" w:pos="166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This Supplement shall be governed by, and construed in accordance with, the laws of the State of</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New York.</w:t>
      </w:r>
    </w:p>
    <w:p>
      <w:pPr>
        <w:sectPr>
          <w:pgSz w:w="11900" w:h="16838" w:orient="portrait"/>
          <w:cols w:equalWidth="0" w:num="1">
            <w:col w:w="10020"/>
          </w:cols>
          <w:pgMar w:left="940" w:top="748" w:right="939" w:bottom="1440" w:gutter="0" w:footer="0" w:header="0"/>
        </w:sectPr>
      </w:pPr>
    </w:p>
    <w:bookmarkStart w:id="286" w:name="page287"/>
    <w:bookmarkEnd w:id="286"/>
    <w:p>
      <w:pPr>
        <w:jc w:val="both"/>
        <w:ind w:left="540" w:firstLine="1281"/>
        <w:spacing w:after="0" w:line="232" w:lineRule="auto"/>
        <w:tabs>
          <w:tab w:leader="none" w:pos="2227" w:val="left"/>
        </w:tabs>
        <w:numPr>
          <w:ilvl w:val="0"/>
          <w:numId w:val="259"/>
        </w:numPr>
        <w:rPr>
          <w:rFonts w:ascii="Arial" w:cs="Arial" w:eastAsia="Arial" w:hAnsi="Arial"/>
          <w:sz w:val="21"/>
          <w:szCs w:val="21"/>
          <w:color w:val="auto"/>
        </w:rPr>
      </w:pPr>
      <w:r>
        <w:rPr>
          <w:rFonts w:ascii="Arial" w:cs="Arial" w:eastAsia="Arial" w:hAnsi="Arial"/>
          <w:sz w:val="21"/>
          <w:szCs w:val="21"/>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560"/>
          </w:cols>
          <w:pgMar w:left="400" w:top="1392" w:right="939" w:bottom="1440" w:gutter="0" w:footer="0" w:header="0"/>
        </w:sectPr>
      </w:pPr>
    </w:p>
    <w:bookmarkStart w:id="287" w:name="page288"/>
    <w:bookmarkEnd w:id="287"/>
    <w:p>
      <w:pPr>
        <w:spacing w:after="0" w:line="194" w:lineRule="exact"/>
        <w:rPr>
          <w:sz w:val="20"/>
          <w:szCs w:val="20"/>
          <w:color w:val="auto"/>
        </w:rPr>
      </w:pPr>
    </w:p>
    <w:p>
      <w:pPr>
        <w:ind w:left="540" w:firstLine="1286"/>
        <w:spacing w:after="0" w:line="244" w:lineRule="auto"/>
        <w:rPr>
          <w:sz w:val="20"/>
          <w:szCs w:val="20"/>
          <w:color w:val="auto"/>
        </w:rPr>
      </w:pPr>
      <w:r>
        <w:rPr>
          <w:rFonts w:ascii="Arial" w:cs="Arial" w:eastAsia="Arial" w:hAnsi="Arial"/>
          <w:sz w:val="21"/>
          <w:szCs w:val="21"/>
          <w:color w:val="auto"/>
        </w:rPr>
        <w:t>IN WITNESS WHEREOF, each of the undersigned has caused this Supplement to be executed and delivered by a duly authorized officer on the date first above written.</w:t>
      </w:r>
    </w:p>
    <w:p>
      <w:pPr>
        <w:spacing w:after="0" w:line="164" w:lineRule="exact"/>
        <w:rPr>
          <w:sz w:val="20"/>
          <w:szCs w:val="20"/>
          <w:color w:val="auto"/>
        </w:rPr>
      </w:pPr>
    </w:p>
    <w:p>
      <w:pPr>
        <w:ind w:left="440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INSERT NAME OF INCREASING LENDER</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2540</wp:posOffset>
            </wp:positionV>
            <wp:extent cx="1193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369" w:lineRule="exact"/>
        <w:rPr>
          <w:sz w:val="20"/>
          <w:szCs w:val="20"/>
          <w:color w:val="auto"/>
        </w:rPr>
      </w:pPr>
    </w:p>
    <w:p>
      <w:pPr>
        <w:ind w:left="4400"/>
        <w:spacing w:after="0"/>
        <w:tabs>
          <w:tab w:leader="none" w:pos="4960" w:val="left"/>
        </w:tabs>
        <w:rPr>
          <w:sz w:val="20"/>
          <w:szCs w:val="20"/>
          <w:color w:val="auto"/>
        </w:rPr>
      </w:pPr>
      <w:r>
        <w:rPr>
          <w:rFonts w:ascii="Arial" w:cs="Arial" w:eastAsia="Arial" w:hAnsi="Arial"/>
          <w:sz w:val="21"/>
          <w:szCs w:val="21"/>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-5715</wp:posOffset>
            </wp:positionV>
            <wp:extent cx="135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78" w:lineRule="exact"/>
        <w:rPr>
          <w:sz w:val="20"/>
          <w:szCs w:val="20"/>
          <w:color w:val="auto"/>
        </w:rPr>
      </w:pPr>
    </w:p>
    <w:p>
      <w:pPr>
        <w:ind w:left="540" w:right="3900"/>
        <w:spacing w:after="0" w:line="497" w:lineRule="auto"/>
        <w:rPr>
          <w:sz w:val="20"/>
          <w:szCs w:val="20"/>
          <w:color w:val="auto"/>
        </w:rPr>
      </w:pPr>
      <w:r>
        <w:rPr>
          <w:rFonts w:ascii="Arial" w:cs="Arial" w:eastAsia="Arial" w:hAnsi="Arial"/>
          <w:sz w:val="21"/>
          <w:szCs w:val="21"/>
          <w:color w:val="auto"/>
        </w:rPr>
        <w:t>Accepted and agreed to as of the date first written above: MISTRAS GROUP, INC.</w:t>
      </w:r>
    </w:p>
    <w:p>
      <w:pPr>
        <w:spacing w:after="0" w:line="50"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21"/>
          <w:szCs w:val="21"/>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135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1"/>
          <w:szCs w:val="21"/>
          <w:color w:val="auto"/>
        </w:rPr>
        <w:t>Title:</w:t>
      </w:r>
    </w:p>
    <w:p>
      <w:pPr>
        <w:spacing w:after="0" w:line="371" w:lineRule="exact"/>
        <w:rPr>
          <w:sz w:val="20"/>
          <w:szCs w:val="20"/>
          <w:color w:val="auto"/>
        </w:rPr>
      </w:pPr>
    </w:p>
    <w:p>
      <w:pPr>
        <w:ind w:left="540"/>
        <w:spacing w:after="0"/>
        <w:rPr>
          <w:sz w:val="20"/>
          <w:szCs w:val="20"/>
          <w:color w:val="auto"/>
        </w:rPr>
      </w:pPr>
      <w:r>
        <w:rPr>
          <w:rFonts w:ascii="Arial" w:cs="Arial" w:eastAsia="Arial" w:hAnsi="Arial"/>
          <w:sz w:val="21"/>
          <w:szCs w:val="21"/>
          <w:color w:val="auto"/>
        </w:rPr>
        <w:t>Acknowledged as of the date first written above: JPMORGAN</w:t>
      </w:r>
    </w:p>
    <w:p>
      <w:pPr>
        <w:spacing w:after="0" w:line="281" w:lineRule="exact"/>
        <w:rPr>
          <w:sz w:val="20"/>
          <w:szCs w:val="20"/>
          <w:color w:val="auto"/>
        </w:rPr>
      </w:pPr>
    </w:p>
    <w:p>
      <w:pPr>
        <w:ind w:left="540"/>
        <w:spacing w:after="0"/>
        <w:rPr>
          <w:sz w:val="20"/>
          <w:szCs w:val="20"/>
          <w:color w:val="auto"/>
        </w:rPr>
      </w:pPr>
      <w:r>
        <w:rPr>
          <w:rFonts w:ascii="Arial" w:cs="Arial" w:eastAsia="Arial" w:hAnsi="Arial"/>
          <w:sz w:val="21"/>
          <w:szCs w:val="21"/>
          <w:color w:val="auto"/>
        </w:rPr>
        <w:t>CHASE BANK, N.A.</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21"/>
          <w:szCs w:val="21"/>
          <w:color w:val="auto"/>
        </w:rPr>
        <w:t>as Administrative Agent</w:t>
      </w:r>
    </w:p>
    <w:p>
      <w:pPr>
        <w:spacing w:after="0" w:line="366"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21"/>
          <w:szCs w:val="21"/>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135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320"/>
          </w:cols>
          <w:pgMar w:left="400" w:top="1440" w:right="1179" w:bottom="1440" w:gutter="0" w:footer="0" w:header="0"/>
        </w:sectPr>
      </w:pPr>
    </w:p>
    <w:bookmarkStart w:id="288" w:name="page289"/>
    <w:bookmarkEnd w:id="288"/>
    <w:tbl>
      <w:tblPr>
        <w:tblLayout w:type="fixed"/>
        <w:tblInd w:w="1820" w:type="dxa"/>
        <w:tblCellMar>
          <w:top w:w="0" w:type="dxa"/>
          <w:left w:w="0" w:type="dxa"/>
          <w:bottom w:w="0" w:type="dxa"/>
          <w:right w:w="0" w:type="dxa"/>
        </w:tblCellMar>
      </w:tblPr>
      <w:tr>
        <w:trPr>
          <w:trHeight w:val="273"/>
        </w:trPr>
        <w:tc>
          <w:tcPr>
            <w:tcW w:w="1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3"/>
          </w:tcPr>
          <w:p>
            <w:pPr>
              <w:ind w:left="180"/>
              <w:spacing w:after="0"/>
              <w:rPr>
                <w:sz w:val="20"/>
                <w:szCs w:val="20"/>
                <w:color w:val="auto"/>
              </w:rPr>
            </w:pPr>
            <w:r>
              <w:rPr>
                <w:rFonts w:ascii="Arial" w:cs="Arial" w:eastAsia="Arial" w:hAnsi="Arial"/>
                <w:sz w:val="21"/>
                <w:szCs w:val="21"/>
                <w:color w:val="auto"/>
              </w:rPr>
              <w:t>EXHIBIT E</w:t>
            </w:r>
          </w:p>
        </w:tc>
        <w:tc>
          <w:tcPr>
            <w:tcW w:w="560" w:type="dxa"/>
            <w:vAlign w:val="bottom"/>
          </w:tcPr>
          <w:p>
            <w:pPr>
              <w:spacing w:after="0"/>
              <w:rPr>
                <w:sz w:val="23"/>
                <w:szCs w:val="23"/>
                <w:color w:val="auto"/>
              </w:rPr>
            </w:pPr>
          </w:p>
        </w:tc>
      </w:tr>
      <w:tr>
        <w:trPr>
          <w:trHeight w:val="375"/>
        </w:trPr>
        <w:tc>
          <w:tcPr>
            <w:tcW w:w="3580" w:type="dxa"/>
            <w:vAlign w:val="bottom"/>
            <w:gridSpan w:val="5"/>
          </w:tcPr>
          <w:p>
            <w:pPr>
              <w:ind w:left="500"/>
              <w:spacing w:after="0"/>
              <w:rPr>
                <w:sz w:val="20"/>
                <w:szCs w:val="20"/>
                <w:color w:val="auto"/>
              </w:rPr>
            </w:pPr>
            <w:r>
              <w:rPr>
                <w:rFonts w:ascii="Arial" w:cs="Arial" w:eastAsia="Arial" w:hAnsi="Arial"/>
                <w:sz w:val="21"/>
                <w:szCs w:val="21"/>
                <w:color w:val="auto"/>
              </w:rPr>
              <w:t>FORM OF AUGMENTING</w:t>
            </w:r>
          </w:p>
        </w:tc>
        <w:tc>
          <w:tcPr>
            <w:tcW w:w="560" w:type="dxa"/>
            <w:vAlign w:val="bottom"/>
          </w:tcPr>
          <w:p>
            <w:pPr>
              <w:spacing w:after="0"/>
              <w:rPr>
                <w:sz w:val="24"/>
                <w:szCs w:val="24"/>
                <w:color w:val="auto"/>
              </w:rPr>
            </w:pPr>
          </w:p>
        </w:tc>
      </w:tr>
      <w:tr>
        <w:trPr>
          <w:trHeight w:val="523"/>
        </w:trPr>
        <w:tc>
          <w:tcPr>
            <w:tcW w:w="3580" w:type="dxa"/>
            <w:vAlign w:val="bottom"/>
            <w:gridSpan w:val="5"/>
          </w:tcPr>
          <w:p>
            <w:pPr>
              <w:spacing w:after="0"/>
              <w:rPr>
                <w:sz w:val="20"/>
                <w:szCs w:val="20"/>
                <w:color w:val="auto"/>
              </w:rPr>
            </w:pPr>
            <w:r>
              <w:rPr>
                <w:rFonts w:ascii="Arial" w:cs="Arial" w:eastAsia="Arial" w:hAnsi="Arial"/>
                <w:sz w:val="21"/>
                <w:szCs w:val="21"/>
                <w:color w:val="auto"/>
              </w:rPr>
              <w:t>LENDER SUPPLEMENT</w:t>
            </w:r>
          </w:p>
        </w:tc>
        <w:tc>
          <w:tcPr>
            <w:tcW w:w="560" w:type="dxa"/>
            <w:vAlign w:val="bottom"/>
          </w:tcPr>
          <w:p>
            <w:pPr>
              <w:ind w:left="180"/>
              <w:spacing w:after="0"/>
              <w:rPr>
                <w:sz w:val="20"/>
                <w:szCs w:val="20"/>
                <w:color w:val="auto"/>
              </w:rPr>
            </w:pPr>
            <w:r>
              <w:rPr>
                <w:rFonts w:ascii="Arial" w:cs="Arial" w:eastAsia="Arial" w:hAnsi="Arial"/>
                <w:sz w:val="21"/>
                <w:szCs w:val="21"/>
                <w:color w:val="auto"/>
                <w:w w:val="90"/>
              </w:rPr>
              <w:t>(this</w:t>
            </w:r>
          </w:p>
        </w:tc>
      </w:tr>
      <w:tr>
        <w:trPr>
          <w:trHeight w:val="536"/>
        </w:trPr>
        <w:tc>
          <w:tcPr>
            <w:tcW w:w="3580" w:type="dxa"/>
            <w:vAlign w:val="bottom"/>
            <w:gridSpan w:val="5"/>
          </w:tcPr>
          <w:p>
            <w:pPr>
              <w:spacing w:after="0"/>
              <w:rPr>
                <w:sz w:val="20"/>
                <w:szCs w:val="20"/>
                <w:color w:val="auto"/>
              </w:rPr>
            </w:pPr>
            <w:r>
              <w:rPr>
                <w:rFonts w:ascii="Arial" w:cs="Arial" w:eastAsia="Arial" w:hAnsi="Arial"/>
                <w:sz w:val="21"/>
                <w:szCs w:val="21"/>
                <w:color w:val="auto"/>
              </w:rPr>
              <w:t>AUGMENTING LENDER</w:t>
            </w:r>
          </w:p>
        </w:tc>
        <w:tc>
          <w:tcPr>
            <w:tcW w:w="560" w:type="dxa"/>
            <w:vAlign w:val="bottom"/>
          </w:tcPr>
          <w:p>
            <w:pPr>
              <w:spacing w:after="0"/>
              <w:rPr>
                <w:sz w:val="24"/>
                <w:szCs w:val="24"/>
                <w:color w:val="auto"/>
              </w:rPr>
            </w:pPr>
          </w:p>
        </w:tc>
      </w:tr>
      <w:tr>
        <w:trPr>
          <w:trHeight w:val="472"/>
        </w:trPr>
        <w:tc>
          <w:tcPr>
            <w:tcW w:w="3580" w:type="dxa"/>
            <w:vAlign w:val="bottom"/>
            <w:gridSpan w:val="5"/>
          </w:tcPr>
          <w:p>
            <w:pPr>
              <w:spacing w:after="0"/>
              <w:rPr>
                <w:sz w:val="20"/>
                <w:szCs w:val="20"/>
                <w:color w:val="auto"/>
              </w:rPr>
            </w:pPr>
            <w:r>
              <w:rPr>
                <w:rFonts w:ascii="Arial" w:cs="Arial" w:eastAsia="Arial" w:hAnsi="Arial"/>
                <w:sz w:val="21"/>
                <w:szCs w:val="21"/>
                <w:color w:val="auto"/>
              </w:rPr>
              <w:t>SUPPLEMENT, dated   , 20</w:t>
            </w:r>
          </w:p>
        </w:tc>
        <w:tc>
          <w:tcPr>
            <w:tcW w:w="560" w:type="dxa"/>
            <w:vAlign w:val="bottom"/>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0059"/>
          </w:cols>
          <w:pgMar w:left="400" w:top="1392" w:right="1440" w:bottom="1440" w:gutter="0" w:footer="0" w:header="0"/>
        </w:sectPr>
      </w:pPr>
    </w:p>
    <w:bookmarkStart w:id="289" w:name="page290"/>
    <w:bookmarkEnd w:id="289"/>
    <w:p>
      <w:pPr>
        <w:jc w:val="both"/>
        <w:ind w:left="540"/>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Supplement</w:t>
      </w:r>
      <w:r>
        <w:rPr>
          <w:rFonts w:ascii="Arial" w:cs="Arial" w:eastAsia="Arial" w:hAnsi="Arial"/>
          <w:sz w:val="21"/>
          <w:szCs w:val="21"/>
          <w:color w:val="auto"/>
        </w:rPr>
        <w:t>”), by and among each of the signatories hereto, to the Credit Agreement, dated as of August 1, 2022 (as amended, restated, supplemented or otherwise modified from time to time, the “</w:t>
      </w:r>
      <w:r>
        <w:rPr>
          <w:rFonts w:ascii="Arial" w:cs="Arial" w:eastAsia="Arial" w:hAnsi="Arial"/>
          <w:sz w:val="21"/>
          <w:szCs w:val="21"/>
          <w:b w:val="1"/>
          <w:bCs w:val="1"/>
          <w:i w:val="1"/>
          <w:iCs w:val="1"/>
          <w:color w:val="auto"/>
        </w:rPr>
        <w:t>Credit Agreement</w:t>
      </w:r>
      <w:r>
        <w:rPr>
          <w:rFonts w:ascii="Arial" w:cs="Arial" w:eastAsia="Arial" w:hAnsi="Arial"/>
          <w:sz w:val="21"/>
          <w:szCs w:val="21"/>
          <w:color w:val="auto"/>
        </w:rPr>
        <w:t>”), among Mistras Group, Inc. (the “</w:t>
      </w:r>
      <w:r>
        <w:rPr>
          <w:rFonts w:ascii="Arial" w:cs="Arial" w:eastAsia="Arial" w:hAnsi="Arial"/>
          <w:sz w:val="21"/>
          <w:szCs w:val="21"/>
          <w:b w:val="1"/>
          <w:bCs w:val="1"/>
          <w:i w:val="1"/>
          <w:iCs w:val="1"/>
          <w:color w:val="auto"/>
        </w:rPr>
        <w:t>Borrower</w:t>
      </w:r>
      <w:r>
        <w:rPr>
          <w:rFonts w:ascii="Arial" w:cs="Arial" w:eastAsia="Arial" w:hAnsi="Arial"/>
          <w:sz w:val="21"/>
          <w:szCs w:val="21"/>
          <w:color w:val="auto"/>
        </w:rPr>
        <w:t>”), the Lenders party thereto and JPMorgan Chase Bank, N.A., as administrative agent (in such capacity, the “</w:t>
      </w:r>
      <w:r>
        <w:rPr>
          <w:rFonts w:ascii="Arial" w:cs="Arial" w:eastAsia="Arial" w:hAnsi="Arial"/>
          <w:sz w:val="21"/>
          <w:szCs w:val="21"/>
          <w:b w:val="1"/>
          <w:bCs w:val="1"/>
          <w:i w:val="1"/>
          <w:iCs w:val="1"/>
          <w:color w:val="auto"/>
        </w:rPr>
        <w:t>Administrative Agent</w:t>
      </w:r>
      <w:r>
        <w:rPr>
          <w:rFonts w:ascii="Arial" w:cs="Arial" w:eastAsia="Arial" w:hAnsi="Arial"/>
          <w:sz w:val="21"/>
          <w:szCs w:val="21"/>
          <w:color w:val="auto"/>
        </w:rPr>
        <w:t>”).</w:t>
      </w:r>
    </w:p>
    <w:p>
      <w:pPr>
        <w:spacing w:after="0" w:line="266"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W I T N E S E T H</w:t>
      </w:r>
    </w:p>
    <w:p>
      <w:pPr>
        <w:spacing w:after="0" w:line="228" w:lineRule="exact"/>
        <w:rPr>
          <w:sz w:val="20"/>
          <w:szCs w:val="20"/>
          <w:color w:val="auto"/>
        </w:rPr>
      </w:pPr>
    </w:p>
    <w:p>
      <w:pPr>
        <w:jc w:val="both"/>
        <w:ind w:left="540" w:firstLine="1286"/>
        <w:spacing w:after="0" w:line="253" w:lineRule="auto"/>
        <w:rPr>
          <w:sz w:val="20"/>
          <w:szCs w:val="20"/>
          <w:color w:val="auto"/>
        </w:rPr>
      </w:pPr>
      <w:r>
        <w:rPr>
          <w:rFonts w:ascii="Arial" w:cs="Arial" w:eastAsia="Arial" w:hAnsi="Arial"/>
          <w:sz w:val="19"/>
          <w:szCs w:val="19"/>
          <w:color w:val="auto"/>
        </w:rPr>
        <w:t xml:space="preserve">WHEREAS, the Credit Agreement provides in Section 2.22 thereof that any bank, financial institution or other entity may </w:t>
      </w:r>
      <w:r>
        <w:rPr>
          <w:rFonts w:ascii="Arial" w:cs="Arial" w:eastAsia="Arial" w:hAnsi="Arial"/>
          <w:sz w:val="22"/>
          <w:szCs w:val="22"/>
          <w:b w:val="1"/>
          <w:bCs w:val="1"/>
          <w:u w:val="single" w:color="auto"/>
          <w:color w:val="auto"/>
        </w:rPr>
        <w:t>[</w:t>
      </w:r>
      <w:r>
        <w:rPr>
          <w:rFonts w:ascii="Arial" w:cs="Arial" w:eastAsia="Arial" w:hAnsi="Arial"/>
          <w:sz w:val="19"/>
          <w:szCs w:val="19"/>
          <w:color w:val="auto"/>
        </w:rPr>
        <w:t xml:space="preserve">extend </w:t>
      </w:r>
      <w:r>
        <w:rPr>
          <w:rFonts w:ascii="Arial" w:cs="Arial" w:eastAsia="Arial" w:hAnsi="Arial"/>
          <w:sz w:val="22"/>
          <w:szCs w:val="22"/>
          <w:b w:val="1"/>
          <w:bCs w:val="1"/>
          <w:u w:val="single" w:color="auto"/>
          <w:color w:val="auto"/>
        </w:rPr>
        <w:t>[</w:t>
      </w:r>
      <w:r>
        <w:rPr>
          <w:rFonts w:ascii="Arial" w:cs="Arial" w:eastAsia="Arial" w:hAnsi="Arial"/>
          <w:sz w:val="19"/>
          <w:szCs w:val="19"/>
          <w:color w:val="auto"/>
        </w:rPr>
        <w:t>Revolving</w:t>
      </w:r>
      <w:r>
        <w:rPr>
          <w:rFonts w:ascii="Arial" w:cs="Arial" w:eastAsia="Arial" w:hAnsi="Arial"/>
          <w:sz w:val="22"/>
          <w:szCs w:val="22"/>
          <w:b w:val="1"/>
          <w:bCs w:val="1"/>
          <w:u w:val="single" w:color="auto"/>
          <w:color w:val="auto"/>
        </w:rPr>
        <w:t>]</w:t>
      </w:r>
      <w:r>
        <w:rPr>
          <w:rFonts w:ascii="Arial" w:cs="Arial" w:eastAsia="Arial" w:hAnsi="Arial"/>
          <w:sz w:val="19"/>
          <w:szCs w:val="19"/>
          <w:color w:val="auto"/>
        </w:rPr>
        <w:t xml:space="preserve"> Commitments</w:t>
      </w:r>
      <w:r>
        <w:rPr>
          <w:rFonts w:ascii="Arial" w:cs="Arial" w:eastAsia="Arial" w:hAnsi="Arial"/>
          <w:sz w:val="22"/>
          <w:szCs w:val="22"/>
          <w:b w:val="1"/>
          <w:bCs w:val="1"/>
          <w:u w:val="single" w:color="auto"/>
          <w:color w:val="auto"/>
        </w:rPr>
        <w:t>] [</w:t>
      </w:r>
      <w:r>
        <w:rPr>
          <w:rFonts w:ascii="Arial" w:cs="Arial" w:eastAsia="Arial" w:hAnsi="Arial"/>
          <w:sz w:val="19"/>
          <w:szCs w:val="19"/>
          <w:color w:val="auto"/>
        </w:rPr>
        <w:t>and</w:t>
      </w:r>
      <w:r>
        <w:rPr>
          <w:rFonts w:ascii="Arial" w:cs="Arial" w:eastAsia="Arial" w:hAnsi="Arial"/>
          <w:sz w:val="22"/>
          <w:szCs w:val="22"/>
          <w:b w:val="1"/>
          <w:bCs w:val="1"/>
          <w:u w:val="single" w:color="auto"/>
          <w:color w:val="auto"/>
        </w:rPr>
        <w:t>] [</w:t>
      </w:r>
      <w:r>
        <w:rPr>
          <w:rFonts w:ascii="Arial" w:cs="Arial" w:eastAsia="Arial" w:hAnsi="Arial"/>
          <w:sz w:val="19"/>
          <w:szCs w:val="19"/>
          <w:color w:val="auto"/>
        </w:rPr>
        <w:t>participate in tranches of Incremental Term Loans</w:t>
      </w:r>
      <w:r>
        <w:rPr>
          <w:rFonts w:ascii="Arial" w:cs="Arial" w:eastAsia="Arial" w:hAnsi="Arial"/>
          <w:sz w:val="22"/>
          <w:szCs w:val="22"/>
          <w:b w:val="1"/>
          <w:bCs w:val="1"/>
          <w:u w:val="single" w:color="auto"/>
          <w:color w:val="auto"/>
        </w:rPr>
        <w:t>]</w:t>
      </w:r>
      <w:r>
        <w:rPr>
          <w:rFonts w:ascii="Arial" w:cs="Arial" w:eastAsia="Arial" w:hAnsi="Arial"/>
          <w:sz w:val="19"/>
          <w:szCs w:val="19"/>
          <w:color w:val="auto"/>
        </w:rPr>
        <w:t xml:space="preserve"> under the Credit Agreement subject to the approval of the Borrower and the Administrative Agent, by</w:t>
      </w:r>
    </w:p>
    <w:p>
      <w:pPr>
        <w:spacing w:after="0" w:line="1" w:lineRule="exact"/>
        <w:rPr>
          <w:sz w:val="20"/>
          <w:szCs w:val="20"/>
          <w:color w:val="auto"/>
        </w:rPr>
      </w:pPr>
    </w:p>
    <w:p>
      <w:pPr>
        <w:jc w:val="both"/>
        <w:ind w:left="540"/>
        <w:spacing w:after="0" w:line="233" w:lineRule="auto"/>
        <w:rPr>
          <w:sz w:val="20"/>
          <w:szCs w:val="20"/>
          <w:color w:val="auto"/>
        </w:rPr>
      </w:pPr>
      <w:r>
        <w:rPr>
          <w:rFonts w:ascii="Arial" w:cs="Arial" w:eastAsia="Arial" w:hAnsi="Arial"/>
          <w:sz w:val="21"/>
          <w:szCs w:val="21"/>
          <w:color w:val="auto"/>
        </w:rPr>
        <w:t>executing and delivering to the Borrower and the Administrative Agent a supplement to the Credit Agreement in substantially the form of this Supplement; and</w:t>
      </w:r>
    </w:p>
    <w:p>
      <w:pPr>
        <w:spacing w:after="0" w:line="197" w:lineRule="exact"/>
        <w:rPr>
          <w:sz w:val="20"/>
          <w:szCs w:val="20"/>
          <w:color w:val="auto"/>
        </w:rPr>
      </w:pPr>
    </w:p>
    <w:p>
      <w:pPr>
        <w:jc w:val="both"/>
        <w:ind w:left="540" w:firstLine="1286"/>
        <w:spacing w:after="0" w:line="244" w:lineRule="auto"/>
        <w:rPr>
          <w:sz w:val="20"/>
          <w:szCs w:val="20"/>
          <w:color w:val="auto"/>
        </w:rPr>
      </w:pPr>
      <w:r>
        <w:rPr>
          <w:rFonts w:ascii="Arial" w:cs="Arial" w:eastAsia="Arial" w:hAnsi="Arial"/>
          <w:sz w:val="21"/>
          <w:szCs w:val="21"/>
          <w:color w:val="auto"/>
        </w:rPr>
        <w:t>WHEREAS, the undersigned Augmenting Lender was not an original party to the Credit Agreement but now desires to become a party thereto;</w:t>
      </w:r>
    </w:p>
    <w:p>
      <w:pPr>
        <w:spacing w:after="0" w:line="179" w:lineRule="exact"/>
        <w:rPr>
          <w:sz w:val="20"/>
          <w:szCs w:val="20"/>
          <w:color w:val="auto"/>
        </w:rPr>
      </w:pPr>
    </w:p>
    <w:p>
      <w:pPr>
        <w:ind w:left="1820"/>
        <w:spacing w:after="0"/>
        <w:rPr>
          <w:sz w:val="20"/>
          <w:szCs w:val="20"/>
          <w:color w:val="auto"/>
        </w:rPr>
      </w:pPr>
      <w:r>
        <w:rPr>
          <w:rFonts w:ascii="Arial" w:cs="Arial" w:eastAsia="Arial" w:hAnsi="Arial"/>
          <w:sz w:val="21"/>
          <w:szCs w:val="21"/>
          <w:color w:val="auto"/>
        </w:rPr>
        <w:t>NOW, THEREFORE, each of the parties hereto hereby agrees as follows:</w:t>
      </w:r>
    </w:p>
    <w:p>
      <w:pPr>
        <w:spacing w:after="0" w:line="228" w:lineRule="exact"/>
        <w:rPr>
          <w:sz w:val="20"/>
          <w:szCs w:val="20"/>
          <w:color w:val="auto"/>
        </w:rPr>
      </w:pPr>
    </w:p>
    <w:p>
      <w:pPr>
        <w:jc w:val="both"/>
        <w:ind w:left="540" w:firstLine="1281"/>
        <w:spacing w:after="0" w:line="228" w:lineRule="auto"/>
        <w:tabs>
          <w:tab w:leader="none" w:pos="2387" w:val="left"/>
        </w:tabs>
        <w:numPr>
          <w:ilvl w:val="0"/>
          <w:numId w:val="260"/>
        </w:numPr>
        <w:rPr>
          <w:rFonts w:ascii="Arial" w:cs="Arial" w:eastAsia="Arial" w:hAnsi="Arial"/>
          <w:sz w:val="21"/>
          <w:szCs w:val="21"/>
          <w:color w:val="auto"/>
        </w:rPr>
      </w:pPr>
      <w:r>
        <w:rPr>
          <w:rFonts w:ascii="Arial" w:cs="Arial" w:eastAsia="Arial" w:hAnsi="Arial"/>
          <w:sz w:val="21"/>
          <w:szCs w:val="21"/>
          <w:color w:val="auto"/>
        </w:rPr>
        <w:t>The undersigned Augmenting Lender agrees to be bound by the provisions of the Credit Agreement and agrees that it shall, on the date of this Supplement, become a Lender for all purposes of the Credit Agreement to the same extent as if originally a party thereto, with a</w:t>
      </w:r>
    </w:p>
    <w:p>
      <w:pPr>
        <w:ind w:left="540"/>
        <w:spacing w:after="0" w:line="221" w:lineRule="auto"/>
        <w:rPr>
          <w:rFonts w:ascii="Arial" w:cs="Arial" w:eastAsia="Arial" w:hAnsi="Arial"/>
          <w:sz w:val="21"/>
          <w:szCs w:val="21"/>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Revolving</w:t>
      </w:r>
      <w:r>
        <w:rPr>
          <w:rFonts w:ascii="Arial" w:cs="Arial" w:eastAsia="Arial" w:hAnsi="Arial"/>
          <w:sz w:val="25"/>
          <w:szCs w:val="25"/>
          <w:b w:val="1"/>
          <w:bCs w:val="1"/>
          <w:u w:val="single" w:color="auto"/>
          <w:color w:val="auto"/>
        </w:rPr>
        <w:t>]</w:t>
      </w:r>
      <w:r>
        <w:rPr>
          <w:rFonts w:ascii="Arial" w:cs="Arial" w:eastAsia="Arial" w:hAnsi="Arial"/>
          <w:sz w:val="25"/>
          <w:szCs w:val="25"/>
          <w:b w:val="1"/>
          <w:bCs w:val="1"/>
          <w:color w:val="auto"/>
        </w:rPr>
        <w:t xml:space="preserve"> </w:t>
      </w:r>
      <w:r>
        <w:rPr>
          <w:rFonts w:ascii="Arial" w:cs="Arial" w:eastAsia="Arial" w:hAnsi="Arial"/>
          <w:sz w:val="21"/>
          <w:szCs w:val="21"/>
          <w:color w:val="auto"/>
        </w:rPr>
        <w:t>Commitment of $</w:t>
      </w:r>
      <w:r>
        <w:rPr>
          <w:rFonts w:ascii="Arial" w:cs="Arial" w:eastAsia="Arial" w:hAnsi="Arial"/>
          <w:sz w:val="25"/>
          <w:szCs w:val="25"/>
          <w:b w:val="1"/>
          <w:bCs w:val="1"/>
          <w:u w:val="single" w:color="auto"/>
          <w:color w:val="auto"/>
        </w:rPr>
        <w:t>[  ]</w:t>
      </w:r>
      <w:r>
        <w:rPr>
          <w:rFonts w:ascii="Arial" w:cs="Arial" w:eastAsia="Arial" w:hAnsi="Arial"/>
          <w:sz w:val="25"/>
          <w:szCs w:val="25"/>
          <w:b w:val="1"/>
          <w:bCs w:val="1"/>
          <w:color w:val="auto"/>
        </w:rPr>
        <w:t>] [</w:t>
      </w:r>
      <w:r>
        <w:rPr>
          <w:rFonts w:ascii="Arial" w:cs="Arial" w:eastAsia="Arial" w:hAnsi="Arial"/>
          <w:sz w:val="21"/>
          <w:szCs w:val="21"/>
          <w:color w:val="auto"/>
        </w:rPr>
        <w:t>and</w:t>
      </w:r>
      <w:r>
        <w:rPr>
          <w:rFonts w:ascii="Arial" w:cs="Arial" w:eastAsia="Arial" w:hAnsi="Arial"/>
          <w:sz w:val="25"/>
          <w:szCs w:val="25"/>
          <w:b w:val="1"/>
          <w:bCs w:val="1"/>
          <w:u w:val="single" w:color="auto"/>
          <w:color w:val="auto"/>
        </w:rPr>
        <w:t>] [</w:t>
      </w:r>
      <w:r>
        <w:rPr>
          <w:rFonts w:ascii="Arial" w:cs="Arial" w:eastAsia="Arial" w:hAnsi="Arial"/>
          <w:sz w:val="21"/>
          <w:szCs w:val="21"/>
          <w:color w:val="auto"/>
        </w:rPr>
        <w:t>a commitment with respect to Incremental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-12065</wp:posOffset>
            </wp:positionV>
            <wp:extent cx="1104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31" w:lineRule="exact"/>
        <w:rPr>
          <w:sz w:val="20"/>
          <w:szCs w:val="20"/>
          <w:color w:val="auto"/>
        </w:rPr>
      </w:pPr>
    </w:p>
    <w:p>
      <w:pPr>
        <w:ind w:left="1840"/>
        <w:spacing w:after="0"/>
        <w:tabs>
          <w:tab w:leader="none" w:pos="3580" w:val="left"/>
        </w:tabs>
        <w:rPr>
          <w:sz w:val="20"/>
          <w:szCs w:val="20"/>
          <w:color w:val="auto"/>
        </w:rPr>
      </w:pPr>
      <w:r>
        <w:rPr>
          <w:rFonts w:ascii="Arial" w:cs="Arial" w:eastAsia="Arial" w:hAnsi="Arial"/>
          <w:sz w:val="21"/>
          <w:szCs w:val="21"/>
          <w:color w:val="auto"/>
        </w:rPr>
        <w:t>Term Loans of $</w:t>
      </w:r>
      <w:r>
        <w:rPr>
          <w:rFonts w:ascii="Arial" w:cs="Arial" w:eastAsia="Arial" w:hAnsi="Arial"/>
          <w:sz w:val="25"/>
          <w:szCs w:val="25"/>
          <w:b w:val="1"/>
          <w:bCs w:val="1"/>
          <w:color w:val="auto"/>
        </w:rPr>
        <w:t>[</w:t>
      </w:r>
      <w:r>
        <w:rPr>
          <w:sz w:val="20"/>
          <w:szCs w:val="20"/>
          <w:color w:val="auto"/>
        </w:rPr>
        <w:tab/>
      </w:r>
      <w:r>
        <w:rPr>
          <w:rFonts w:ascii="Arial" w:cs="Arial" w:eastAsia="Arial" w:hAnsi="Arial"/>
          <w:sz w:val="24"/>
          <w:szCs w:val="24"/>
          <w:b w:val="1"/>
          <w:bCs w:val="1"/>
          <w:color w:val="auto"/>
        </w:rPr>
        <w: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-73660</wp:posOffset>
            </wp:positionV>
            <wp:extent cx="83439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834390" cy="25400"/>
                    </a:xfrm>
                    <a:prstGeom prst="rect">
                      <a:avLst/>
                    </a:prstGeom>
                    <a:noFill/>
                  </pic:spPr>
                </pic:pic>
              </a:graphicData>
            </a:graphic>
          </wp:anchor>
        </w:drawing>
      </w:r>
    </w:p>
    <w:p>
      <w:pPr>
        <w:spacing w:after="0" w:line="311" w:lineRule="exact"/>
        <w:rPr>
          <w:sz w:val="20"/>
          <w:szCs w:val="20"/>
          <w:color w:val="auto"/>
        </w:rPr>
      </w:pPr>
    </w:p>
    <w:p>
      <w:pPr>
        <w:jc w:val="both"/>
        <w:ind w:left="540" w:firstLine="1281"/>
        <w:spacing w:after="0"/>
        <w:tabs>
          <w:tab w:leader="none" w:pos="2245" w:val="left"/>
        </w:tabs>
        <w:numPr>
          <w:ilvl w:val="0"/>
          <w:numId w:val="261"/>
        </w:numPr>
        <w:rPr>
          <w:rFonts w:ascii="Arial" w:cs="Arial" w:eastAsia="Arial" w:hAnsi="Arial"/>
          <w:sz w:val="19"/>
          <w:szCs w:val="19"/>
          <w:color w:val="auto"/>
        </w:rPr>
      </w:pPr>
      <w:r>
        <w:rPr>
          <w:rFonts w:ascii="Arial" w:cs="Arial" w:eastAsia="Arial" w:hAnsi="Arial"/>
          <w:sz w:val="19"/>
          <w:szCs w:val="19"/>
          <w:color w:val="auto"/>
        </w:rPr>
        <w:t>The undersigned Augmenting Lender (a) represents and warrants that it is legally authorized to enter into this Supplement; (b) confirms that it has received a copy of the Credit Agreement, together with copies of the most recent financial statements delivered pursuant to Section 5.01 thereof, as applicable,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560"/>
          </w:cols>
          <w:pgMar w:left="400" w:top="748" w:right="939" w:bottom="1440" w:gutter="0" w:footer="0" w:header="0"/>
        </w:sectPr>
      </w:pPr>
    </w:p>
    <w:bookmarkStart w:id="290" w:name="page291"/>
    <w:bookmarkEnd w:id="290"/>
    <w:p>
      <w:pPr>
        <w:ind w:left="1820"/>
        <w:spacing w:after="0"/>
        <w:tabs>
          <w:tab w:leader="none" w:pos="2180" w:val="left"/>
        </w:tabs>
        <w:rPr>
          <w:sz w:val="20"/>
          <w:szCs w:val="20"/>
          <w:color w:val="auto"/>
        </w:rPr>
      </w:pPr>
      <w:r>
        <w:rPr>
          <w:rFonts w:ascii="Arial" w:cs="Arial" w:eastAsia="Arial" w:hAnsi="Arial"/>
          <w:sz w:val="21"/>
          <w:szCs w:val="21"/>
          <w:color w:val="auto"/>
        </w:rPr>
        <w:t>3.</w:t>
      </w:r>
      <w:r>
        <w:rPr>
          <w:sz w:val="20"/>
          <w:szCs w:val="20"/>
          <w:color w:val="auto"/>
        </w:rPr>
        <w:tab/>
      </w:r>
      <w:r>
        <w:rPr>
          <w:rFonts w:ascii="Arial" w:cs="Arial" w:eastAsia="Arial" w:hAnsi="Arial"/>
          <w:sz w:val="19"/>
          <w:szCs w:val="19"/>
          <w:color w:val="auto"/>
        </w:rPr>
        <w:t>The undersigned’s address for notices for the purposes of the Credit Agreement is as follows:</w:t>
      </w:r>
    </w:p>
    <w:p>
      <w:pPr>
        <w:spacing w:after="0" w:line="199" w:lineRule="exact"/>
        <w:rPr>
          <w:sz w:val="20"/>
          <w:szCs w:val="20"/>
          <w:color w:val="auto"/>
        </w:rPr>
      </w:pPr>
    </w:p>
    <w:p>
      <w:pPr>
        <w:ind w:left="2800" w:hanging="335"/>
        <w:spacing w:after="0"/>
        <w:tabs>
          <w:tab w:leader="none" w:pos="2800" w:val="left"/>
        </w:tabs>
        <w:numPr>
          <w:ilvl w:val="1"/>
          <w:numId w:val="262"/>
        </w:numPr>
        <w:rPr>
          <w:rFonts w:ascii="Arial" w:cs="Arial" w:eastAsia="Arial" w:hAnsi="Arial"/>
          <w:sz w:val="25"/>
          <w:szCs w:val="25"/>
          <w:b w:val="1"/>
          <w:bCs w:val="1"/>
          <w:u w:val="single" w:color="auto"/>
          <w:color w:val="auto"/>
        </w:rPr>
      </w:pPr>
      <w:r>
        <w:rPr>
          <w:rFonts w:ascii="Arial" w:cs="Arial" w:eastAsia="Arial" w:hAnsi="Arial"/>
          <w:sz w:val="25"/>
          <w:szCs w:val="25"/>
          <w:b w:val="1"/>
          <w:bCs w:val="1"/>
          <w:u w:val="single" w:color="auto"/>
          <w:color w:val="auto"/>
        </w:rPr>
        <w:t>]</w:t>
      </w:r>
    </w:p>
    <w:p>
      <w:pPr>
        <w:spacing w:after="0" w:line="183" w:lineRule="exact"/>
        <w:rPr>
          <w:rFonts w:ascii="Arial" w:cs="Arial" w:eastAsia="Arial" w:hAnsi="Arial"/>
          <w:sz w:val="25"/>
          <w:szCs w:val="25"/>
          <w:b w:val="1"/>
          <w:bCs w:val="1"/>
          <w:u w:val="single" w:color="auto"/>
          <w:color w:val="auto"/>
        </w:rPr>
      </w:pPr>
    </w:p>
    <w:p>
      <w:pPr>
        <w:ind w:left="540" w:right="20" w:firstLine="1281"/>
        <w:spacing w:after="0" w:line="244" w:lineRule="auto"/>
        <w:tabs>
          <w:tab w:leader="none" w:pos="2248" w:val="left"/>
        </w:tabs>
        <w:numPr>
          <w:ilvl w:val="0"/>
          <w:numId w:val="262"/>
        </w:numPr>
        <w:rPr>
          <w:rFonts w:ascii="Arial" w:cs="Arial" w:eastAsia="Arial" w:hAnsi="Arial"/>
          <w:sz w:val="21"/>
          <w:szCs w:val="21"/>
          <w:color w:val="auto"/>
        </w:rPr>
      </w:pPr>
      <w:r>
        <w:rPr>
          <w:rFonts w:ascii="Arial" w:cs="Arial" w:eastAsia="Arial" w:hAnsi="Arial"/>
          <w:sz w:val="21"/>
          <w:szCs w:val="21"/>
          <w:color w:val="auto"/>
        </w:rPr>
        <w:t>The Borrower hereby represents and warrants that no Default or Event of Default has occurred and is continuing on and as of the date hereof.</w:t>
      </w:r>
    </w:p>
    <w:p>
      <w:pPr>
        <w:spacing w:after="0" w:line="192" w:lineRule="exact"/>
        <w:rPr>
          <w:rFonts w:ascii="Arial" w:cs="Arial" w:eastAsia="Arial" w:hAnsi="Arial"/>
          <w:sz w:val="21"/>
          <w:szCs w:val="21"/>
          <w:color w:val="auto"/>
        </w:rPr>
      </w:pPr>
    </w:p>
    <w:p>
      <w:pPr>
        <w:ind w:left="2200" w:hanging="379"/>
        <w:spacing w:after="0"/>
        <w:tabs>
          <w:tab w:leader="none" w:pos="220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Terms defined in the Credit Agreement shall have their defined meanings when used herein.</w:t>
      </w:r>
    </w:p>
    <w:p>
      <w:pPr>
        <w:spacing w:after="0" w:line="225" w:lineRule="exact"/>
        <w:rPr>
          <w:rFonts w:ascii="Arial" w:cs="Arial" w:eastAsia="Arial" w:hAnsi="Arial"/>
          <w:sz w:val="20"/>
          <w:szCs w:val="20"/>
          <w:color w:val="auto"/>
        </w:rPr>
      </w:pPr>
    </w:p>
    <w:p>
      <w:pPr>
        <w:ind w:left="2200" w:hanging="379"/>
        <w:spacing w:after="0"/>
        <w:tabs>
          <w:tab w:leader="none" w:pos="220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This Supplement shall be governed by, and construed in accordance with, the laws of the State of</w:t>
      </w:r>
    </w:p>
    <w:p>
      <w:pPr>
        <w:spacing w:after="0" w:line="13" w:lineRule="exact"/>
        <w:rPr>
          <w:rFonts w:ascii="Arial" w:cs="Arial" w:eastAsia="Arial" w:hAnsi="Arial"/>
          <w:sz w:val="19"/>
          <w:szCs w:val="19"/>
          <w:color w:val="auto"/>
        </w:rPr>
      </w:pPr>
    </w:p>
    <w:p>
      <w:pPr>
        <w:ind w:left="540"/>
        <w:spacing w:after="0"/>
        <w:rPr>
          <w:rFonts w:ascii="Arial" w:cs="Arial" w:eastAsia="Arial" w:hAnsi="Arial"/>
          <w:sz w:val="19"/>
          <w:szCs w:val="19"/>
          <w:color w:val="auto"/>
        </w:rPr>
      </w:pPr>
      <w:r>
        <w:rPr>
          <w:rFonts w:ascii="Arial" w:cs="Arial" w:eastAsia="Arial" w:hAnsi="Arial"/>
          <w:sz w:val="21"/>
          <w:szCs w:val="21"/>
          <w:color w:val="auto"/>
        </w:rPr>
        <w:t>New York.</w:t>
      </w:r>
    </w:p>
    <w:p>
      <w:pPr>
        <w:spacing w:after="0" w:line="209" w:lineRule="exact"/>
        <w:rPr>
          <w:rFonts w:ascii="Arial" w:cs="Arial" w:eastAsia="Arial" w:hAnsi="Arial"/>
          <w:sz w:val="19"/>
          <w:szCs w:val="19"/>
          <w:color w:val="auto"/>
        </w:rPr>
      </w:pPr>
    </w:p>
    <w:p>
      <w:pPr>
        <w:jc w:val="both"/>
        <w:ind w:left="540" w:firstLine="1281"/>
        <w:spacing w:after="0" w:line="232" w:lineRule="auto"/>
        <w:tabs>
          <w:tab w:leader="none" w:pos="2227" w:val="left"/>
        </w:tabs>
        <w:numPr>
          <w:ilvl w:val="0"/>
          <w:numId w:val="262"/>
        </w:numPr>
        <w:rPr>
          <w:rFonts w:ascii="Arial" w:cs="Arial" w:eastAsia="Arial" w:hAnsi="Arial"/>
          <w:sz w:val="21"/>
          <w:szCs w:val="21"/>
          <w:color w:val="auto"/>
        </w:rPr>
      </w:pPr>
      <w:r>
        <w:rPr>
          <w:rFonts w:ascii="Arial" w:cs="Arial" w:eastAsia="Arial" w:hAnsi="Arial"/>
          <w:sz w:val="21"/>
          <w:szCs w:val="21"/>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69" w:lineRule="exact"/>
        <w:rPr>
          <w:sz w:val="20"/>
          <w:szCs w:val="20"/>
          <w:color w:val="auto"/>
        </w:rPr>
      </w:pPr>
    </w:p>
    <w:p>
      <w:pPr>
        <w:ind w:left="350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remainder of this page intentionally left blank</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1690370</wp:posOffset>
            </wp:positionH>
            <wp:positionV relativeFrom="paragraph">
              <wp:posOffset>10795</wp:posOffset>
            </wp:positionV>
            <wp:extent cx="1193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560"/>
          </w:cols>
          <w:pgMar w:left="400" w:top="1392" w:right="939" w:bottom="1440" w:gutter="0" w:footer="0" w:header="0"/>
        </w:sectPr>
      </w:pPr>
    </w:p>
    <w:bookmarkStart w:id="291" w:name="page292"/>
    <w:bookmarkEnd w:id="291"/>
    <w:p>
      <w:pPr>
        <w:spacing w:after="0" w:line="194" w:lineRule="exact"/>
        <w:rPr>
          <w:sz w:val="20"/>
          <w:szCs w:val="20"/>
          <w:color w:val="auto"/>
        </w:rPr>
      </w:pPr>
    </w:p>
    <w:p>
      <w:pPr>
        <w:ind w:left="540" w:firstLine="1286"/>
        <w:spacing w:after="0" w:line="244" w:lineRule="auto"/>
        <w:rPr>
          <w:sz w:val="20"/>
          <w:szCs w:val="20"/>
          <w:color w:val="auto"/>
        </w:rPr>
      </w:pPr>
      <w:r>
        <w:rPr>
          <w:rFonts w:ascii="Arial" w:cs="Arial" w:eastAsia="Arial" w:hAnsi="Arial"/>
          <w:sz w:val="21"/>
          <w:szCs w:val="21"/>
          <w:color w:val="auto"/>
        </w:rPr>
        <w:t>IN WITNESS WHEREOF, each of the undersigned has caused this Supplement to be executed and delivered by a duly authorized officer on the date first above written.</w:t>
      </w:r>
    </w:p>
    <w:p>
      <w:pPr>
        <w:spacing w:after="0" w:line="164" w:lineRule="exact"/>
        <w:rPr>
          <w:sz w:val="20"/>
          <w:szCs w:val="20"/>
          <w:color w:val="auto"/>
        </w:rPr>
      </w:pPr>
    </w:p>
    <w:p>
      <w:pPr>
        <w:ind w:left="440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INSERT NAME OF AUGMENTING LENDER</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2540</wp:posOffset>
            </wp:positionV>
            <wp:extent cx="1193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369" w:lineRule="exact"/>
        <w:rPr>
          <w:sz w:val="20"/>
          <w:szCs w:val="20"/>
          <w:color w:val="auto"/>
        </w:rPr>
      </w:pPr>
    </w:p>
    <w:p>
      <w:pPr>
        <w:ind w:left="4400"/>
        <w:spacing w:after="0"/>
        <w:tabs>
          <w:tab w:leader="none" w:pos="4960" w:val="left"/>
        </w:tabs>
        <w:rPr>
          <w:sz w:val="20"/>
          <w:szCs w:val="20"/>
          <w:color w:val="auto"/>
        </w:rPr>
      </w:pPr>
      <w:r>
        <w:rPr>
          <w:rFonts w:ascii="Arial" w:cs="Arial" w:eastAsia="Arial" w:hAnsi="Arial"/>
          <w:sz w:val="21"/>
          <w:szCs w:val="21"/>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-5715</wp:posOffset>
            </wp:positionV>
            <wp:extent cx="135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78" w:lineRule="exact"/>
        <w:rPr>
          <w:sz w:val="20"/>
          <w:szCs w:val="20"/>
          <w:color w:val="auto"/>
        </w:rPr>
      </w:pPr>
    </w:p>
    <w:p>
      <w:pPr>
        <w:ind w:left="540" w:right="3900"/>
        <w:spacing w:after="0" w:line="497" w:lineRule="auto"/>
        <w:rPr>
          <w:sz w:val="20"/>
          <w:szCs w:val="20"/>
          <w:color w:val="auto"/>
        </w:rPr>
      </w:pPr>
      <w:r>
        <w:rPr>
          <w:rFonts w:ascii="Arial" w:cs="Arial" w:eastAsia="Arial" w:hAnsi="Arial"/>
          <w:sz w:val="21"/>
          <w:szCs w:val="21"/>
          <w:color w:val="auto"/>
        </w:rPr>
        <w:t>Accepted and agreed to as of the date first written above: MISTRAS GROUP, INC.</w:t>
      </w:r>
    </w:p>
    <w:p>
      <w:pPr>
        <w:spacing w:after="0" w:line="50"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21"/>
          <w:szCs w:val="21"/>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135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1"/>
          <w:szCs w:val="21"/>
          <w:color w:val="auto"/>
        </w:rPr>
        <w:t>Title:</w:t>
      </w:r>
    </w:p>
    <w:p>
      <w:pPr>
        <w:spacing w:after="0" w:line="371" w:lineRule="exact"/>
        <w:rPr>
          <w:sz w:val="20"/>
          <w:szCs w:val="20"/>
          <w:color w:val="auto"/>
        </w:rPr>
      </w:pPr>
    </w:p>
    <w:p>
      <w:pPr>
        <w:ind w:left="540"/>
        <w:spacing w:after="0"/>
        <w:rPr>
          <w:sz w:val="20"/>
          <w:szCs w:val="20"/>
          <w:color w:val="auto"/>
        </w:rPr>
      </w:pPr>
      <w:r>
        <w:rPr>
          <w:rFonts w:ascii="Arial" w:cs="Arial" w:eastAsia="Arial" w:hAnsi="Arial"/>
          <w:sz w:val="21"/>
          <w:szCs w:val="21"/>
          <w:color w:val="auto"/>
        </w:rPr>
        <w:t>Acknowledged as of the date first written above: JPMORGAN</w:t>
      </w:r>
    </w:p>
    <w:p>
      <w:pPr>
        <w:spacing w:after="0" w:line="281" w:lineRule="exact"/>
        <w:rPr>
          <w:sz w:val="20"/>
          <w:szCs w:val="20"/>
          <w:color w:val="auto"/>
        </w:rPr>
      </w:pPr>
    </w:p>
    <w:p>
      <w:pPr>
        <w:ind w:left="540"/>
        <w:spacing w:after="0"/>
        <w:rPr>
          <w:sz w:val="20"/>
          <w:szCs w:val="20"/>
          <w:color w:val="auto"/>
        </w:rPr>
      </w:pPr>
      <w:r>
        <w:rPr>
          <w:rFonts w:ascii="Arial" w:cs="Arial" w:eastAsia="Arial" w:hAnsi="Arial"/>
          <w:sz w:val="21"/>
          <w:szCs w:val="21"/>
          <w:color w:val="auto"/>
        </w:rPr>
        <w:t>CHASE BANK, N.A.</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21"/>
          <w:szCs w:val="21"/>
          <w:color w:val="auto"/>
        </w:rPr>
        <w:t>as Administrative Agent</w:t>
      </w:r>
    </w:p>
    <w:p>
      <w:pPr>
        <w:spacing w:after="0" w:line="366" w:lineRule="exact"/>
        <w:rPr>
          <w:sz w:val="20"/>
          <w:szCs w:val="20"/>
          <w:color w:val="auto"/>
        </w:rPr>
      </w:pPr>
    </w:p>
    <w:p>
      <w:pPr>
        <w:ind w:left="540"/>
        <w:spacing w:after="0"/>
        <w:tabs>
          <w:tab w:leader="none" w:pos="1100" w:val="left"/>
        </w:tabs>
        <w:rPr>
          <w:sz w:val="20"/>
          <w:szCs w:val="20"/>
          <w:color w:val="auto"/>
        </w:rPr>
      </w:pPr>
      <w:r>
        <w:rPr>
          <w:rFonts w:ascii="Arial" w:cs="Arial" w:eastAsia="Arial" w:hAnsi="Arial"/>
          <w:sz w:val="21"/>
          <w:szCs w:val="21"/>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135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320"/>
          </w:cols>
          <w:pgMar w:left="400" w:top="1440" w:right="1179" w:bottom="1440" w:gutter="0" w:footer="0" w:header="0"/>
        </w:sectPr>
      </w:pPr>
    </w:p>
    <w:bookmarkStart w:id="292" w:name="page293"/>
    <w:bookmarkEnd w:id="292"/>
    <w:p>
      <w:pPr>
        <w:jc w:val="center"/>
        <w:ind w:right="-4"/>
        <w:spacing w:after="0"/>
        <w:rPr>
          <w:sz w:val="20"/>
          <w:szCs w:val="20"/>
          <w:color w:val="auto"/>
        </w:rPr>
      </w:pPr>
      <w:r>
        <w:rPr>
          <w:rFonts w:ascii="Arial" w:cs="Arial" w:eastAsia="Arial" w:hAnsi="Arial"/>
          <w:sz w:val="21"/>
          <w:szCs w:val="21"/>
          <w:color w:val="auto"/>
        </w:rPr>
        <w:t>EXHIBIT F</w:t>
      </w:r>
    </w:p>
    <w:p>
      <w:pPr>
        <w:spacing w:after="0" w:line="342" w:lineRule="exact"/>
        <w:rPr>
          <w:sz w:val="20"/>
          <w:szCs w:val="20"/>
          <w:color w:val="auto"/>
        </w:rPr>
      </w:pPr>
    </w:p>
    <w:p>
      <w:pPr>
        <w:ind w:left="2925"/>
        <w:spacing w:after="0"/>
        <w:rPr>
          <w:sz w:val="20"/>
          <w:szCs w:val="20"/>
          <w:color w:val="auto"/>
        </w:rPr>
      </w:pPr>
      <w:r>
        <w:rPr>
          <w:rFonts w:ascii="Arial" w:cs="Arial" w:eastAsia="Arial" w:hAnsi="Arial"/>
          <w:sz w:val="21"/>
          <w:szCs w:val="21"/>
          <w:color w:val="auto"/>
        </w:rPr>
        <w:t xml:space="preserve">LIST OF CLOSING DOCUMENTS </w:t>
      </w:r>
      <w:r>
        <w:rPr>
          <w:rFonts w:ascii="Arial" w:cs="Arial" w:eastAsia="Arial" w:hAnsi="Arial"/>
          <w:sz w:val="21"/>
          <w:szCs w:val="21"/>
          <w:b w:val="1"/>
          <w:bCs w:val="1"/>
          <w:color w:val="auto"/>
        </w:rPr>
        <w:t>MISTRAS</w:t>
      </w:r>
    </w:p>
    <w:p>
      <w:pPr>
        <w:spacing w:after="0" w:line="228" w:lineRule="exact"/>
        <w:rPr>
          <w:sz w:val="20"/>
          <w:szCs w:val="20"/>
          <w:color w:val="auto"/>
        </w:rPr>
      </w:pPr>
    </w:p>
    <w:p>
      <w:pPr>
        <w:ind w:left="3265"/>
        <w:spacing w:after="0"/>
        <w:rPr>
          <w:sz w:val="20"/>
          <w:szCs w:val="20"/>
          <w:color w:val="auto"/>
        </w:rPr>
      </w:pPr>
      <w:r>
        <w:rPr>
          <w:rFonts w:ascii="Arial" w:cs="Arial" w:eastAsia="Arial" w:hAnsi="Arial"/>
          <w:sz w:val="21"/>
          <w:szCs w:val="21"/>
          <w:b w:val="1"/>
          <w:bCs w:val="1"/>
          <w:color w:val="auto"/>
        </w:rPr>
        <w:t>GROUP, INC. CREDIT FACILITIES</w:t>
      </w:r>
    </w:p>
    <w:p>
      <w:pPr>
        <w:spacing w:after="0" w:line="113" w:lineRule="exact"/>
        <w:rPr>
          <w:sz w:val="20"/>
          <w:szCs w:val="20"/>
          <w:color w:val="auto"/>
        </w:rPr>
      </w:pPr>
    </w:p>
    <w:p>
      <w:pPr>
        <w:jc w:val="center"/>
        <w:ind w:right="-4"/>
        <w:spacing w:after="0"/>
        <w:rPr>
          <w:sz w:val="20"/>
          <w:szCs w:val="20"/>
          <w:color w:val="auto"/>
        </w:rPr>
      </w:pPr>
      <w:r>
        <w:rPr>
          <w:rFonts w:ascii="Arial" w:cs="Arial" w:eastAsia="Arial" w:hAnsi="Arial"/>
          <w:sz w:val="21"/>
          <w:szCs w:val="21"/>
          <w:color w:val="auto"/>
        </w:rPr>
        <w:t>August 1, 2022</w:t>
      </w:r>
    </w:p>
    <w:p>
      <w:pPr>
        <w:spacing w:after="0" w:line="201" w:lineRule="exact"/>
        <w:rPr>
          <w:sz w:val="20"/>
          <w:szCs w:val="20"/>
          <w:color w:val="auto"/>
        </w:rPr>
      </w:pPr>
    </w:p>
    <w:p>
      <w:pPr>
        <w:jc w:val="center"/>
        <w:ind w:right="-4"/>
        <w:spacing w:after="0"/>
        <w:rPr>
          <w:sz w:val="20"/>
          <w:szCs w:val="20"/>
          <w:color w:val="auto"/>
        </w:rPr>
      </w:pPr>
      <w:r>
        <w:rPr>
          <w:rFonts w:ascii="Arial" w:cs="Arial" w:eastAsia="Arial" w:hAnsi="Arial"/>
          <w:sz w:val="21"/>
          <w:szCs w:val="21"/>
          <w:color w:val="auto"/>
        </w:rPr>
        <w:t>LIST OF CLOSING DOCUMENTS</w:t>
      </w:r>
      <w:r>
        <w:rPr>
          <w:rFonts w:ascii="Arial" w:cs="Arial" w:eastAsia="Arial" w:hAnsi="Arial"/>
          <w:sz w:val="14"/>
          <w:szCs w:val="14"/>
          <w:color w:val="auto"/>
        </w:rPr>
        <w:t>1</w:t>
      </w:r>
    </w:p>
    <w:p>
      <w:pPr>
        <w:spacing w:after="0" w:line="181" w:lineRule="exact"/>
        <w:rPr>
          <w:sz w:val="20"/>
          <w:szCs w:val="20"/>
          <w:color w:val="auto"/>
        </w:rPr>
      </w:pPr>
    </w:p>
    <w:p>
      <w:pPr>
        <w:ind w:left="3245" w:hanging="419"/>
        <w:spacing w:after="0"/>
        <w:tabs>
          <w:tab w:leader="none" w:pos="3245" w:val="left"/>
        </w:tabs>
        <w:numPr>
          <w:ilvl w:val="1"/>
          <w:numId w:val="263"/>
        </w:numPr>
        <w:rPr>
          <w:rFonts w:ascii="Arial" w:cs="Arial" w:eastAsia="Arial" w:hAnsi="Arial"/>
          <w:sz w:val="21"/>
          <w:szCs w:val="21"/>
          <w:b w:val="1"/>
          <w:bCs w:val="1"/>
          <w:color w:val="auto"/>
        </w:rPr>
      </w:pPr>
      <w:r>
        <w:rPr>
          <w:rFonts w:ascii="Arial" w:cs="Arial" w:eastAsia="Arial" w:hAnsi="Arial"/>
          <w:sz w:val="21"/>
          <w:szCs w:val="21"/>
          <w:b w:val="1"/>
          <w:bCs w:val="1"/>
          <w:color w:val="auto"/>
        </w:rPr>
        <w:t>LOAN DOCUMENTS</w:t>
      </w:r>
    </w:p>
    <w:p>
      <w:pPr>
        <w:spacing w:after="0" w:line="220" w:lineRule="exact"/>
        <w:rPr>
          <w:rFonts w:ascii="Arial" w:cs="Arial" w:eastAsia="Arial" w:hAnsi="Arial"/>
          <w:sz w:val="21"/>
          <w:szCs w:val="21"/>
          <w:b w:val="1"/>
          <w:bCs w:val="1"/>
          <w:color w:val="auto"/>
        </w:rPr>
      </w:pPr>
    </w:p>
    <w:p>
      <w:pPr>
        <w:ind w:left="645" w:hanging="645"/>
        <w:spacing w:after="0" w:line="234" w:lineRule="auto"/>
        <w:tabs>
          <w:tab w:leader="none" w:pos="44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Credit Agreement (the “</w:t>
      </w:r>
      <w:r>
        <w:rPr>
          <w:rFonts w:ascii="Arial" w:cs="Arial" w:eastAsia="Arial" w:hAnsi="Arial"/>
          <w:sz w:val="20"/>
          <w:szCs w:val="20"/>
          <w:b w:val="1"/>
          <w:bCs w:val="1"/>
          <w:i w:val="1"/>
          <w:iCs w:val="1"/>
          <w:color w:val="auto"/>
        </w:rPr>
        <w:t>Credit Agreement</w:t>
      </w:r>
      <w:r>
        <w:rPr>
          <w:rFonts w:ascii="Arial" w:cs="Arial" w:eastAsia="Arial" w:hAnsi="Arial"/>
          <w:sz w:val="20"/>
          <w:szCs w:val="20"/>
          <w:color w:val="auto"/>
        </w:rPr>
        <w:t>”) by and among Mistras Group, Inc., a Delaware corporation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the institutions from time to time parties thereto as Lenders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and JPMorgan Chase Bank, N.A., in its capacity as Administrative Agent for itself and the other Lenders (the “</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evidencing a revolving credit facility to the Borrower from the Revolving Lenders in an initial aggregate principal amount of $190,000,000 and a term loan facility to the Borrower from the Term Lenders in an initial aggregate principal amount of $125,000,000.</w:t>
      </w:r>
    </w:p>
    <w:p>
      <w:pPr>
        <w:spacing w:after="0" w:line="196" w:lineRule="exact"/>
        <w:rPr>
          <w:sz w:val="20"/>
          <w:szCs w:val="20"/>
          <w:color w:val="auto"/>
        </w:rPr>
      </w:pPr>
    </w:p>
    <w:p>
      <w:pPr>
        <w:jc w:val="center"/>
        <w:ind w:right="-4"/>
        <w:spacing w:after="0"/>
        <w:rPr>
          <w:sz w:val="20"/>
          <w:szCs w:val="20"/>
          <w:color w:val="auto"/>
        </w:rPr>
      </w:pPr>
      <w:r>
        <w:rPr>
          <w:rFonts w:ascii="Arial" w:cs="Arial" w:eastAsia="Arial" w:hAnsi="Arial"/>
          <w:sz w:val="21"/>
          <w:szCs w:val="21"/>
          <w:color w:val="auto"/>
        </w:rPr>
        <w:t>SCHEDULES</w:t>
      </w:r>
    </w:p>
    <w:p>
      <w:pPr>
        <w:spacing w:after="0" w:line="219" w:lineRule="exact"/>
        <w:rPr>
          <w:sz w:val="20"/>
          <w:szCs w:val="20"/>
          <w:color w:val="auto"/>
        </w:rPr>
      </w:pPr>
    </w:p>
    <w:p>
      <w:pPr>
        <w:ind w:left="665"/>
        <w:spacing w:after="0"/>
        <w:tabs>
          <w:tab w:leader="none" w:pos="2205" w:val="left"/>
        </w:tabs>
        <w:rPr>
          <w:sz w:val="20"/>
          <w:szCs w:val="20"/>
          <w:color w:val="auto"/>
        </w:rPr>
      </w:pPr>
      <w:r>
        <w:rPr>
          <w:rFonts w:ascii="Arial" w:cs="Arial" w:eastAsia="Arial" w:hAnsi="Arial"/>
          <w:sz w:val="21"/>
          <w:szCs w:val="21"/>
          <w:color w:val="auto"/>
        </w:rPr>
        <w:t>Schedule 2.01A</w:t>
      </w:r>
      <w:r>
        <w:rPr>
          <w:sz w:val="20"/>
          <w:szCs w:val="20"/>
          <w:color w:val="auto"/>
        </w:rPr>
        <w:tab/>
      </w:r>
      <w:r>
        <w:rPr>
          <w:rFonts w:ascii="Arial" w:cs="Arial" w:eastAsia="Arial" w:hAnsi="Arial"/>
          <w:sz w:val="19"/>
          <w:szCs w:val="19"/>
          <w:color w:val="auto"/>
        </w:rPr>
        <w:t>Commitments</w:t>
      </w:r>
    </w:p>
    <w:p>
      <w:pPr>
        <w:ind w:left="665"/>
        <w:spacing w:after="0" w:line="223" w:lineRule="auto"/>
        <w:tabs>
          <w:tab w:leader="none" w:pos="2205" w:val="left"/>
        </w:tabs>
        <w:rPr>
          <w:sz w:val="20"/>
          <w:szCs w:val="20"/>
          <w:color w:val="auto"/>
        </w:rPr>
      </w:pPr>
      <w:r>
        <w:rPr>
          <w:rFonts w:ascii="Arial" w:cs="Arial" w:eastAsia="Arial" w:hAnsi="Arial"/>
          <w:sz w:val="21"/>
          <w:szCs w:val="21"/>
          <w:color w:val="auto"/>
        </w:rPr>
        <w:t>Schedule 2.01B</w:t>
      </w:r>
      <w:r>
        <w:rPr>
          <w:sz w:val="20"/>
          <w:szCs w:val="20"/>
          <w:color w:val="auto"/>
        </w:rPr>
        <w:tab/>
      </w:r>
      <w:r>
        <w:rPr>
          <w:rFonts w:ascii="Arial" w:cs="Arial" w:eastAsia="Arial" w:hAnsi="Arial"/>
          <w:sz w:val="20"/>
          <w:szCs w:val="20"/>
          <w:color w:val="auto"/>
        </w:rPr>
        <w:t>Letter of Credit Commitments</w:t>
      </w:r>
    </w:p>
    <w:p>
      <w:pPr>
        <w:ind w:left="665"/>
        <w:spacing w:after="0" w:line="224" w:lineRule="auto"/>
        <w:tabs>
          <w:tab w:leader="none" w:pos="2065" w:val="left"/>
        </w:tabs>
        <w:rPr>
          <w:sz w:val="20"/>
          <w:szCs w:val="20"/>
          <w:color w:val="auto"/>
        </w:rPr>
      </w:pPr>
      <w:r>
        <w:rPr>
          <w:rFonts w:ascii="Arial" w:cs="Arial" w:eastAsia="Arial" w:hAnsi="Arial"/>
          <w:sz w:val="21"/>
          <w:szCs w:val="21"/>
          <w:color w:val="auto"/>
        </w:rPr>
        <w:t>Schedule 2.06</w:t>
      </w:r>
      <w:r>
        <w:rPr>
          <w:sz w:val="20"/>
          <w:szCs w:val="20"/>
          <w:color w:val="auto"/>
        </w:rPr>
        <w:tab/>
      </w:r>
      <w:r>
        <w:rPr>
          <w:rFonts w:ascii="Arial" w:cs="Arial" w:eastAsia="Arial" w:hAnsi="Arial"/>
          <w:sz w:val="20"/>
          <w:szCs w:val="20"/>
          <w:color w:val="auto"/>
        </w:rPr>
        <w:t>Existing Letters of Credit</w:t>
      </w:r>
    </w:p>
    <w:p>
      <w:pPr>
        <w:ind w:left="665"/>
        <w:spacing w:after="0" w:line="235" w:lineRule="auto"/>
        <w:tabs>
          <w:tab w:leader="none" w:pos="2085" w:val="left"/>
        </w:tabs>
        <w:rPr>
          <w:sz w:val="20"/>
          <w:szCs w:val="20"/>
          <w:color w:val="auto"/>
        </w:rPr>
      </w:pPr>
      <w:r>
        <w:rPr>
          <w:rFonts w:ascii="Arial" w:cs="Arial" w:eastAsia="Arial" w:hAnsi="Arial"/>
          <w:sz w:val="21"/>
          <w:szCs w:val="21"/>
          <w:b w:val="1"/>
          <w:bCs w:val="1"/>
          <w:i w:val="1"/>
          <w:iCs w:val="1"/>
          <w:color w:val="auto"/>
        </w:rPr>
        <w:t>Schedule 3.06</w:t>
      </w:r>
      <w:r>
        <w:rPr>
          <w:sz w:val="20"/>
          <w:szCs w:val="20"/>
          <w:color w:val="auto"/>
        </w:rPr>
        <w:tab/>
      </w:r>
      <w:r>
        <w:rPr>
          <w:rFonts w:ascii="Arial" w:cs="Arial" w:eastAsia="Arial" w:hAnsi="Arial"/>
          <w:sz w:val="19"/>
          <w:szCs w:val="19"/>
          <w:b w:val="1"/>
          <w:bCs w:val="1"/>
          <w:i w:val="1"/>
          <w:iCs w:val="1"/>
          <w:color w:val="auto"/>
        </w:rPr>
        <w:t>Litigation</w:t>
      </w:r>
    </w:p>
    <w:p>
      <w:pPr>
        <w:ind w:left="665"/>
        <w:spacing w:after="0"/>
        <w:tabs>
          <w:tab w:leader="none" w:pos="2085" w:val="left"/>
        </w:tabs>
        <w:rPr>
          <w:sz w:val="20"/>
          <w:szCs w:val="20"/>
          <w:color w:val="auto"/>
        </w:rPr>
      </w:pPr>
      <w:r>
        <w:rPr>
          <w:rFonts w:ascii="Arial" w:cs="Arial" w:eastAsia="Arial" w:hAnsi="Arial"/>
          <w:sz w:val="21"/>
          <w:szCs w:val="21"/>
          <w:b w:val="1"/>
          <w:bCs w:val="1"/>
          <w:i w:val="1"/>
          <w:iCs w:val="1"/>
          <w:color w:val="auto"/>
        </w:rPr>
        <w:t>Schedule 3.09</w:t>
      </w:r>
      <w:r>
        <w:rPr>
          <w:sz w:val="20"/>
          <w:szCs w:val="20"/>
          <w:color w:val="auto"/>
        </w:rPr>
        <w:tab/>
      </w:r>
      <w:r>
        <w:rPr>
          <w:rFonts w:ascii="Arial" w:cs="Arial" w:eastAsia="Arial" w:hAnsi="Arial"/>
          <w:sz w:val="19"/>
          <w:szCs w:val="19"/>
          <w:b w:val="1"/>
          <w:bCs w:val="1"/>
          <w:i w:val="1"/>
          <w:iCs w:val="1"/>
          <w:color w:val="auto"/>
        </w:rPr>
        <w:t>Environmental Compliance</w:t>
      </w:r>
    </w:p>
    <w:p>
      <w:pPr>
        <w:sectPr>
          <w:pgSz w:w="11900" w:h="16838" w:orient="portrait"/>
          <w:cols w:equalWidth="0" w:num="1">
            <w:col w:w="10025"/>
          </w:cols>
          <w:pgMar w:left="935" w:top="1392" w:right="939" w:bottom="1440" w:gutter="0" w:footer="0" w:header="0"/>
        </w:sectPr>
      </w:pPr>
    </w:p>
    <w:bookmarkStart w:id="293" w:name="page294"/>
    <w:bookmarkEnd w:id="293"/>
    <w:tbl>
      <w:tblPr>
        <w:tblLayout w:type="fixed"/>
        <w:tblInd w:w="660" w:type="dxa"/>
        <w:tblCellMar>
          <w:top w:w="0" w:type="dxa"/>
          <w:left w:w="0" w:type="dxa"/>
          <w:bottom w:w="0" w:type="dxa"/>
          <w:right w:w="0" w:type="dxa"/>
        </w:tblCellMar>
      </w:tblPr>
      <w:tr>
        <w:trPr>
          <w:trHeight w:val="241"/>
        </w:trPr>
        <w:tc>
          <w:tcPr>
            <w:tcW w:w="4820" w:type="dxa"/>
            <w:vAlign w:val="bottom"/>
            <w:gridSpan w:val="2"/>
          </w:tcPr>
          <w:p>
            <w:pPr>
              <w:spacing w:after="0"/>
              <w:rPr>
                <w:sz w:val="20"/>
                <w:szCs w:val="20"/>
                <w:color w:val="auto"/>
              </w:rPr>
            </w:pPr>
            <w:r>
              <w:rPr>
                <w:rFonts w:ascii="Arial" w:cs="Arial" w:eastAsia="Arial" w:hAnsi="Arial"/>
                <w:sz w:val="21"/>
                <w:szCs w:val="21"/>
                <w:b w:val="1"/>
                <w:bCs w:val="1"/>
                <w:i w:val="1"/>
                <w:iCs w:val="1"/>
                <w:color w:val="auto"/>
              </w:rPr>
              <w:t>Schedule 3.12(c) Schedule 3.12(d)</w:t>
            </w:r>
          </w:p>
        </w:tc>
        <w:tc>
          <w:tcPr>
            <w:tcW w:w="1480" w:type="dxa"/>
            <w:vAlign w:val="bottom"/>
          </w:tcPr>
          <w:p>
            <w:pPr>
              <w:ind w:left="760"/>
              <w:spacing w:after="0"/>
              <w:rPr>
                <w:sz w:val="20"/>
                <w:szCs w:val="20"/>
                <w:color w:val="auto"/>
              </w:rPr>
            </w:pPr>
            <w:r>
              <w:rPr>
                <w:rFonts w:ascii="Arial" w:cs="Arial" w:eastAsia="Arial" w:hAnsi="Arial"/>
                <w:sz w:val="21"/>
                <w:szCs w:val="21"/>
                <w:b w:val="1"/>
                <w:bCs w:val="1"/>
                <w:i w:val="1"/>
                <w:iCs w:val="1"/>
                <w:color w:val="auto"/>
              </w:rPr>
              <w:t>ERISA</w:t>
            </w:r>
          </w:p>
        </w:tc>
        <w:tc>
          <w:tcPr>
            <w:tcW w:w="0" w:type="dxa"/>
            <w:vAlign w:val="bottom"/>
          </w:tcPr>
          <w:p>
            <w:pPr>
              <w:spacing w:after="0"/>
              <w:rPr>
                <w:sz w:val="1"/>
                <w:szCs w:val="1"/>
                <w:color w:val="auto"/>
              </w:rPr>
            </w:pPr>
          </w:p>
        </w:tc>
      </w:tr>
      <w:tr>
        <w:trPr>
          <w:trHeight w:val="214"/>
        </w:trPr>
        <w:tc>
          <w:tcPr>
            <w:tcW w:w="1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tcPr>
          <w:p>
            <w:pPr>
              <w:ind w:left="760"/>
              <w:spacing w:after="0" w:line="215" w:lineRule="exact"/>
              <w:rPr>
                <w:sz w:val="20"/>
                <w:szCs w:val="20"/>
                <w:color w:val="auto"/>
              </w:rPr>
            </w:pPr>
            <w:r>
              <w:rPr>
                <w:rFonts w:ascii="Arial" w:cs="Arial" w:eastAsia="Arial" w:hAnsi="Arial"/>
                <w:sz w:val="21"/>
                <w:szCs w:val="21"/>
                <w:b w:val="1"/>
                <w:bCs w:val="1"/>
                <w:i w:val="1"/>
                <w:iCs w:val="1"/>
                <w:color w:val="auto"/>
              </w:rPr>
              <w:t>Events</w:t>
            </w:r>
          </w:p>
        </w:tc>
        <w:tc>
          <w:tcPr>
            <w:tcW w:w="0" w:type="dxa"/>
            <w:vAlign w:val="bottom"/>
          </w:tcPr>
          <w:p>
            <w:pPr>
              <w:spacing w:after="0"/>
              <w:rPr>
                <w:sz w:val="1"/>
                <w:szCs w:val="1"/>
                <w:color w:val="auto"/>
              </w:rPr>
            </w:pPr>
          </w:p>
        </w:tc>
      </w:tr>
      <w:tr>
        <w:trPr>
          <w:trHeight w:val="214"/>
        </w:trPr>
        <w:tc>
          <w:tcPr>
            <w:tcW w:w="1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tcPr>
          <w:p>
            <w:pPr>
              <w:ind w:left="760"/>
              <w:spacing w:after="0" w:line="215" w:lineRule="exact"/>
              <w:rPr>
                <w:sz w:val="20"/>
                <w:szCs w:val="20"/>
                <w:color w:val="auto"/>
              </w:rPr>
            </w:pPr>
            <w:r>
              <w:rPr>
                <w:rFonts w:ascii="Arial" w:cs="Arial" w:eastAsia="Arial" w:hAnsi="Arial"/>
                <w:sz w:val="21"/>
                <w:szCs w:val="21"/>
                <w:b w:val="1"/>
                <w:bCs w:val="1"/>
                <w:i w:val="1"/>
                <w:iCs w:val="1"/>
                <w:color w:val="auto"/>
                <w:w w:val="85"/>
              </w:rPr>
              <w:t>Pension</w:t>
            </w:r>
          </w:p>
        </w:tc>
        <w:tc>
          <w:tcPr>
            <w:tcW w:w="0" w:type="dxa"/>
            <w:vAlign w:val="bottom"/>
          </w:tcPr>
          <w:p>
            <w:pPr>
              <w:spacing w:after="0"/>
              <w:rPr>
                <w:sz w:val="1"/>
                <w:szCs w:val="1"/>
                <w:color w:val="auto"/>
              </w:rPr>
            </w:pPr>
          </w:p>
        </w:tc>
      </w:tr>
      <w:tr>
        <w:trPr>
          <w:trHeight w:val="273"/>
        </w:trPr>
        <w:tc>
          <w:tcPr>
            <w:tcW w:w="1340" w:type="dxa"/>
            <w:vAlign w:val="bottom"/>
            <w:vMerge w:val="restart"/>
          </w:tcPr>
          <w:p>
            <w:pPr>
              <w:spacing w:after="0"/>
              <w:rPr>
                <w:sz w:val="20"/>
                <w:szCs w:val="20"/>
                <w:color w:val="auto"/>
              </w:rPr>
            </w:pPr>
            <w:r>
              <w:rPr>
                <w:rFonts w:ascii="Arial" w:cs="Arial" w:eastAsia="Arial" w:hAnsi="Arial"/>
                <w:sz w:val="21"/>
                <w:szCs w:val="21"/>
                <w:b w:val="1"/>
                <w:bCs w:val="1"/>
                <w:i w:val="1"/>
                <w:iCs w:val="1"/>
                <w:color w:val="auto"/>
                <w:w w:val="94"/>
              </w:rPr>
              <w:t>Schedule 3.13</w:t>
            </w:r>
          </w:p>
        </w:tc>
        <w:tc>
          <w:tcPr>
            <w:tcW w:w="3480" w:type="dxa"/>
            <w:vAlign w:val="bottom"/>
            <w:vMerge w:val="restart"/>
          </w:tcPr>
          <w:p>
            <w:pPr>
              <w:ind w:left="100"/>
              <w:spacing w:after="0"/>
              <w:rPr>
                <w:sz w:val="20"/>
                <w:szCs w:val="20"/>
                <w:color w:val="auto"/>
              </w:rPr>
            </w:pPr>
            <w:r>
              <w:rPr>
                <w:rFonts w:ascii="Arial" w:cs="Arial" w:eastAsia="Arial" w:hAnsi="Arial"/>
                <w:sz w:val="21"/>
                <w:szCs w:val="21"/>
                <w:b w:val="1"/>
                <w:bCs w:val="1"/>
                <w:i w:val="1"/>
                <w:iCs w:val="1"/>
                <w:color w:val="auto"/>
              </w:rPr>
              <w:t>Subsidiaries; Equity Interests</w:t>
            </w:r>
          </w:p>
        </w:tc>
        <w:tc>
          <w:tcPr>
            <w:tcW w:w="1480" w:type="dxa"/>
            <w:vAlign w:val="bottom"/>
          </w:tcPr>
          <w:p>
            <w:pPr>
              <w:ind w:left="760"/>
              <w:spacing w:after="0"/>
              <w:rPr>
                <w:sz w:val="20"/>
                <w:szCs w:val="20"/>
                <w:color w:val="auto"/>
              </w:rPr>
            </w:pPr>
            <w:r>
              <w:rPr>
                <w:rFonts w:ascii="Arial" w:cs="Arial" w:eastAsia="Arial" w:hAnsi="Arial"/>
                <w:sz w:val="21"/>
                <w:szCs w:val="21"/>
                <w:b w:val="1"/>
                <w:bCs w:val="1"/>
                <w:i w:val="1"/>
                <w:iCs w:val="1"/>
                <w:color w:val="auto"/>
              </w:rPr>
              <w:t>Plans</w:t>
            </w: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34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line="228" w:lineRule="exact"/>
              <w:rPr>
                <w:sz w:val="20"/>
                <w:szCs w:val="20"/>
                <w:color w:val="auto"/>
              </w:rPr>
            </w:pPr>
            <w:r>
              <w:rPr>
                <w:rFonts w:ascii="Arial" w:cs="Arial" w:eastAsia="Arial" w:hAnsi="Arial"/>
                <w:sz w:val="21"/>
                <w:szCs w:val="21"/>
                <w:b w:val="1"/>
                <w:bCs w:val="1"/>
                <w:i w:val="1"/>
                <w:iCs w:val="1"/>
                <w:color w:val="auto"/>
                <w:w w:val="94"/>
              </w:rPr>
              <w:t>Schedule 3.23</w:t>
            </w:r>
          </w:p>
        </w:tc>
        <w:tc>
          <w:tcPr>
            <w:tcW w:w="3480" w:type="dxa"/>
            <w:vAlign w:val="bottom"/>
          </w:tcPr>
          <w:p>
            <w:pPr>
              <w:ind w:left="100"/>
              <w:spacing w:after="0" w:line="228" w:lineRule="exact"/>
              <w:rPr>
                <w:sz w:val="20"/>
                <w:szCs w:val="20"/>
                <w:color w:val="auto"/>
              </w:rPr>
            </w:pPr>
            <w:r>
              <w:rPr>
                <w:rFonts w:ascii="Arial" w:cs="Arial" w:eastAsia="Arial" w:hAnsi="Arial"/>
                <w:sz w:val="21"/>
                <w:szCs w:val="21"/>
                <w:b w:val="1"/>
                <w:bCs w:val="1"/>
                <w:i w:val="1"/>
                <w:iCs w:val="1"/>
                <w:color w:val="auto"/>
              </w:rPr>
              <w:t>Responsible Officers</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820" w:type="dxa"/>
            <w:vAlign w:val="bottom"/>
            <w:gridSpan w:val="2"/>
          </w:tcPr>
          <w:p>
            <w:pPr>
              <w:spacing w:after="0"/>
              <w:rPr>
                <w:sz w:val="20"/>
                <w:szCs w:val="20"/>
                <w:color w:val="auto"/>
              </w:rPr>
            </w:pPr>
            <w:r>
              <w:rPr>
                <w:rFonts w:ascii="Arial" w:cs="Arial" w:eastAsia="Arial" w:hAnsi="Arial"/>
                <w:sz w:val="21"/>
                <w:szCs w:val="21"/>
                <w:b w:val="1"/>
                <w:bCs w:val="1"/>
                <w:i w:val="1"/>
                <w:iCs w:val="1"/>
                <w:color w:val="auto"/>
              </w:rPr>
              <w:t>Schedule 3.24(b)  Intellectual Property</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right="3020"/>
        <w:spacing w:after="0" w:line="235" w:lineRule="auto"/>
        <w:rPr>
          <w:sz w:val="20"/>
          <w:szCs w:val="20"/>
          <w:color w:val="auto"/>
        </w:rPr>
      </w:pPr>
      <w:r>
        <w:rPr>
          <w:rFonts w:ascii="Arial" w:cs="Arial" w:eastAsia="Arial" w:hAnsi="Arial"/>
          <w:sz w:val="19"/>
          <w:szCs w:val="19"/>
          <w:b w:val="1"/>
          <w:bCs w:val="1"/>
          <w:i w:val="1"/>
          <w:iCs w:val="1"/>
          <w:color w:val="auto"/>
        </w:rPr>
        <w:t>Schedule 3.24(c) Documents, Instruments and Tangible Chattel Paper Schedule 3.24(d)(i) Deposit Accounts and Securities Accounts</w:t>
      </w:r>
    </w:p>
    <w:p>
      <w:pPr>
        <w:ind w:left="660"/>
        <w:spacing w:after="0"/>
        <w:tabs>
          <w:tab w:leader="none" w:pos="2600" w:val="left"/>
        </w:tabs>
        <w:rPr>
          <w:sz w:val="20"/>
          <w:szCs w:val="20"/>
          <w:color w:val="auto"/>
        </w:rPr>
      </w:pPr>
      <w:r>
        <w:rPr>
          <w:rFonts w:ascii="Arial" w:cs="Arial" w:eastAsia="Arial" w:hAnsi="Arial"/>
          <w:sz w:val="21"/>
          <w:szCs w:val="21"/>
          <w:b w:val="1"/>
          <w:bCs w:val="1"/>
          <w:i w:val="1"/>
          <w:iCs w:val="1"/>
          <w:color w:val="auto"/>
        </w:rPr>
        <w:t>Schedule 3.24(d)(ii)</w:t>
      </w:r>
      <w:r>
        <w:rPr>
          <w:sz w:val="20"/>
          <w:szCs w:val="20"/>
          <w:color w:val="auto"/>
        </w:rPr>
        <w:tab/>
      </w:r>
      <w:r>
        <w:rPr>
          <w:rFonts w:ascii="Arial" w:cs="Arial" w:eastAsia="Arial" w:hAnsi="Arial"/>
          <w:sz w:val="18"/>
          <w:szCs w:val="18"/>
          <w:b w:val="1"/>
          <w:bCs w:val="1"/>
          <w:i w:val="1"/>
          <w:iCs w:val="1"/>
          <w:color w:val="auto"/>
        </w:rPr>
        <w:t>Electronic Chattel Paper and Letter of Credit Rights Schedule</w:t>
      </w:r>
    </w:p>
    <w:p>
      <w:pPr>
        <w:ind w:left="660"/>
        <w:spacing w:after="0"/>
        <w:tabs>
          <w:tab w:leader="none" w:pos="1460" w:val="left"/>
        </w:tabs>
        <w:rPr>
          <w:sz w:val="20"/>
          <w:szCs w:val="20"/>
          <w:color w:val="auto"/>
        </w:rPr>
      </w:pPr>
      <w:r>
        <w:rPr>
          <w:rFonts w:ascii="Arial" w:cs="Arial" w:eastAsia="Arial" w:hAnsi="Arial"/>
          <w:sz w:val="21"/>
          <w:szCs w:val="21"/>
          <w:b w:val="1"/>
          <w:bCs w:val="1"/>
          <w:i w:val="1"/>
          <w:iCs w:val="1"/>
          <w:color w:val="auto"/>
        </w:rPr>
        <w:t>3.24(e)</w:t>
      </w:r>
      <w:r>
        <w:rPr>
          <w:sz w:val="20"/>
          <w:szCs w:val="20"/>
          <w:color w:val="auto"/>
        </w:rPr>
        <w:tab/>
      </w:r>
      <w:r>
        <w:rPr>
          <w:rFonts w:ascii="Arial" w:cs="Arial" w:eastAsia="Arial" w:hAnsi="Arial"/>
          <w:sz w:val="18"/>
          <w:szCs w:val="18"/>
          <w:b w:val="1"/>
          <w:bCs w:val="1"/>
          <w:i w:val="1"/>
          <w:iCs w:val="1"/>
          <w:color w:val="auto"/>
        </w:rPr>
        <w:t>Commercial Tort Claims</w:t>
      </w:r>
    </w:p>
    <w:p>
      <w:pPr>
        <w:ind w:left="660"/>
        <w:spacing w:after="0"/>
        <w:tabs>
          <w:tab w:leader="none" w:pos="2300" w:val="left"/>
        </w:tabs>
        <w:rPr>
          <w:sz w:val="20"/>
          <w:szCs w:val="20"/>
          <w:color w:val="auto"/>
        </w:rPr>
      </w:pPr>
      <w:r>
        <w:rPr>
          <w:rFonts w:ascii="Arial" w:cs="Arial" w:eastAsia="Arial" w:hAnsi="Arial"/>
          <w:sz w:val="21"/>
          <w:szCs w:val="21"/>
          <w:b w:val="1"/>
          <w:bCs w:val="1"/>
          <w:i w:val="1"/>
          <w:iCs w:val="1"/>
          <w:color w:val="auto"/>
        </w:rPr>
        <w:t>Schedule 3.24(f)</w:t>
      </w:r>
      <w:r>
        <w:rPr>
          <w:sz w:val="20"/>
          <w:szCs w:val="20"/>
          <w:color w:val="auto"/>
        </w:rPr>
        <w:tab/>
      </w:r>
      <w:r>
        <w:rPr>
          <w:rFonts w:ascii="Arial" w:cs="Arial" w:eastAsia="Arial" w:hAnsi="Arial"/>
          <w:sz w:val="18"/>
          <w:szCs w:val="18"/>
          <w:b w:val="1"/>
          <w:bCs w:val="1"/>
          <w:i w:val="1"/>
          <w:iCs w:val="1"/>
          <w:color w:val="auto"/>
        </w:rPr>
        <w:t>Pledged Equity Interests</w:t>
      </w:r>
    </w:p>
    <w:p>
      <w:pPr>
        <w:ind w:left="660"/>
        <w:spacing w:after="0"/>
        <w:tabs>
          <w:tab w:leader="none" w:pos="2340" w:val="left"/>
        </w:tabs>
        <w:rPr>
          <w:sz w:val="20"/>
          <w:szCs w:val="20"/>
          <w:color w:val="auto"/>
        </w:rPr>
      </w:pPr>
      <w:r>
        <w:rPr>
          <w:rFonts w:ascii="Arial" w:cs="Arial" w:eastAsia="Arial" w:hAnsi="Arial"/>
          <w:sz w:val="21"/>
          <w:szCs w:val="21"/>
          <w:b w:val="1"/>
          <w:bCs w:val="1"/>
          <w:i w:val="1"/>
          <w:iCs w:val="1"/>
          <w:color w:val="auto"/>
        </w:rPr>
        <w:t>Schedule 3.24(g)</w:t>
      </w:r>
      <w:r>
        <w:rPr>
          <w:sz w:val="20"/>
          <w:szCs w:val="20"/>
          <w:color w:val="auto"/>
        </w:rPr>
        <w:tab/>
      </w:r>
      <w:r>
        <w:rPr>
          <w:rFonts w:ascii="Arial" w:cs="Arial" w:eastAsia="Arial" w:hAnsi="Arial"/>
          <w:sz w:val="18"/>
          <w:szCs w:val="18"/>
          <w:b w:val="1"/>
          <w:bCs w:val="1"/>
          <w:i w:val="1"/>
          <w:iCs w:val="1"/>
          <w:color w:val="auto"/>
        </w:rPr>
        <w:t>Properties</w:t>
      </w:r>
    </w:p>
    <w:p>
      <w:pPr>
        <w:ind w:left="660"/>
        <w:spacing w:after="0"/>
        <w:tabs>
          <w:tab w:leader="none" w:pos="2080" w:val="left"/>
        </w:tabs>
        <w:rPr>
          <w:sz w:val="20"/>
          <w:szCs w:val="20"/>
          <w:color w:val="auto"/>
        </w:rPr>
      </w:pPr>
      <w:r>
        <w:rPr>
          <w:rFonts w:ascii="Arial" w:cs="Arial" w:eastAsia="Arial" w:hAnsi="Arial"/>
          <w:sz w:val="21"/>
          <w:szCs w:val="21"/>
          <w:b w:val="1"/>
          <w:bCs w:val="1"/>
          <w:i w:val="1"/>
          <w:iCs w:val="1"/>
          <w:color w:val="auto"/>
        </w:rPr>
        <w:t>Schedule 5.19</w:t>
      </w:r>
      <w:r>
        <w:rPr>
          <w:sz w:val="20"/>
          <w:szCs w:val="20"/>
          <w:color w:val="auto"/>
        </w:rPr>
        <w:tab/>
      </w:r>
      <w:r>
        <w:rPr>
          <w:rFonts w:ascii="Arial" w:cs="Arial" w:eastAsia="Arial" w:hAnsi="Arial"/>
          <w:sz w:val="18"/>
          <w:szCs w:val="18"/>
          <w:b w:val="1"/>
          <w:bCs w:val="1"/>
          <w:i w:val="1"/>
          <w:iCs w:val="1"/>
          <w:color w:val="auto"/>
        </w:rPr>
        <w:t>Post-Closing Requirements</w:t>
      </w:r>
    </w:p>
    <w:p>
      <w:pPr>
        <w:ind w:left="660"/>
        <w:spacing w:after="0"/>
        <w:tabs>
          <w:tab w:leader="none" w:pos="2080" w:val="left"/>
        </w:tabs>
        <w:rPr>
          <w:sz w:val="20"/>
          <w:szCs w:val="20"/>
          <w:color w:val="auto"/>
        </w:rPr>
      </w:pPr>
      <w:r>
        <w:rPr>
          <w:rFonts w:ascii="Arial" w:cs="Arial" w:eastAsia="Arial" w:hAnsi="Arial"/>
          <w:sz w:val="21"/>
          <w:szCs w:val="21"/>
          <w:b w:val="1"/>
          <w:bCs w:val="1"/>
          <w:i w:val="1"/>
          <w:iCs w:val="1"/>
          <w:color w:val="auto"/>
        </w:rPr>
        <w:t>Schedule 6.01</w:t>
      </w:r>
      <w:r>
        <w:rPr>
          <w:sz w:val="20"/>
          <w:szCs w:val="20"/>
          <w:color w:val="auto"/>
        </w:rPr>
        <w:tab/>
      </w:r>
      <w:r>
        <w:rPr>
          <w:rFonts w:ascii="Arial" w:cs="Arial" w:eastAsia="Arial" w:hAnsi="Arial"/>
          <w:sz w:val="18"/>
          <w:szCs w:val="18"/>
          <w:b w:val="1"/>
          <w:bCs w:val="1"/>
          <w:i w:val="1"/>
          <w:iCs w:val="1"/>
          <w:color w:val="auto"/>
        </w:rPr>
        <w:t>Existing Liens</w:t>
      </w:r>
    </w:p>
    <w:p>
      <w:pPr>
        <w:ind w:left="660"/>
        <w:spacing w:after="0"/>
        <w:tabs>
          <w:tab w:leader="none" w:pos="2080" w:val="left"/>
        </w:tabs>
        <w:rPr>
          <w:sz w:val="20"/>
          <w:szCs w:val="20"/>
          <w:color w:val="auto"/>
        </w:rPr>
      </w:pPr>
      <w:r>
        <w:rPr>
          <w:rFonts w:ascii="Arial" w:cs="Arial" w:eastAsia="Arial" w:hAnsi="Arial"/>
          <w:sz w:val="21"/>
          <w:szCs w:val="21"/>
          <w:b w:val="1"/>
          <w:bCs w:val="1"/>
          <w:i w:val="1"/>
          <w:iCs w:val="1"/>
          <w:color w:val="auto"/>
        </w:rPr>
        <w:t>Schedule 6.02</w:t>
      </w:r>
      <w:r>
        <w:rPr>
          <w:sz w:val="20"/>
          <w:szCs w:val="20"/>
          <w:color w:val="auto"/>
        </w:rPr>
        <w:tab/>
      </w:r>
      <w:r>
        <w:rPr>
          <w:rFonts w:ascii="Arial" w:cs="Arial" w:eastAsia="Arial" w:hAnsi="Arial"/>
          <w:sz w:val="18"/>
          <w:szCs w:val="18"/>
          <w:b w:val="1"/>
          <w:bCs w:val="1"/>
          <w:i w:val="1"/>
          <w:iCs w:val="1"/>
          <w:color w:val="auto"/>
        </w:rPr>
        <w:t>Existing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1905</wp:posOffset>
            </wp:positionV>
            <wp:extent cx="16344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1634490" cy="8255"/>
                    </a:xfrm>
                    <a:prstGeom prst="rect">
                      <a:avLst/>
                    </a:prstGeom>
                    <a:noFill/>
                  </pic:spPr>
                </pic:pic>
              </a:graphicData>
            </a:graphic>
          </wp:anchor>
        </w:drawing>
      </w:r>
    </w:p>
    <w:p>
      <w:pPr>
        <w:spacing w:after="0" w:line="116" w:lineRule="exact"/>
        <w:rPr>
          <w:sz w:val="20"/>
          <w:szCs w:val="20"/>
          <w:color w:val="auto"/>
        </w:rPr>
      </w:pPr>
    </w:p>
    <w:p>
      <w:pPr>
        <w:ind w:firstLine="642"/>
        <w:spacing w:after="0" w:line="283" w:lineRule="auto"/>
        <w:rPr>
          <w:sz w:val="20"/>
          <w:szCs w:val="20"/>
          <w:color w:val="auto"/>
        </w:rPr>
      </w:pPr>
      <w:r>
        <w:rPr>
          <w:rFonts w:ascii="Arial" w:cs="Arial" w:eastAsia="Arial" w:hAnsi="Arial"/>
          <w:sz w:val="11"/>
          <w:szCs w:val="11"/>
          <w:color w:val="auto"/>
        </w:rPr>
        <w:t xml:space="preserve">1 </w:t>
      </w:r>
      <w:r>
        <w:rPr>
          <w:rFonts w:ascii="Arial" w:cs="Arial" w:eastAsia="Arial" w:hAnsi="Arial"/>
          <w:sz w:val="16"/>
          <w:szCs w:val="16"/>
          <w:color w:val="auto"/>
        </w:rPr>
        <w:t>Each capitalized term used herein and not defined herein shall have the meaning assigned to such term in the above-defined</w:t>
      </w:r>
      <w:r>
        <w:rPr>
          <w:rFonts w:ascii="Arial" w:cs="Arial" w:eastAsia="Arial" w:hAnsi="Arial"/>
          <w:sz w:val="11"/>
          <w:szCs w:val="11"/>
          <w:color w:val="auto"/>
        </w:rPr>
        <w:t xml:space="preserve"> </w:t>
      </w:r>
      <w:r>
        <w:rPr>
          <w:rFonts w:ascii="Arial" w:cs="Arial" w:eastAsia="Arial" w:hAnsi="Arial"/>
          <w:sz w:val="16"/>
          <w:szCs w:val="16"/>
          <w:color w:val="auto"/>
        </w:rPr>
        <w:t xml:space="preserve">Credit Agreement. Items appearing in </w:t>
      </w:r>
      <w:r>
        <w:rPr>
          <w:rFonts w:ascii="Arial" w:cs="Arial" w:eastAsia="Arial" w:hAnsi="Arial"/>
          <w:sz w:val="16"/>
          <w:szCs w:val="16"/>
          <w:b w:val="1"/>
          <w:bCs w:val="1"/>
          <w:color w:val="auto"/>
        </w:rPr>
        <w:t>bold</w:t>
      </w:r>
      <w:r>
        <w:rPr>
          <w:rFonts w:ascii="Arial" w:cs="Arial" w:eastAsia="Arial" w:hAnsi="Arial"/>
          <w:sz w:val="16"/>
          <w:szCs w:val="16"/>
          <w:color w:val="auto"/>
        </w:rPr>
        <w:t xml:space="preserve"> and </w:t>
      </w:r>
      <w:r>
        <w:rPr>
          <w:rFonts w:ascii="Arial" w:cs="Arial" w:eastAsia="Arial" w:hAnsi="Arial"/>
          <w:sz w:val="16"/>
          <w:szCs w:val="16"/>
          <w:i w:val="1"/>
          <w:iCs w:val="1"/>
          <w:color w:val="auto"/>
        </w:rPr>
        <w:t>italics</w:t>
      </w:r>
      <w:r>
        <w:rPr>
          <w:rFonts w:ascii="Arial" w:cs="Arial" w:eastAsia="Arial" w:hAnsi="Arial"/>
          <w:sz w:val="16"/>
          <w:szCs w:val="16"/>
          <w:color w:val="auto"/>
        </w:rPr>
        <w:t xml:space="preserve"> shall be prepared and/or provided by the Borrower and/or Borrower’s counsel.</w:t>
      </w:r>
    </w:p>
    <w:p>
      <w:pPr>
        <w:sectPr>
          <w:pgSz w:w="11900" w:h="16838" w:orient="portrait"/>
          <w:cols w:equalWidth="0" w:num="1">
            <w:col w:w="10020"/>
          </w:cols>
          <w:pgMar w:left="940" w:top="721" w:right="939" w:bottom="1440" w:gutter="0" w:footer="0" w:header="0"/>
        </w:sectPr>
      </w:pPr>
    </w:p>
    <w:bookmarkStart w:id="294" w:name="page295"/>
    <w:bookmarkEnd w:id="294"/>
    <w:tbl>
      <w:tblPr>
        <w:tblLayout w:type="fixed"/>
        <w:tblInd w:w="666" w:type="dxa"/>
        <w:tblCellMar>
          <w:top w:w="0" w:type="dxa"/>
          <w:left w:w="0" w:type="dxa"/>
          <w:bottom w:w="0" w:type="dxa"/>
          <w:right w:w="0" w:type="dxa"/>
        </w:tblCellMar>
      </w:tblPr>
      <w:tr>
        <w:trPr>
          <w:trHeight w:val="273"/>
        </w:trPr>
        <w:tc>
          <w:tcPr>
            <w:tcW w:w="1340" w:type="dxa"/>
            <w:vAlign w:val="bottom"/>
          </w:tcPr>
          <w:p>
            <w:pPr>
              <w:spacing w:after="0"/>
              <w:rPr>
                <w:sz w:val="20"/>
                <w:szCs w:val="20"/>
                <w:color w:val="auto"/>
              </w:rPr>
            </w:pPr>
            <w:r>
              <w:rPr>
                <w:rFonts w:ascii="Arial" w:cs="Arial" w:eastAsia="Arial" w:hAnsi="Arial"/>
                <w:sz w:val="21"/>
                <w:szCs w:val="21"/>
                <w:b w:val="1"/>
                <w:bCs w:val="1"/>
                <w:i w:val="1"/>
                <w:iCs w:val="1"/>
                <w:color w:val="auto"/>
                <w:w w:val="94"/>
              </w:rPr>
              <w:t>Schedule 6.03</w:t>
            </w:r>
          </w:p>
        </w:tc>
        <w:tc>
          <w:tcPr>
            <w:tcW w:w="6580" w:type="dxa"/>
            <w:vAlign w:val="bottom"/>
            <w:gridSpan w:val="2"/>
          </w:tcPr>
          <w:p>
            <w:pPr>
              <w:ind w:left="100"/>
              <w:spacing w:after="0"/>
              <w:rPr>
                <w:sz w:val="20"/>
                <w:szCs w:val="20"/>
                <w:color w:val="auto"/>
              </w:rPr>
            </w:pPr>
            <w:r>
              <w:rPr>
                <w:rFonts w:ascii="Arial" w:cs="Arial" w:eastAsia="Arial" w:hAnsi="Arial"/>
                <w:sz w:val="21"/>
                <w:szCs w:val="21"/>
                <w:b w:val="1"/>
                <w:bCs w:val="1"/>
                <w:i w:val="1"/>
                <w:iCs w:val="1"/>
                <w:color w:val="auto"/>
              </w:rPr>
              <w:t>Existing Indebtedness</w:t>
            </w:r>
          </w:p>
        </w:tc>
        <w:tc>
          <w:tcPr>
            <w:tcW w:w="0" w:type="dxa"/>
            <w:vAlign w:val="bottom"/>
          </w:tcPr>
          <w:p>
            <w:pPr>
              <w:spacing w:after="0"/>
              <w:rPr>
                <w:sz w:val="1"/>
                <w:szCs w:val="1"/>
                <w:color w:val="auto"/>
              </w:rPr>
            </w:pPr>
          </w:p>
        </w:tc>
      </w:tr>
      <w:tr>
        <w:trPr>
          <w:trHeight w:val="657"/>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80" w:type="dxa"/>
            <w:vAlign w:val="bottom"/>
          </w:tcPr>
          <w:p>
            <w:pPr>
              <w:ind w:left="1420"/>
              <w:spacing w:after="0"/>
              <w:rPr>
                <w:sz w:val="20"/>
                <w:szCs w:val="20"/>
                <w:color w:val="auto"/>
              </w:rPr>
            </w:pPr>
            <w:r>
              <w:rPr>
                <w:rFonts w:ascii="Arial" w:cs="Arial" w:eastAsia="Arial" w:hAnsi="Arial"/>
                <w:sz w:val="21"/>
                <w:szCs w:val="21"/>
                <w:color w:val="auto"/>
              </w:rPr>
              <w:t>EXHIBITS</w:t>
            </w:r>
          </w:p>
        </w:tc>
        <w:tc>
          <w:tcPr>
            <w:tcW w:w="0" w:type="dxa"/>
            <w:vAlign w:val="bottom"/>
          </w:tcPr>
          <w:p>
            <w:pPr>
              <w:spacing w:after="0"/>
              <w:rPr>
                <w:sz w:val="1"/>
                <w:szCs w:val="1"/>
                <w:color w:val="auto"/>
              </w:rPr>
            </w:pPr>
          </w:p>
        </w:tc>
      </w:tr>
      <w:tr>
        <w:trPr>
          <w:trHeight w:val="509"/>
        </w:trPr>
        <w:tc>
          <w:tcPr>
            <w:tcW w:w="1340" w:type="dxa"/>
            <w:vAlign w:val="bottom"/>
          </w:tcPr>
          <w:p>
            <w:pPr>
              <w:spacing w:after="0"/>
              <w:rPr>
                <w:sz w:val="20"/>
                <w:szCs w:val="20"/>
                <w:color w:val="auto"/>
              </w:rPr>
            </w:pPr>
            <w:r>
              <w:rPr>
                <w:rFonts w:ascii="Arial" w:cs="Arial" w:eastAsia="Arial" w:hAnsi="Arial"/>
                <w:sz w:val="21"/>
                <w:szCs w:val="21"/>
                <w:color w:val="auto"/>
              </w:rPr>
              <w:t>Exhibit A</w:t>
            </w:r>
          </w:p>
        </w:tc>
        <w:tc>
          <w:tcPr>
            <w:tcW w:w="1100" w:type="dxa"/>
            <w:vAlign w:val="bottom"/>
          </w:tcPr>
          <w:p>
            <w:pPr>
              <w:jc w:val="right"/>
              <w:ind w:right="153"/>
              <w:spacing w:after="0"/>
              <w:rPr>
                <w:sz w:val="20"/>
                <w:szCs w:val="20"/>
                <w:color w:val="auto"/>
              </w:rPr>
            </w:pPr>
            <w:r>
              <w:rPr>
                <w:rFonts w:ascii="Arial" w:cs="Arial" w:eastAsia="Arial" w:hAnsi="Arial"/>
                <w:sz w:val="21"/>
                <w:szCs w:val="21"/>
                <w:color w:val="auto"/>
              </w:rPr>
              <w:t>--</w:t>
            </w:r>
          </w:p>
        </w:tc>
        <w:tc>
          <w:tcPr>
            <w:tcW w:w="5480" w:type="dxa"/>
            <w:vAlign w:val="bottom"/>
          </w:tcPr>
          <w:p>
            <w:pPr>
              <w:ind w:left="280"/>
              <w:spacing w:after="0"/>
              <w:rPr>
                <w:sz w:val="20"/>
                <w:szCs w:val="20"/>
                <w:color w:val="auto"/>
              </w:rPr>
            </w:pPr>
            <w:r>
              <w:rPr>
                <w:rFonts w:ascii="Arial" w:cs="Arial" w:eastAsia="Arial" w:hAnsi="Arial"/>
                <w:sz w:val="21"/>
                <w:szCs w:val="21"/>
                <w:color w:val="auto"/>
              </w:rPr>
              <w:t>Form of Assignment and Assumption</w:t>
            </w: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0"/>
                <w:szCs w:val="20"/>
                <w:color w:val="auto"/>
              </w:rPr>
            </w:pPr>
            <w:r>
              <w:rPr>
                <w:rFonts w:ascii="Arial" w:cs="Arial" w:eastAsia="Arial" w:hAnsi="Arial"/>
                <w:sz w:val="21"/>
                <w:szCs w:val="21"/>
                <w:color w:val="auto"/>
              </w:rPr>
              <w:t>Exhibit B</w:t>
            </w:r>
          </w:p>
        </w:tc>
        <w:tc>
          <w:tcPr>
            <w:tcW w:w="1100" w:type="dxa"/>
            <w:vAlign w:val="bottom"/>
          </w:tcPr>
          <w:p>
            <w:pPr>
              <w:jc w:val="right"/>
              <w:ind w:right="153"/>
              <w:spacing w:after="0"/>
              <w:rPr>
                <w:sz w:val="20"/>
                <w:szCs w:val="20"/>
                <w:color w:val="auto"/>
              </w:rPr>
            </w:pPr>
            <w:r>
              <w:rPr>
                <w:rFonts w:ascii="Arial" w:cs="Arial" w:eastAsia="Arial" w:hAnsi="Arial"/>
                <w:sz w:val="21"/>
                <w:szCs w:val="21"/>
                <w:color w:val="auto"/>
              </w:rPr>
              <w:t>--</w:t>
            </w:r>
          </w:p>
        </w:tc>
        <w:tc>
          <w:tcPr>
            <w:tcW w:w="5480" w:type="dxa"/>
            <w:vAlign w:val="bottom"/>
          </w:tcPr>
          <w:p>
            <w:pPr>
              <w:ind w:left="280"/>
              <w:spacing w:after="0"/>
              <w:rPr>
                <w:sz w:val="20"/>
                <w:szCs w:val="20"/>
                <w:color w:val="auto"/>
              </w:rPr>
            </w:pPr>
            <w:r>
              <w:rPr>
                <w:rFonts w:ascii="Arial" w:cs="Arial" w:eastAsia="Arial" w:hAnsi="Arial"/>
                <w:sz w:val="21"/>
                <w:szCs w:val="21"/>
                <w:color w:val="auto"/>
              </w:rPr>
              <w:t>Form of Borrowing Request</w:t>
            </w:r>
          </w:p>
        </w:tc>
        <w:tc>
          <w:tcPr>
            <w:tcW w:w="0" w:type="dxa"/>
            <w:vAlign w:val="bottom"/>
          </w:tcPr>
          <w:p>
            <w:pPr>
              <w:spacing w:after="0"/>
              <w:rPr>
                <w:sz w:val="1"/>
                <w:szCs w:val="1"/>
                <w:color w:val="auto"/>
              </w:rPr>
            </w:pPr>
          </w:p>
        </w:tc>
      </w:tr>
      <w:tr>
        <w:trPr>
          <w:trHeight w:val="287"/>
        </w:trPr>
        <w:tc>
          <w:tcPr>
            <w:tcW w:w="1340" w:type="dxa"/>
            <w:vAlign w:val="bottom"/>
          </w:tcPr>
          <w:p>
            <w:pPr>
              <w:spacing w:after="0"/>
              <w:rPr>
                <w:sz w:val="20"/>
                <w:szCs w:val="20"/>
                <w:color w:val="auto"/>
              </w:rPr>
            </w:pPr>
            <w:r>
              <w:rPr>
                <w:rFonts w:ascii="Arial" w:cs="Arial" w:eastAsia="Arial" w:hAnsi="Arial"/>
                <w:sz w:val="21"/>
                <w:szCs w:val="21"/>
                <w:color w:val="auto"/>
              </w:rPr>
              <w:t>Exhibit C</w:t>
            </w:r>
          </w:p>
        </w:tc>
        <w:tc>
          <w:tcPr>
            <w:tcW w:w="1100" w:type="dxa"/>
            <w:vAlign w:val="bottom"/>
          </w:tcPr>
          <w:p>
            <w:pPr>
              <w:jc w:val="right"/>
              <w:ind w:right="153"/>
              <w:spacing w:after="0"/>
              <w:rPr>
                <w:sz w:val="20"/>
                <w:szCs w:val="20"/>
                <w:color w:val="auto"/>
              </w:rPr>
            </w:pPr>
            <w:r>
              <w:rPr>
                <w:rFonts w:ascii="Arial" w:cs="Arial" w:eastAsia="Arial" w:hAnsi="Arial"/>
                <w:sz w:val="21"/>
                <w:szCs w:val="21"/>
                <w:color w:val="auto"/>
              </w:rPr>
              <w:t>--</w:t>
            </w:r>
          </w:p>
        </w:tc>
        <w:tc>
          <w:tcPr>
            <w:tcW w:w="5480" w:type="dxa"/>
            <w:vAlign w:val="bottom"/>
          </w:tcPr>
          <w:p>
            <w:pPr>
              <w:ind w:left="280"/>
              <w:spacing w:after="0"/>
              <w:rPr>
                <w:sz w:val="20"/>
                <w:szCs w:val="20"/>
                <w:color w:val="auto"/>
              </w:rPr>
            </w:pPr>
            <w:r>
              <w:rPr>
                <w:rFonts w:ascii="Arial" w:cs="Arial" w:eastAsia="Arial" w:hAnsi="Arial"/>
                <w:sz w:val="21"/>
                <w:szCs w:val="21"/>
                <w:color w:val="auto"/>
              </w:rPr>
              <w:t>Form of Interest Election Request</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21"/>
                <w:szCs w:val="21"/>
                <w:color w:val="auto"/>
              </w:rPr>
              <w:t>Exhibit D</w:t>
            </w:r>
          </w:p>
        </w:tc>
        <w:tc>
          <w:tcPr>
            <w:tcW w:w="1100" w:type="dxa"/>
            <w:vAlign w:val="bottom"/>
            <w:vMerge w:val="restart"/>
          </w:tcPr>
          <w:p>
            <w:pPr>
              <w:jc w:val="right"/>
              <w:ind w:right="153"/>
              <w:spacing w:after="0"/>
              <w:rPr>
                <w:sz w:val="20"/>
                <w:szCs w:val="20"/>
                <w:color w:val="auto"/>
              </w:rPr>
            </w:pPr>
            <w:r>
              <w:rPr>
                <w:rFonts w:ascii="Arial" w:cs="Arial" w:eastAsia="Arial" w:hAnsi="Arial"/>
                <w:sz w:val="21"/>
                <w:szCs w:val="21"/>
                <w:color w:val="auto"/>
              </w:rPr>
              <w:t>--</w:t>
            </w:r>
          </w:p>
        </w:tc>
        <w:tc>
          <w:tcPr>
            <w:tcW w:w="5480" w:type="dxa"/>
            <w:vAlign w:val="bottom"/>
          </w:tcPr>
          <w:p>
            <w:pPr>
              <w:ind w:left="280"/>
              <w:spacing w:after="0"/>
              <w:rPr>
                <w:sz w:val="20"/>
                <w:szCs w:val="20"/>
                <w:color w:val="auto"/>
              </w:rPr>
            </w:pPr>
            <w:r>
              <w:rPr>
                <w:rFonts w:ascii="Arial" w:cs="Arial" w:eastAsia="Arial" w:hAnsi="Arial"/>
                <w:sz w:val="21"/>
                <w:szCs w:val="21"/>
                <w:color w:val="auto"/>
              </w:rPr>
              <w:t>Form of Increasing Lender Supplement</w:t>
            </w:r>
          </w:p>
        </w:tc>
        <w:tc>
          <w:tcPr>
            <w:tcW w:w="0" w:type="dxa"/>
            <w:vAlign w:val="bottom"/>
          </w:tcPr>
          <w:p>
            <w:pPr>
              <w:spacing w:after="0"/>
              <w:rPr>
                <w:sz w:val="1"/>
                <w:szCs w:val="1"/>
                <w:color w:val="auto"/>
              </w:rPr>
            </w:pPr>
          </w:p>
        </w:tc>
      </w:tr>
      <w:tr>
        <w:trPr>
          <w:trHeight w:val="134"/>
        </w:trPr>
        <w:tc>
          <w:tcPr>
            <w:tcW w:w="1340" w:type="dxa"/>
            <w:vAlign w:val="bottom"/>
            <w:vMerge w:val="restart"/>
          </w:tcPr>
          <w:p>
            <w:pPr>
              <w:spacing w:after="0"/>
              <w:rPr>
                <w:sz w:val="20"/>
                <w:szCs w:val="20"/>
                <w:color w:val="auto"/>
              </w:rPr>
            </w:pPr>
            <w:r>
              <w:rPr>
                <w:rFonts w:ascii="Arial" w:cs="Arial" w:eastAsia="Arial" w:hAnsi="Arial"/>
                <w:sz w:val="21"/>
                <w:szCs w:val="21"/>
                <w:color w:val="auto"/>
              </w:rPr>
              <w:t>Exhibit E</w:t>
            </w:r>
          </w:p>
        </w:tc>
        <w:tc>
          <w:tcPr>
            <w:tcW w:w="1100" w:type="dxa"/>
            <w:vAlign w:val="bottom"/>
            <w:vMerge w:val="continue"/>
          </w:tcPr>
          <w:p>
            <w:pPr>
              <w:spacing w:after="0"/>
              <w:rPr>
                <w:sz w:val="11"/>
                <w:szCs w:val="11"/>
                <w:color w:val="auto"/>
              </w:rPr>
            </w:pPr>
          </w:p>
        </w:tc>
        <w:tc>
          <w:tcPr>
            <w:tcW w:w="5480" w:type="dxa"/>
            <w:vAlign w:val="bottom"/>
            <w:vMerge w:val="restart"/>
          </w:tcPr>
          <w:p>
            <w:pPr>
              <w:ind w:left="280"/>
              <w:spacing w:after="0"/>
              <w:rPr>
                <w:sz w:val="20"/>
                <w:szCs w:val="20"/>
                <w:color w:val="auto"/>
              </w:rPr>
            </w:pPr>
            <w:r>
              <w:rPr>
                <w:rFonts w:ascii="Arial" w:cs="Arial" w:eastAsia="Arial" w:hAnsi="Arial"/>
                <w:sz w:val="21"/>
                <w:szCs w:val="21"/>
                <w:color w:val="auto"/>
              </w:rPr>
              <w:t>Form of Augmenting Lender Supplement</w:t>
            </w:r>
          </w:p>
        </w:tc>
        <w:tc>
          <w:tcPr>
            <w:tcW w:w="0" w:type="dxa"/>
            <w:vAlign w:val="bottom"/>
          </w:tcPr>
          <w:p>
            <w:pPr>
              <w:spacing w:after="0"/>
              <w:rPr>
                <w:sz w:val="1"/>
                <w:szCs w:val="1"/>
                <w:color w:val="auto"/>
              </w:rPr>
            </w:pPr>
          </w:p>
        </w:tc>
      </w:tr>
      <w:tr>
        <w:trPr>
          <w:trHeight w:val="277"/>
        </w:trPr>
        <w:tc>
          <w:tcPr>
            <w:tcW w:w="1340" w:type="dxa"/>
            <w:vAlign w:val="bottom"/>
            <w:vMerge w:val="continue"/>
          </w:tcPr>
          <w:p>
            <w:pPr>
              <w:spacing w:after="0"/>
              <w:rPr>
                <w:sz w:val="24"/>
                <w:szCs w:val="24"/>
                <w:color w:val="auto"/>
              </w:rPr>
            </w:pPr>
          </w:p>
        </w:tc>
        <w:tc>
          <w:tcPr>
            <w:tcW w:w="1100" w:type="dxa"/>
            <w:vAlign w:val="bottom"/>
          </w:tcPr>
          <w:p>
            <w:pPr>
              <w:jc w:val="right"/>
              <w:ind w:right="153"/>
              <w:spacing w:after="0"/>
              <w:rPr>
                <w:sz w:val="20"/>
                <w:szCs w:val="20"/>
                <w:color w:val="auto"/>
              </w:rPr>
            </w:pPr>
            <w:r>
              <w:rPr>
                <w:rFonts w:ascii="Arial" w:cs="Arial" w:eastAsia="Arial" w:hAnsi="Arial"/>
                <w:sz w:val="21"/>
                <w:szCs w:val="21"/>
                <w:color w:val="auto"/>
              </w:rPr>
              <w:t>--</w:t>
            </w:r>
          </w:p>
        </w:tc>
        <w:tc>
          <w:tcPr>
            <w:tcW w:w="5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21"/>
                <w:szCs w:val="21"/>
                <w:color w:val="auto"/>
              </w:rPr>
              <w:t>Exhibit F</w:t>
            </w:r>
          </w:p>
        </w:tc>
        <w:tc>
          <w:tcPr>
            <w:tcW w:w="1100" w:type="dxa"/>
            <w:vAlign w:val="bottom"/>
          </w:tcPr>
          <w:p>
            <w:pPr>
              <w:jc w:val="right"/>
              <w:ind w:right="153"/>
              <w:spacing w:after="0"/>
              <w:rPr>
                <w:sz w:val="20"/>
                <w:szCs w:val="20"/>
                <w:color w:val="auto"/>
              </w:rPr>
            </w:pPr>
            <w:r>
              <w:rPr>
                <w:rFonts w:ascii="Arial" w:cs="Arial" w:eastAsia="Arial" w:hAnsi="Arial"/>
                <w:sz w:val="21"/>
                <w:szCs w:val="21"/>
                <w:color w:val="auto"/>
              </w:rPr>
              <w:t>--</w:t>
            </w:r>
          </w:p>
        </w:tc>
        <w:tc>
          <w:tcPr>
            <w:tcW w:w="5480" w:type="dxa"/>
            <w:vAlign w:val="bottom"/>
          </w:tcPr>
          <w:p>
            <w:pPr>
              <w:ind w:left="280"/>
              <w:spacing w:after="0"/>
              <w:rPr>
                <w:sz w:val="20"/>
                <w:szCs w:val="20"/>
                <w:color w:val="auto"/>
              </w:rPr>
            </w:pPr>
            <w:r>
              <w:rPr>
                <w:rFonts w:ascii="Arial" w:cs="Arial" w:eastAsia="Arial" w:hAnsi="Arial"/>
                <w:sz w:val="21"/>
                <w:szCs w:val="21"/>
                <w:color w:val="auto"/>
              </w:rPr>
              <w:t>List of Closing Documents</w:t>
            </w:r>
          </w:p>
        </w:tc>
        <w:tc>
          <w:tcPr>
            <w:tcW w:w="0" w:type="dxa"/>
            <w:vAlign w:val="bottom"/>
          </w:tcPr>
          <w:p>
            <w:pPr>
              <w:spacing w:after="0"/>
              <w:rPr>
                <w:sz w:val="1"/>
                <w:szCs w:val="1"/>
                <w:color w:val="auto"/>
              </w:rPr>
            </w:pPr>
          </w:p>
        </w:tc>
      </w:tr>
      <w:tr>
        <w:trPr>
          <w:trHeight w:val="287"/>
        </w:trPr>
        <w:tc>
          <w:tcPr>
            <w:tcW w:w="1340" w:type="dxa"/>
            <w:vAlign w:val="bottom"/>
          </w:tcPr>
          <w:p>
            <w:pPr>
              <w:spacing w:after="0"/>
              <w:rPr>
                <w:sz w:val="20"/>
                <w:szCs w:val="20"/>
                <w:color w:val="auto"/>
              </w:rPr>
            </w:pPr>
            <w:r>
              <w:rPr>
                <w:rFonts w:ascii="Arial" w:cs="Arial" w:eastAsia="Arial" w:hAnsi="Arial"/>
                <w:sz w:val="21"/>
                <w:szCs w:val="21"/>
                <w:color w:val="auto"/>
              </w:rPr>
              <w:t>Exhibit G-1</w:t>
            </w:r>
          </w:p>
        </w:tc>
        <w:tc>
          <w:tcPr>
            <w:tcW w:w="1100" w:type="dxa"/>
            <w:vAlign w:val="bottom"/>
          </w:tcPr>
          <w:p>
            <w:pPr>
              <w:jc w:val="right"/>
              <w:ind w:right="153"/>
              <w:spacing w:after="0"/>
              <w:rPr>
                <w:sz w:val="20"/>
                <w:szCs w:val="20"/>
                <w:color w:val="auto"/>
              </w:rPr>
            </w:pPr>
            <w:r>
              <w:rPr>
                <w:rFonts w:ascii="Arial" w:cs="Arial" w:eastAsia="Arial" w:hAnsi="Arial"/>
                <w:sz w:val="21"/>
                <w:szCs w:val="21"/>
                <w:color w:val="auto"/>
              </w:rPr>
              <w:t>--</w:t>
            </w:r>
          </w:p>
        </w:tc>
        <w:tc>
          <w:tcPr>
            <w:tcW w:w="5480" w:type="dxa"/>
            <w:vAlign w:val="bottom"/>
          </w:tcPr>
          <w:p>
            <w:pPr>
              <w:ind w:left="280"/>
              <w:spacing w:after="0"/>
              <w:rPr>
                <w:sz w:val="20"/>
                <w:szCs w:val="20"/>
                <w:color w:val="auto"/>
              </w:rPr>
            </w:pPr>
            <w:r>
              <w:rPr>
                <w:rFonts w:ascii="Arial" w:cs="Arial" w:eastAsia="Arial" w:hAnsi="Arial"/>
                <w:sz w:val="21"/>
                <w:szCs w:val="21"/>
                <w:color w:val="auto"/>
                <w:w w:val="94"/>
              </w:rPr>
              <w:t>Form of U.S. Tax Certificate (Foreign Lenders That Are Not</w:t>
            </w: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80" w:type="dxa"/>
            <w:vAlign w:val="bottom"/>
          </w:tcPr>
          <w:p>
            <w:pPr>
              <w:ind w:left="280"/>
              <w:spacing w:after="0"/>
              <w:rPr>
                <w:sz w:val="20"/>
                <w:szCs w:val="20"/>
                <w:color w:val="auto"/>
              </w:rPr>
            </w:pPr>
            <w:r>
              <w:rPr>
                <w:rFonts w:ascii="Arial" w:cs="Arial" w:eastAsia="Arial" w:hAnsi="Arial"/>
                <w:sz w:val="21"/>
                <w:szCs w:val="21"/>
                <w:color w:val="auto"/>
              </w:rPr>
              <w:t>Partnerships)</w:t>
            </w:r>
          </w:p>
        </w:tc>
        <w:tc>
          <w:tcPr>
            <w:tcW w:w="0" w:type="dxa"/>
            <w:vAlign w:val="bottom"/>
          </w:tcPr>
          <w:p>
            <w:pPr>
              <w:spacing w:after="0"/>
              <w:rPr>
                <w:sz w:val="1"/>
                <w:szCs w:val="1"/>
                <w:color w:val="auto"/>
              </w:rPr>
            </w:pPr>
          </w:p>
        </w:tc>
      </w:tr>
      <w:tr>
        <w:trPr>
          <w:trHeight w:val="287"/>
        </w:trPr>
        <w:tc>
          <w:tcPr>
            <w:tcW w:w="1340" w:type="dxa"/>
            <w:vAlign w:val="bottom"/>
          </w:tcPr>
          <w:p>
            <w:pPr>
              <w:spacing w:after="0"/>
              <w:rPr>
                <w:sz w:val="20"/>
                <w:szCs w:val="20"/>
                <w:color w:val="auto"/>
              </w:rPr>
            </w:pPr>
            <w:r>
              <w:rPr>
                <w:rFonts w:ascii="Arial" w:cs="Arial" w:eastAsia="Arial" w:hAnsi="Arial"/>
                <w:sz w:val="21"/>
                <w:szCs w:val="21"/>
                <w:color w:val="auto"/>
              </w:rPr>
              <w:t>Exhibit G-2</w:t>
            </w:r>
          </w:p>
        </w:tc>
        <w:tc>
          <w:tcPr>
            <w:tcW w:w="1100" w:type="dxa"/>
            <w:vAlign w:val="bottom"/>
          </w:tcPr>
          <w:p>
            <w:pPr>
              <w:jc w:val="right"/>
              <w:ind w:right="153"/>
              <w:spacing w:after="0"/>
              <w:rPr>
                <w:sz w:val="20"/>
                <w:szCs w:val="20"/>
                <w:color w:val="auto"/>
              </w:rPr>
            </w:pPr>
            <w:r>
              <w:rPr>
                <w:rFonts w:ascii="Arial" w:cs="Arial" w:eastAsia="Arial" w:hAnsi="Arial"/>
                <w:sz w:val="21"/>
                <w:szCs w:val="21"/>
                <w:color w:val="auto"/>
              </w:rPr>
              <w:t>--</w:t>
            </w:r>
          </w:p>
        </w:tc>
        <w:tc>
          <w:tcPr>
            <w:tcW w:w="5480" w:type="dxa"/>
            <w:vAlign w:val="bottom"/>
          </w:tcPr>
          <w:p>
            <w:pPr>
              <w:ind w:left="280"/>
              <w:spacing w:after="0"/>
              <w:rPr>
                <w:sz w:val="20"/>
                <w:szCs w:val="20"/>
                <w:color w:val="auto"/>
              </w:rPr>
            </w:pPr>
            <w:r>
              <w:rPr>
                <w:rFonts w:ascii="Arial" w:cs="Arial" w:eastAsia="Arial" w:hAnsi="Arial"/>
                <w:sz w:val="21"/>
                <w:szCs w:val="21"/>
                <w:color w:val="auto"/>
                <w:w w:val="94"/>
              </w:rPr>
              <w:t>Form of U.S. Tax Certificate (Foreign Participants That Are</w:t>
            </w: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80" w:type="dxa"/>
            <w:vAlign w:val="bottom"/>
          </w:tcPr>
          <w:p>
            <w:pPr>
              <w:ind w:left="280"/>
              <w:spacing w:after="0"/>
              <w:rPr>
                <w:sz w:val="20"/>
                <w:szCs w:val="20"/>
                <w:color w:val="auto"/>
              </w:rPr>
            </w:pPr>
            <w:r>
              <w:rPr>
                <w:rFonts w:ascii="Arial" w:cs="Arial" w:eastAsia="Arial" w:hAnsi="Arial"/>
                <w:sz w:val="21"/>
                <w:szCs w:val="21"/>
                <w:color w:val="auto"/>
              </w:rPr>
              <w:t>Not Partnerships)</w:t>
            </w:r>
          </w:p>
        </w:tc>
        <w:tc>
          <w:tcPr>
            <w:tcW w:w="0" w:type="dxa"/>
            <w:vAlign w:val="bottom"/>
          </w:tcPr>
          <w:p>
            <w:pPr>
              <w:spacing w:after="0"/>
              <w:rPr>
                <w:sz w:val="1"/>
                <w:szCs w:val="1"/>
                <w:color w:val="auto"/>
              </w:rPr>
            </w:pPr>
          </w:p>
        </w:tc>
      </w:tr>
      <w:tr>
        <w:trPr>
          <w:trHeight w:val="287"/>
        </w:trPr>
        <w:tc>
          <w:tcPr>
            <w:tcW w:w="1340" w:type="dxa"/>
            <w:vAlign w:val="bottom"/>
          </w:tcPr>
          <w:p>
            <w:pPr>
              <w:spacing w:after="0"/>
              <w:rPr>
                <w:sz w:val="20"/>
                <w:szCs w:val="20"/>
                <w:color w:val="auto"/>
              </w:rPr>
            </w:pPr>
            <w:r>
              <w:rPr>
                <w:rFonts w:ascii="Arial" w:cs="Arial" w:eastAsia="Arial" w:hAnsi="Arial"/>
                <w:sz w:val="21"/>
                <w:szCs w:val="21"/>
                <w:color w:val="auto"/>
              </w:rPr>
              <w:t>Exhibit G-3</w:t>
            </w:r>
          </w:p>
        </w:tc>
        <w:tc>
          <w:tcPr>
            <w:tcW w:w="1100" w:type="dxa"/>
            <w:vAlign w:val="bottom"/>
          </w:tcPr>
          <w:p>
            <w:pPr>
              <w:jc w:val="right"/>
              <w:ind w:right="153"/>
              <w:spacing w:after="0"/>
              <w:rPr>
                <w:sz w:val="20"/>
                <w:szCs w:val="20"/>
                <w:color w:val="auto"/>
              </w:rPr>
            </w:pPr>
            <w:r>
              <w:rPr>
                <w:rFonts w:ascii="Arial" w:cs="Arial" w:eastAsia="Arial" w:hAnsi="Arial"/>
                <w:sz w:val="21"/>
                <w:szCs w:val="21"/>
                <w:color w:val="auto"/>
              </w:rPr>
              <w:t>--</w:t>
            </w:r>
          </w:p>
        </w:tc>
        <w:tc>
          <w:tcPr>
            <w:tcW w:w="5480" w:type="dxa"/>
            <w:vAlign w:val="bottom"/>
          </w:tcPr>
          <w:p>
            <w:pPr>
              <w:ind w:left="280"/>
              <w:spacing w:after="0"/>
              <w:rPr>
                <w:sz w:val="20"/>
                <w:szCs w:val="20"/>
                <w:color w:val="auto"/>
              </w:rPr>
            </w:pPr>
            <w:r>
              <w:rPr>
                <w:rFonts w:ascii="Arial" w:cs="Arial" w:eastAsia="Arial" w:hAnsi="Arial"/>
                <w:sz w:val="21"/>
                <w:szCs w:val="21"/>
                <w:color w:val="auto"/>
                <w:w w:val="94"/>
              </w:rPr>
              <w:t>Form of U.S. Tax Certificate (Foreign Participants That Are</w:t>
            </w: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80" w:type="dxa"/>
            <w:vAlign w:val="bottom"/>
          </w:tcPr>
          <w:p>
            <w:pPr>
              <w:ind w:left="280"/>
              <w:spacing w:after="0"/>
              <w:rPr>
                <w:sz w:val="20"/>
                <w:szCs w:val="20"/>
                <w:color w:val="auto"/>
              </w:rPr>
            </w:pPr>
            <w:r>
              <w:rPr>
                <w:rFonts w:ascii="Arial" w:cs="Arial" w:eastAsia="Arial" w:hAnsi="Arial"/>
                <w:sz w:val="21"/>
                <w:szCs w:val="21"/>
                <w:color w:val="auto"/>
              </w:rPr>
              <w:t>Partnerships)</w:t>
            </w:r>
          </w:p>
        </w:tc>
        <w:tc>
          <w:tcPr>
            <w:tcW w:w="0" w:type="dxa"/>
            <w:vAlign w:val="bottom"/>
          </w:tcPr>
          <w:p>
            <w:pPr>
              <w:spacing w:after="0"/>
              <w:rPr>
                <w:sz w:val="1"/>
                <w:szCs w:val="1"/>
                <w:color w:val="auto"/>
              </w:rPr>
            </w:pPr>
          </w:p>
        </w:tc>
      </w:tr>
      <w:tr>
        <w:trPr>
          <w:trHeight w:val="287"/>
        </w:trPr>
        <w:tc>
          <w:tcPr>
            <w:tcW w:w="1340" w:type="dxa"/>
            <w:vAlign w:val="bottom"/>
          </w:tcPr>
          <w:p>
            <w:pPr>
              <w:spacing w:after="0"/>
              <w:rPr>
                <w:sz w:val="20"/>
                <w:szCs w:val="20"/>
                <w:color w:val="auto"/>
              </w:rPr>
            </w:pPr>
            <w:r>
              <w:rPr>
                <w:rFonts w:ascii="Arial" w:cs="Arial" w:eastAsia="Arial" w:hAnsi="Arial"/>
                <w:sz w:val="21"/>
                <w:szCs w:val="21"/>
                <w:color w:val="auto"/>
              </w:rPr>
              <w:t>Exhibit G-4</w:t>
            </w:r>
          </w:p>
        </w:tc>
        <w:tc>
          <w:tcPr>
            <w:tcW w:w="1100" w:type="dxa"/>
            <w:vAlign w:val="bottom"/>
          </w:tcPr>
          <w:p>
            <w:pPr>
              <w:jc w:val="right"/>
              <w:ind w:right="153"/>
              <w:spacing w:after="0"/>
              <w:rPr>
                <w:sz w:val="20"/>
                <w:szCs w:val="20"/>
                <w:color w:val="auto"/>
              </w:rPr>
            </w:pPr>
            <w:r>
              <w:rPr>
                <w:rFonts w:ascii="Arial" w:cs="Arial" w:eastAsia="Arial" w:hAnsi="Arial"/>
                <w:sz w:val="21"/>
                <w:szCs w:val="21"/>
                <w:color w:val="auto"/>
              </w:rPr>
              <w:t>--</w:t>
            </w:r>
          </w:p>
        </w:tc>
        <w:tc>
          <w:tcPr>
            <w:tcW w:w="5480" w:type="dxa"/>
            <w:vAlign w:val="bottom"/>
          </w:tcPr>
          <w:p>
            <w:pPr>
              <w:ind w:left="280"/>
              <w:spacing w:after="0"/>
              <w:rPr>
                <w:sz w:val="20"/>
                <w:szCs w:val="20"/>
                <w:color w:val="auto"/>
              </w:rPr>
            </w:pPr>
            <w:r>
              <w:rPr>
                <w:rFonts w:ascii="Arial" w:cs="Arial" w:eastAsia="Arial" w:hAnsi="Arial"/>
                <w:sz w:val="21"/>
                <w:szCs w:val="21"/>
                <w:color w:val="auto"/>
              </w:rPr>
              <w:t>Form of U.S. Tax Certificate (Foreign Lenders That Are</w:t>
            </w: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80" w:type="dxa"/>
            <w:vAlign w:val="bottom"/>
          </w:tcPr>
          <w:p>
            <w:pPr>
              <w:ind w:left="280"/>
              <w:spacing w:after="0"/>
              <w:rPr>
                <w:sz w:val="20"/>
                <w:szCs w:val="20"/>
                <w:color w:val="auto"/>
              </w:rPr>
            </w:pPr>
            <w:r>
              <w:rPr>
                <w:rFonts w:ascii="Arial" w:cs="Arial" w:eastAsia="Arial" w:hAnsi="Arial"/>
                <w:sz w:val="21"/>
                <w:szCs w:val="21"/>
                <w:color w:val="auto"/>
              </w:rPr>
              <w:t>Partnerships)</w:t>
            </w:r>
          </w:p>
        </w:tc>
        <w:tc>
          <w:tcPr>
            <w:tcW w:w="0" w:type="dxa"/>
            <w:vAlign w:val="bottom"/>
          </w:tcPr>
          <w:p>
            <w:pPr>
              <w:spacing w:after="0"/>
              <w:rPr>
                <w:sz w:val="1"/>
                <w:szCs w:val="1"/>
                <w:color w:val="auto"/>
              </w:rPr>
            </w:pPr>
          </w:p>
        </w:tc>
      </w:tr>
      <w:tr>
        <w:trPr>
          <w:trHeight w:val="287"/>
        </w:trPr>
        <w:tc>
          <w:tcPr>
            <w:tcW w:w="1340" w:type="dxa"/>
            <w:vAlign w:val="bottom"/>
          </w:tcPr>
          <w:p>
            <w:pPr>
              <w:spacing w:after="0"/>
              <w:rPr>
                <w:sz w:val="20"/>
                <w:szCs w:val="20"/>
                <w:color w:val="auto"/>
              </w:rPr>
            </w:pPr>
            <w:r>
              <w:rPr>
                <w:rFonts w:ascii="Arial" w:cs="Arial" w:eastAsia="Arial" w:hAnsi="Arial"/>
                <w:sz w:val="21"/>
                <w:szCs w:val="21"/>
                <w:color w:val="auto"/>
              </w:rPr>
              <w:t>Exhibit H</w:t>
            </w:r>
          </w:p>
        </w:tc>
        <w:tc>
          <w:tcPr>
            <w:tcW w:w="1100" w:type="dxa"/>
            <w:vAlign w:val="bottom"/>
          </w:tcPr>
          <w:p>
            <w:pPr>
              <w:jc w:val="right"/>
              <w:ind w:right="153"/>
              <w:spacing w:after="0"/>
              <w:rPr>
                <w:sz w:val="20"/>
                <w:szCs w:val="20"/>
                <w:color w:val="auto"/>
              </w:rPr>
            </w:pPr>
            <w:r>
              <w:rPr>
                <w:rFonts w:ascii="Arial" w:cs="Arial" w:eastAsia="Arial" w:hAnsi="Arial"/>
                <w:sz w:val="21"/>
                <w:szCs w:val="21"/>
                <w:color w:val="auto"/>
              </w:rPr>
              <w:t>--</w:t>
            </w:r>
          </w:p>
        </w:tc>
        <w:tc>
          <w:tcPr>
            <w:tcW w:w="5480" w:type="dxa"/>
            <w:vAlign w:val="bottom"/>
          </w:tcPr>
          <w:p>
            <w:pPr>
              <w:ind w:left="280"/>
              <w:spacing w:after="0"/>
              <w:rPr>
                <w:sz w:val="20"/>
                <w:szCs w:val="20"/>
                <w:color w:val="auto"/>
              </w:rPr>
            </w:pPr>
            <w:r>
              <w:rPr>
                <w:rFonts w:ascii="Arial" w:cs="Arial" w:eastAsia="Arial" w:hAnsi="Arial"/>
                <w:sz w:val="21"/>
                <w:szCs w:val="21"/>
                <w:color w:val="auto"/>
              </w:rPr>
              <w:t>Form of Compliance Certificate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646" w:right="20" w:hanging="646"/>
        <w:spacing w:after="0" w:line="244" w:lineRule="auto"/>
        <w:tabs>
          <w:tab w:leader="none" w:pos="403" w:val="left"/>
        </w:tabs>
        <w:numPr>
          <w:ilvl w:val="0"/>
          <w:numId w:val="265"/>
        </w:numPr>
        <w:rPr>
          <w:rFonts w:ascii="Arial" w:cs="Arial" w:eastAsia="Arial" w:hAnsi="Arial"/>
          <w:sz w:val="21"/>
          <w:szCs w:val="21"/>
          <w:color w:val="auto"/>
        </w:rPr>
      </w:pPr>
      <w:r>
        <w:rPr>
          <w:rFonts w:ascii="Arial" w:cs="Arial" w:eastAsia="Arial" w:hAnsi="Arial"/>
          <w:sz w:val="21"/>
          <w:szCs w:val="21"/>
          <w:color w:val="auto"/>
        </w:rPr>
        <w:t>Notes executed by the Borrower in favor of each of the Lenders, if any, which has requested a note pursuant to Section 2.10(e) of the Credit Agreement.</w:t>
      </w:r>
    </w:p>
    <w:p>
      <w:pPr>
        <w:spacing w:after="0" w:line="192" w:lineRule="exact"/>
        <w:rPr>
          <w:rFonts w:ascii="Arial" w:cs="Arial" w:eastAsia="Arial" w:hAnsi="Arial"/>
          <w:sz w:val="21"/>
          <w:szCs w:val="21"/>
          <w:color w:val="auto"/>
        </w:rPr>
      </w:pPr>
    </w:p>
    <w:p>
      <w:pPr>
        <w:ind w:left="646" w:right="20" w:hanging="646"/>
        <w:spacing w:after="0" w:line="244" w:lineRule="auto"/>
        <w:tabs>
          <w:tab w:leader="none" w:pos="405" w:val="left"/>
        </w:tabs>
        <w:numPr>
          <w:ilvl w:val="0"/>
          <w:numId w:val="265"/>
        </w:numPr>
        <w:rPr>
          <w:rFonts w:ascii="Arial" w:cs="Arial" w:eastAsia="Arial" w:hAnsi="Arial"/>
          <w:sz w:val="21"/>
          <w:szCs w:val="21"/>
          <w:color w:val="auto"/>
        </w:rPr>
      </w:pPr>
      <w:r>
        <w:rPr>
          <w:rFonts w:ascii="Arial" w:cs="Arial" w:eastAsia="Arial" w:hAnsi="Arial"/>
          <w:sz w:val="21"/>
          <w:szCs w:val="21"/>
          <w:color w:val="auto"/>
        </w:rPr>
        <w:t>Guaranty executed by the initial Subsidiary Guarantors (collectively with the Borrower, the “</w:t>
      </w:r>
      <w:r>
        <w:rPr>
          <w:rFonts w:ascii="Arial" w:cs="Arial" w:eastAsia="Arial" w:hAnsi="Arial"/>
          <w:sz w:val="21"/>
          <w:szCs w:val="21"/>
          <w:b w:val="1"/>
          <w:bCs w:val="1"/>
          <w:i w:val="1"/>
          <w:iCs w:val="1"/>
          <w:color w:val="auto"/>
        </w:rPr>
        <w:t>Loan Parties</w:t>
      </w:r>
      <w:r>
        <w:rPr>
          <w:rFonts w:ascii="Arial" w:cs="Arial" w:eastAsia="Arial" w:hAnsi="Arial"/>
          <w:sz w:val="21"/>
          <w:szCs w:val="21"/>
          <w:color w:val="auto"/>
        </w:rPr>
        <w:t>”) in favor of the Administrative Agent.</w:t>
      </w:r>
    </w:p>
    <w:p>
      <w:pPr>
        <w:spacing w:after="0" w:line="192" w:lineRule="exact"/>
        <w:rPr>
          <w:rFonts w:ascii="Arial" w:cs="Arial" w:eastAsia="Arial" w:hAnsi="Arial"/>
          <w:sz w:val="21"/>
          <w:szCs w:val="21"/>
          <w:color w:val="auto"/>
        </w:rPr>
      </w:pPr>
    </w:p>
    <w:p>
      <w:pPr>
        <w:ind w:left="646" w:hanging="646"/>
        <w:spacing w:after="0" w:line="232" w:lineRule="auto"/>
        <w:tabs>
          <w:tab w:leader="none" w:pos="390" w:val="left"/>
        </w:tabs>
        <w:numPr>
          <w:ilvl w:val="0"/>
          <w:numId w:val="265"/>
        </w:numPr>
        <w:rPr>
          <w:rFonts w:ascii="Arial" w:cs="Arial" w:eastAsia="Arial" w:hAnsi="Arial"/>
          <w:sz w:val="21"/>
          <w:szCs w:val="21"/>
          <w:color w:val="auto"/>
        </w:rPr>
      </w:pPr>
      <w:r>
        <w:rPr>
          <w:rFonts w:ascii="Arial" w:cs="Arial" w:eastAsia="Arial" w:hAnsi="Arial"/>
          <w:sz w:val="21"/>
          <w:szCs w:val="21"/>
          <w:color w:val="auto"/>
        </w:rPr>
        <w:t xml:space="preserve">Security and Pledge Agreement executed by the Loan Parties, </w:t>
      </w:r>
      <w:r>
        <w:rPr>
          <w:rFonts w:ascii="Arial" w:cs="Arial" w:eastAsia="Arial" w:hAnsi="Arial"/>
          <w:sz w:val="21"/>
          <w:szCs w:val="21"/>
          <w:b w:val="1"/>
          <w:bCs w:val="1"/>
          <w:i w:val="1"/>
          <w:iCs w:val="1"/>
          <w:color w:val="auto"/>
        </w:rPr>
        <w:t>together with pledged instruments and allonges,</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stock certificates, stock powers executed in blank, pledge instructions and acknowledgments, as appropriate (subject to Section 5.19 of the Credit Agreement)</w:t>
      </w:r>
      <w:r>
        <w:rPr>
          <w:rFonts w:ascii="Arial" w:cs="Arial" w:eastAsia="Arial" w:hAnsi="Arial"/>
          <w:sz w:val="21"/>
          <w:szCs w:val="21"/>
          <w:color w:val="auto"/>
        </w:rPr>
        <w:t>.</w:t>
      </w:r>
    </w:p>
    <w:p>
      <w:pPr>
        <w:spacing w:after="0" w:line="238" w:lineRule="exact"/>
        <w:rPr>
          <w:sz w:val="20"/>
          <w:szCs w:val="20"/>
          <w:color w:val="auto"/>
        </w:rPr>
      </w:pPr>
    </w:p>
    <w:tbl>
      <w:tblPr>
        <w:tblLayout w:type="fixed"/>
        <w:tblInd w:w="666" w:type="dxa"/>
        <w:tblCellMar>
          <w:top w:w="0" w:type="dxa"/>
          <w:left w:w="0" w:type="dxa"/>
          <w:bottom w:w="0" w:type="dxa"/>
          <w:right w:w="0" w:type="dxa"/>
        </w:tblCellMar>
      </w:tblPr>
      <w:tr>
        <w:trPr>
          <w:trHeight w:val="268"/>
        </w:trPr>
        <w:tc>
          <w:tcPr>
            <w:tcW w:w="1780" w:type="dxa"/>
            <w:vAlign w:val="bottom"/>
          </w:tcPr>
          <w:p>
            <w:pPr>
              <w:spacing w:after="0"/>
              <w:rPr>
                <w:sz w:val="20"/>
                <w:szCs w:val="20"/>
                <w:color w:val="auto"/>
              </w:rPr>
            </w:pPr>
            <w:r>
              <w:rPr>
                <w:rFonts w:ascii="Arial" w:cs="Arial" w:eastAsia="Arial" w:hAnsi="Arial"/>
                <w:sz w:val="21"/>
                <w:szCs w:val="21"/>
                <w:b w:val="1"/>
                <w:bCs w:val="1"/>
                <w:i w:val="1"/>
                <w:iCs w:val="1"/>
                <w:color w:val="auto"/>
              </w:rPr>
              <w:t>Schedule 3.1(a)</w:t>
            </w:r>
          </w:p>
        </w:tc>
        <w:tc>
          <w:tcPr>
            <w:tcW w:w="660" w:type="dxa"/>
            <w:vAlign w:val="bottom"/>
          </w:tcPr>
          <w:p>
            <w:pPr>
              <w:ind w:left="240"/>
              <w:spacing w:after="0"/>
              <w:rPr>
                <w:sz w:val="20"/>
                <w:szCs w:val="20"/>
                <w:color w:val="auto"/>
              </w:rPr>
            </w:pPr>
            <w:r>
              <w:rPr>
                <w:rFonts w:ascii="Arial" w:cs="Arial" w:eastAsia="Arial" w:hAnsi="Arial"/>
                <w:sz w:val="21"/>
                <w:szCs w:val="21"/>
                <w:b w:val="1"/>
                <w:bCs w:val="1"/>
                <w:i w:val="1"/>
                <w:iCs w:val="1"/>
                <w:color w:val="auto"/>
              </w:rPr>
              <w:t>--</w:t>
            </w:r>
          </w:p>
        </w:tc>
        <w:tc>
          <w:tcPr>
            <w:tcW w:w="5620" w:type="dxa"/>
            <w:vAlign w:val="bottom"/>
          </w:tcPr>
          <w:p>
            <w:pPr>
              <w:ind w:left="280"/>
              <w:spacing w:after="0"/>
              <w:rPr>
                <w:sz w:val="20"/>
                <w:szCs w:val="20"/>
                <w:color w:val="auto"/>
              </w:rPr>
            </w:pPr>
            <w:r>
              <w:rPr>
                <w:rFonts w:ascii="Arial" w:cs="Arial" w:eastAsia="Arial" w:hAnsi="Arial"/>
                <w:sz w:val="20"/>
                <w:szCs w:val="20"/>
                <w:b w:val="1"/>
                <w:bCs w:val="1"/>
                <w:i w:val="1"/>
                <w:iCs w:val="1"/>
                <w:color w:val="auto"/>
              </w:rPr>
              <w:t>Jurisdiction of Debtors’ Formation or Organization</w:t>
            </w:r>
          </w:p>
        </w:tc>
        <w:tc>
          <w:tcPr>
            <w:tcW w:w="0" w:type="dxa"/>
            <w:vAlign w:val="bottom"/>
          </w:tcPr>
          <w:p>
            <w:pPr>
              <w:spacing w:after="0"/>
              <w:rPr>
                <w:sz w:val="1"/>
                <w:szCs w:val="1"/>
                <w:color w:val="auto"/>
              </w:rPr>
            </w:pPr>
          </w:p>
        </w:tc>
      </w:tr>
      <w:tr>
        <w:trPr>
          <w:trHeight w:val="268"/>
        </w:trPr>
        <w:tc>
          <w:tcPr>
            <w:tcW w:w="1780" w:type="dxa"/>
            <w:vAlign w:val="bottom"/>
          </w:tcPr>
          <w:p>
            <w:pPr>
              <w:spacing w:after="0"/>
              <w:rPr>
                <w:sz w:val="20"/>
                <w:szCs w:val="20"/>
                <w:color w:val="auto"/>
              </w:rPr>
            </w:pPr>
            <w:r>
              <w:rPr>
                <w:rFonts w:ascii="Arial" w:cs="Arial" w:eastAsia="Arial" w:hAnsi="Arial"/>
                <w:sz w:val="21"/>
                <w:szCs w:val="21"/>
                <w:b w:val="1"/>
                <w:bCs w:val="1"/>
                <w:i w:val="1"/>
                <w:iCs w:val="1"/>
                <w:color w:val="auto"/>
              </w:rPr>
              <w:t>Schedule 3.1(b)</w:t>
            </w:r>
          </w:p>
        </w:tc>
        <w:tc>
          <w:tcPr>
            <w:tcW w:w="660" w:type="dxa"/>
            <w:vAlign w:val="bottom"/>
          </w:tcPr>
          <w:p>
            <w:pPr>
              <w:ind w:left="240"/>
              <w:spacing w:after="0"/>
              <w:rPr>
                <w:sz w:val="20"/>
                <w:szCs w:val="20"/>
                <w:color w:val="auto"/>
              </w:rPr>
            </w:pPr>
            <w:r>
              <w:rPr>
                <w:rFonts w:ascii="Arial" w:cs="Arial" w:eastAsia="Arial" w:hAnsi="Arial"/>
                <w:sz w:val="21"/>
                <w:szCs w:val="21"/>
                <w:b w:val="1"/>
                <w:bCs w:val="1"/>
                <w:i w:val="1"/>
                <w:iCs w:val="1"/>
                <w:color w:val="auto"/>
              </w:rPr>
              <w:t>--</w:t>
            </w:r>
          </w:p>
        </w:tc>
        <w:tc>
          <w:tcPr>
            <w:tcW w:w="5620" w:type="dxa"/>
            <w:vAlign w:val="bottom"/>
          </w:tcPr>
          <w:p>
            <w:pPr>
              <w:ind w:left="280"/>
              <w:spacing w:after="0"/>
              <w:rPr>
                <w:sz w:val="20"/>
                <w:szCs w:val="20"/>
                <w:color w:val="auto"/>
              </w:rPr>
            </w:pPr>
            <w:r>
              <w:rPr>
                <w:rFonts w:ascii="Arial" w:cs="Arial" w:eastAsia="Arial" w:hAnsi="Arial"/>
                <w:sz w:val="20"/>
                <w:szCs w:val="20"/>
                <w:b w:val="1"/>
                <w:bCs w:val="1"/>
                <w:i w:val="1"/>
                <w:iCs w:val="1"/>
                <w:color w:val="auto"/>
              </w:rPr>
              <w:t>Fictitious Names of Debtors</w:t>
            </w:r>
          </w:p>
        </w:tc>
        <w:tc>
          <w:tcPr>
            <w:tcW w:w="0" w:type="dxa"/>
            <w:vAlign w:val="bottom"/>
          </w:tcPr>
          <w:p>
            <w:pPr>
              <w:spacing w:after="0"/>
              <w:rPr>
                <w:sz w:val="1"/>
                <w:szCs w:val="1"/>
                <w:color w:val="auto"/>
              </w:rPr>
            </w:pPr>
          </w:p>
        </w:tc>
      </w:tr>
      <w:tr>
        <w:trPr>
          <w:trHeight w:val="268"/>
        </w:trPr>
        <w:tc>
          <w:tcPr>
            <w:tcW w:w="1780" w:type="dxa"/>
            <w:vAlign w:val="bottom"/>
          </w:tcPr>
          <w:p>
            <w:pPr>
              <w:spacing w:after="0"/>
              <w:rPr>
                <w:sz w:val="20"/>
                <w:szCs w:val="20"/>
                <w:color w:val="auto"/>
              </w:rPr>
            </w:pPr>
            <w:r>
              <w:rPr>
                <w:rFonts w:ascii="Arial" w:cs="Arial" w:eastAsia="Arial" w:hAnsi="Arial"/>
                <w:sz w:val="21"/>
                <w:szCs w:val="21"/>
                <w:b w:val="1"/>
                <w:bCs w:val="1"/>
                <w:i w:val="1"/>
                <w:iCs w:val="1"/>
                <w:color w:val="auto"/>
              </w:rPr>
              <w:t>Schedule 3.1(f)</w:t>
            </w:r>
          </w:p>
        </w:tc>
        <w:tc>
          <w:tcPr>
            <w:tcW w:w="660" w:type="dxa"/>
            <w:vAlign w:val="bottom"/>
          </w:tcPr>
          <w:p>
            <w:pPr>
              <w:ind w:left="240"/>
              <w:spacing w:after="0"/>
              <w:rPr>
                <w:sz w:val="20"/>
                <w:szCs w:val="20"/>
                <w:color w:val="auto"/>
              </w:rPr>
            </w:pPr>
            <w:r>
              <w:rPr>
                <w:rFonts w:ascii="Arial" w:cs="Arial" w:eastAsia="Arial" w:hAnsi="Arial"/>
                <w:sz w:val="21"/>
                <w:szCs w:val="21"/>
                <w:b w:val="1"/>
                <w:bCs w:val="1"/>
                <w:i w:val="1"/>
                <w:iCs w:val="1"/>
                <w:color w:val="auto"/>
              </w:rPr>
              <w:t>--</w:t>
            </w:r>
          </w:p>
        </w:tc>
        <w:tc>
          <w:tcPr>
            <w:tcW w:w="5620" w:type="dxa"/>
            <w:vAlign w:val="bottom"/>
          </w:tcPr>
          <w:p>
            <w:pPr>
              <w:ind w:left="280"/>
              <w:spacing w:after="0"/>
              <w:rPr>
                <w:sz w:val="20"/>
                <w:szCs w:val="20"/>
                <w:color w:val="auto"/>
              </w:rPr>
            </w:pPr>
            <w:r>
              <w:rPr>
                <w:rFonts w:ascii="Arial" w:cs="Arial" w:eastAsia="Arial" w:hAnsi="Arial"/>
                <w:sz w:val="21"/>
                <w:szCs w:val="21"/>
                <w:b w:val="1"/>
                <w:bCs w:val="1"/>
                <w:i w:val="1"/>
                <w:iCs w:val="1"/>
                <w:color w:val="auto"/>
              </w:rPr>
              <w:t>Location of Equipment and Inventory</w:t>
            </w:r>
          </w:p>
        </w:tc>
        <w:tc>
          <w:tcPr>
            <w:tcW w:w="0" w:type="dxa"/>
            <w:vAlign w:val="bottom"/>
          </w:tcPr>
          <w:p>
            <w:pPr>
              <w:spacing w:after="0"/>
              <w:rPr>
                <w:sz w:val="1"/>
                <w:szCs w:val="1"/>
                <w:color w:val="auto"/>
              </w:rPr>
            </w:pPr>
          </w:p>
        </w:tc>
      </w:tr>
      <w:tr>
        <w:trPr>
          <w:trHeight w:val="273"/>
        </w:trPr>
        <w:tc>
          <w:tcPr>
            <w:tcW w:w="1780" w:type="dxa"/>
            <w:vAlign w:val="bottom"/>
          </w:tcPr>
          <w:p>
            <w:pPr>
              <w:spacing w:after="0"/>
              <w:rPr>
                <w:sz w:val="20"/>
                <w:szCs w:val="20"/>
                <w:color w:val="auto"/>
              </w:rPr>
            </w:pPr>
            <w:r>
              <w:rPr>
                <w:rFonts w:ascii="Arial" w:cs="Arial" w:eastAsia="Arial" w:hAnsi="Arial"/>
                <w:sz w:val="21"/>
                <w:szCs w:val="21"/>
                <w:b w:val="1"/>
                <w:bCs w:val="1"/>
                <w:i w:val="1"/>
                <w:iCs w:val="1"/>
                <w:color w:val="auto"/>
              </w:rPr>
              <w:t>Schedule 3.1(f)-1</w:t>
            </w:r>
          </w:p>
        </w:tc>
        <w:tc>
          <w:tcPr>
            <w:tcW w:w="660" w:type="dxa"/>
            <w:vAlign w:val="bottom"/>
          </w:tcPr>
          <w:p>
            <w:pPr>
              <w:ind w:left="240"/>
              <w:spacing w:after="0"/>
              <w:rPr>
                <w:sz w:val="20"/>
                <w:szCs w:val="20"/>
                <w:color w:val="auto"/>
              </w:rPr>
            </w:pPr>
            <w:r>
              <w:rPr>
                <w:rFonts w:ascii="Arial" w:cs="Arial" w:eastAsia="Arial" w:hAnsi="Arial"/>
                <w:sz w:val="21"/>
                <w:szCs w:val="21"/>
                <w:b w:val="1"/>
                <w:bCs w:val="1"/>
                <w:i w:val="1"/>
                <w:iCs w:val="1"/>
                <w:color w:val="auto"/>
              </w:rPr>
              <w:t>_</w:t>
            </w:r>
          </w:p>
        </w:tc>
        <w:tc>
          <w:tcPr>
            <w:tcW w:w="5620" w:type="dxa"/>
            <w:vAlign w:val="bottom"/>
            <w:vMerge w:val="restart"/>
          </w:tcPr>
          <w:p>
            <w:pPr>
              <w:ind w:left="280"/>
              <w:spacing w:after="0"/>
              <w:rPr>
                <w:sz w:val="20"/>
                <w:szCs w:val="20"/>
                <w:color w:val="auto"/>
              </w:rPr>
            </w:pPr>
            <w:r>
              <w:rPr>
                <w:rFonts w:ascii="Arial" w:cs="Arial" w:eastAsia="Arial" w:hAnsi="Arial"/>
                <w:sz w:val="20"/>
                <w:szCs w:val="20"/>
                <w:b w:val="1"/>
                <w:bCs w:val="1"/>
                <w:i w:val="1"/>
                <w:iCs w:val="1"/>
                <w:color w:val="auto"/>
                <w:w w:val="84"/>
              </w:rPr>
              <w:t>List of United States Locations of Equipment where the aggregate</w:t>
            </w: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20" w:type="dxa"/>
            <w:vAlign w:val="bottom"/>
          </w:tcPr>
          <w:p>
            <w:pPr>
              <w:ind w:left="280"/>
              <w:spacing w:after="0" w:line="228" w:lineRule="exact"/>
              <w:rPr>
                <w:sz w:val="20"/>
                <w:szCs w:val="20"/>
                <w:color w:val="auto"/>
              </w:rPr>
            </w:pPr>
            <w:r>
              <w:rPr>
                <w:rFonts w:ascii="Arial" w:cs="Arial" w:eastAsia="Arial" w:hAnsi="Arial"/>
                <w:sz w:val="20"/>
                <w:szCs w:val="20"/>
                <w:b w:val="1"/>
                <w:bCs w:val="1"/>
                <w:i w:val="1"/>
                <w:iCs w:val="1"/>
                <w:color w:val="auto"/>
                <w:w w:val="95"/>
              </w:rPr>
              <w:t>value  of  said  Equipment  has  been  deemed  material  by</w:t>
            </w:r>
          </w:p>
        </w:tc>
        <w:tc>
          <w:tcPr>
            <w:tcW w:w="0" w:type="dxa"/>
            <w:vAlign w:val="bottom"/>
          </w:tcPr>
          <w:p>
            <w:pPr>
              <w:spacing w:after="0"/>
              <w:rPr>
                <w:sz w:val="1"/>
                <w:szCs w:val="1"/>
                <w:color w:val="auto"/>
              </w:rPr>
            </w:pPr>
          </w:p>
        </w:tc>
      </w:tr>
      <w:tr>
        <w:trPr>
          <w:trHeight w:val="249"/>
        </w:trPr>
        <w:tc>
          <w:tcPr>
            <w:tcW w:w="1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20" w:type="dxa"/>
            <w:vAlign w:val="bottom"/>
          </w:tcPr>
          <w:p>
            <w:pPr>
              <w:ind w:left="280"/>
              <w:spacing w:after="0"/>
              <w:rPr>
                <w:sz w:val="20"/>
                <w:szCs w:val="20"/>
                <w:color w:val="auto"/>
              </w:rPr>
            </w:pPr>
            <w:r>
              <w:rPr>
                <w:rFonts w:ascii="Arial" w:cs="Arial" w:eastAsia="Arial" w:hAnsi="Arial"/>
                <w:sz w:val="20"/>
                <w:szCs w:val="20"/>
                <w:b w:val="1"/>
                <w:bCs w:val="1"/>
                <w:i w:val="1"/>
                <w:iCs w:val="1"/>
                <w:color w:val="auto"/>
              </w:rPr>
              <w:t>Administrative Agent</w:t>
            </w:r>
          </w:p>
        </w:tc>
        <w:tc>
          <w:tcPr>
            <w:tcW w:w="0" w:type="dxa"/>
            <w:vAlign w:val="bottom"/>
          </w:tcPr>
          <w:p>
            <w:pPr>
              <w:spacing w:after="0"/>
              <w:rPr>
                <w:sz w:val="1"/>
                <w:szCs w:val="1"/>
                <w:color w:val="auto"/>
              </w:rPr>
            </w:pPr>
          </w:p>
        </w:tc>
      </w:tr>
      <w:tr>
        <w:trPr>
          <w:trHeight w:val="301"/>
        </w:trPr>
        <w:tc>
          <w:tcPr>
            <w:tcW w:w="1780" w:type="dxa"/>
            <w:vAlign w:val="bottom"/>
          </w:tcPr>
          <w:p>
            <w:pPr>
              <w:spacing w:after="0"/>
              <w:rPr>
                <w:sz w:val="20"/>
                <w:szCs w:val="20"/>
                <w:color w:val="auto"/>
              </w:rPr>
            </w:pPr>
            <w:r>
              <w:rPr>
                <w:rFonts w:ascii="Arial" w:cs="Arial" w:eastAsia="Arial" w:hAnsi="Arial"/>
                <w:sz w:val="21"/>
                <w:szCs w:val="21"/>
                <w:b w:val="1"/>
                <w:bCs w:val="1"/>
                <w:i w:val="1"/>
                <w:iCs w:val="1"/>
                <w:color w:val="auto"/>
              </w:rPr>
              <w:t>Schedule 5.2</w:t>
            </w:r>
          </w:p>
        </w:tc>
        <w:tc>
          <w:tcPr>
            <w:tcW w:w="660" w:type="dxa"/>
            <w:vAlign w:val="bottom"/>
          </w:tcPr>
          <w:p>
            <w:pPr>
              <w:ind w:left="240"/>
              <w:spacing w:after="0"/>
              <w:rPr>
                <w:sz w:val="20"/>
                <w:szCs w:val="20"/>
                <w:color w:val="auto"/>
              </w:rPr>
            </w:pPr>
            <w:r>
              <w:rPr>
                <w:rFonts w:ascii="Arial" w:cs="Arial" w:eastAsia="Arial" w:hAnsi="Arial"/>
                <w:sz w:val="21"/>
                <w:szCs w:val="21"/>
                <w:b w:val="1"/>
                <w:bCs w:val="1"/>
                <w:i w:val="1"/>
                <w:iCs w:val="1"/>
                <w:color w:val="auto"/>
              </w:rPr>
              <w:t>_</w:t>
            </w:r>
          </w:p>
        </w:tc>
        <w:tc>
          <w:tcPr>
            <w:tcW w:w="5620" w:type="dxa"/>
            <w:vAlign w:val="bottom"/>
          </w:tcPr>
          <w:p>
            <w:pPr>
              <w:ind w:left="280"/>
              <w:spacing w:after="0"/>
              <w:rPr>
                <w:sz w:val="20"/>
                <w:szCs w:val="20"/>
                <w:color w:val="auto"/>
              </w:rPr>
            </w:pPr>
            <w:r>
              <w:rPr>
                <w:rFonts w:ascii="Arial" w:cs="Arial" w:eastAsia="Arial" w:hAnsi="Arial"/>
                <w:sz w:val="20"/>
                <w:szCs w:val="20"/>
                <w:b w:val="1"/>
                <w:bCs w:val="1"/>
                <w:i w:val="1"/>
                <w:iCs w:val="1"/>
                <w:color w:val="auto"/>
                <w:w w:val="93"/>
              </w:rPr>
              <w:t>Exceptions to “No Restrictions on Transfer” Representation</w:t>
            </w:r>
          </w:p>
        </w:tc>
        <w:tc>
          <w:tcPr>
            <w:tcW w:w="0" w:type="dxa"/>
            <w:vAlign w:val="bottom"/>
          </w:tcPr>
          <w:p>
            <w:pPr>
              <w:spacing w:after="0"/>
              <w:rPr>
                <w:sz w:val="1"/>
                <w:szCs w:val="1"/>
                <w:color w:val="auto"/>
              </w:rPr>
            </w:pPr>
          </w:p>
        </w:tc>
      </w:tr>
    </w:tbl>
    <w:p>
      <w:pPr>
        <w:sectPr>
          <w:pgSz w:w="11900" w:h="16838" w:orient="portrait"/>
          <w:cols w:equalWidth="0" w:num="1">
            <w:col w:w="10026"/>
          </w:cols>
          <w:pgMar w:left="934" w:top="1392" w:right="939" w:bottom="1440" w:gutter="0" w:footer="0" w:header="0"/>
        </w:sectPr>
      </w:pPr>
    </w:p>
    <w:bookmarkStart w:id="295" w:name="page296"/>
    <w:bookmarkEnd w:id="295"/>
    <w:p>
      <w:pPr>
        <w:ind w:left="3306" w:hanging="402"/>
        <w:spacing w:after="0"/>
        <w:tabs>
          <w:tab w:leader="none" w:pos="3306" w:val="left"/>
        </w:tabs>
        <w:numPr>
          <w:ilvl w:val="4"/>
          <w:numId w:val="266"/>
        </w:numPr>
        <w:rPr>
          <w:rFonts w:ascii="Arial" w:cs="Arial" w:eastAsia="Arial" w:hAnsi="Arial"/>
          <w:sz w:val="21"/>
          <w:szCs w:val="21"/>
          <w:b w:val="1"/>
          <w:bCs w:val="1"/>
          <w:color w:val="auto"/>
        </w:rPr>
      </w:pPr>
      <w:r>
        <w:rPr>
          <w:rFonts w:ascii="Arial" w:cs="Arial" w:eastAsia="Arial" w:hAnsi="Arial"/>
          <w:sz w:val="21"/>
          <w:szCs w:val="21"/>
          <w:b w:val="1"/>
          <w:bCs w:val="1"/>
          <w:color w:val="auto"/>
        </w:rPr>
        <w:t>UCC DOCUMENTS</w:t>
      </w:r>
    </w:p>
    <w:p>
      <w:pPr>
        <w:spacing w:after="0" w:line="233" w:lineRule="exact"/>
        <w:rPr>
          <w:rFonts w:ascii="Arial" w:cs="Arial" w:eastAsia="Arial" w:hAnsi="Arial"/>
          <w:sz w:val="21"/>
          <w:szCs w:val="21"/>
          <w:b w:val="1"/>
          <w:bCs w:val="1"/>
          <w:color w:val="auto"/>
        </w:rPr>
      </w:pPr>
    </w:p>
    <w:p>
      <w:pPr>
        <w:ind w:left="646" w:hanging="645"/>
        <w:spacing w:after="0" w:line="244" w:lineRule="auto"/>
        <w:tabs>
          <w:tab w:leader="none" w:pos="517" w:val="left"/>
        </w:tabs>
        <w:numPr>
          <w:ilvl w:val="0"/>
          <w:numId w:val="267"/>
        </w:numPr>
        <w:rPr>
          <w:rFonts w:ascii="Arial" w:cs="Arial" w:eastAsia="Arial" w:hAnsi="Arial"/>
          <w:sz w:val="21"/>
          <w:szCs w:val="21"/>
          <w:color w:val="auto"/>
        </w:rPr>
      </w:pPr>
      <w:r>
        <w:rPr>
          <w:rFonts w:ascii="Arial" w:cs="Arial" w:eastAsia="Arial" w:hAnsi="Arial"/>
          <w:sz w:val="21"/>
          <w:szCs w:val="21"/>
          <w:color w:val="auto"/>
        </w:rPr>
        <w:t>UCC, tax lien and name variation search reports naming each Loan Party from the appropriate offices in relevant jurisdictions.</w:t>
      </w:r>
    </w:p>
    <w:p>
      <w:pPr>
        <w:spacing w:after="0" w:line="179" w:lineRule="exact"/>
        <w:rPr>
          <w:rFonts w:ascii="Arial" w:cs="Arial" w:eastAsia="Arial" w:hAnsi="Arial"/>
          <w:sz w:val="21"/>
          <w:szCs w:val="21"/>
          <w:color w:val="auto"/>
        </w:rPr>
      </w:pPr>
    </w:p>
    <w:p>
      <w:pPr>
        <w:ind w:left="646" w:hanging="645"/>
        <w:spacing w:after="0" w:line="244" w:lineRule="auto"/>
        <w:tabs>
          <w:tab w:leader="none" w:pos="405" w:val="left"/>
        </w:tabs>
        <w:numPr>
          <w:ilvl w:val="0"/>
          <w:numId w:val="267"/>
        </w:numPr>
        <w:rPr>
          <w:rFonts w:ascii="Arial" w:cs="Arial" w:eastAsia="Arial" w:hAnsi="Arial"/>
          <w:sz w:val="21"/>
          <w:szCs w:val="21"/>
          <w:color w:val="auto"/>
        </w:rPr>
      </w:pPr>
      <w:r>
        <w:rPr>
          <w:rFonts w:ascii="Arial" w:cs="Arial" w:eastAsia="Arial" w:hAnsi="Arial"/>
          <w:sz w:val="21"/>
          <w:szCs w:val="21"/>
          <w:color w:val="auto"/>
        </w:rPr>
        <w:t>UCC financing statements naming each Loan Party as debtor and the Administrative Agent as secured party as filed with the appropriate offices in applicable jurisdictions.</w:t>
      </w:r>
    </w:p>
    <w:p>
      <w:pPr>
        <w:spacing w:after="0" w:line="186" w:lineRule="exact"/>
        <w:rPr>
          <w:rFonts w:ascii="Arial" w:cs="Arial" w:eastAsia="Arial" w:hAnsi="Arial"/>
          <w:sz w:val="21"/>
          <w:szCs w:val="21"/>
          <w:color w:val="auto"/>
        </w:rPr>
      </w:pPr>
    </w:p>
    <w:p>
      <w:pPr>
        <w:ind w:left="2866" w:hanging="415"/>
        <w:spacing w:after="0"/>
        <w:tabs>
          <w:tab w:leader="none" w:pos="2866" w:val="left"/>
        </w:tabs>
        <w:numPr>
          <w:ilvl w:val="3"/>
          <w:numId w:val="267"/>
        </w:numPr>
        <w:rPr>
          <w:rFonts w:ascii="Arial" w:cs="Arial" w:eastAsia="Arial" w:hAnsi="Arial"/>
          <w:sz w:val="21"/>
          <w:szCs w:val="21"/>
          <w:b w:val="1"/>
          <w:bCs w:val="1"/>
          <w:color w:val="auto"/>
        </w:rPr>
      </w:pPr>
      <w:r>
        <w:rPr>
          <w:rFonts w:ascii="Arial" w:cs="Arial" w:eastAsia="Arial" w:hAnsi="Arial"/>
          <w:sz w:val="21"/>
          <w:szCs w:val="21"/>
          <w:b w:val="1"/>
          <w:bCs w:val="1"/>
          <w:color w:val="auto"/>
        </w:rPr>
        <w:t>CORPORATE DOCUMENTS</w:t>
      </w:r>
    </w:p>
    <w:p>
      <w:pPr>
        <w:spacing w:after="0" w:line="224" w:lineRule="exact"/>
        <w:rPr>
          <w:rFonts w:ascii="Arial" w:cs="Arial" w:eastAsia="Arial" w:hAnsi="Arial"/>
          <w:sz w:val="21"/>
          <w:szCs w:val="21"/>
          <w:b w:val="1"/>
          <w:bCs w:val="1"/>
          <w:color w:val="auto"/>
        </w:rPr>
      </w:pPr>
    </w:p>
    <w:p>
      <w:pPr>
        <w:ind w:left="366" w:hanging="366"/>
        <w:spacing w:after="0"/>
        <w:tabs>
          <w:tab w:leader="none" w:pos="366" w:val="left"/>
        </w:tabs>
        <w:numPr>
          <w:ilvl w:val="0"/>
          <w:numId w:val="267"/>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Certificate of the Secretary or an Assistant Secretary of each Loan Party certifying</w:t>
      </w:r>
    </w:p>
    <w:p>
      <w:pPr>
        <w:jc w:val="both"/>
        <w:ind w:left="646" w:right="20" w:hanging="3"/>
        <w:spacing w:after="0" w:line="213" w:lineRule="auto"/>
        <w:tabs>
          <w:tab w:leader="none" w:pos="1150" w:val="left"/>
        </w:tabs>
        <w:numPr>
          <w:ilvl w:val="1"/>
          <w:numId w:val="267"/>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that there have been no changes in the Certificate of Incorporation or other charter document of such Loan Party, as attached thereto and as certified as of a recent date by the Secretary of State (or analogous governmental entity) of the jurisdiction of its organization, since the date of the certification thereof by such governmental entity,</w:t>
      </w:r>
    </w:p>
    <w:p>
      <w:pPr>
        <w:jc w:val="both"/>
        <w:ind w:left="646" w:hanging="3"/>
        <w:spacing w:after="0" w:line="213" w:lineRule="auto"/>
        <w:tabs>
          <w:tab w:leader="none" w:pos="1176" w:val="left"/>
        </w:tabs>
        <w:numPr>
          <w:ilvl w:val="1"/>
          <w:numId w:val="267"/>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the By-Laws or other applicable organizational document, as attached thereto, of such Loan Party as in effect on the date of such certification, (iii) resolutions of the Board of Directors or other governing body of such Loan Party authorizing the execution, delivery and performance of each Loan Document to which it is a party, and</w:t>
      </w:r>
    </w:p>
    <w:p>
      <w:pPr>
        <w:jc w:val="both"/>
        <w:ind w:left="646" w:hanging="3"/>
        <w:spacing w:after="0" w:line="226" w:lineRule="auto"/>
        <w:tabs>
          <w:tab w:leader="none" w:pos="1019" w:val="left"/>
        </w:tabs>
        <w:numPr>
          <w:ilvl w:val="1"/>
          <w:numId w:val="268"/>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the names and true signatures of the incumbent officers of each Loan Party authorized to sign the Loan Documents to which it is a party, and (in the case of each Borrower) authorized to request a Borrowing or the issuance of a Letter of Credit under the Credit Agreement.</w:t>
      </w:r>
    </w:p>
    <w:p>
      <w:pPr>
        <w:spacing w:after="0" w:line="197" w:lineRule="exact"/>
        <w:rPr>
          <w:rFonts w:ascii="Arial" w:cs="Arial" w:eastAsia="Arial" w:hAnsi="Arial"/>
          <w:sz w:val="21"/>
          <w:szCs w:val="21"/>
          <w:b w:val="1"/>
          <w:bCs w:val="1"/>
          <w:i w:val="1"/>
          <w:iCs w:val="1"/>
          <w:color w:val="auto"/>
        </w:rPr>
      </w:pPr>
    </w:p>
    <w:p>
      <w:pPr>
        <w:ind w:left="646" w:right="20" w:hanging="646"/>
        <w:spacing w:after="0" w:line="232" w:lineRule="auto"/>
        <w:tabs>
          <w:tab w:leader="none" w:pos="567" w:val="left"/>
        </w:tabs>
        <w:numPr>
          <w:ilvl w:val="0"/>
          <w:numId w:val="269"/>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Good Standing Certificate (or analogous documentation if applicable) for each Loan Party from the Secretary of State (or analogous governmental entity) of the jurisdiction of its organization, to the extent generally available in such jurisdiction.</w:t>
      </w:r>
    </w:p>
    <w:p>
      <w:pPr>
        <w:spacing w:after="0" w:line="178" w:lineRule="exact"/>
        <w:rPr>
          <w:rFonts w:ascii="Arial" w:cs="Arial" w:eastAsia="Arial" w:hAnsi="Arial"/>
          <w:sz w:val="21"/>
          <w:szCs w:val="21"/>
          <w:b w:val="1"/>
          <w:bCs w:val="1"/>
          <w:i w:val="1"/>
          <w:iCs w:val="1"/>
          <w:color w:val="auto"/>
        </w:rPr>
      </w:pPr>
    </w:p>
    <w:p>
      <w:pPr>
        <w:ind w:left="3746" w:hanging="416"/>
        <w:spacing w:after="0"/>
        <w:tabs>
          <w:tab w:leader="none" w:pos="3746" w:val="left"/>
        </w:tabs>
        <w:numPr>
          <w:ilvl w:val="5"/>
          <w:numId w:val="269"/>
        </w:numPr>
        <w:rPr>
          <w:rFonts w:ascii="Arial" w:cs="Arial" w:eastAsia="Arial" w:hAnsi="Arial"/>
          <w:sz w:val="21"/>
          <w:szCs w:val="21"/>
          <w:b w:val="1"/>
          <w:bCs w:val="1"/>
          <w:color w:val="auto"/>
        </w:rPr>
      </w:pPr>
      <w:r>
        <w:rPr>
          <w:rFonts w:ascii="Arial" w:cs="Arial" w:eastAsia="Arial" w:hAnsi="Arial"/>
          <w:sz w:val="21"/>
          <w:szCs w:val="21"/>
          <w:b w:val="1"/>
          <w:bCs w:val="1"/>
          <w:color w:val="auto"/>
        </w:rPr>
        <w:t>OPINIONS</w:t>
      </w:r>
    </w:p>
    <w:p>
      <w:pPr>
        <w:spacing w:after="0" w:line="233" w:lineRule="exact"/>
        <w:rPr>
          <w:rFonts w:ascii="Arial" w:cs="Arial" w:eastAsia="Arial" w:hAnsi="Arial"/>
          <w:sz w:val="21"/>
          <w:szCs w:val="21"/>
          <w:b w:val="1"/>
          <w:bCs w:val="1"/>
          <w:color w:val="auto"/>
        </w:rPr>
      </w:pPr>
    </w:p>
    <w:p>
      <w:pPr>
        <w:ind w:left="366" w:hanging="366"/>
        <w:spacing w:after="0"/>
        <w:tabs>
          <w:tab w:leader="none" w:pos="366" w:val="left"/>
        </w:tabs>
        <w:numPr>
          <w:ilvl w:val="0"/>
          <w:numId w:val="269"/>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Opinion of Kramer Levin Naftalis &amp; Frankel, counsel for the Loan Parties.</w:t>
      </w:r>
    </w:p>
    <w:p>
      <w:pPr>
        <w:spacing w:after="0" w:line="214" w:lineRule="exact"/>
        <w:rPr>
          <w:rFonts w:ascii="Arial" w:cs="Arial" w:eastAsia="Arial" w:hAnsi="Arial"/>
          <w:sz w:val="21"/>
          <w:szCs w:val="21"/>
          <w:b w:val="1"/>
          <w:bCs w:val="1"/>
          <w:i w:val="1"/>
          <w:iCs w:val="1"/>
          <w:color w:val="auto"/>
        </w:rPr>
      </w:pPr>
    </w:p>
    <w:p>
      <w:pPr>
        <w:ind w:left="486" w:hanging="486"/>
        <w:spacing w:after="0"/>
        <w:tabs>
          <w:tab w:leader="none" w:pos="486" w:val="left"/>
        </w:tabs>
        <w:numPr>
          <w:ilvl w:val="0"/>
          <w:numId w:val="269"/>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Opinion of local Pennsylvania counsel for the Loan parties.</w:t>
      </w:r>
    </w:p>
    <w:p>
      <w:pPr>
        <w:spacing w:after="0" w:line="221" w:lineRule="exact"/>
        <w:rPr>
          <w:rFonts w:ascii="Arial" w:cs="Arial" w:eastAsia="Arial" w:hAnsi="Arial"/>
          <w:sz w:val="21"/>
          <w:szCs w:val="21"/>
          <w:b w:val="1"/>
          <w:bCs w:val="1"/>
          <w:i w:val="1"/>
          <w:iCs w:val="1"/>
          <w:color w:val="auto"/>
        </w:rPr>
      </w:pPr>
    </w:p>
    <w:p>
      <w:pPr>
        <w:ind w:left="1726" w:hanging="419"/>
        <w:spacing w:after="0"/>
        <w:tabs>
          <w:tab w:leader="none" w:pos="1726" w:val="left"/>
        </w:tabs>
        <w:numPr>
          <w:ilvl w:val="2"/>
          <w:numId w:val="269"/>
        </w:numPr>
        <w:rPr>
          <w:rFonts w:ascii="Arial" w:cs="Arial" w:eastAsia="Arial" w:hAnsi="Arial"/>
          <w:sz w:val="21"/>
          <w:szCs w:val="21"/>
          <w:b w:val="1"/>
          <w:bCs w:val="1"/>
          <w:color w:val="auto"/>
        </w:rPr>
      </w:pPr>
      <w:r>
        <w:rPr>
          <w:rFonts w:ascii="Arial" w:cs="Arial" w:eastAsia="Arial" w:hAnsi="Arial"/>
          <w:sz w:val="21"/>
          <w:szCs w:val="21"/>
          <w:b w:val="1"/>
          <w:bCs w:val="1"/>
          <w:color w:val="auto"/>
        </w:rPr>
        <w:t>CLOSING CERTIFICATES AND MISCELLANEOUS</w:t>
      </w:r>
    </w:p>
    <w:p>
      <w:pPr>
        <w:spacing w:after="0" w:line="233" w:lineRule="exact"/>
        <w:rPr>
          <w:rFonts w:ascii="Arial" w:cs="Arial" w:eastAsia="Arial" w:hAnsi="Arial"/>
          <w:sz w:val="21"/>
          <w:szCs w:val="21"/>
          <w:b w:val="1"/>
          <w:bCs w:val="1"/>
          <w:color w:val="auto"/>
        </w:rPr>
      </w:pPr>
    </w:p>
    <w:p>
      <w:pPr>
        <w:ind w:left="646" w:hanging="646"/>
        <w:spacing w:after="0" w:line="227" w:lineRule="auto"/>
        <w:tabs>
          <w:tab w:leader="none" w:pos="483" w:val="left"/>
        </w:tabs>
        <w:numPr>
          <w:ilvl w:val="0"/>
          <w:numId w:val="269"/>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A Certificate signed by the President, a Vice President or a Financial Officer of the Borrower certifying the following: (i) that all of the representations and warranties contained in Article III of the Credit Agreement are true and correct and (ii) that no Default or Event of Default has occurred and is then continuing.</w:t>
      </w:r>
    </w:p>
    <w:p>
      <w:pPr>
        <w:spacing w:after="0" w:line="185" w:lineRule="exact"/>
        <w:rPr>
          <w:rFonts w:ascii="Arial" w:cs="Arial" w:eastAsia="Arial" w:hAnsi="Arial"/>
          <w:sz w:val="21"/>
          <w:szCs w:val="21"/>
          <w:b w:val="1"/>
          <w:bCs w:val="1"/>
          <w:i w:val="1"/>
          <w:iCs w:val="1"/>
          <w:color w:val="auto"/>
        </w:rPr>
      </w:pPr>
    </w:p>
    <w:p>
      <w:pPr>
        <w:jc w:val="both"/>
        <w:ind w:left="646" w:hanging="646"/>
        <w:spacing w:after="0" w:line="227" w:lineRule="auto"/>
        <w:tabs>
          <w:tab w:leader="none" w:pos="633" w:val="left"/>
        </w:tabs>
        <w:numPr>
          <w:ilvl w:val="0"/>
          <w:numId w:val="269"/>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A Certificate of the chief financial officer of the Borrower in form and substance satisfactory to the Administrative Agent supporting the conclusions that, after giving effect to the Transactions, the Borrower and its Subsidiaries, taken as a whole, are Solvent and will be Solvent subsequent to incurring the indebtedness in connection with the Transactions.</w:t>
      </w:r>
    </w:p>
    <w:p>
      <w:pPr>
        <w:sectPr>
          <w:pgSz w:w="11900" w:h="16838" w:orient="portrait"/>
          <w:cols w:equalWidth="0" w:num="1">
            <w:col w:w="10026"/>
          </w:cols>
          <w:pgMar w:left="934" w:top="1386" w:right="939" w:bottom="1440" w:gutter="0" w:footer="0" w:header="0"/>
        </w:sectPr>
      </w:pPr>
    </w:p>
    <w:bookmarkStart w:id="296" w:name="page297"/>
    <w:bookmarkEnd w:id="296"/>
    <w:p>
      <w:pPr>
        <w:ind w:left="646" w:hanging="646"/>
        <w:spacing w:after="0" w:line="250" w:lineRule="auto"/>
        <w:tabs>
          <w:tab w:leader="none" w:pos="535" w:val="left"/>
        </w:tabs>
        <w:numPr>
          <w:ilvl w:val="0"/>
          <w:numId w:val="270"/>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Payoff documentation providing evidence satisfactory to the Administrative Agent that the Existing Credit Agreement has been terminated and cancelled (along with all of the agreements, documents and instruments delivered in connection therewith) and all Indebtedness owing thereunder has been repaid and any and all liens thereunder have been terminated (other than any such liens permitted to be provided on a post-closing basis pursuant to Section 5.19 of the Credit Agreement).</w:t>
      </w:r>
    </w:p>
    <w:p>
      <w:pPr>
        <w:spacing w:after="0" w:line="183" w:lineRule="exact"/>
        <w:rPr>
          <w:rFonts w:ascii="Arial" w:cs="Arial" w:eastAsia="Arial" w:hAnsi="Arial"/>
          <w:sz w:val="19"/>
          <w:szCs w:val="19"/>
          <w:b w:val="1"/>
          <w:bCs w:val="1"/>
          <w:i w:val="1"/>
          <w:iCs w:val="1"/>
          <w:color w:val="auto"/>
        </w:rPr>
      </w:pPr>
    </w:p>
    <w:p>
      <w:pPr>
        <w:ind w:left="3426" w:hanging="377"/>
        <w:spacing w:after="0"/>
        <w:tabs>
          <w:tab w:leader="none" w:pos="3426" w:val="left"/>
        </w:tabs>
        <w:numPr>
          <w:ilvl w:val="2"/>
          <w:numId w:val="270"/>
        </w:numPr>
        <w:rPr>
          <w:rFonts w:ascii="Arial" w:cs="Arial" w:eastAsia="Arial" w:hAnsi="Arial"/>
          <w:sz w:val="21"/>
          <w:szCs w:val="21"/>
          <w:b w:val="1"/>
          <w:bCs w:val="1"/>
          <w:color w:val="auto"/>
        </w:rPr>
      </w:pPr>
      <w:r>
        <w:rPr>
          <w:rFonts w:ascii="Arial" w:cs="Arial" w:eastAsia="Arial" w:hAnsi="Arial"/>
          <w:sz w:val="21"/>
          <w:szCs w:val="21"/>
          <w:b w:val="1"/>
          <w:bCs w:val="1"/>
          <w:color w:val="auto"/>
        </w:rPr>
        <w:t>POST-CLOSING</w:t>
      </w:r>
    </w:p>
    <w:p>
      <w:pPr>
        <w:spacing w:after="0" w:line="200" w:lineRule="exact"/>
        <w:rPr>
          <w:rFonts w:ascii="Arial" w:cs="Arial" w:eastAsia="Arial" w:hAnsi="Arial"/>
          <w:sz w:val="21"/>
          <w:szCs w:val="21"/>
          <w:b w:val="1"/>
          <w:bCs w:val="1"/>
          <w:color w:val="auto"/>
        </w:rPr>
      </w:pPr>
    </w:p>
    <w:p>
      <w:pPr>
        <w:spacing w:after="0" w:line="395" w:lineRule="exact"/>
        <w:rPr>
          <w:rFonts w:ascii="Arial" w:cs="Arial" w:eastAsia="Arial" w:hAnsi="Arial"/>
          <w:sz w:val="21"/>
          <w:szCs w:val="21"/>
          <w:b w:val="1"/>
          <w:bCs w:val="1"/>
          <w:color w:val="auto"/>
        </w:rPr>
      </w:pPr>
    </w:p>
    <w:p>
      <w:pPr>
        <w:ind w:left="646" w:hanging="646"/>
        <w:spacing w:after="0" w:line="219" w:lineRule="auto"/>
        <w:tabs>
          <w:tab w:leader="none" w:pos="497" w:val="left"/>
        </w:tabs>
        <w:numPr>
          <w:ilvl w:val="0"/>
          <w:numId w:val="270"/>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Within sixty (60) days of the Effective Date, certificates of Insurance listing the Administrative Agent as (x) lender loss payee for the property casualty insurance policies of the Loan Parties, together with separate lender loss payable endorsements and</w:t>
      </w:r>
    </w:p>
    <w:p>
      <w:pPr>
        <w:ind w:left="646" w:right="20" w:hanging="3"/>
        <w:spacing w:after="0" w:line="233" w:lineRule="auto"/>
        <w:tabs>
          <w:tab w:leader="none" w:pos="960" w:val="left"/>
        </w:tabs>
        <w:numPr>
          <w:ilvl w:val="1"/>
          <w:numId w:val="270"/>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additional insured with respect to the liability insurance of the Loan Parties, together with separate additional insured endorsements.</w:t>
      </w:r>
    </w:p>
    <w:p>
      <w:pPr>
        <w:spacing w:after="0" w:line="196" w:lineRule="exact"/>
        <w:rPr>
          <w:rFonts w:ascii="Arial" w:cs="Arial" w:eastAsia="Arial" w:hAnsi="Arial"/>
          <w:sz w:val="21"/>
          <w:szCs w:val="21"/>
          <w:b w:val="1"/>
          <w:bCs w:val="1"/>
          <w:i w:val="1"/>
          <w:iCs w:val="1"/>
          <w:color w:val="auto"/>
        </w:rPr>
      </w:pPr>
    </w:p>
    <w:p>
      <w:pPr>
        <w:ind w:left="646" w:hanging="646"/>
        <w:spacing w:after="0" w:line="232" w:lineRule="auto"/>
        <w:tabs>
          <w:tab w:leader="none" w:pos="498" w:val="left"/>
        </w:tabs>
        <w:numPr>
          <w:ilvl w:val="0"/>
          <w:numId w:val="270"/>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Within five (5) Business Days of the Effective Date, pledged instruments and allonges and stock certificates and stock powers executed in blank, in each case to the extent required pursuant to the Credit Agreement and the Collateral Documents.</w:t>
      </w:r>
    </w:p>
    <w:p>
      <w:pPr>
        <w:spacing w:after="0" w:line="197" w:lineRule="exact"/>
        <w:rPr>
          <w:rFonts w:ascii="Arial" w:cs="Arial" w:eastAsia="Arial" w:hAnsi="Arial"/>
          <w:sz w:val="21"/>
          <w:szCs w:val="21"/>
          <w:b w:val="1"/>
          <w:bCs w:val="1"/>
          <w:i w:val="1"/>
          <w:iCs w:val="1"/>
          <w:color w:val="auto"/>
        </w:rPr>
      </w:pPr>
    </w:p>
    <w:p>
      <w:pPr>
        <w:ind w:left="646" w:hanging="646"/>
        <w:spacing w:after="0" w:line="244" w:lineRule="auto"/>
        <w:tabs>
          <w:tab w:leader="none" w:pos="574" w:val="left"/>
        </w:tabs>
        <w:numPr>
          <w:ilvl w:val="0"/>
          <w:numId w:val="270"/>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Within sixty (60) days of the Effective Date, landlord subordination agreements as required pursuant to Section 5.15(b) of the Credit Agreement.</w:t>
      </w:r>
    </w:p>
    <w:p>
      <w:pPr>
        <w:spacing w:after="0" w:line="179" w:lineRule="exact"/>
        <w:rPr>
          <w:rFonts w:ascii="Arial" w:cs="Arial" w:eastAsia="Arial" w:hAnsi="Arial"/>
          <w:sz w:val="21"/>
          <w:szCs w:val="21"/>
          <w:b w:val="1"/>
          <w:bCs w:val="1"/>
          <w:i w:val="1"/>
          <w:iCs w:val="1"/>
          <w:color w:val="auto"/>
        </w:rPr>
      </w:pPr>
    </w:p>
    <w:p>
      <w:pPr>
        <w:ind w:left="646" w:right="20" w:hanging="646"/>
        <w:spacing w:after="0" w:line="244" w:lineRule="auto"/>
        <w:tabs>
          <w:tab w:leader="none" w:pos="525" w:val="left"/>
        </w:tabs>
        <w:numPr>
          <w:ilvl w:val="0"/>
          <w:numId w:val="270"/>
        </w:numPr>
        <w:rPr>
          <w:rFonts w:ascii="Arial" w:cs="Arial" w:eastAsia="Arial" w:hAnsi="Arial"/>
          <w:sz w:val="21"/>
          <w:szCs w:val="21"/>
          <w:color w:val="auto"/>
        </w:rPr>
      </w:pPr>
      <w:r>
        <w:rPr>
          <w:rFonts w:ascii="Arial" w:cs="Arial" w:eastAsia="Arial" w:hAnsi="Arial"/>
          <w:sz w:val="21"/>
          <w:szCs w:val="21"/>
          <w:color w:val="auto"/>
        </w:rPr>
        <w:t>Within ten (10) days of the Effective Date, Trademark and Patent Security Agreement by the Loan Parties in favor of the Administrative Agent for the benefit of the Secured Parties.</w:t>
      </w:r>
    </w:p>
    <w:p>
      <w:pPr>
        <w:spacing w:after="0" w:line="246" w:lineRule="exact"/>
        <w:rPr>
          <w:sz w:val="20"/>
          <w:szCs w:val="20"/>
          <w:color w:val="auto"/>
        </w:rPr>
      </w:pPr>
    </w:p>
    <w:tbl>
      <w:tblPr>
        <w:tblLayout w:type="fixed"/>
        <w:tblInd w:w="666" w:type="dxa"/>
        <w:tblCellMar>
          <w:top w:w="0" w:type="dxa"/>
          <w:left w:w="0" w:type="dxa"/>
          <w:bottom w:w="0" w:type="dxa"/>
          <w:right w:w="0" w:type="dxa"/>
        </w:tblCellMar>
      </w:tblPr>
      <w:tr>
        <w:trPr>
          <w:trHeight w:val="273"/>
        </w:trPr>
        <w:tc>
          <w:tcPr>
            <w:tcW w:w="1600" w:type="dxa"/>
            <w:vAlign w:val="bottom"/>
          </w:tcPr>
          <w:p>
            <w:pPr>
              <w:spacing w:after="0"/>
              <w:rPr>
                <w:sz w:val="20"/>
                <w:szCs w:val="20"/>
                <w:color w:val="auto"/>
              </w:rPr>
            </w:pPr>
            <w:r>
              <w:rPr>
                <w:rFonts w:ascii="Arial" w:cs="Arial" w:eastAsia="Arial" w:hAnsi="Arial"/>
                <w:sz w:val="21"/>
                <w:szCs w:val="21"/>
                <w:b w:val="1"/>
                <w:bCs w:val="1"/>
                <w:i w:val="1"/>
                <w:iCs w:val="1"/>
                <w:color w:val="auto"/>
              </w:rPr>
              <w:t>Schedule A-1</w:t>
            </w:r>
          </w:p>
        </w:tc>
        <w:tc>
          <w:tcPr>
            <w:tcW w:w="820" w:type="dxa"/>
            <w:vAlign w:val="bottom"/>
          </w:tcPr>
          <w:p>
            <w:pPr>
              <w:ind w:left="420"/>
              <w:spacing w:after="0"/>
              <w:rPr>
                <w:sz w:val="20"/>
                <w:szCs w:val="20"/>
                <w:color w:val="auto"/>
              </w:rPr>
            </w:pPr>
            <w:r>
              <w:rPr>
                <w:rFonts w:ascii="Arial" w:cs="Arial" w:eastAsia="Arial" w:hAnsi="Arial"/>
                <w:sz w:val="21"/>
                <w:szCs w:val="21"/>
                <w:b w:val="1"/>
                <w:bCs w:val="1"/>
                <w:i w:val="1"/>
                <w:iCs w:val="1"/>
                <w:color w:val="auto"/>
              </w:rPr>
              <w:t>--</w:t>
            </w:r>
          </w:p>
        </w:tc>
        <w:tc>
          <w:tcPr>
            <w:tcW w:w="2060" w:type="dxa"/>
            <w:vAlign w:val="bottom"/>
          </w:tcPr>
          <w:p>
            <w:pPr>
              <w:ind w:left="260"/>
              <w:spacing w:after="0"/>
              <w:rPr>
                <w:sz w:val="20"/>
                <w:szCs w:val="20"/>
                <w:color w:val="auto"/>
              </w:rPr>
            </w:pPr>
            <w:r>
              <w:rPr>
                <w:rFonts w:ascii="Arial" w:cs="Arial" w:eastAsia="Arial" w:hAnsi="Arial"/>
                <w:sz w:val="21"/>
                <w:szCs w:val="21"/>
                <w:b w:val="1"/>
                <w:bCs w:val="1"/>
                <w:i w:val="1"/>
                <w:iCs w:val="1"/>
                <w:color w:val="auto"/>
              </w:rPr>
              <w:t>Patents in Use</w:t>
            </w:r>
          </w:p>
        </w:tc>
      </w:tr>
      <w:tr>
        <w:trPr>
          <w:trHeight w:val="290"/>
        </w:trPr>
        <w:tc>
          <w:tcPr>
            <w:tcW w:w="1600" w:type="dxa"/>
            <w:vAlign w:val="bottom"/>
          </w:tcPr>
          <w:p>
            <w:pPr>
              <w:spacing w:after="0"/>
              <w:rPr>
                <w:sz w:val="20"/>
                <w:szCs w:val="20"/>
                <w:color w:val="auto"/>
              </w:rPr>
            </w:pPr>
            <w:r>
              <w:rPr>
                <w:rFonts w:ascii="Arial" w:cs="Arial" w:eastAsia="Arial" w:hAnsi="Arial"/>
                <w:sz w:val="21"/>
                <w:szCs w:val="21"/>
                <w:b w:val="1"/>
                <w:bCs w:val="1"/>
                <w:i w:val="1"/>
                <w:iCs w:val="1"/>
                <w:color w:val="auto"/>
              </w:rPr>
              <w:t>Schedule A-2</w:t>
            </w:r>
          </w:p>
        </w:tc>
        <w:tc>
          <w:tcPr>
            <w:tcW w:w="820" w:type="dxa"/>
            <w:vAlign w:val="bottom"/>
          </w:tcPr>
          <w:p>
            <w:pPr>
              <w:ind w:left="400"/>
              <w:spacing w:after="0"/>
              <w:rPr>
                <w:sz w:val="20"/>
                <w:szCs w:val="20"/>
                <w:color w:val="auto"/>
              </w:rPr>
            </w:pPr>
            <w:r>
              <w:rPr>
                <w:rFonts w:ascii="Arial" w:cs="Arial" w:eastAsia="Arial" w:hAnsi="Arial"/>
                <w:sz w:val="21"/>
                <w:szCs w:val="21"/>
                <w:b w:val="1"/>
                <w:bCs w:val="1"/>
                <w:i w:val="1"/>
                <w:iCs w:val="1"/>
                <w:color w:val="auto"/>
              </w:rPr>
              <w:t>_</w:t>
            </w:r>
          </w:p>
        </w:tc>
        <w:tc>
          <w:tcPr>
            <w:tcW w:w="2060" w:type="dxa"/>
            <w:vAlign w:val="bottom"/>
          </w:tcPr>
          <w:p>
            <w:pPr>
              <w:ind w:left="260"/>
              <w:spacing w:after="0"/>
              <w:rPr>
                <w:sz w:val="20"/>
                <w:szCs w:val="20"/>
                <w:color w:val="auto"/>
              </w:rPr>
            </w:pPr>
            <w:r>
              <w:rPr>
                <w:rFonts w:ascii="Arial" w:cs="Arial" w:eastAsia="Arial" w:hAnsi="Arial"/>
                <w:sz w:val="21"/>
                <w:szCs w:val="21"/>
                <w:b w:val="1"/>
                <w:bCs w:val="1"/>
                <w:i w:val="1"/>
                <w:iCs w:val="1"/>
                <w:color w:val="auto"/>
              </w:rPr>
              <w:t>Unused Patents</w:t>
            </w:r>
          </w:p>
        </w:tc>
      </w:tr>
      <w:tr>
        <w:trPr>
          <w:trHeight w:val="282"/>
        </w:trPr>
        <w:tc>
          <w:tcPr>
            <w:tcW w:w="1600" w:type="dxa"/>
            <w:vAlign w:val="bottom"/>
          </w:tcPr>
          <w:p>
            <w:pPr>
              <w:spacing w:after="0"/>
              <w:rPr>
                <w:sz w:val="20"/>
                <w:szCs w:val="20"/>
                <w:color w:val="auto"/>
              </w:rPr>
            </w:pPr>
            <w:r>
              <w:rPr>
                <w:rFonts w:ascii="Arial" w:cs="Arial" w:eastAsia="Arial" w:hAnsi="Arial"/>
                <w:sz w:val="21"/>
                <w:szCs w:val="21"/>
                <w:b w:val="1"/>
                <w:bCs w:val="1"/>
                <w:i w:val="1"/>
                <w:iCs w:val="1"/>
                <w:color w:val="auto"/>
              </w:rPr>
              <w:t>Schedule B-1</w:t>
            </w:r>
          </w:p>
        </w:tc>
        <w:tc>
          <w:tcPr>
            <w:tcW w:w="820" w:type="dxa"/>
            <w:vAlign w:val="bottom"/>
          </w:tcPr>
          <w:p>
            <w:pPr>
              <w:ind w:left="400"/>
              <w:spacing w:after="0"/>
              <w:rPr>
                <w:sz w:val="20"/>
                <w:szCs w:val="20"/>
                <w:color w:val="auto"/>
              </w:rPr>
            </w:pPr>
            <w:r>
              <w:rPr>
                <w:rFonts w:ascii="Arial" w:cs="Arial" w:eastAsia="Arial" w:hAnsi="Arial"/>
                <w:sz w:val="21"/>
                <w:szCs w:val="21"/>
                <w:b w:val="1"/>
                <w:bCs w:val="1"/>
                <w:i w:val="1"/>
                <w:iCs w:val="1"/>
                <w:color w:val="auto"/>
              </w:rPr>
              <w:t>_</w:t>
            </w:r>
          </w:p>
        </w:tc>
        <w:tc>
          <w:tcPr>
            <w:tcW w:w="2060" w:type="dxa"/>
            <w:vAlign w:val="bottom"/>
          </w:tcPr>
          <w:p>
            <w:pPr>
              <w:ind w:left="260"/>
              <w:spacing w:after="0"/>
              <w:rPr>
                <w:sz w:val="20"/>
                <w:szCs w:val="20"/>
                <w:color w:val="auto"/>
              </w:rPr>
            </w:pPr>
            <w:r>
              <w:rPr>
                <w:rFonts w:ascii="Arial" w:cs="Arial" w:eastAsia="Arial" w:hAnsi="Arial"/>
                <w:sz w:val="21"/>
                <w:szCs w:val="21"/>
                <w:b w:val="1"/>
                <w:bCs w:val="1"/>
                <w:i w:val="1"/>
                <w:iCs w:val="1"/>
                <w:color w:val="auto"/>
                <w:w w:val="94"/>
              </w:rPr>
              <w:t>Trademarks in Use</w:t>
            </w:r>
          </w:p>
        </w:tc>
      </w:tr>
      <w:tr>
        <w:trPr>
          <w:trHeight w:val="273"/>
        </w:trPr>
        <w:tc>
          <w:tcPr>
            <w:tcW w:w="1600" w:type="dxa"/>
            <w:vAlign w:val="bottom"/>
          </w:tcPr>
          <w:p>
            <w:pPr>
              <w:spacing w:after="0"/>
              <w:rPr>
                <w:sz w:val="20"/>
                <w:szCs w:val="20"/>
                <w:color w:val="auto"/>
              </w:rPr>
            </w:pPr>
            <w:r>
              <w:rPr>
                <w:rFonts w:ascii="Arial" w:cs="Arial" w:eastAsia="Arial" w:hAnsi="Arial"/>
                <w:sz w:val="21"/>
                <w:szCs w:val="21"/>
                <w:b w:val="1"/>
                <w:bCs w:val="1"/>
                <w:i w:val="1"/>
                <w:iCs w:val="1"/>
                <w:color w:val="auto"/>
              </w:rPr>
              <w:t>Schedule B-2</w:t>
            </w:r>
          </w:p>
        </w:tc>
        <w:tc>
          <w:tcPr>
            <w:tcW w:w="820" w:type="dxa"/>
            <w:vAlign w:val="bottom"/>
          </w:tcPr>
          <w:p>
            <w:pPr>
              <w:ind w:left="400"/>
              <w:spacing w:after="0"/>
              <w:rPr>
                <w:sz w:val="20"/>
                <w:szCs w:val="20"/>
                <w:color w:val="auto"/>
              </w:rPr>
            </w:pPr>
            <w:r>
              <w:rPr>
                <w:rFonts w:ascii="Arial" w:cs="Arial" w:eastAsia="Arial" w:hAnsi="Arial"/>
                <w:sz w:val="21"/>
                <w:szCs w:val="21"/>
                <w:b w:val="1"/>
                <w:bCs w:val="1"/>
                <w:i w:val="1"/>
                <w:iCs w:val="1"/>
                <w:color w:val="auto"/>
              </w:rPr>
              <w:t>_</w:t>
            </w:r>
          </w:p>
        </w:tc>
        <w:tc>
          <w:tcPr>
            <w:tcW w:w="2060" w:type="dxa"/>
            <w:vAlign w:val="bottom"/>
          </w:tcPr>
          <w:p>
            <w:pPr>
              <w:ind w:left="260"/>
              <w:spacing w:after="0"/>
              <w:rPr>
                <w:sz w:val="20"/>
                <w:szCs w:val="20"/>
                <w:color w:val="auto"/>
              </w:rPr>
            </w:pPr>
            <w:r>
              <w:rPr>
                <w:rFonts w:ascii="Arial" w:cs="Arial" w:eastAsia="Arial" w:hAnsi="Arial"/>
                <w:sz w:val="21"/>
                <w:szCs w:val="21"/>
                <w:b w:val="1"/>
                <w:bCs w:val="1"/>
                <w:i w:val="1"/>
                <w:iCs w:val="1"/>
                <w:color w:val="auto"/>
                <w:w w:val="88"/>
              </w:rPr>
              <w:t>Unused Trademarks</w:t>
            </w:r>
          </w:p>
        </w:tc>
      </w:tr>
    </w:tbl>
    <w:p>
      <w:pPr>
        <w:spacing w:after="0" w:line="317" w:lineRule="exact"/>
        <w:rPr>
          <w:sz w:val="20"/>
          <w:szCs w:val="20"/>
          <w:color w:val="auto"/>
        </w:rPr>
      </w:pPr>
    </w:p>
    <w:p>
      <w:pPr>
        <w:ind w:left="646" w:right="60" w:hanging="646"/>
        <w:spacing w:after="0" w:line="250" w:lineRule="auto"/>
        <w:tabs>
          <w:tab w:leader="none" w:pos="481" w:val="left"/>
        </w:tabs>
        <w:numPr>
          <w:ilvl w:val="0"/>
          <w:numId w:val="271"/>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Within thirty (30) days of the Effective Date (or such later date as the Administrative Agent may agree in its sole discretion), documentation evidencing the termination and release of all foreign law governed “Collateral Documents” or other foreign law lien documentation (including, without limitation, pursuant to the laws of Germany, France, or Quebec) in effect pursuant to the Existing Credit Agreement, each in form and substance reasonably satisfactory to the Administrative Agent.</w:t>
      </w:r>
    </w:p>
    <w:p>
      <w:pPr>
        <w:spacing w:after="0" w:line="189" w:lineRule="exact"/>
        <w:rPr>
          <w:rFonts w:ascii="Arial" w:cs="Arial" w:eastAsia="Arial" w:hAnsi="Arial"/>
          <w:sz w:val="19"/>
          <w:szCs w:val="19"/>
          <w:b w:val="1"/>
          <w:bCs w:val="1"/>
          <w:i w:val="1"/>
          <w:iCs w:val="1"/>
          <w:color w:val="auto"/>
        </w:rPr>
      </w:pPr>
    </w:p>
    <w:p>
      <w:pPr>
        <w:ind w:left="646" w:right="20" w:hanging="646"/>
        <w:spacing w:after="0" w:line="222" w:lineRule="auto"/>
        <w:tabs>
          <w:tab w:leader="none" w:pos="491" w:val="left"/>
        </w:tabs>
        <w:numPr>
          <w:ilvl w:val="0"/>
          <w:numId w:val="271"/>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Within thirty (30) days of the Effective Date (or such later date as the Administrative Agent may agree in its sole discretion), termination letters signed by Bank of America,</w:t>
      </w:r>
    </w:p>
    <w:p>
      <w:pPr>
        <w:jc w:val="both"/>
        <w:ind w:left="646"/>
        <w:spacing w:after="0" w:line="237" w:lineRule="auto"/>
        <w:rPr>
          <w:rFonts w:ascii="Arial" w:cs="Arial" w:eastAsia="Arial" w:hAnsi="Arial"/>
          <w:sz w:val="21"/>
          <w:szCs w:val="21"/>
          <w:b w:val="1"/>
          <w:bCs w:val="1"/>
          <w:i w:val="1"/>
          <w:iCs w:val="1"/>
          <w:color w:val="auto"/>
        </w:rPr>
      </w:pPr>
      <w:r>
        <w:rPr>
          <w:rFonts w:ascii="Arial" w:cs="Arial" w:eastAsia="Arial" w:hAnsi="Arial"/>
          <w:sz w:val="20"/>
          <w:szCs w:val="20"/>
          <w:b w:val="1"/>
          <w:bCs w:val="1"/>
          <w:i w:val="1"/>
          <w:iCs w:val="1"/>
          <w:color w:val="auto"/>
        </w:rPr>
        <w:t>N.A. as administrative agent pursuant to the Existing Credit Agreement (the “</w:t>
      </w:r>
      <w:r>
        <w:rPr>
          <w:rFonts w:ascii="Arial" w:cs="Arial" w:eastAsia="Arial" w:hAnsi="Arial"/>
          <w:sz w:val="20"/>
          <w:szCs w:val="20"/>
          <w:b w:val="1"/>
          <w:bCs w:val="1"/>
          <w:i w:val="1"/>
          <w:iCs w:val="1"/>
          <w:u w:val="single" w:color="auto"/>
          <w:color w:val="auto"/>
        </w:rPr>
        <w:t>Existing Agent</w:t>
      </w:r>
      <w:r>
        <w:rPr>
          <w:rFonts w:ascii="Arial" w:cs="Arial" w:eastAsia="Arial" w:hAnsi="Arial"/>
          <w:sz w:val="20"/>
          <w:szCs w:val="20"/>
          <w:b w:val="1"/>
          <w:bCs w:val="1"/>
          <w:i w:val="1"/>
          <w:iCs w:val="1"/>
          <w:color w:val="auto"/>
        </w:rPr>
        <w:t>”), terminating each landlord subordination agreement that was entered into in favor of the Existing Agent, and each in appropriate form for delivery to the applicable landlord thereunder.</w:t>
      </w:r>
    </w:p>
    <w:p>
      <w:pPr>
        <w:sectPr>
          <w:pgSz w:w="11900" w:h="16838" w:orient="portrait"/>
          <w:cols w:equalWidth="0" w:num="1">
            <w:col w:w="10026"/>
          </w:cols>
          <w:pgMar w:left="934" w:top="1392" w:right="939" w:bottom="1440" w:gutter="0" w:footer="0" w:header="0"/>
        </w:sectPr>
      </w:pPr>
    </w:p>
    <w:bookmarkStart w:id="297" w:name="page298"/>
    <w:bookmarkEnd w:id="297"/>
    <w:p>
      <w:pPr>
        <w:jc w:val="both"/>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98" w:name="page299"/>
    <w:bookmarkEnd w:id="298"/>
    <w:p>
      <w:pPr>
        <w:ind w:left="4960"/>
        <w:spacing w:after="0"/>
        <w:rPr>
          <w:sz w:val="20"/>
          <w:szCs w:val="20"/>
          <w:color w:val="auto"/>
        </w:rPr>
      </w:pPr>
      <w:r>
        <w:rPr>
          <w:rFonts w:ascii="Arial" w:cs="Arial" w:eastAsia="Arial" w:hAnsi="Arial"/>
          <w:sz w:val="21"/>
          <w:szCs w:val="21"/>
          <w:color w:val="auto"/>
        </w:rPr>
        <w:t>EXHIBIT G-1</w:t>
      </w:r>
    </w:p>
    <w:p>
      <w:pPr>
        <w:spacing w:after="0" w:line="199" w:lineRule="exact"/>
        <w:rPr>
          <w:sz w:val="20"/>
          <w:szCs w:val="20"/>
          <w:color w:val="auto"/>
        </w:rPr>
      </w:pPr>
    </w:p>
    <w:p>
      <w:pPr>
        <w:ind w:left="504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FORM OF</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2540</wp:posOffset>
            </wp:positionV>
            <wp:extent cx="1193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235"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U.S. TAX COMPLIANCE CERTIFICATE</w:t>
      </w:r>
    </w:p>
    <w:p>
      <w:pPr>
        <w:ind w:left="1780"/>
        <w:spacing w:after="0"/>
        <w:rPr>
          <w:sz w:val="20"/>
          <w:szCs w:val="20"/>
          <w:color w:val="auto"/>
        </w:rPr>
      </w:pPr>
      <w:r>
        <w:rPr>
          <w:rFonts w:ascii="Arial" w:cs="Arial" w:eastAsia="Arial" w:hAnsi="Arial"/>
          <w:sz w:val="21"/>
          <w:szCs w:val="21"/>
          <w:color w:val="auto"/>
        </w:rPr>
        <w:t>(For Foreign Lenders That Are Not Partnerships For U.S. Federal Income Tax Purposes)</w:t>
      </w:r>
    </w:p>
    <w:p>
      <w:pPr>
        <w:spacing w:after="0" w:line="210" w:lineRule="exact"/>
        <w:rPr>
          <w:sz w:val="20"/>
          <w:szCs w:val="20"/>
          <w:color w:val="auto"/>
        </w:rPr>
      </w:pPr>
    </w:p>
    <w:p>
      <w:pPr>
        <w:jc w:val="both"/>
        <w:ind w:left="580" w:firstLine="642"/>
        <w:spacing w:after="0" w:line="227" w:lineRule="auto"/>
        <w:rPr>
          <w:sz w:val="20"/>
          <w:szCs w:val="20"/>
          <w:color w:val="auto"/>
        </w:rPr>
      </w:pPr>
      <w:r>
        <w:rPr>
          <w:rFonts w:ascii="Arial" w:cs="Arial" w:eastAsia="Arial" w:hAnsi="Arial"/>
          <w:sz w:val="21"/>
          <w:szCs w:val="21"/>
          <w:color w:val="auto"/>
        </w:rPr>
        <w:t>Reference is hereby made to the Credit Agreement, dated as of August 1, 2022 (as amended, restated, supplemented or otherwise modified from time to time, the “</w:t>
      </w:r>
      <w:r>
        <w:rPr>
          <w:rFonts w:ascii="Arial" w:cs="Arial" w:eastAsia="Arial" w:hAnsi="Arial"/>
          <w:sz w:val="21"/>
          <w:szCs w:val="21"/>
          <w:b w:val="1"/>
          <w:bCs w:val="1"/>
          <w:i w:val="1"/>
          <w:iCs w:val="1"/>
          <w:color w:val="auto"/>
        </w:rPr>
        <w:t>Credit Agreement</w:t>
      </w:r>
      <w:r>
        <w:rPr>
          <w:rFonts w:ascii="Arial" w:cs="Arial" w:eastAsia="Arial" w:hAnsi="Arial"/>
          <w:sz w:val="21"/>
          <w:szCs w:val="21"/>
          <w:color w:val="auto"/>
        </w:rPr>
        <w:t>”), among Mistras Group, Inc. (the “</w:t>
      </w:r>
      <w:r>
        <w:rPr>
          <w:rFonts w:ascii="Arial" w:cs="Arial" w:eastAsia="Arial" w:hAnsi="Arial"/>
          <w:sz w:val="21"/>
          <w:szCs w:val="21"/>
          <w:b w:val="1"/>
          <w:bCs w:val="1"/>
          <w:i w:val="1"/>
          <w:iCs w:val="1"/>
          <w:color w:val="auto"/>
        </w:rPr>
        <w:t>Borrower</w:t>
      </w:r>
      <w:r>
        <w:rPr>
          <w:rFonts w:ascii="Arial" w:cs="Arial" w:eastAsia="Arial" w:hAnsi="Arial"/>
          <w:sz w:val="21"/>
          <w:szCs w:val="21"/>
          <w:color w:val="auto"/>
        </w:rPr>
        <w:t>, the Lenders party thereto and JPMorgan Chase Bank, N.A., as administrative agent (in such capacity, the “</w:t>
      </w:r>
      <w:r>
        <w:rPr>
          <w:rFonts w:ascii="Arial" w:cs="Arial" w:eastAsia="Arial" w:hAnsi="Arial"/>
          <w:sz w:val="21"/>
          <w:szCs w:val="21"/>
          <w:b w:val="1"/>
          <w:bCs w:val="1"/>
          <w:i w:val="1"/>
          <w:iCs w:val="1"/>
          <w:color w:val="auto"/>
        </w:rPr>
        <w:t>Administrative Agent</w:t>
      </w:r>
      <w:r>
        <w:rPr>
          <w:rFonts w:ascii="Arial" w:cs="Arial" w:eastAsia="Arial" w:hAnsi="Arial"/>
          <w:sz w:val="21"/>
          <w:szCs w:val="21"/>
          <w:color w:val="auto"/>
        </w:rPr>
        <w:t>”).</w:t>
      </w:r>
    </w:p>
    <w:p>
      <w:pPr>
        <w:spacing w:after="0" w:line="199" w:lineRule="exact"/>
        <w:rPr>
          <w:sz w:val="20"/>
          <w:szCs w:val="20"/>
          <w:color w:val="auto"/>
        </w:rPr>
      </w:pPr>
    </w:p>
    <w:p>
      <w:pPr>
        <w:jc w:val="both"/>
        <w:ind w:left="580" w:firstLine="642"/>
        <w:spacing w:after="0" w:line="222" w:lineRule="auto"/>
        <w:rPr>
          <w:sz w:val="20"/>
          <w:szCs w:val="20"/>
          <w:color w:val="auto"/>
        </w:rPr>
      </w:pPr>
      <w:r>
        <w:rPr>
          <w:rFonts w:ascii="Arial" w:cs="Arial" w:eastAsia="Arial" w:hAnsi="Arial"/>
          <w:sz w:val="21"/>
          <w:szCs w:val="21"/>
          <w:color w:val="auto"/>
        </w:rPr>
        <w:t>Pursuant to the provisions of Section 2.17 of the Credit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8" w:lineRule="exact"/>
        <w:rPr>
          <w:sz w:val="20"/>
          <w:szCs w:val="20"/>
          <w:color w:val="auto"/>
        </w:rPr>
      </w:pPr>
    </w:p>
    <w:p>
      <w:pPr>
        <w:jc w:val="both"/>
        <w:ind w:left="580" w:firstLine="642"/>
        <w:spacing w:after="0" w:line="221" w:lineRule="auto"/>
        <w:rPr>
          <w:sz w:val="20"/>
          <w:szCs w:val="20"/>
          <w:color w:val="auto"/>
        </w:rPr>
      </w:pPr>
      <w:r>
        <w:rPr>
          <w:rFonts w:ascii="Arial" w:cs="Arial" w:eastAsia="Arial" w:hAnsi="Arial"/>
          <w:sz w:val="21"/>
          <w:szCs w:val="21"/>
          <w:color w:val="auto"/>
        </w:rPr>
        <w:t>The undersigned has furnished the Administrative Agent and the Borrower with a certificate of its non-U.S. Person status on IRS Form W-8BEN or IRS Form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200" w:lineRule="exact"/>
        <w:rPr>
          <w:sz w:val="20"/>
          <w:szCs w:val="20"/>
          <w:color w:val="auto"/>
        </w:rPr>
      </w:pPr>
    </w:p>
    <w:p>
      <w:pPr>
        <w:jc w:val="both"/>
        <w:ind w:left="580" w:right="20" w:firstLine="642"/>
        <w:spacing w:after="0" w:line="244" w:lineRule="auto"/>
        <w:rPr>
          <w:sz w:val="20"/>
          <w:szCs w:val="20"/>
          <w:color w:val="auto"/>
        </w:rPr>
      </w:pPr>
      <w:r>
        <w:rPr>
          <w:rFonts w:ascii="Arial" w:cs="Arial" w:eastAsia="Arial" w:hAnsi="Arial"/>
          <w:sz w:val="21"/>
          <w:szCs w:val="21"/>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NAME OF LENDER</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2540</wp:posOffset>
            </wp:positionV>
            <wp:extent cx="1193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369"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-5715</wp:posOffset>
            </wp:positionV>
            <wp:extent cx="2724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272415" cy="8255"/>
                    </a:xfrm>
                    <a:prstGeom prst="rect">
                      <a:avLst/>
                    </a:prstGeom>
                    <a:noFill/>
                  </pic:spPr>
                </pic:pic>
              </a:graphicData>
            </a:graphic>
          </wp:anchor>
        </w:drawing>
      </w:r>
    </w:p>
    <w:p>
      <w:pPr>
        <w:ind w:left="900"/>
        <w:spacing w:after="0"/>
        <w:rPr>
          <w:sz w:val="20"/>
          <w:szCs w:val="20"/>
          <w:color w:val="auto"/>
        </w:rPr>
      </w:pPr>
      <w:r>
        <w:rPr>
          <w:rFonts w:ascii="Arial" w:cs="Arial" w:eastAsia="Arial" w:hAnsi="Arial"/>
          <w:sz w:val="21"/>
          <w:szCs w:val="21"/>
          <w:color w:val="auto"/>
        </w:rPr>
        <w:t>Title:</w:t>
      </w:r>
    </w:p>
    <w:p>
      <w:pPr>
        <w:spacing w:after="0" w:line="195"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21"/>
          <w:szCs w:val="21"/>
          <w:color w:val="auto"/>
        </w:rPr>
        <w:t>Date:</w:t>
        <w:tab/>
        <w:t>, 20</w:t>
      </w:r>
      <w:r>
        <w:rPr>
          <w:rFonts w:ascii="Arial" w:cs="Arial" w:eastAsia="Arial" w:hAnsi="Arial"/>
          <w:sz w:val="25"/>
          <w:szCs w:val="25"/>
          <w:b w:val="1"/>
          <w:bCs w:val="1"/>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-13970</wp:posOffset>
            </wp:positionV>
            <wp:extent cx="170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10795</wp:posOffset>
            </wp:positionV>
            <wp:extent cx="1022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102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0600"/>
          </w:cols>
          <w:pgMar w:left="360" w:top="1392" w:right="939" w:bottom="1440" w:gutter="0" w:footer="0" w:header="0"/>
        </w:sectPr>
      </w:pPr>
    </w:p>
    <w:bookmarkStart w:id="299" w:name="page300"/>
    <w:bookmarkEnd w:id="299"/>
    <w:p>
      <w:pPr>
        <w:spacing w:after="0" w:line="194"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EXHIBIT G-2</w:t>
      </w:r>
    </w:p>
    <w:p>
      <w:pPr>
        <w:spacing w:after="0" w:line="199" w:lineRule="exact"/>
        <w:rPr>
          <w:sz w:val="20"/>
          <w:szCs w:val="20"/>
          <w:color w:val="auto"/>
        </w:rPr>
      </w:pPr>
    </w:p>
    <w:p>
      <w:pPr>
        <w:ind w:left="504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FORM OF</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1905</wp:posOffset>
            </wp:positionV>
            <wp:extent cx="1193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235"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U.S. TAX COMPLIANCE CERTIFICATE</w:t>
      </w:r>
    </w:p>
    <w:p>
      <w:pPr>
        <w:ind w:left="1620"/>
        <w:spacing w:after="0"/>
        <w:rPr>
          <w:sz w:val="20"/>
          <w:szCs w:val="20"/>
          <w:color w:val="auto"/>
        </w:rPr>
      </w:pPr>
      <w:r>
        <w:rPr>
          <w:rFonts w:ascii="Arial" w:cs="Arial" w:eastAsia="Arial" w:hAnsi="Arial"/>
          <w:sz w:val="21"/>
          <w:szCs w:val="21"/>
          <w:color w:val="auto"/>
        </w:rPr>
        <w:t>(For Foreign Participants That Are Not Partnerships For U.S. Federal Income Tax Purposes)</w:t>
      </w:r>
    </w:p>
    <w:p>
      <w:pPr>
        <w:spacing w:after="0" w:line="210" w:lineRule="exact"/>
        <w:rPr>
          <w:sz w:val="20"/>
          <w:szCs w:val="20"/>
          <w:color w:val="auto"/>
        </w:rPr>
      </w:pPr>
    </w:p>
    <w:p>
      <w:pPr>
        <w:jc w:val="both"/>
        <w:ind w:left="580" w:firstLine="642"/>
        <w:spacing w:after="0" w:line="227" w:lineRule="auto"/>
        <w:rPr>
          <w:sz w:val="20"/>
          <w:szCs w:val="20"/>
          <w:color w:val="auto"/>
        </w:rPr>
      </w:pPr>
      <w:r>
        <w:rPr>
          <w:rFonts w:ascii="Arial" w:cs="Arial" w:eastAsia="Arial" w:hAnsi="Arial"/>
          <w:sz w:val="21"/>
          <w:szCs w:val="21"/>
          <w:color w:val="auto"/>
        </w:rPr>
        <w:t>Reference is hereby made to the Credit Agreement, dated as of August 1, 2022 (as amended, restated, supplemented or otherwise modified from time to time, the “</w:t>
      </w:r>
      <w:r>
        <w:rPr>
          <w:rFonts w:ascii="Arial" w:cs="Arial" w:eastAsia="Arial" w:hAnsi="Arial"/>
          <w:sz w:val="21"/>
          <w:szCs w:val="21"/>
          <w:b w:val="1"/>
          <w:bCs w:val="1"/>
          <w:i w:val="1"/>
          <w:iCs w:val="1"/>
          <w:color w:val="auto"/>
        </w:rPr>
        <w:t>Credit Agreement</w:t>
      </w:r>
      <w:r>
        <w:rPr>
          <w:rFonts w:ascii="Arial" w:cs="Arial" w:eastAsia="Arial" w:hAnsi="Arial"/>
          <w:sz w:val="21"/>
          <w:szCs w:val="21"/>
          <w:color w:val="auto"/>
        </w:rPr>
        <w:t>”), among Mistras Group, Inc. (the “</w:t>
      </w:r>
      <w:r>
        <w:rPr>
          <w:rFonts w:ascii="Arial" w:cs="Arial" w:eastAsia="Arial" w:hAnsi="Arial"/>
          <w:sz w:val="21"/>
          <w:szCs w:val="21"/>
          <w:b w:val="1"/>
          <w:bCs w:val="1"/>
          <w:i w:val="1"/>
          <w:iCs w:val="1"/>
          <w:color w:val="auto"/>
        </w:rPr>
        <w:t>Borrower</w:t>
      </w:r>
      <w:r>
        <w:rPr>
          <w:rFonts w:ascii="Arial" w:cs="Arial" w:eastAsia="Arial" w:hAnsi="Arial"/>
          <w:sz w:val="21"/>
          <w:szCs w:val="21"/>
          <w:color w:val="auto"/>
        </w:rPr>
        <w:t>, the Lenders party thereto and JPMorgan Chase Bank, N.A., as administrative agent (in such capacity, the “</w:t>
      </w:r>
      <w:r>
        <w:rPr>
          <w:rFonts w:ascii="Arial" w:cs="Arial" w:eastAsia="Arial" w:hAnsi="Arial"/>
          <w:sz w:val="21"/>
          <w:szCs w:val="21"/>
          <w:b w:val="1"/>
          <w:bCs w:val="1"/>
          <w:i w:val="1"/>
          <w:iCs w:val="1"/>
          <w:color w:val="auto"/>
        </w:rPr>
        <w:t>Administrative Agent</w:t>
      </w:r>
      <w:r>
        <w:rPr>
          <w:rFonts w:ascii="Arial" w:cs="Arial" w:eastAsia="Arial" w:hAnsi="Arial"/>
          <w:sz w:val="21"/>
          <w:szCs w:val="21"/>
          <w:color w:val="auto"/>
        </w:rPr>
        <w:t>”).</w:t>
      </w:r>
    </w:p>
    <w:p>
      <w:pPr>
        <w:spacing w:after="0" w:line="199" w:lineRule="exact"/>
        <w:rPr>
          <w:sz w:val="20"/>
          <w:szCs w:val="20"/>
          <w:color w:val="auto"/>
        </w:rPr>
      </w:pPr>
    </w:p>
    <w:p>
      <w:pPr>
        <w:jc w:val="both"/>
        <w:ind w:left="580" w:right="20" w:firstLine="642"/>
        <w:spacing w:after="0" w:line="236" w:lineRule="auto"/>
        <w:rPr>
          <w:sz w:val="20"/>
          <w:szCs w:val="20"/>
          <w:color w:val="auto"/>
        </w:rPr>
      </w:pPr>
      <w:r>
        <w:rPr>
          <w:rFonts w:ascii="Arial" w:cs="Arial" w:eastAsia="Arial" w:hAnsi="Arial"/>
          <w:sz w:val="20"/>
          <w:szCs w:val="20"/>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3" w:lineRule="exact"/>
        <w:rPr>
          <w:sz w:val="20"/>
          <w:szCs w:val="20"/>
          <w:color w:val="auto"/>
        </w:rPr>
      </w:pPr>
    </w:p>
    <w:p>
      <w:pPr>
        <w:jc w:val="both"/>
        <w:ind w:left="580" w:firstLine="642"/>
        <w:spacing w:after="0" w:line="222" w:lineRule="auto"/>
        <w:rPr>
          <w:sz w:val="20"/>
          <w:szCs w:val="20"/>
          <w:color w:val="auto"/>
        </w:rPr>
      </w:pPr>
      <w:r>
        <w:rPr>
          <w:rFonts w:ascii="Arial" w:cs="Arial" w:eastAsia="Arial" w:hAnsi="Arial"/>
          <w:sz w:val="21"/>
          <w:szCs w:val="21"/>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1" w:lineRule="exact"/>
        <w:rPr>
          <w:sz w:val="20"/>
          <w:szCs w:val="20"/>
          <w:color w:val="auto"/>
        </w:rPr>
      </w:pPr>
    </w:p>
    <w:p>
      <w:pPr>
        <w:jc w:val="both"/>
        <w:ind w:left="580" w:right="20" w:firstLine="642"/>
        <w:spacing w:after="0" w:line="244" w:lineRule="auto"/>
        <w:rPr>
          <w:sz w:val="20"/>
          <w:szCs w:val="20"/>
          <w:color w:val="auto"/>
        </w:rPr>
      </w:pPr>
      <w:r>
        <w:rPr>
          <w:rFonts w:ascii="Arial" w:cs="Arial" w:eastAsia="Arial" w:hAnsi="Arial"/>
          <w:sz w:val="21"/>
          <w:szCs w:val="21"/>
          <w:color w:val="auto"/>
        </w:rPr>
        <w:t>Unless otherwise defined herein, terms defined in the Credit Agreement and used herein shall have the meanings given to them in the Credit Agreement.</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NAME OF PARTICIPANT</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10795</wp:posOffset>
            </wp:positionV>
            <wp:extent cx="1193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382"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-5715</wp:posOffset>
            </wp:positionV>
            <wp:extent cx="2724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272415" cy="8255"/>
                    </a:xfrm>
                    <a:prstGeom prst="rect">
                      <a:avLst/>
                    </a:prstGeom>
                    <a:noFill/>
                  </pic:spPr>
                </pic:pic>
              </a:graphicData>
            </a:graphic>
          </wp:anchor>
        </w:drawing>
      </w:r>
    </w:p>
    <w:p>
      <w:pPr>
        <w:ind w:left="900"/>
        <w:spacing w:after="0"/>
        <w:rPr>
          <w:sz w:val="20"/>
          <w:szCs w:val="20"/>
          <w:color w:val="auto"/>
        </w:rPr>
      </w:pPr>
      <w:r>
        <w:rPr>
          <w:rFonts w:ascii="Arial" w:cs="Arial" w:eastAsia="Arial" w:hAnsi="Arial"/>
          <w:sz w:val="21"/>
          <w:szCs w:val="21"/>
          <w:color w:val="auto"/>
        </w:rPr>
        <w:t>Title:</w:t>
      </w:r>
    </w:p>
    <w:p>
      <w:pPr>
        <w:spacing w:after="0" w:line="195"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21"/>
          <w:szCs w:val="21"/>
          <w:color w:val="auto"/>
        </w:rPr>
        <w:t>Date:</w:t>
        <w:tab/>
        <w:t>, 20</w:t>
      </w:r>
      <w:r>
        <w:rPr>
          <w:rFonts w:ascii="Arial" w:cs="Arial" w:eastAsia="Arial" w:hAnsi="Arial"/>
          <w:sz w:val="25"/>
          <w:szCs w:val="25"/>
          <w:b w:val="1"/>
          <w:bCs w:val="1"/>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-13970</wp:posOffset>
            </wp:positionV>
            <wp:extent cx="1701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2540</wp:posOffset>
            </wp:positionV>
            <wp:extent cx="1022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102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0600"/>
          </w:cols>
          <w:pgMar w:left="360" w:top="1440" w:right="939" w:bottom="1440" w:gutter="0" w:footer="0" w:header="0"/>
        </w:sectPr>
      </w:pPr>
    </w:p>
    <w:bookmarkStart w:id="300" w:name="page301"/>
    <w:bookmarkEnd w:id="300"/>
    <w:p>
      <w:pPr>
        <w:spacing w:after="0" w:line="194"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EXHIBIT G-3</w:t>
      </w:r>
    </w:p>
    <w:p>
      <w:pPr>
        <w:spacing w:after="0" w:line="199" w:lineRule="exact"/>
        <w:rPr>
          <w:sz w:val="20"/>
          <w:szCs w:val="20"/>
          <w:color w:val="auto"/>
        </w:rPr>
      </w:pPr>
    </w:p>
    <w:p>
      <w:pPr>
        <w:ind w:left="504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FORM OF</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2540</wp:posOffset>
            </wp:positionV>
            <wp:extent cx="1193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235" w:lineRule="exact"/>
        <w:rPr>
          <w:sz w:val="20"/>
          <w:szCs w:val="20"/>
          <w:color w:val="auto"/>
        </w:rPr>
      </w:pPr>
    </w:p>
    <w:p>
      <w:pPr>
        <w:ind w:left="2880"/>
        <w:spacing w:after="0"/>
        <w:rPr>
          <w:sz w:val="20"/>
          <w:szCs w:val="20"/>
          <w:color w:val="auto"/>
        </w:rPr>
      </w:pPr>
      <w:r>
        <w:rPr>
          <w:rFonts w:ascii="Arial" w:cs="Arial" w:eastAsia="Arial" w:hAnsi="Arial"/>
          <w:sz w:val="21"/>
          <w:szCs w:val="21"/>
          <w:color w:val="auto"/>
        </w:rPr>
        <w:t>U.S. TAX COMPLIANCE CERTIFICATE</w:t>
      </w:r>
    </w:p>
    <w:p>
      <w:pPr>
        <w:ind w:left="1820"/>
        <w:spacing w:after="0"/>
        <w:rPr>
          <w:sz w:val="20"/>
          <w:szCs w:val="20"/>
          <w:color w:val="auto"/>
        </w:rPr>
      </w:pPr>
      <w:r>
        <w:rPr>
          <w:rFonts w:ascii="Arial" w:cs="Arial" w:eastAsia="Arial" w:hAnsi="Arial"/>
          <w:sz w:val="21"/>
          <w:szCs w:val="21"/>
          <w:color w:val="auto"/>
        </w:rPr>
        <w:t>(For Foreign Participants That Are Partnerships For U.S. Federal Income Tax Purposes)</w:t>
      </w:r>
    </w:p>
    <w:p>
      <w:pPr>
        <w:spacing w:after="0" w:line="210" w:lineRule="exact"/>
        <w:rPr>
          <w:sz w:val="20"/>
          <w:szCs w:val="20"/>
          <w:color w:val="auto"/>
        </w:rPr>
      </w:pPr>
    </w:p>
    <w:p>
      <w:pPr>
        <w:jc w:val="both"/>
        <w:ind w:left="580" w:firstLine="642"/>
        <w:spacing w:after="0" w:line="227" w:lineRule="auto"/>
        <w:rPr>
          <w:sz w:val="20"/>
          <w:szCs w:val="20"/>
          <w:color w:val="auto"/>
        </w:rPr>
      </w:pPr>
      <w:r>
        <w:rPr>
          <w:rFonts w:ascii="Arial" w:cs="Arial" w:eastAsia="Arial" w:hAnsi="Arial"/>
          <w:sz w:val="21"/>
          <w:szCs w:val="21"/>
          <w:color w:val="auto"/>
        </w:rPr>
        <w:t>Reference is hereby made to the Credit Agreement, dated as of August 1, 2022 (as amended, restated, supplemented or otherwise modified from time to time, the “</w:t>
      </w:r>
      <w:r>
        <w:rPr>
          <w:rFonts w:ascii="Arial" w:cs="Arial" w:eastAsia="Arial" w:hAnsi="Arial"/>
          <w:sz w:val="21"/>
          <w:szCs w:val="21"/>
          <w:b w:val="1"/>
          <w:bCs w:val="1"/>
          <w:i w:val="1"/>
          <w:iCs w:val="1"/>
          <w:color w:val="auto"/>
        </w:rPr>
        <w:t>Credit Agreement</w:t>
      </w:r>
      <w:r>
        <w:rPr>
          <w:rFonts w:ascii="Arial" w:cs="Arial" w:eastAsia="Arial" w:hAnsi="Arial"/>
          <w:sz w:val="21"/>
          <w:szCs w:val="21"/>
          <w:color w:val="auto"/>
        </w:rPr>
        <w:t>”), among Mistras Group, Inc. (the “</w:t>
      </w:r>
      <w:r>
        <w:rPr>
          <w:rFonts w:ascii="Arial" w:cs="Arial" w:eastAsia="Arial" w:hAnsi="Arial"/>
          <w:sz w:val="21"/>
          <w:szCs w:val="21"/>
          <w:b w:val="1"/>
          <w:bCs w:val="1"/>
          <w:i w:val="1"/>
          <w:iCs w:val="1"/>
          <w:color w:val="auto"/>
        </w:rPr>
        <w:t>Borrower</w:t>
      </w:r>
      <w:r>
        <w:rPr>
          <w:rFonts w:ascii="Arial" w:cs="Arial" w:eastAsia="Arial" w:hAnsi="Arial"/>
          <w:sz w:val="21"/>
          <w:szCs w:val="21"/>
          <w:color w:val="auto"/>
        </w:rPr>
        <w:t>, the Lenders party thereto and JPMorgan Chase Bank, N.A., as administrative agent (in such capacity, the “</w:t>
      </w:r>
      <w:r>
        <w:rPr>
          <w:rFonts w:ascii="Arial" w:cs="Arial" w:eastAsia="Arial" w:hAnsi="Arial"/>
          <w:sz w:val="21"/>
          <w:szCs w:val="21"/>
          <w:b w:val="1"/>
          <w:bCs w:val="1"/>
          <w:i w:val="1"/>
          <w:iCs w:val="1"/>
          <w:color w:val="auto"/>
        </w:rPr>
        <w:t>Administrative Agent</w:t>
      </w:r>
      <w:r>
        <w:rPr>
          <w:rFonts w:ascii="Arial" w:cs="Arial" w:eastAsia="Arial" w:hAnsi="Arial"/>
          <w:sz w:val="21"/>
          <w:szCs w:val="21"/>
          <w:color w:val="auto"/>
        </w:rPr>
        <w:t>”).</w:t>
      </w:r>
    </w:p>
    <w:p>
      <w:pPr>
        <w:spacing w:after="0" w:line="199" w:lineRule="exact"/>
        <w:rPr>
          <w:sz w:val="20"/>
          <w:szCs w:val="20"/>
          <w:color w:val="auto"/>
        </w:rPr>
      </w:pPr>
    </w:p>
    <w:p>
      <w:pPr>
        <w:jc w:val="both"/>
        <w:ind w:left="580" w:firstLine="642"/>
        <w:spacing w:after="0" w:line="216" w:lineRule="auto"/>
        <w:rPr>
          <w:sz w:val="20"/>
          <w:szCs w:val="20"/>
          <w:color w:val="auto"/>
        </w:rPr>
      </w:pPr>
      <w:r>
        <w:rPr>
          <w:rFonts w:ascii="Arial" w:cs="Arial" w:eastAsia="Arial" w:hAnsi="Arial"/>
          <w:sz w:val="21"/>
          <w:szCs w:val="21"/>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 (A) of the Code,</w:t>
      </w:r>
    </w:p>
    <w:p>
      <w:pPr>
        <w:spacing w:after="0" w:line="1" w:lineRule="exact"/>
        <w:rPr>
          <w:sz w:val="20"/>
          <w:szCs w:val="20"/>
          <w:color w:val="auto"/>
        </w:rPr>
      </w:pPr>
    </w:p>
    <w:p>
      <w:pPr>
        <w:jc w:val="both"/>
        <w:ind w:left="580" w:right="20" w:hanging="5"/>
        <w:spacing w:after="0" w:line="226" w:lineRule="auto"/>
        <w:tabs>
          <w:tab w:leader="none" w:pos="1257" w:val="left"/>
        </w:tabs>
        <w:numPr>
          <w:ilvl w:val="0"/>
          <w:numId w:val="272"/>
        </w:numPr>
        <w:rPr>
          <w:rFonts w:ascii="Arial" w:cs="Arial" w:eastAsia="Arial" w:hAnsi="Arial"/>
          <w:sz w:val="21"/>
          <w:szCs w:val="21"/>
          <w:color w:val="auto"/>
        </w:rPr>
      </w:pPr>
      <w:r>
        <w:rPr>
          <w:rFonts w:ascii="Arial" w:cs="Arial" w:eastAsia="Arial" w:hAnsi="Arial"/>
          <w:sz w:val="21"/>
          <w:szCs w:val="21"/>
          <w:color w:val="auto"/>
        </w:rPr>
        <w:t>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5" w:lineRule="exact"/>
        <w:rPr>
          <w:sz w:val="20"/>
          <w:szCs w:val="20"/>
          <w:color w:val="auto"/>
        </w:rPr>
      </w:pPr>
    </w:p>
    <w:p>
      <w:pPr>
        <w:jc w:val="both"/>
        <w:ind w:left="580" w:firstLine="642"/>
        <w:spacing w:after="0" w:line="219" w:lineRule="auto"/>
        <w:rPr>
          <w:sz w:val="20"/>
          <w:szCs w:val="20"/>
          <w:color w:val="auto"/>
        </w:rPr>
      </w:pPr>
      <w:r>
        <w:rPr>
          <w:rFonts w:ascii="Arial" w:cs="Arial" w:eastAsia="Arial" w:hAnsi="Arial"/>
          <w:sz w:val="21"/>
          <w:szCs w:val="21"/>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2" w:lineRule="exact"/>
        <w:rPr>
          <w:sz w:val="20"/>
          <w:szCs w:val="20"/>
          <w:color w:val="auto"/>
        </w:rPr>
      </w:pPr>
    </w:p>
    <w:p>
      <w:pPr>
        <w:jc w:val="both"/>
        <w:ind w:left="580" w:right="20" w:firstLine="642"/>
        <w:spacing w:after="0" w:line="244" w:lineRule="auto"/>
        <w:rPr>
          <w:sz w:val="20"/>
          <w:szCs w:val="20"/>
          <w:color w:val="auto"/>
        </w:rPr>
      </w:pPr>
      <w:r>
        <w:rPr>
          <w:rFonts w:ascii="Arial" w:cs="Arial" w:eastAsia="Arial" w:hAnsi="Arial"/>
          <w:sz w:val="21"/>
          <w:szCs w:val="21"/>
          <w:color w:val="auto"/>
        </w:rPr>
        <w:t>Unless otherwise defined herein, terms defined in the Credit Agreement and used herein shall have the meanings given to them in the Credit Agreement.</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NAME OF PARTICIPANT</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10795</wp:posOffset>
            </wp:positionV>
            <wp:extent cx="1193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382"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-5715</wp:posOffset>
            </wp:positionV>
            <wp:extent cx="2724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272415" cy="8255"/>
                    </a:xfrm>
                    <a:prstGeom prst="rect">
                      <a:avLst/>
                    </a:prstGeom>
                    <a:noFill/>
                  </pic:spPr>
                </pic:pic>
              </a:graphicData>
            </a:graphic>
          </wp:anchor>
        </w:drawing>
      </w:r>
    </w:p>
    <w:p>
      <w:pPr>
        <w:ind w:left="900"/>
        <w:spacing w:after="0"/>
        <w:rPr>
          <w:sz w:val="20"/>
          <w:szCs w:val="20"/>
          <w:color w:val="auto"/>
        </w:rPr>
      </w:pPr>
      <w:r>
        <w:rPr>
          <w:rFonts w:ascii="Arial" w:cs="Arial" w:eastAsia="Arial" w:hAnsi="Arial"/>
          <w:sz w:val="21"/>
          <w:szCs w:val="21"/>
          <w:color w:val="auto"/>
        </w:rPr>
        <w:t>Title:</w:t>
      </w:r>
    </w:p>
    <w:p>
      <w:pPr>
        <w:spacing w:after="0" w:line="195"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21"/>
          <w:szCs w:val="21"/>
          <w:color w:val="auto"/>
        </w:rPr>
        <w:t>Date:</w:t>
        <w:tab/>
        <w:t>, 20</w:t>
      </w:r>
      <w:r>
        <w:rPr>
          <w:rFonts w:ascii="Arial" w:cs="Arial" w:eastAsia="Arial" w:hAnsi="Arial"/>
          <w:sz w:val="25"/>
          <w:szCs w:val="25"/>
          <w:b w:val="1"/>
          <w:bCs w:val="1"/>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-13970</wp:posOffset>
            </wp:positionV>
            <wp:extent cx="1701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2540</wp:posOffset>
            </wp:positionV>
            <wp:extent cx="1022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10223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0600"/>
          </w:cols>
          <w:pgMar w:left="360" w:top="1440" w:right="939" w:bottom="1440" w:gutter="0" w:footer="0" w:header="0"/>
        </w:sectPr>
      </w:pPr>
    </w:p>
    <w:bookmarkStart w:id="301" w:name="page302"/>
    <w:bookmarkEnd w:id="301"/>
    <w:p>
      <w:pPr>
        <w:ind w:left="4960"/>
        <w:spacing w:after="0"/>
        <w:rPr>
          <w:sz w:val="20"/>
          <w:szCs w:val="20"/>
          <w:color w:val="auto"/>
        </w:rPr>
      </w:pPr>
      <w:r>
        <w:rPr>
          <w:rFonts w:ascii="Arial" w:cs="Arial" w:eastAsia="Arial" w:hAnsi="Arial"/>
          <w:sz w:val="21"/>
          <w:szCs w:val="21"/>
          <w:color w:val="auto"/>
        </w:rPr>
        <w:t>EXHIBIT G-4</w:t>
      </w:r>
    </w:p>
    <w:p>
      <w:pPr>
        <w:spacing w:after="0" w:line="199" w:lineRule="exact"/>
        <w:rPr>
          <w:sz w:val="20"/>
          <w:szCs w:val="20"/>
          <w:color w:val="auto"/>
        </w:rPr>
      </w:pPr>
    </w:p>
    <w:p>
      <w:pPr>
        <w:ind w:left="504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FORM OF</w:t>
      </w:r>
      <w:r>
        <w:rPr>
          <w:rFonts w:ascii="Arial" w:cs="Arial" w:eastAsia="Arial" w:hAnsi="Arial"/>
          <w:sz w:val="25"/>
          <w:szCs w:val="25"/>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2540</wp:posOffset>
            </wp:positionV>
            <wp:extent cx="1193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235" w:lineRule="exact"/>
        <w:rPr>
          <w:sz w:val="20"/>
          <w:szCs w:val="20"/>
          <w:color w:val="auto"/>
        </w:rPr>
      </w:pPr>
    </w:p>
    <w:p>
      <w:pPr>
        <w:jc w:val="center"/>
        <w:ind w:right="1140"/>
        <w:spacing w:after="0"/>
        <w:rPr>
          <w:sz w:val="20"/>
          <w:szCs w:val="20"/>
          <w:color w:val="auto"/>
        </w:rPr>
      </w:pPr>
      <w:r>
        <w:rPr>
          <w:rFonts w:ascii="Arial" w:cs="Arial" w:eastAsia="Arial" w:hAnsi="Arial"/>
          <w:sz w:val="21"/>
          <w:szCs w:val="21"/>
          <w:color w:val="auto"/>
        </w:rPr>
        <w:t>U.S. TAX COMPLIANCE CERTIFICATE</w:t>
      </w:r>
    </w:p>
    <w:p>
      <w:pPr>
        <w:jc w:val="center"/>
        <w:ind w:right="1100"/>
        <w:spacing w:after="0"/>
        <w:rPr>
          <w:sz w:val="20"/>
          <w:szCs w:val="20"/>
          <w:color w:val="auto"/>
        </w:rPr>
      </w:pPr>
      <w:r>
        <w:rPr>
          <w:rFonts w:ascii="Arial" w:cs="Arial" w:eastAsia="Arial" w:hAnsi="Arial"/>
          <w:sz w:val="21"/>
          <w:szCs w:val="21"/>
          <w:color w:val="auto"/>
        </w:rPr>
        <w:t>(For Foreign Lenders That Are Partnerships For U.S. Federal Income Tax Purposes)</w:t>
      </w:r>
    </w:p>
    <w:p>
      <w:pPr>
        <w:spacing w:after="0" w:line="196" w:lineRule="exact"/>
        <w:rPr>
          <w:sz w:val="20"/>
          <w:szCs w:val="20"/>
          <w:color w:val="auto"/>
        </w:rPr>
      </w:pPr>
    </w:p>
    <w:p>
      <w:pPr>
        <w:jc w:val="both"/>
        <w:ind w:left="580" w:firstLine="642"/>
        <w:spacing w:after="0" w:line="227" w:lineRule="auto"/>
        <w:rPr>
          <w:sz w:val="20"/>
          <w:szCs w:val="20"/>
          <w:color w:val="auto"/>
        </w:rPr>
      </w:pPr>
      <w:r>
        <w:rPr>
          <w:rFonts w:ascii="Arial" w:cs="Arial" w:eastAsia="Arial" w:hAnsi="Arial"/>
          <w:sz w:val="21"/>
          <w:szCs w:val="21"/>
          <w:color w:val="auto"/>
        </w:rPr>
        <w:t>Reference is hereby made to the Credit Agreement, dated as of August 1, 2022 (as amended, restated, supplemented or otherwise modified from time to time, the “</w:t>
      </w:r>
      <w:r>
        <w:rPr>
          <w:rFonts w:ascii="Arial" w:cs="Arial" w:eastAsia="Arial" w:hAnsi="Arial"/>
          <w:sz w:val="21"/>
          <w:szCs w:val="21"/>
          <w:b w:val="1"/>
          <w:bCs w:val="1"/>
          <w:i w:val="1"/>
          <w:iCs w:val="1"/>
          <w:color w:val="auto"/>
        </w:rPr>
        <w:t>Credit Agreement</w:t>
      </w:r>
      <w:r>
        <w:rPr>
          <w:rFonts w:ascii="Arial" w:cs="Arial" w:eastAsia="Arial" w:hAnsi="Arial"/>
          <w:sz w:val="21"/>
          <w:szCs w:val="21"/>
          <w:color w:val="auto"/>
        </w:rPr>
        <w:t>”), among Mistras Group, Inc. (the “</w:t>
      </w:r>
      <w:r>
        <w:rPr>
          <w:rFonts w:ascii="Arial" w:cs="Arial" w:eastAsia="Arial" w:hAnsi="Arial"/>
          <w:sz w:val="21"/>
          <w:szCs w:val="21"/>
          <w:b w:val="1"/>
          <w:bCs w:val="1"/>
          <w:i w:val="1"/>
          <w:iCs w:val="1"/>
          <w:color w:val="auto"/>
        </w:rPr>
        <w:t>Borrower</w:t>
      </w:r>
      <w:r>
        <w:rPr>
          <w:rFonts w:ascii="Arial" w:cs="Arial" w:eastAsia="Arial" w:hAnsi="Arial"/>
          <w:sz w:val="21"/>
          <w:szCs w:val="21"/>
          <w:color w:val="auto"/>
        </w:rPr>
        <w:t>, the Lenders party thereto and JPMorgan Chase Bank, N.A., as administrative agent (in such capacity, the “</w:t>
      </w:r>
      <w:r>
        <w:rPr>
          <w:rFonts w:ascii="Arial" w:cs="Arial" w:eastAsia="Arial" w:hAnsi="Arial"/>
          <w:sz w:val="21"/>
          <w:szCs w:val="21"/>
          <w:b w:val="1"/>
          <w:bCs w:val="1"/>
          <w:i w:val="1"/>
          <w:iCs w:val="1"/>
          <w:color w:val="auto"/>
        </w:rPr>
        <w:t>Administrative Agent</w:t>
      </w:r>
      <w:r>
        <w:rPr>
          <w:rFonts w:ascii="Arial" w:cs="Arial" w:eastAsia="Arial" w:hAnsi="Arial"/>
          <w:sz w:val="21"/>
          <w:szCs w:val="21"/>
          <w:color w:val="auto"/>
        </w:rPr>
        <w:t>”).</w:t>
      </w:r>
    </w:p>
    <w:p>
      <w:pPr>
        <w:spacing w:after="0" w:line="199" w:lineRule="exact"/>
        <w:rPr>
          <w:sz w:val="20"/>
          <w:szCs w:val="20"/>
          <w:color w:val="auto"/>
        </w:rPr>
      </w:pPr>
    </w:p>
    <w:p>
      <w:pPr>
        <w:jc w:val="both"/>
        <w:ind w:left="580" w:firstLine="642"/>
        <w:spacing w:after="0" w:line="226" w:lineRule="auto"/>
        <w:rPr>
          <w:sz w:val="20"/>
          <w:szCs w:val="20"/>
          <w:color w:val="auto"/>
        </w:rPr>
      </w:pPr>
      <w:r>
        <w:rPr>
          <w:rFonts w:ascii="Arial" w:cs="Arial" w:eastAsia="Arial" w:hAnsi="Arial"/>
          <w:sz w:val="20"/>
          <w:szCs w:val="20"/>
          <w:color w:val="auto"/>
        </w:rPr>
        <w:t>Pursuant to the provisions of Section 2.17 of the Credit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w:t>
      </w:r>
    </w:p>
    <w:p>
      <w:pPr>
        <w:spacing w:after="0" w:line="3" w:lineRule="exact"/>
        <w:rPr>
          <w:sz w:val="20"/>
          <w:szCs w:val="20"/>
          <w:color w:val="auto"/>
        </w:rPr>
      </w:pPr>
    </w:p>
    <w:p>
      <w:pPr>
        <w:jc w:val="both"/>
        <w:ind w:left="580" w:right="20" w:hanging="5"/>
        <w:spacing w:after="0" w:line="226" w:lineRule="auto"/>
        <w:tabs>
          <w:tab w:leader="none" w:pos="951" w:val="left"/>
        </w:tabs>
        <w:numPr>
          <w:ilvl w:val="0"/>
          <w:numId w:val="273"/>
        </w:numPr>
        <w:rPr>
          <w:rFonts w:ascii="Arial" w:cs="Arial" w:eastAsia="Arial" w:hAnsi="Arial"/>
          <w:sz w:val="21"/>
          <w:szCs w:val="21"/>
          <w:color w:val="auto"/>
        </w:rPr>
      </w:pPr>
      <w:r>
        <w:rPr>
          <w:rFonts w:ascii="Arial" w:cs="Arial" w:eastAsia="Arial" w:hAnsi="Arial"/>
          <w:sz w:val="21"/>
          <w:szCs w:val="21"/>
          <w:color w:val="auto"/>
        </w:rPr>
        <w:t>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The undersigned has furnished the Administrative Agent and the Borrower with IRS</w:t>
      </w:r>
    </w:p>
    <w:p>
      <w:pPr>
        <w:ind w:left="580"/>
        <w:spacing w:after="0" w:line="213" w:lineRule="auto"/>
        <w:rPr>
          <w:sz w:val="20"/>
          <w:szCs w:val="20"/>
          <w:color w:val="auto"/>
        </w:rPr>
      </w:pPr>
      <w:r>
        <w:rPr>
          <w:rFonts w:ascii="Arial" w:cs="Arial" w:eastAsia="Arial" w:hAnsi="Arial"/>
          <w:sz w:val="21"/>
          <w:szCs w:val="21"/>
          <w:color w:val="auto"/>
        </w:rPr>
        <w:t>Form</w:t>
      </w:r>
    </w:p>
    <w:p>
      <w:pPr>
        <w:ind w:left="580"/>
        <w:spacing w:after="0" w:line="213" w:lineRule="auto"/>
        <w:rPr>
          <w:sz w:val="20"/>
          <w:szCs w:val="20"/>
          <w:color w:val="auto"/>
        </w:rPr>
      </w:pPr>
      <w:r>
        <w:rPr>
          <w:rFonts w:ascii="Arial" w:cs="Arial" w:eastAsia="Arial" w:hAnsi="Arial"/>
          <w:sz w:val="21"/>
          <w:szCs w:val="21"/>
          <w:color w:val="auto"/>
        </w:rPr>
        <w:t>W-8IMY accompanied by one of the following forms from each of its partners/members that is claiming</w:t>
      </w:r>
    </w:p>
    <w:p>
      <w:pPr>
        <w:ind w:left="580"/>
        <w:spacing w:after="0" w:line="213" w:lineRule="auto"/>
        <w:rPr>
          <w:sz w:val="20"/>
          <w:szCs w:val="20"/>
          <w:color w:val="auto"/>
        </w:rPr>
      </w:pPr>
      <w:r>
        <w:rPr>
          <w:rFonts w:ascii="Arial" w:cs="Arial" w:eastAsia="Arial" w:hAnsi="Arial"/>
          <w:sz w:val="21"/>
          <w:szCs w:val="21"/>
          <w:color w:val="auto"/>
        </w:rPr>
        <w:t>the portfolio interest exemption: (i) an IRS Form W-8BEN or Form W-8BEN-E or (ii) an IRS Form</w:t>
      </w:r>
    </w:p>
    <w:p>
      <w:pPr>
        <w:spacing w:after="0" w:line="1" w:lineRule="exact"/>
        <w:rPr>
          <w:sz w:val="20"/>
          <w:szCs w:val="20"/>
          <w:color w:val="auto"/>
        </w:rPr>
      </w:pPr>
    </w:p>
    <w:p>
      <w:pPr>
        <w:jc w:val="both"/>
        <w:ind w:left="580"/>
        <w:spacing w:after="0" w:line="218" w:lineRule="auto"/>
        <w:rPr>
          <w:sz w:val="20"/>
          <w:szCs w:val="20"/>
          <w:color w:val="auto"/>
        </w:rPr>
      </w:pPr>
      <w:r>
        <w:rPr>
          <w:rFonts w:ascii="Arial" w:cs="Arial" w:eastAsia="Arial" w:hAnsi="Arial"/>
          <w:sz w:val="21"/>
          <w:szCs w:val="21"/>
          <w:color w:val="auto"/>
        </w:rPr>
        <w:t>W-8IMY accompanied by an IRS Form W-8BEN or IRS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55" w:lineRule="exact"/>
        <w:rPr>
          <w:sz w:val="20"/>
          <w:szCs w:val="20"/>
          <w:color w:val="auto"/>
        </w:rPr>
      </w:pPr>
    </w:p>
    <w:p>
      <w:pPr>
        <w:jc w:val="both"/>
        <w:ind w:left="580" w:right="20" w:firstLine="642"/>
        <w:spacing w:after="0" w:line="244" w:lineRule="auto"/>
        <w:rPr>
          <w:sz w:val="20"/>
          <w:szCs w:val="20"/>
          <w:color w:val="auto"/>
        </w:rPr>
      </w:pPr>
      <w:r>
        <w:rPr>
          <w:rFonts w:ascii="Arial" w:cs="Arial" w:eastAsia="Arial" w:hAnsi="Arial"/>
          <w:sz w:val="21"/>
          <w:szCs w:val="21"/>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6" w:lineRule="exact"/>
        <w:rPr>
          <w:sz w:val="20"/>
          <w:szCs w:val="20"/>
          <w:color w:val="auto"/>
        </w:rPr>
      </w:pPr>
    </w:p>
    <w:p>
      <w:pPr>
        <w:ind w:left="680"/>
        <w:spacing w:after="0"/>
        <w:rPr>
          <w:sz w:val="20"/>
          <w:szCs w:val="20"/>
          <w:color w:val="auto"/>
        </w:rPr>
      </w:pPr>
      <w:r>
        <w:rPr>
          <w:rFonts w:ascii="Arial" w:cs="Arial" w:eastAsia="Arial" w:hAnsi="Arial"/>
          <w:sz w:val="25"/>
          <w:szCs w:val="25"/>
          <w:b w:val="1"/>
          <w:bCs w:val="1"/>
          <w:u w:val="single" w:color="auto"/>
          <w:color w:val="auto"/>
        </w:rPr>
        <w:t>[</w:t>
      </w:r>
      <w:r>
        <w:rPr>
          <w:rFonts w:ascii="Arial" w:cs="Arial" w:eastAsia="Arial" w:hAnsi="Arial"/>
          <w:sz w:val="21"/>
          <w:szCs w:val="21"/>
          <w:color w:val="auto"/>
        </w:rPr>
        <w:t>NAME OF LENDER</w:t>
      </w:r>
      <w:r>
        <w:rPr>
          <w:rFonts w:ascii="Arial" w:cs="Arial" w:eastAsia="Arial" w:hAnsi="Arial"/>
          <w:sz w:val="25"/>
          <w:szCs w:val="25"/>
          <w:b w:val="1"/>
          <w:bCs w:val="1"/>
          <w:u w:val="single" w:color="auto"/>
          <w:color w:val="auto"/>
        </w:rPr>
        <w:t>]</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21"/>
          <w:szCs w:val="21"/>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0600"/>
          </w:cols>
          <w:pgMar w:left="360" w:top="1392" w:right="939" w:bottom="1440" w:gutter="0" w:footer="0" w:header="0"/>
        </w:sectPr>
      </w:pPr>
    </w:p>
    <w:bookmarkStart w:id="302" w:name="page303"/>
    <w:bookmarkEnd w:id="302"/>
    <w:p>
      <w:pPr>
        <w:ind w:left="1100"/>
        <w:spacing w:after="0"/>
        <w:rPr>
          <w:sz w:val="20"/>
          <w:szCs w:val="20"/>
          <w:color w:val="auto"/>
        </w:rPr>
      </w:pPr>
      <w:r>
        <w:rPr>
          <w:rFonts w:ascii="Arial" w:cs="Arial" w:eastAsia="Arial" w:hAnsi="Arial"/>
          <w:sz w:val="21"/>
          <w:szCs w:val="21"/>
          <w:color w:val="auto"/>
        </w:rPr>
        <w:t>Name:</w:t>
      </w:r>
    </w:p>
    <w:p>
      <w:pPr>
        <w:ind w:left="1100"/>
        <w:spacing w:after="0" w:line="208" w:lineRule="auto"/>
        <w:rPr>
          <w:sz w:val="20"/>
          <w:szCs w:val="20"/>
          <w:color w:val="auto"/>
        </w:rPr>
      </w:pPr>
      <w:r>
        <w:rPr>
          <w:rFonts w:ascii="Arial" w:cs="Arial" w:eastAsia="Arial" w:hAnsi="Arial"/>
          <w:sz w:val="21"/>
          <w:szCs w:val="21"/>
          <w:color w:val="auto"/>
        </w:rPr>
        <w:t>Title:</w:t>
      </w:r>
    </w:p>
    <w:p>
      <w:pPr>
        <w:jc w:val="both"/>
        <w:ind w:left="580"/>
        <w:spacing w:after="0"/>
        <w:tabs>
          <w:tab w:leader="none" w:pos="1280" w:val="left"/>
        </w:tabs>
        <w:rPr>
          <w:sz w:val="20"/>
          <w:szCs w:val="20"/>
          <w:color w:val="auto"/>
        </w:rPr>
      </w:pPr>
      <w:r>
        <w:rPr>
          <w:rFonts w:ascii="Arial" w:cs="Arial" w:eastAsia="Arial" w:hAnsi="Arial"/>
          <w:sz w:val="21"/>
          <w:szCs w:val="21"/>
          <w:color w:val="auto"/>
        </w:rPr>
        <w:t>Date:</w:t>
        <w:tab/>
        <w:t>, 20</w:t>
      </w:r>
      <w:r>
        <w:rPr>
          <w:rFonts w:ascii="Arial" w:cs="Arial" w:eastAsia="Arial" w:hAnsi="Arial"/>
          <w:sz w:val="25"/>
          <w:szCs w:val="25"/>
          <w:b w:val="1"/>
          <w:bCs w:val="1"/>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-31750</wp:posOffset>
            </wp:positionV>
            <wp:extent cx="1701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170180" cy="825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-15240</wp:posOffset>
            </wp:positionV>
            <wp:extent cx="1022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102235"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099"/>
          </w:cols>
          <w:pgMar w:left="360" w:top="1383" w:right="1440" w:bottom="1440" w:gutter="0" w:footer="0" w:header="0"/>
        </w:sectPr>
      </w:pPr>
    </w:p>
    <w:bookmarkStart w:id="303" w:name="page304"/>
    <w:bookmarkEnd w:id="303"/>
    <w:p>
      <w:pPr>
        <w:ind w:left="3140"/>
        <w:spacing w:after="0"/>
        <w:rPr>
          <w:sz w:val="20"/>
          <w:szCs w:val="20"/>
          <w:color w:val="auto"/>
        </w:rPr>
      </w:pPr>
      <w:r>
        <w:rPr>
          <w:rFonts w:ascii="Arial" w:cs="Arial" w:eastAsia="Arial" w:hAnsi="Arial"/>
          <w:sz w:val="21"/>
          <w:szCs w:val="21"/>
          <w:color w:val="auto"/>
        </w:rPr>
        <w:t>EXHIBIT H</w:t>
      </w:r>
    </w:p>
    <w:p>
      <w:pPr>
        <w:spacing w:after="0" w:line="333" w:lineRule="exact"/>
        <w:rPr>
          <w:sz w:val="20"/>
          <w:szCs w:val="20"/>
          <w:color w:val="auto"/>
        </w:rPr>
      </w:pPr>
    </w:p>
    <w:p>
      <w:pPr>
        <w:ind w:left="1300" w:right="1939" w:firstLine="1818"/>
        <w:spacing w:after="0" w:line="415" w:lineRule="auto"/>
        <w:rPr>
          <w:sz w:val="20"/>
          <w:szCs w:val="20"/>
          <w:color w:val="auto"/>
        </w:rPr>
      </w:pPr>
      <w:r>
        <w:rPr>
          <w:rFonts w:ascii="Arial" w:cs="Arial" w:eastAsia="Arial" w:hAnsi="Arial"/>
          <w:sz w:val="24"/>
          <w:szCs w:val="24"/>
          <w:b w:val="1"/>
          <w:bCs w:val="1"/>
          <w:u w:val="single" w:color="auto"/>
          <w:color w:val="auto"/>
        </w:rPr>
        <w:t>[</w:t>
      </w:r>
      <w:r>
        <w:rPr>
          <w:rFonts w:ascii="Arial" w:cs="Arial" w:eastAsia="Arial" w:hAnsi="Arial"/>
          <w:sz w:val="20"/>
          <w:szCs w:val="20"/>
          <w:color w:val="auto"/>
        </w:rPr>
        <w:t>FORM OF</w:t>
      </w:r>
      <w:r>
        <w:rPr>
          <w:rFonts w:ascii="Arial" w:cs="Arial" w:eastAsia="Arial" w:hAnsi="Arial"/>
          <w:sz w:val="24"/>
          <w:szCs w:val="24"/>
          <w:b w:val="1"/>
          <w:bCs w:val="1"/>
          <w:u w:val="single" w:color="auto"/>
          <w:color w:val="auto"/>
        </w:rPr>
        <w:t>]</w:t>
      </w:r>
      <w:r>
        <w:rPr>
          <w:rFonts w:ascii="Arial" w:cs="Arial" w:eastAsia="Arial" w:hAnsi="Arial"/>
          <w:sz w:val="24"/>
          <w:szCs w:val="24"/>
          <w:b w:val="1"/>
          <w:bCs w:val="1"/>
          <w:color w:val="auto"/>
        </w:rPr>
        <w:t xml:space="preserve"> </w:t>
      </w:r>
      <w:r>
        <w:rPr>
          <w:rFonts w:ascii="Arial" w:cs="Arial" w:eastAsia="Arial" w:hAnsi="Arial"/>
          <w:sz w:val="20"/>
          <w:szCs w:val="20"/>
          <w:color w:val="auto"/>
        </w:rPr>
        <w:t>COMPLIANCE CERTIFICATE</w:t>
      </w:r>
      <w:r>
        <w:rPr>
          <w:rFonts w:ascii="Arial" w:cs="Arial" w:eastAsia="Arial" w:hAnsi="Arial"/>
          <w:sz w:val="24"/>
          <w:szCs w:val="24"/>
          <w:b w:val="1"/>
          <w:bCs w:val="1"/>
          <w:color w:val="auto"/>
        </w:rPr>
        <w:t xml:space="preserve"> </w:t>
      </w:r>
      <w:r>
        <w:rPr>
          <w:rFonts w:ascii="Arial" w:cs="Arial" w:eastAsia="Arial" w:hAnsi="Arial"/>
          <w:sz w:val="24"/>
          <w:szCs w:val="24"/>
          <w:b w:val="1"/>
          <w:bCs w:val="1"/>
          <w:u w:val="single" w:color="auto"/>
          <w:color w:val="auto"/>
        </w:rPr>
        <w:t>[</w:t>
      </w:r>
      <w:r>
        <w:rPr>
          <w:rFonts w:ascii="Arial" w:cs="Arial" w:eastAsia="Arial" w:hAnsi="Arial"/>
          <w:sz w:val="20"/>
          <w:szCs w:val="20"/>
          <w:color w:val="auto"/>
        </w:rPr>
        <w:t>ON FILE WITH THE ADMINISTRATIVE AGENT</w:t>
      </w:r>
      <w:r>
        <w:rPr>
          <w:rFonts w:ascii="Arial" w:cs="Arial" w:eastAsia="Arial" w:hAnsi="Arial"/>
          <w:sz w:val="24"/>
          <w:szCs w:val="24"/>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-139700</wp:posOffset>
            </wp:positionV>
            <wp:extent cx="1104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ectPr>
          <w:pgSz w:w="11900" w:h="16838" w:orient="portrait"/>
          <w:cols w:equalWidth="0" w:num="1">
            <w:col w:w="9019"/>
          </w:cols>
          <w:pgMar w:left="1440" w:top="1392" w:right="1440"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21.1</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subsidiaries of the registrant. The list omits some subsidiaries which, in the aggregate, would not constitute a significant subsidiary.</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2560" w:type="dxa"/>
            <w:vAlign w:val="bottom"/>
          </w:tcPr>
          <w:p>
            <w:pPr>
              <w:ind w:left="20"/>
              <w:spacing w:after="0"/>
              <w:rPr>
                <w:sz w:val="20"/>
                <w:szCs w:val="20"/>
                <w:color w:val="auto"/>
              </w:rPr>
            </w:pPr>
            <w:r>
              <w:rPr>
                <w:rFonts w:ascii="Arial" w:cs="Arial" w:eastAsia="Arial" w:hAnsi="Arial"/>
                <w:sz w:val="14"/>
                <w:szCs w:val="14"/>
                <w:b w:val="1"/>
                <w:bCs w:val="1"/>
                <w:color w:val="auto"/>
              </w:rPr>
              <w:t>Jurisdiction of Organization</w:t>
            </w:r>
          </w:p>
        </w:tc>
      </w:tr>
      <w:tr>
        <w:trPr>
          <w:trHeight w:val="38"/>
        </w:trPr>
        <w:tc>
          <w:tcPr>
            <w:tcW w:w="81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r>
      <w:tr>
        <w:trPr>
          <w:trHeight w:val="23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Aetos Group, Inc.</w:t>
            </w:r>
          </w:p>
        </w:tc>
        <w:tc>
          <w:tcPr>
            <w:tcW w:w="25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Assistances Controles Technologies</w:t>
            </w:r>
          </w:p>
        </w:tc>
        <w:tc>
          <w:tcPr>
            <w:tcW w:w="25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CISMIS Springfield Corp.</w:t>
            </w:r>
          </w:p>
        </w:tc>
        <w:tc>
          <w:tcPr>
            <w:tcW w:w="25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Conam Inspection and Engineering Services, Inc.</w:t>
            </w:r>
          </w:p>
        </w:tc>
        <w:tc>
          <w:tcPr>
            <w:tcW w:w="25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Controles Industriels de L'entang</w:t>
            </w:r>
          </w:p>
        </w:tc>
        <w:tc>
          <w:tcPr>
            <w:tcW w:w="25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GMA Aeronautica S.L.U.</w:t>
            </w:r>
          </w:p>
        </w:tc>
        <w:tc>
          <w:tcPr>
            <w:tcW w:w="25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GMA Holding B.V.</w:t>
            </w:r>
          </w:p>
        </w:tc>
        <w:tc>
          <w:tcPr>
            <w:tcW w:w="256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GMA Werkstoffprufung GmbH</w:t>
            </w:r>
          </w:p>
        </w:tc>
        <w:tc>
          <w:tcPr>
            <w:tcW w:w="25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Arizona Inspection Services LLC</w:t>
            </w:r>
          </w:p>
        </w:tc>
        <w:tc>
          <w:tcPr>
            <w:tcW w:w="25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Canada, Inc.</w:t>
            </w:r>
          </w:p>
        </w:tc>
        <w:tc>
          <w:tcPr>
            <w:tcW w:w="25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Engineering Services Inc.</w:t>
            </w:r>
          </w:p>
        </w:tc>
        <w:tc>
          <w:tcPr>
            <w:tcW w:w="256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Group B.V.</w:t>
            </w:r>
          </w:p>
        </w:tc>
        <w:tc>
          <w:tcPr>
            <w:tcW w:w="256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Group BVBA</w:t>
            </w:r>
          </w:p>
        </w:tc>
        <w:tc>
          <w:tcPr>
            <w:tcW w:w="256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Group Holding GmbH</w:t>
            </w:r>
          </w:p>
        </w:tc>
        <w:tc>
          <w:tcPr>
            <w:tcW w:w="25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Group Hellas A.B.E.E.</w:t>
            </w:r>
          </w:p>
        </w:tc>
        <w:tc>
          <w:tcPr>
            <w:tcW w:w="2560" w:type="dxa"/>
            <w:vAlign w:val="bottom"/>
          </w:tcPr>
          <w:p>
            <w:pPr>
              <w:ind w:left="20"/>
              <w:spacing w:after="0"/>
              <w:rPr>
                <w:sz w:val="20"/>
                <w:szCs w:val="20"/>
                <w:color w:val="auto"/>
              </w:rPr>
            </w:pPr>
            <w:r>
              <w:rPr>
                <w:rFonts w:ascii="Arial" w:cs="Arial" w:eastAsia="Arial" w:hAnsi="Arial"/>
                <w:sz w:val="18"/>
                <w:szCs w:val="18"/>
                <w:color w:val="auto"/>
              </w:rPr>
              <w:t>Greece</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Group Limited</w:t>
            </w:r>
          </w:p>
        </w:tc>
        <w:tc>
          <w:tcPr>
            <w:tcW w:w="2560" w:type="dxa"/>
            <w:vAlign w:val="bottom"/>
          </w:tcPr>
          <w:p>
            <w:pPr>
              <w:ind w:left="20"/>
              <w:spacing w:after="0"/>
              <w:rPr>
                <w:sz w:val="20"/>
                <w:szCs w:val="20"/>
                <w:color w:val="auto"/>
              </w:rPr>
            </w:pPr>
            <w:r>
              <w:rPr>
                <w:rFonts w:ascii="Arial" w:cs="Arial" w:eastAsia="Arial" w:hAnsi="Arial"/>
                <w:sz w:val="18"/>
                <w:szCs w:val="18"/>
                <w:color w:val="auto"/>
              </w:rPr>
              <w:t>England and Wales</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Group SAS</w:t>
            </w:r>
          </w:p>
        </w:tc>
        <w:tc>
          <w:tcPr>
            <w:tcW w:w="25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International Holdings Inc.</w:t>
            </w:r>
          </w:p>
        </w:tc>
        <w:tc>
          <w:tcPr>
            <w:tcW w:w="25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KAA Partners Inc.</w:t>
            </w:r>
          </w:p>
        </w:tc>
        <w:tc>
          <w:tcPr>
            <w:tcW w:w="25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Mexico Holdings Inc.</w:t>
            </w:r>
          </w:p>
        </w:tc>
        <w:tc>
          <w:tcPr>
            <w:tcW w:w="25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Onstream S. de R.L. de C.V.</w:t>
            </w:r>
          </w:p>
        </w:tc>
        <w:tc>
          <w:tcPr>
            <w:tcW w:w="256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Quebec Holdings Inc.</w:t>
            </w:r>
          </w:p>
        </w:tc>
        <w:tc>
          <w:tcPr>
            <w:tcW w:w="25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Ropeworks Training LLC</w:t>
            </w:r>
          </w:p>
        </w:tc>
        <w:tc>
          <w:tcPr>
            <w:tcW w:w="25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Services Inc.</w:t>
            </w:r>
          </w:p>
        </w:tc>
        <w:tc>
          <w:tcPr>
            <w:tcW w:w="25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South America Ltda.</w:t>
            </w:r>
          </w:p>
        </w:tc>
        <w:tc>
          <w:tcPr>
            <w:tcW w:w="25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Mistras Western Canada Holdings Inc.</w:t>
            </w:r>
          </w:p>
        </w:tc>
        <w:tc>
          <w:tcPr>
            <w:tcW w:w="25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MWC Management Inc.</w:t>
            </w:r>
          </w:p>
        </w:tc>
        <w:tc>
          <w:tcPr>
            <w:tcW w:w="25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NDT do Brasil Ltd.</w:t>
            </w:r>
          </w:p>
        </w:tc>
        <w:tc>
          <w:tcPr>
            <w:tcW w:w="25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Onstream Pipeline Inspection Services Inc.</w:t>
            </w:r>
          </w:p>
        </w:tc>
        <w:tc>
          <w:tcPr>
            <w:tcW w:w="25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Physical Acoustics India Private Ltd.</w:t>
            </w:r>
          </w:p>
        </w:tc>
        <w:tc>
          <w:tcPr>
            <w:tcW w:w="25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Quality Services Laboratories, Inc. (1)</w:t>
            </w:r>
          </w:p>
        </w:tc>
        <w:tc>
          <w:tcPr>
            <w:tcW w:w="25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QSL NDT Inc.</w:t>
            </w:r>
          </w:p>
        </w:tc>
        <w:tc>
          <w:tcPr>
            <w:tcW w:w="25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QSL Quebec Inc.</w:t>
            </w:r>
          </w:p>
        </w:tc>
        <w:tc>
          <w:tcPr>
            <w:tcW w:w="25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R.A.C. Group Inc.</w:t>
            </w:r>
          </w:p>
        </w:tc>
        <w:tc>
          <w:tcPr>
            <w:tcW w:w="25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Rope Access Calgary Inc.</w:t>
            </w:r>
          </w:p>
        </w:tc>
        <w:tc>
          <w:tcPr>
            <w:tcW w:w="25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68"/>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West Penn Non-Destructive Testing, LLC</w:t>
            </w:r>
          </w:p>
        </w:tc>
        <w:tc>
          <w:tcPr>
            <w:tcW w:w="2560" w:type="dxa"/>
            <w:vAlign w:val="bottom"/>
          </w:tcPr>
          <w:p>
            <w:pPr>
              <w:ind w:left="20"/>
              <w:spacing w:after="0"/>
              <w:rPr>
                <w:sz w:val="20"/>
                <w:szCs w:val="20"/>
                <w:color w:val="auto"/>
              </w:rPr>
            </w:pPr>
            <w:r>
              <w:rPr>
                <w:rFonts w:ascii="Arial" w:cs="Arial" w:eastAsia="Arial" w:hAnsi="Arial"/>
                <w:sz w:val="18"/>
                <w:szCs w:val="18"/>
                <w:color w:val="auto"/>
              </w:rPr>
              <w:t>Pennsylvania</w:t>
            </w:r>
          </w:p>
        </w:tc>
      </w:tr>
      <w:tr>
        <w:trPr>
          <w:trHeight w:val="603"/>
        </w:trPr>
        <w:tc>
          <w:tcPr>
            <w:tcW w:w="8460" w:type="dxa"/>
            <w:vAlign w:val="bottom"/>
            <w:gridSpan w:val="2"/>
          </w:tcPr>
          <w:p>
            <w:pPr>
              <w:spacing w:after="0"/>
              <w:rPr>
                <w:sz w:val="20"/>
                <w:szCs w:val="20"/>
                <w:color w:val="auto"/>
              </w:rPr>
            </w:pPr>
            <w:r>
              <w:rPr>
                <w:rFonts w:ascii="Arial" w:cs="Arial" w:eastAsia="Arial" w:hAnsi="Arial"/>
                <w:sz w:val="18"/>
                <w:szCs w:val="18"/>
                <w:color w:val="auto"/>
              </w:rPr>
              <w:t>(1) Also does business under the names QSL and QSL Plus.</w:t>
            </w:r>
          </w:p>
        </w:tc>
        <w:tc>
          <w:tcPr>
            <w:tcW w:w="2560" w:type="dxa"/>
            <w:vAlign w:val="bottom"/>
          </w:tcPr>
          <w:p>
            <w:pPr>
              <w:spacing w:after="0"/>
              <w:rPr>
                <w:sz w:val="24"/>
                <w:szCs w:val="24"/>
                <w:color w:val="auto"/>
              </w:rPr>
            </w:pPr>
          </w:p>
        </w:tc>
      </w:tr>
    </w:tbl>
    <w:p>
      <w:pPr>
        <w:sectPr>
          <w:pgSz w:w="11900" w:h="16838" w:orient="portrait"/>
          <w:cols w:equalWidth="0" w:num="1">
            <w:col w:w="11240"/>
          </w:cols>
          <w:pgMar w:left="320" w:top="1422" w:right="3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3" w:lineRule="exact"/>
        <w:rPr>
          <w:sz w:val="20"/>
          <w:szCs w:val="20"/>
          <w:color w:val="auto"/>
        </w:rPr>
      </w:pPr>
    </w:p>
    <w:p>
      <w:pPr>
        <w:ind w:right="260"/>
        <w:spacing w:after="0" w:line="336" w:lineRule="auto"/>
        <w:rPr>
          <w:sz w:val="20"/>
          <w:szCs w:val="20"/>
          <w:color w:val="auto"/>
        </w:rPr>
      </w:pPr>
      <w:r>
        <w:rPr>
          <w:rFonts w:ascii="Arial" w:cs="Arial" w:eastAsia="Arial" w:hAnsi="Arial"/>
          <w:sz w:val="16"/>
          <w:szCs w:val="16"/>
          <w:color w:val="auto"/>
        </w:rPr>
        <w:t>We consent to the incorporation by reference in the registration statements (No. 333-164688 and 333-217047) on Form S-8 of our report dated March 15, 2023, with respect to the consolidated financial statements of Mistras Group, Inc. and the effectiveness of internal control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ectPr>
          <w:pgSz w:w="11900" w:h="16838" w:orient="portrait"/>
          <w:cols w:equalWidth="0" w:num="1">
            <w:col w:w="11240"/>
          </w:cols>
          <w:pgMar w:left="320" w:top="121" w:right="3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2"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Dennis Bertolotti, certify that:</w:t>
      </w:r>
    </w:p>
    <w:p>
      <w:pPr>
        <w:spacing w:after="0" w:line="222" w:lineRule="exact"/>
        <w:rPr>
          <w:sz w:val="20"/>
          <w:szCs w:val="20"/>
          <w:color w:val="auto"/>
        </w:rPr>
      </w:pPr>
    </w:p>
    <w:p>
      <w:pPr>
        <w:ind w:left="360" w:hanging="353"/>
        <w:spacing w:after="0"/>
        <w:tabs>
          <w:tab w:leader="none" w:pos="3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1" w:lineRule="exact"/>
        <w:rPr>
          <w:rFonts w:ascii="Arial" w:cs="Arial" w:eastAsia="Arial" w:hAnsi="Arial"/>
          <w:sz w:val="18"/>
          <w:szCs w:val="18"/>
          <w:color w:val="auto"/>
        </w:rPr>
      </w:pPr>
    </w:p>
    <w:p>
      <w:pPr>
        <w:ind w:right="340" w:firstLine="7"/>
        <w:spacing w:after="0" w:line="336" w:lineRule="auto"/>
        <w:tabs>
          <w:tab w:leader="none" w:pos="353" w:val="left"/>
        </w:tabs>
        <w:numPr>
          <w:ilvl w:val="0"/>
          <w:numId w:val="2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right="460" w:firstLine="7"/>
        <w:spacing w:after="0" w:line="302" w:lineRule="auto"/>
        <w:tabs>
          <w:tab w:leader="none" w:pos="353" w:val="left"/>
        </w:tabs>
        <w:numPr>
          <w:ilvl w:val="0"/>
          <w:numId w:val="2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right="160" w:firstLine="7"/>
        <w:spacing w:after="0" w:line="260" w:lineRule="auto"/>
        <w:tabs>
          <w:tab w:leader="none" w:pos="35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8"/>
          <w:szCs w:val="18"/>
          <w:color w:val="auto"/>
        </w:rPr>
      </w:pPr>
    </w:p>
    <w:p>
      <w:pPr>
        <w:ind w:left="660" w:right="480" w:hanging="331"/>
        <w:spacing w:after="0" w:line="260" w:lineRule="auto"/>
        <w:tabs>
          <w:tab w:leader="none" w:pos="68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660" w:right="140" w:hanging="331"/>
        <w:spacing w:after="0" w:line="260" w:lineRule="auto"/>
        <w:tabs>
          <w:tab w:leader="none" w:pos="69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jc w:val="both"/>
        <w:ind w:left="660" w:right="940" w:hanging="331"/>
        <w:spacing w:after="0" w:line="374" w:lineRule="auto"/>
        <w:tabs>
          <w:tab w:leader="none" w:pos="694" w:val="left"/>
        </w:tabs>
        <w:numPr>
          <w:ilvl w:val="1"/>
          <w:numId w:val="27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5"/>
          <w:szCs w:val="15"/>
          <w:color w:val="auto"/>
        </w:rPr>
      </w:pPr>
    </w:p>
    <w:p>
      <w:pPr>
        <w:ind w:left="660" w:right="20" w:hanging="331"/>
        <w:spacing w:after="0" w:line="260" w:lineRule="auto"/>
        <w:tabs>
          <w:tab w:leader="none" w:pos="69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right="180" w:firstLine="7"/>
        <w:spacing w:after="0" w:line="302" w:lineRule="auto"/>
        <w:tabs>
          <w:tab w:leader="none" w:pos="353"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1" w:lineRule="exact"/>
        <w:rPr>
          <w:rFonts w:ascii="Arial" w:cs="Arial" w:eastAsia="Arial" w:hAnsi="Arial"/>
          <w:sz w:val="17"/>
          <w:szCs w:val="17"/>
          <w:color w:val="auto"/>
        </w:rPr>
      </w:pPr>
    </w:p>
    <w:p>
      <w:pPr>
        <w:ind w:left="660" w:right="380" w:hanging="331"/>
        <w:spacing w:after="0" w:line="302" w:lineRule="auto"/>
        <w:tabs>
          <w:tab w:leader="none" w:pos="681" w:val="left"/>
        </w:tabs>
        <w:numPr>
          <w:ilvl w:val="1"/>
          <w:numId w:val="2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7"/>
          <w:szCs w:val="17"/>
          <w:color w:val="auto"/>
        </w:rPr>
      </w:pPr>
    </w:p>
    <w:p>
      <w:pPr>
        <w:ind w:left="660" w:right="340" w:hanging="331"/>
        <w:spacing w:after="0" w:line="272" w:lineRule="auto"/>
        <w:tabs>
          <w:tab w:leader="none" w:pos="69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62" w:lineRule="exact"/>
        <w:rPr>
          <w:sz w:val="20"/>
          <w:szCs w:val="20"/>
          <w:color w:val="auto"/>
        </w:rPr>
      </w:pPr>
    </w:p>
    <w:tbl>
      <w:tblPr>
        <w:tblLayout w:type="fixed"/>
        <w:tblInd w:w="550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DENNIS BERTOLOTTI</w:t>
            </w:r>
          </w:p>
        </w:tc>
      </w:tr>
      <w:tr>
        <w:trPr>
          <w:trHeight w:val="221"/>
        </w:trPr>
        <w:tc>
          <w:tcPr>
            <w:tcW w:w="6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Dennis Bertolotti</w:t>
            </w:r>
          </w:p>
        </w:tc>
      </w:tr>
      <w:tr>
        <w:trPr>
          <w:trHeight w:val="175"/>
        </w:trPr>
        <w:tc>
          <w:tcPr>
            <w:tcW w:w="64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President, Chief Executive Officer and Director</w:t>
            </w:r>
          </w:p>
        </w:tc>
      </w:tr>
      <w:tr>
        <w:trPr>
          <w:trHeight w:val="227"/>
        </w:trPr>
        <w:tc>
          <w:tcPr>
            <w:tcW w:w="6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5" w:right="3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31.2</w:t>
      </w:r>
    </w:p>
    <w:p>
      <w:pPr>
        <w:spacing w:after="0" w:line="222"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Edward J. Prajzner, certify that:</w:t>
      </w:r>
    </w:p>
    <w:p>
      <w:pPr>
        <w:spacing w:after="0" w:line="222" w:lineRule="exact"/>
        <w:rPr>
          <w:sz w:val="20"/>
          <w:szCs w:val="20"/>
          <w:color w:val="auto"/>
        </w:rPr>
      </w:pPr>
    </w:p>
    <w:p>
      <w:pPr>
        <w:ind w:left="360" w:hanging="353"/>
        <w:spacing w:after="0"/>
        <w:tabs>
          <w:tab w:leader="none" w:pos="3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1" w:lineRule="exact"/>
        <w:rPr>
          <w:rFonts w:ascii="Arial" w:cs="Arial" w:eastAsia="Arial" w:hAnsi="Arial"/>
          <w:sz w:val="18"/>
          <w:szCs w:val="18"/>
          <w:color w:val="auto"/>
        </w:rPr>
      </w:pPr>
    </w:p>
    <w:p>
      <w:pPr>
        <w:ind w:right="340" w:firstLine="7"/>
        <w:spacing w:after="0" w:line="336" w:lineRule="auto"/>
        <w:tabs>
          <w:tab w:leader="none" w:pos="353" w:val="left"/>
        </w:tabs>
        <w:numPr>
          <w:ilvl w:val="0"/>
          <w:numId w:val="2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right="460" w:firstLine="7"/>
        <w:spacing w:after="0" w:line="302" w:lineRule="auto"/>
        <w:tabs>
          <w:tab w:leader="none" w:pos="353" w:val="left"/>
        </w:tabs>
        <w:numPr>
          <w:ilvl w:val="0"/>
          <w:numId w:val="2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ind w:right="160" w:firstLine="7"/>
        <w:spacing w:after="0" w:line="260" w:lineRule="auto"/>
        <w:tabs>
          <w:tab w:leader="none" w:pos="35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8"/>
          <w:szCs w:val="18"/>
          <w:color w:val="auto"/>
        </w:rPr>
      </w:pPr>
    </w:p>
    <w:p>
      <w:pPr>
        <w:ind w:left="660" w:right="480" w:hanging="331"/>
        <w:spacing w:after="0" w:line="260" w:lineRule="auto"/>
        <w:tabs>
          <w:tab w:leader="none" w:pos="68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660" w:right="140" w:hanging="331"/>
        <w:spacing w:after="0" w:line="260" w:lineRule="auto"/>
        <w:tabs>
          <w:tab w:leader="none" w:pos="69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jc w:val="both"/>
        <w:ind w:left="660" w:right="940" w:hanging="331"/>
        <w:spacing w:after="0" w:line="374" w:lineRule="auto"/>
        <w:tabs>
          <w:tab w:leader="none" w:pos="694" w:val="left"/>
        </w:tabs>
        <w:numPr>
          <w:ilvl w:val="1"/>
          <w:numId w:val="27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5"/>
          <w:szCs w:val="15"/>
          <w:color w:val="auto"/>
        </w:rPr>
      </w:pPr>
    </w:p>
    <w:p>
      <w:pPr>
        <w:ind w:left="660" w:right="20" w:hanging="331"/>
        <w:spacing w:after="0" w:line="260" w:lineRule="auto"/>
        <w:tabs>
          <w:tab w:leader="none" w:pos="69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right="180" w:firstLine="7"/>
        <w:spacing w:after="0" w:line="302" w:lineRule="auto"/>
        <w:tabs>
          <w:tab w:leader="none" w:pos="353"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1" w:lineRule="exact"/>
        <w:rPr>
          <w:rFonts w:ascii="Arial" w:cs="Arial" w:eastAsia="Arial" w:hAnsi="Arial"/>
          <w:sz w:val="17"/>
          <w:szCs w:val="17"/>
          <w:color w:val="auto"/>
        </w:rPr>
      </w:pPr>
    </w:p>
    <w:p>
      <w:pPr>
        <w:ind w:left="660" w:right="380" w:hanging="331"/>
        <w:spacing w:after="0" w:line="302" w:lineRule="auto"/>
        <w:tabs>
          <w:tab w:leader="none" w:pos="681" w:val="left"/>
        </w:tabs>
        <w:numPr>
          <w:ilvl w:val="1"/>
          <w:numId w:val="2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7"/>
          <w:szCs w:val="17"/>
          <w:color w:val="auto"/>
        </w:rPr>
      </w:pPr>
    </w:p>
    <w:p>
      <w:pPr>
        <w:ind w:left="660" w:right="340" w:hanging="331"/>
        <w:spacing w:after="0" w:line="272" w:lineRule="auto"/>
        <w:tabs>
          <w:tab w:leader="none" w:pos="691"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62" w:lineRule="exact"/>
        <w:rPr>
          <w:sz w:val="20"/>
          <w:szCs w:val="20"/>
          <w:color w:val="auto"/>
        </w:rPr>
      </w:pPr>
    </w:p>
    <w:tbl>
      <w:tblPr>
        <w:tblLayout w:type="fixed"/>
        <w:tblInd w:w="550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EDWARD J. PRAJZNER</w:t>
            </w:r>
          </w:p>
        </w:tc>
      </w:tr>
      <w:tr>
        <w:trPr>
          <w:trHeight w:val="221"/>
        </w:trPr>
        <w:tc>
          <w:tcPr>
            <w:tcW w:w="6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Edward J. Prajzner</w:t>
            </w:r>
          </w:p>
        </w:tc>
      </w:tr>
      <w:tr>
        <w:trPr>
          <w:trHeight w:val="175"/>
        </w:trPr>
        <w:tc>
          <w:tcPr>
            <w:tcW w:w="64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w w:val="99"/>
              </w:rPr>
              <w:t>Executive Vice President, Chief Financial Officer and Treasurer</w:t>
            </w:r>
          </w:p>
        </w:tc>
      </w:tr>
      <w:tr>
        <w:trPr>
          <w:trHeight w:val="227"/>
        </w:trPr>
        <w:tc>
          <w:tcPr>
            <w:tcW w:w="6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9"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 connection with the Annual Report on Form 10-K of Mistras Group, Inc. (the Company) for the year ended December 31, 2022, I, Dennis Bertolotti, President and Chief Executive Officer, hereby certify pursuant to 18 U.S.C. Section 1350, as adopted pursuant to Section 906 of the Sarbanes-Oxley Act of 2002, to the best of my knowledge and belief, that:</w:t>
      </w:r>
    </w:p>
    <w:p>
      <w:pPr>
        <w:spacing w:after="0" w:line="185" w:lineRule="exact"/>
        <w:rPr>
          <w:sz w:val="20"/>
          <w:szCs w:val="20"/>
          <w:color w:val="auto"/>
        </w:rPr>
      </w:pPr>
    </w:p>
    <w:p>
      <w:pPr>
        <w:ind w:right="260" w:firstLine="450"/>
        <w:spacing w:after="0" w:line="272" w:lineRule="auto"/>
        <w:tabs>
          <w:tab w:leader="none" w:pos="69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December 31, 2022, fully complies with the requirements of Section 13(a) or 15(d) of the Securities Exchange Act of 1934, as amended; and</w:t>
      </w:r>
    </w:p>
    <w:p>
      <w:pPr>
        <w:spacing w:after="0" w:line="174" w:lineRule="exact"/>
        <w:rPr>
          <w:rFonts w:ascii="Arial" w:cs="Arial" w:eastAsia="Arial" w:hAnsi="Arial"/>
          <w:sz w:val="18"/>
          <w:szCs w:val="18"/>
          <w:color w:val="auto"/>
        </w:rPr>
      </w:pPr>
    </w:p>
    <w:p>
      <w:pPr>
        <w:ind w:right="60" w:firstLine="450"/>
        <w:spacing w:after="0" w:line="272" w:lineRule="auto"/>
        <w:tabs>
          <w:tab w:leader="none" w:pos="69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December 31, 2022, fairly presents, in all material respects, the financial condition and results of operations of the Company.</w:t>
      </w:r>
    </w:p>
    <w:p>
      <w:pPr>
        <w:spacing w:after="0" w:line="174"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December 31, 2022,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920" w:type="dxa"/>
            <w:vAlign w:val="bottom"/>
          </w:tcPr>
          <w:p>
            <w:pPr>
              <w:spacing w:after="0"/>
              <w:rPr>
                <w:sz w:val="20"/>
                <w:szCs w:val="20"/>
                <w:color w:val="auto"/>
              </w:rPr>
            </w:pPr>
            <w:r>
              <w:rPr>
                <w:rFonts w:ascii="Arial" w:cs="Arial" w:eastAsia="Arial" w:hAnsi="Arial"/>
                <w:sz w:val="18"/>
                <w:szCs w:val="18"/>
                <w:color w:val="auto"/>
              </w:rPr>
              <w:t>Date:   March 15, 2023</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DENNIS BERTOLOTTI</w:t>
            </w:r>
          </w:p>
        </w:tc>
      </w:tr>
      <w:tr>
        <w:trPr>
          <w:trHeight w:val="221"/>
        </w:trPr>
        <w:tc>
          <w:tcPr>
            <w:tcW w:w="59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Dennis Bertolotti</w:t>
            </w:r>
          </w:p>
        </w:tc>
      </w:tr>
      <w:tr>
        <w:trPr>
          <w:trHeight w:val="227"/>
        </w:trPr>
        <w:tc>
          <w:tcPr>
            <w:tcW w:w="59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28"/>
        </w:trPr>
        <w:tc>
          <w:tcPr>
            <w:tcW w:w="59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5" w:right="3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December 31, 2022, I, Edward J. Prajzner, Principal Financial and Accounting Officer, hereby certify pursuant to 18 U.S.C. Section 1350, as adopted pursuant to Section 906 of the Sarbanes-Oxley Act of 2002, to the best of my knowledge and belief, that:</w:t>
      </w:r>
    </w:p>
    <w:p>
      <w:pPr>
        <w:spacing w:after="0" w:line="185" w:lineRule="exact"/>
        <w:rPr>
          <w:sz w:val="20"/>
          <w:szCs w:val="20"/>
          <w:color w:val="auto"/>
        </w:rPr>
      </w:pPr>
    </w:p>
    <w:p>
      <w:pPr>
        <w:ind w:right="260" w:firstLine="450"/>
        <w:spacing w:after="0" w:line="272" w:lineRule="auto"/>
        <w:tabs>
          <w:tab w:leader="none" w:pos="69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December 31, 2022, fully complies with the requirements of Section 13(a) or 15(d) of the Securities Exchange Act of 1934, as amended; and</w:t>
      </w:r>
    </w:p>
    <w:p>
      <w:pPr>
        <w:spacing w:after="0" w:line="174" w:lineRule="exact"/>
        <w:rPr>
          <w:rFonts w:ascii="Arial" w:cs="Arial" w:eastAsia="Arial" w:hAnsi="Arial"/>
          <w:sz w:val="18"/>
          <w:szCs w:val="18"/>
          <w:color w:val="auto"/>
        </w:rPr>
      </w:pPr>
    </w:p>
    <w:p>
      <w:pPr>
        <w:ind w:right="60" w:firstLine="450"/>
        <w:spacing w:after="0" w:line="272" w:lineRule="auto"/>
        <w:tabs>
          <w:tab w:leader="none" w:pos="69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December 31, 2022, fairly presents, in all material respects, the financial condition and results of operations of the Company.</w:t>
      </w:r>
    </w:p>
    <w:p>
      <w:pPr>
        <w:spacing w:after="0" w:line="174"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December 31, 2022,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920" w:type="dxa"/>
            <w:vAlign w:val="bottom"/>
          </w:tcPr>
          <w:p>
            <w:pPr>
              <w:spacing w:after="0"/>
              <w:rPr>
                <w:sz w:val="20"/>
                <w:szCs w:val="20"/>
                <w:color w:val="auto"/>
              </w:rPr>
            </w:pPr>
            <w:r>
              <w:rPr>
                <w:rFonts w:ascii="Arial" w:cs="Arial" w:eastAsia="Arial" w:hAnsi="Arial"/>
                <w:sz w:val="18"/>
                <w:szCs w:val="18"/>
                <w:color w:val="auto"/>
              </w:rPr>
              <w:t>Date:   March 15, 2023</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EDWARD J. PRAJZNER</w:t>
            </w:r>
          </w:p>
        </w:tc>
      </w:tr>
      <w:tr>
        <w:trPr>
          <w:trHeight w:val="221"/>
        </w:trPr>
        <w:tc>
          <w:tcPr>
            <w:tcW w:w="59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Edward J. Prajzner</w:t>
            </w:r>
          </w:p>
        </w:tc>
      </w:tr>
      <w:tr>
        <w:trPr>
          <w:trHeight w:val="227"/>
        </w:trPr>
        <w:tc>
          <w:tcPr>
            <w:tcW w:w="59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28"/>
        </w:trPr>
        <w:tc>
          <w:tcPr>
            <w:tcW w:w="59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E99DD7"/>
    <w:multiLevelType w:val="hybridMultilevel"/>
    <w:lvl w:ilvl="0">
      <w:lvlJc w:val="left"/>
      <w:lvlText w:val="☒"/>
      <w:numFmt w:val="bullet"/>
      <w:start w:val="1"/>
    </w:lvl>
  </w:abstractNum>
  <w:abstractNum w:abstractNumId="1">
    <w:nsid w:val="2A31B62D"/>
    <w:multiLevelType w:val="hybridMultilevel"/>
    <w:lvl w:ilvl="0">
      <w:lvlJc w:val="left"/>
      <w:lvlText w:val="☐"/>
      <w:numFmt w:val="bullet"/>
      <w:start w:val="1"/>
    </w:lvl>
  </w:abstractNum>
  <w:abstractNum w:abstractNumId="2">
    <w:nsid w:val="1849C29B"/>
    <w:multiLevelType w:val="hybridMultilevel"/>
    <w:lvl w:ilvl="0">
      <w:lvlJc w:val="left"/>
      <w:lvlText w:val="•"/>
      <w:numFmt w:val="bullet"/>
      <w:start w:val="1"/>
    </w:lvl>
  </w:abstractNum>
  <w:abstractNum w:abstractNumId="3">
    <w:nsid w:val="7DFF9D09"/>
    <w:multiLevelType w:val="hybridMultilevel"/>
    <w:lvl w:ilvl="0">
      <w:lvlJc w:val="left"/>
      <w:lvlText w:val="•"/>
      <w:numFmt w:val="bullet"/>
      <w:start w:val="1"/>
    </w:lvl>
  </w:abstractNum>
  <w:abstractNum w:abstractNumId="4">
    <w:nsid w:val="754342"/>
    <w:multiLevelType w:val="hybridMultilevel"/>
    <w:lvl w:ilvl="0">
      <w:lvlJc w:val="left"/>
      <w:lvlText w:val="•"/>
      <w:numFmt w:val="bullet"/>
      <w:start w:val="1"/>
    </w:lvl>
  </w:abstractNum>
  <w:abstractNum w:abstractNumId="5">
    <w:nsid w:val="69E7F3E5"/>
    <w:multiLevelType w:val="hybridMultilevel"/>
    <w:lvl w:ilvl="0">
      <w:lvlJc w:val="left"/>
      <w:lvlText w:val="•"/>
      <w:numFmt w:val="bullet"/>
      <w:start w:val="1"/>
    </w:lvl>
  </w:abstractNum>
  <w:abstractNum w:abstractNumId="6">
    <w:nsid w:val="2A6DE806"/>
    <w:multiLevelType w:val="hybridMultilevel"/>
    <w:lvl w:ilvl="0">
      <w:lvlJc w:val="left"/>
      <w:lvlText w:val="•"/>
      <w:numFmt w:val="bullet"/>
      <w:start w:val="1"/>
    </w:lvl>
  </w:abstractNum>
  <w:abstractNum w:abstractNumId="7">
    <w:nsid w:val="1816F8C4"/>
    <w:multiLevelType w:val="hybridMultilevel"/>
    <w:lvl w:ilvl="0">
      <w:lvlJc w:val="left"/>
      <w:lvlText w:val="•"/>
      <w:numFmt w:val="bullet"/>
      <w:start w:val="1"/>
    </w:lvl>
  </w:abstractNum>
  <w:abstractNum w:abstractNumId="8">
    <w:nsid w:val="37DF2233"/>
    <w:multiLevelType w:val="hybridMultilevel"/>
    <w:lvl w:ilvl="0">
      <w:lvlJc w:val="left"/>
      <w:lvlText w:val="•"/>
      <w:numFmt w:val="bullet"/>
      <w:start w:val="1"/>
    </w:lvl>
  </w:abstractNum>
  <w:abstractNum w:abstractNumId="9">
    <w:nsid w:val="7AB49DAF"/>
    <w:multiLevelType w:val="hybridMultilevel"/>
    <w:lvl w:ilvl="0">
      <w:lvlJc w:val="left"/>
      <w:lvlText w:val="•"/>
      <w:numFmt w:val="bullet"/>
      <w:start w:val="1"/>
    </w:lvl>
  </w:abstractNum>
  <w:abstractNum w:abstractNumId="10">
    <w:nsid w:val="759F82CD"/>
    <w:multiLevelType w:val="hybridMultilevel"/>
    <w:lvl w:ilvl="0">
      <w:lvlJc w:val="left"/>
      <w:lvlText w:val="•"/>
      <w:numFmt w:val="bullet"/>
      <w:start w:val="1"/>
    </w:lvl>
  </w:abstractNum>
  <w:abstractNum w:abstractNumId="11">
    <w:nsid w:val="61E74EA3"/>
    <w:multiLevelType w:val="hybridMultilevel"/>
    <w:lvl w:ilvl="0">
      <w:lvlJc w:val="left"/>
      <w:lvlText w:val="•"/>
      <w:numFmt w:val="bullet"/>
      <w:start w:val="1"/>
    </w:lvl>
  </w:abstractNum>
  <w:abstractNum w:abstractNumId="12">
    <w:nsid w:val="597B4D84"/>
    <w:multiLevelType w:val="hybridMultilevel"/>
    <w:lvl w:ilvl="0">
      <w:lvlJc w:val="left"/>
      <w:lvlText w:val="•"/>
      <w:numFmt w:val="bullet"/>
      <w:start w:val="1"/>
    </w:lvl>
  </w:abstractNum>
  <w:abstractNum w:abstractNumId="13">
    <w:nsid w:val="F819E7F"/>
    <w:multiLevelType w:val="hybridMultilevel"/>
    <w:lvl w:ilvl="0">
      <w:lvlJc w:val="left"/>
      <w:lvlText w:val="•"/>
      <w:numFmt w:val="bullet"/>
      <w:start w:val="1"/>
    </w:lvl>
  </w:abstractNum>
  <w:abstractNum w:abstractNumId="14">
    <w:nsid w:val="57C7D42D"/>
    <w:multiLevelType w:val="hybridMultilevel"/>
    <w:lvl w:ilvl="0">
      <w:lvlJc w:val="left"/>
      <w:lvlText w:val="•"/>
      <w:numFmt w:val="bullet"/>
      <w:start w:val="1"/>
    </w:lvl>
  </w:abstractNum>
  <w:abstractNum w:abstractNumId="15">
    <w:nsid w:val="312167AD"/>
    <w:multiLevelType w:val="hybridMultilevel"/>
    <w:lvl w:ilvl="0">
      <w:lvlJc w:val="left"/>
      <w:lvlText w:val="•"/>
      <w:numFmt w:val="bullet"/>
      <w:start w:val="1"/>
    </w:lvl>
  </w:abstractNum>
  <w:abstractNum w:abstractNumId="16">
    <w:nsid w:val="631B64D4"/>
    <w:multiLevelType w:val="hybridMultilevel"/>
    <w:lvl w:ilvl="0">
      <w:lvlJc w:val="left"/>
      <w:lvlText w:val="•"/>
      <w:numFmt w:val="bullet"/>
      <w:start w:val="1"/>
    </w:lvl>
  </w:abstractNum>
  <w:abstractNum w:abstractNumId="17">
    <w:nsid w:val="78B5E776"/>
    <w:multiLevelType w:val="hybridMultilevel"/>
    <w:lvl w:ilvl="0">
      <w:lvlJc w:val="left"/>
      <w:lvlText w:val="•"/>
      <w:numFmt w:val="bullet"/>
      <w:start w:val="1"/>
    </w:lvl>
  </w:abstractNum>
  <w:abstractNum w:abstractNumId="18">
    <w:nsid w:val="75486E47"/>
    <w:multiLevelType w:val="hybridMultilevel"/>
    <w:lvl w:ilvl="0">
      <w:lvlJc w:val="left"/>
      <w:lvlText w:val="•"/>
      <w:numFmt w:val="bullet"/>
      <w:start w:val="1"/>
    </w:lvl>
  </w:abstractNum>
  <w:abstractNum w:abstractNumId="19">
    <w:nsid w:val="6E534CDE"/>
    <w:multiLevelType w:val="hybridMultilevel"/>
    <w:lvl w:ilvl="0">
      <w:lvlJc w:val="left"/>
      <w:lvlText w:val="•"/>
      <w:numFmt w:val="bullet"/>
      <w:start w:val="1"/>
    </w:lvl>
  </w:abstractNum>
  <w:abstractNum w:abstractNumId="20">
    <w:nsid w:val="1A0DDE32"/>
    <w:multiLevelType w:val="hybridMultilevel"/>
    <w:lvl w:ilvl="0">
      <w:lvlJc w:val="left"/>
      <w:lvlText w:val="(%1)"/>
      <w:numFmt w:val="lowerRoman"/>
      <w:start w:val="2"/>
    </w:lvl>
  </w:abstractNum>
  <w:abstractNum w:abstractNumId="21">
    <w:nsid w:val="65968C1C"/>
    <w:multiLevelType w:val="hybridMultilevel"/>
    <w:lvl w:ilvl="0">
      <w:lvlJc w:val="left"/>
      <w:lvlText w:val="(%1)"/>
      <w:numFmt w:val="decimal"/>
      <w:start w:val="1"/>
    </w:lvl>
  </w:abstractNum>
  <w:abstractNum w:abstractNumId="22">
    <w:nsid w:val="46263DEC"/>
    <w:multiLevelType w:val="hybridMultilevel"/>
    <w:lvl w:ilvl="0">
      <w:lvlJc w:val="left"/>
      <w:lvlText w:val="$"/>
      <w:numFmt w:val="bullet"/>
      <w:start w:val="1"/>
    </w:lvl>
  </w:abstractNum>
  <w:abstractNum w:abstractNumId="23">
    <w:nsid w:val="260D8C4A"/>
    <w:multiLevelType w:val="hybridMultilevel"/>
    <w:lvl w:ilvl="0">
      <w:lvlJc w:val="left"/>
      <w:lvlText w:val="$"/>
      <w:numFmt w:val="bullet"/>
      <w:start w:val="1"/>
    </w:lvl>
  </w:abstractNum>
  <w:abstractNum w:abstractNumId="24">
    <w:nsid w:val="73D4D3C4"/>
    <w:multiLevelType w:val="hybridMultilevel"/>
    <w:lvl w:ilvl="0">
      <w:lvlJc w:val="left"/>
      <w:lvlText w:val="•"/>
      <w:numFmt w:val="bullet"/>
      <w:start w:val="1"/>
    </w:lvl>
    <w:lvl w:ilvl="1">
      <w:lvlJc w:val="left"/>
      <w:lvlText w:val="◦"/>
      <w:numFmt w:val="bullet"/>
      <w:start w:val="1"/>
    </w:lvl>
  </w:abstractNum>
  <w:abstractNum w:abstractNumId="25">
    <w:nsid w:val="746F2E30"/>
    <w:multiLevelType w:val="hybridMultilevel"/>
    <w:lvl w:ilvl="0">
      <w:lvlJc w:val="left"/>
      <w:lvlText w:val="%1."/>
      <w:numFmt w:val="decimal"/>
      <w:start w:val="12"/>
    </w:lvl>
  </w:abstractNum>
  <w:abstractNum w:abstractNumId="26">
    <w:nsid w:val="6FDE8AF6"/>
    <w:multiLevelType w:val="hybridMultilevel"/>
    <w:lvl w:ilvl="0">
      <w:lvlJc w:val="left"/>
      <w:lvlText w:val="%1."/>
      <w:numFmt w:val="decimal"/>
      <w:start w:val="1"/>
    </w:lvl>
    <w:lvl w:ilvl="1">
      <w:lvlJc w:val="left"/>
      <w:lvlText w:val="%2."/>
      <w:numFmt w:val="lowerLetter"/>
      <w:start w:val="1"/>
    </w:lvl>
  </w:abstractNum>
  <w:abstractNum w:abstractNumId="27">
    <w:nsid w:val="3FC32E20"/>
    <w:multiLevelType w:val="hybridMultilevel"/>
    <w:lvl w:ilvl="0">
      <w:lvlJc w:val="left"/>
      <w:lvlText w:val="•"/>
      <w:numFmt w:val="bullet"/>
      <w:start w:val="1"/>
    </w:lvl>
  </w:abstractNum>
  <w:abstractNum w:abstractNumId="28">
    <w:nsid w:val="49C0E823"/>
    <w:multiLevelType w:val="hybridMultilevel"/>
    <w:lvl w:ilvl="0">
      <w:lvlJc w:val="left"/>
      <w:lvlText w:val=" "/>
      <w:numFmt w:val="bullet"/>
      <w:start w:val="1"/>
    </w:lvl>
  </w:abstractNum>
  <w:abstractNum w:abstractNumId="29">
    <w:nsid w:val="14D53685"/>
    <w:multiLevelType w:val="hybridMultilevel"/>
    <w:lvl w:ilvl="0">
      <w:lvlJc w:val="left"/>
      <w:lvlText w:val="(%1)"/>
      <w:numFmt w:val="lowerLetter"/>
      <w:start w:val="1"/>
    </w:lvl>
  </w:abstractNum>
  <w:abstractNum w:abstractNumId="30">
    <w:nsid w:val="230F856C"/>
    <w:multiLevelType w:val="hybridMultilevel"/>
    <w:lvl w:ilvl="0">
      <w:lvlJc w:val="left"/>
      <w:lvlText w:val="(%1)"/>
      <w:numFmt w:val="lowerRoman"/>
      <w:start w:val="1"/>
    </w:lvl>
  </w:abstractNum>
  <w:abstractNum w:abstractNumId="31">
    <w:nsid w:val="6EAA85FB"/>
    <w:multiLevelType w:val="hybridMultilevel"/>
    <w:lvl w:ilvl="0">
      <w:lvlJc w:val="left"/>
      <w:lvlText w:val="(%1)"/>
      <w:numFmt w:val="lowerLetter"/>
      <w:start w:val="2"/>
    </w:lvl>
  </w:abstractNum>
  <w:abstractNum w:abstractNumId="32">
    <w:nsid w:val="3F06ECB2"/>
    <w:multiLevelType w:val="hybridMultilevel"/>
    <w:lvl w:ilvl="0">
      <w:lvlJc w:val="left"/>
      <w:lvlText w:val="(%1)"/>
      <w:numFmt w:val="decimal"/>
      <w:start w:val="1"/>
    </w:lvl>
  </w:abstractNum>
  <w:abstractNum w:abstractNumId="33">
    <w:nsid w:val="3B594807"/>
    <w:multiLevelType w:val="hybridMultilevel"/>
    <w:lvl w:ilvl="0">
      <w:lvlJc w:val="left"/>
      <w:lvlText w:val="(%1)"/>
      <w:numFmt w:val="decimal"/>
      <w:start w:val="1"/>
    </w:lvl>
  </w:abstractNum>
  <w:abstractNum w:abstractNumId="34">
    <w:nsid w:val="6CAA2304"/>
    <w:multiLevelType w:val="hybridMultilevel"/>
    <w:lvl w:ilvl="0">
      <w:lvlJc w:val="left"/>
      <w:lvlText w:val="(%1)"/>
      <w:numFmt w:val="decimal"/>
      <w:start w:val="1"/>
    </w:lvl>
  </w:abstractNum>
  <w:abstractNum w:abstractNumId="35">
    <w:nsid w:val="3F7C2FF4"/>
    <w:multiLevelType w:val="hybridMultilevel"/>
    <w:lvl w:ilvl="0">
      <w:lvlJc w:val="left"/>
      <w:lvlText w:val="(%1)"/>
      <w:numFmt w:val="lowerLetter"/>
      <w:start w:val="2"/>
    </w:lvl>
  </w:abstractNum>
  <w:abstractNum w:abstractNumId="36">
    <w:nsid w:val="25413BEC"/>
    <w:multiLevelType w:val="hybridMultilevel"/>
    <w:lvl w:ilvl="0">
      <w:lvlJc w:val="left"/>
      <w:lvlText w:val="(%1)"/>
      <w:numFmt w:val="lowerLetter"/>
      <w:start w:val="1"/>
    </w:lvl>
  </w:abstractNum>
  <w:abstractNum w:abstractNumId="37">
    <w:nsid w:val="17180B0B"/>
    <w:multiLevelType w:val="hybridMultilevel"/>
    <w:lvl w:ilvl="0">
      <w:lvlJc w:val="left"/>
      <w:lvlText w:val="(%1)"/>
      <w:numFmt w:val="lowerLetter"/>
      <w:start w:val="25"/>
    </w:lvl>
  </w:abstractNum>
  <w:abstractNum w:abstractNumId="38">
    <w:nsid w:val="579328B9"/>
    <w:multiLevelType w:val="hybridMultilevel"/>
    <w:lvl w:ilvl="0">
      <w:lvlJc w:val="left"/>
      <w:lvlText w:val="(%1)"/>
      <w:numFmt w:val="lowerLetter"/>
      <w:start w:val="1"/>
    </w:lvl>
  </w:abstractNum>
  <w:abstractNum w:abstractNumId="39">
    <w:nsid w:val="5D205E20"/>
    <w:multiLevelType w:val="hybridMultilevel"/>
    <w:lvl w:ilvl="0">
      <w:lvlJc w:val="left"/>
      <w:lvlText w:val="(%1)"/>
      <w:numFmt w:val="lowerLetter"/>
      <w:start w:val="2"/>
    </w:lvl>
  </w:abstractNum>
  <w:abstractNum w:abstractNumId="40">
    <w:nsid w:val="11CCA8BA"/>
    <w:multiLevelType w:val="hybridMultilevel"/>
    <w:lvl w:ilvl="0">
      <w:lvlJc w:val="left"/>
      <w:lvlText w:val="(%1)"/>
      <w:numFmt w:val="lowerLetter"/>
      <w:start w:val="25"/>
    </w:lvl>
  </w:abstractNum>
  <w:abstractNum w:abstractNumId="41">
    <w:nsid w:val="4D32AB86"/>
    <w:multiLevelType w:val="hybridMultilevel"/>
    <w:lvl w:ilvl="0">
      <w:lvlJc w:val="left"/>
      <w:lvlText w:val="(%1)"/>
      <w:numFmt w:val="lowerRoman"/>
      <w:start w:val="1"/>
    </w:lvl>
  </w:abstractNum>
  <w:abstractNum w:abstractNumId="42">
    <w:nsid w:val="3F07ACC3"/>
    <w:multiLevelType w:val="hybridMultilevel"/>
    <w:lvl w:ilvl="0">
      <w:lvlJc w:val="left"/>
      <w:lvlText w:val="(%1)"/>
      <w:numFmt w:val="lowerRoman"/>
      <w:start w:val="5"/>
    </w:lvl>
  </w:abstractNum>
  <w:abstractNum w:abstractNumId="43">
    <w:nsid w:val="6B47F63E"/>
    <w:multiLevelType w:val="hybridMultilevel"/>
    <w:lvl w:ilvl="0">
      <w:lvlJc w:val="left"/>
      <w:lvlText w:val="(%1)"/>
      <w:numFmt w:val="lowerLetter"/>
      <w:start w:val="2"/>
    </w:lvl>
  </w:abstractNum>
  <w:abstractNum w:abstractNumId="44">
    <w:nsid w:val="5CB44A05"/>
    <w:multiLevelType w:val="hybridMultilevel"/>
    <w:lvl w:ilvl="0">
      <w:lvlJc w:val="left"/>
      <w:lvlText w:val="(%1)"/>
      <w:numFmt w:val="lowerRoman"/>
      <w:start w:val="1"/>
    </w:lvl>
  </w:abstractNum>
  <w:abstractNum w:abstractNumId="45">
    <w:nsid w:val="16CF80F1"/>
    <w:multiLevelType w:val="hybridMultilevel"/>
    <w:lvl w:ilvl="0">
      <w:lvlJc w:val="left"/>
      <w:lvlText w:val="(%1)"/>
      <w:numFmt w:val="lowerLetter"/>
      <w:start w:val="1"/>
    </w:lvl>
  </w:abstractNum>
  <w:abstractNum w:abstractNumId="46">
    <w:nsid w:val="1C695DEC"/>
    <w:multiLevelType w:val="hybridMultilevel"/>
    <w:lvl w:ilvl="0">
      <w:lvlJc w:val="left"/>
      <w:lvlText w:val="(%1)"/>
      <w:numFmt w:val="lowerLetter"/>
      <w:start w:val="1"/>
    </w:lvl>
  </w:abstractNum>
  <w:abstractNum w:abstractNumId="47">
    <w:nsid w:val="3FCFAED9"/>
    <w:multiLevelType w:val="hybridMultilevel"/>
    <w:lvl w:ilvl="0">
      <w:lvlJc w:val="left"/>
      <w:lvlText w:val="(%1)"/>
      <w:numFmt w:val="lowerRoman"/>
      <w:start w:val="3"/>
    </w:lvl>
  </w:abstractNum>
  <w:abstractNum w:abstractNumId="48">
    <w:nsid w:val="F856867"/>
    <w:multiLevelType w:val="hybridMultilevel"/>
    <w:lvl w:ilvl="0">
      <w:lvlJc w:val="left"/>
      <w:lvlText w:val="(%1)"/>
      <w:numFmt w:val="lowerLetter"/>
      <w:start w:val="1"/>
    </w:lvl>
  </w:abstractNum>
  <w:abstractNum w:abstractNumId="49">
    <w:nsid w:val="11B1CC33"/>
    <w:multiLevelType w:val="hybridMultilevel"/>
    <w:lvl w:ilvl="0">
      <w:lvlJc w:val="left"/>
      <w:lvlText w:val="(%1)"/>
      <w:numFmt w:val="lowerLetter"/>
      <w:start w:val="1"/>
    </w:lvl>
  </w:abstractNum>
  <w:abstractNum w:abstractNumId="50">
    <w:nsid w:val="2E22FBB7"/>
    <w:multiLevelType w:val="hybridMultilevel"/>
    <w:lvl w:ilvl="0">
      <w:lvlJc w:val="left"/>
      <w:lvlText w:val="(%1)"/>
      <w:numFmt w:val="decimal"/>
      <w:start w:val="1"/>
    </w:lvl>
  </w:abstractNum>
  <w:abstractNum w:abstractNumId="51">
    <w:nsid w:val="29934699"/>
    <w:multiLevelType w:val="hybridMultilevel"/>
    <w:lvl w:ilvl="0">
      <w:lvlJc w:val="left"/>
      <w:lvlText w:val="(%1)"/>
      <w:numFmt w:val="lowerRoman"/>
      <w:start w:val="3"/>
    </w:lvl>
  </w:abstractNum>
  <w:abstractNum w:abstractNumId="52">
    <w:nsid w:val="77485850"/>
    <w:multiLevelType w:val="hybridMultilevel"/>
    <w:lvl w:ilvl="0">
      <w:lvlJc w:val="left"/>
      <w:lvlText w:val="(%1)"/>
      <w:numFmt w:val="lowerLetter"/>
      <w:start w:val="1"/>
    </w:lvl>
  </w:abstractNum>
  <w:abstractNum w:abstractNumId="53">
    <w:nsid w:val="744939A3"/>
    <w:multiLevelType w:val="hybridMultilevel"/>
    <w:lvl w:ilvl="0">
      <w:lvlJc w:val="left"/>
      <w:lvlText w:val="(%1)"/>
      <w:numFmt w:val="decimal"/>
      <w:start w:val="12"/>
    </w:lvl>
  </w:abstractNum>
  <w:abstractNum w:abstractNumId="54">
    <w:nsid w:val="4FA0D2E3"/>
    <w:multiLevelType w:val="hybridMultilevel"/>
    <w:lvl w:ilvl="0">
      <w:lvlJc w:val="left"/>
      <w:lvlText w:val="(%1)"/>
      <w:numFmt w:val="lowerLetter"/>
      <w:start w:val="2"/>
    </w:lvl>
  </w:abstractNum>
  <w:abstractNum w:abstractNumId="55">
    <w:nsid w:val="6B1D2C14"/>
    <w:multiLevelType w:val="hybridMultilevel"/>
    <w:lvl w:ilvl="0">
      <w:lvlJc w:val="left"/>
      <w:lvlText w:val="(%1)"/>
      <w:numFmt w:val="lowerLetter"/>
      <w:start w:val="3"/>
    </w:lvl>
    <w:lvl w:ilvl="1">
      <w:lvlJc w:val="left"/>
      <w:lvlText w:val="(%2)"/>
      <w:numFmt w:val="lowerRoman"/>
      <w:start w:val="1"/>
    </w:lvl>
  </w:abstractNum>
  <w:abstractNum w:abstractNumId="56">
    <w:nsid w:val="68B867D3"/>
    <w:multiLevelType w:val="hybridMultilevel"/>
    <w:lvl w:ilvl="0">
      <w:lvlJc w:val="left"/>
      <w:lvlText w:val="(%1)"/>
      <w:numFmt w:val="lowerLetter"/>
      <w:start w:val="2"/>
    </w:lvl>
  </w:abstractNum>
  <w:abstractNum w:abstractNumId="57">
    <w:nsid w:val="3F7F5DD9"/>
    <w:multiLevelType w:val="hybridMultilevel"/>
    <w:lvl w:ilvl="0">
      <w:lvlJc w:val="left"/>
      <w:lvlText w:val="(%1)"/>
      <w:numFmt w:val="lowerLetter"/>
      <w:start w:val="1"/>
    </w:lvl>
  </w:abstractNum>
  <w:abstractNum w:abstractNumId="58">
    <w:nsid w:val="2AE05A34"/>
    <w:multiLevelType w:val="hybridMultilevel"/>
    <w:lvl w:ilvl="0">
      <w:lvlJc w:val="left"/>
      <w:lvlText w:val="(%1)"/>
      <w:numFmt w:val="lowerLetter"/>
      <w:start w:val="2"/>
    </w:lvl>
  </w:abstractNum>
  <w:abstractNum w:abstractNumId="59">
    <w:nsid w:val="32794FF7"/>
    <w:multiLevelType w:val="hybridMultilevel"/>
    <w:lvl w:ilvl="0">
      <w:lvlJc w:val="left"/>
      <w:lvlText w:val="(%1)"/>
      <w:numFmt w:val="lowerRoman"/>
      <w:start w:val="1"/>
    </w:lvl>
    <w:lvl w:ilvl="1">
      <w:lvlJc w:val="left"/>
      <w:lvlText w:val="(%2)"/>
      <w:numFmt w:val="lowerRoman"/>
      <w:start w:val="2"/>
    </w:lvl>
  </w:abstractNum>
  <w:abstractNum w:abstractNumId="60">
    <w:nsid w:val="5454945E"/>
    <w:multiLevelType w:val="hybridMultilevel"/>
    <w:lvl w:ilvl="0">
      <w:lvlJc w:val="left"/>
      <w:lvlText w:val="(%1)"/>
      <w:numFmt w:val="lowerRoman"/>
      <w:start w:val="4"/>
    </w:lvl>
  </w:abstractNum>
  <w:abstractNum w:abstractNumId="61">
    <w:nsid w:val="4DEFDFA0"/>
    <w:multiLevelType w:val="hybridMultilevel"/>
    <w:lvl w:ilvl="0">
      <w:lvlJc w:val="left"/>
      <w:lvlText w:val="(%1)"/>
      <w:numFmt w:val="lowerLetter"/>
      <w:start w:val="2"/>
    </w:lvl>
  </w:abstractNum>
  <w:abstractNum w:abstractNumId="62">
    <w:nsid w:val="2123D5F2"/>
    <w:multiLevelType w:val="hybridMultilevel"/>
    <w:lvl w:ilvl="0">
      <w:lvlJc w:val="left"/>
      <w:lvlText w:val="(%1)"/>
      <w:numFmt w:val="lowerLetter"/>
      <w:start w:val="4"/>
    </w:lvl>
  </w:abstractNum>
  <w:abstractNum w:abstractNumId="63">
    <w:nsid w:val="135B8110"/>
    <w:multiLevelType w:val="hybridMultilevel"/>
    <w:lvl w:ilvl="0">
      <w:lvlJc w:val="left"/>
      <w:lvlText w:val="(%1)"/>
      <w:numFmt w:val="lowerRoman"/>
      <w:start w:val="1"/>
    </w:lvl>
  </w:abstractNum>
  <w:abstractNum w:abstractNumId="64">
    <w:nsid w:val="94927A8"/>
    <w:multiLevelType w:val="hybridMultilevel"/>
    <w:lvl w:ilvl="0">
      <w:lvlJc w:val="left"/>
      <w:lvlText w:val="(%1)"/>
      <w:numFmt w:val="lowerLetter"/>
      <w:start w:val="2"/>
    </w:lvl>
  </w:abstractNum>
  <w:abstractNum w:abstractNumId="65">
    <w:nsid w:val="DCDF8F6"/>
    <w:multiLevelType w:val="hybridMultilevel"/>
    <w:lvl w:ilvl="0">
      <w:lvlJc w:val="left"/>
      <w:lvlText w:val="(%1)"/>
      <w:numFmt w:val="lowerRoman"/>
      <w:start w:val="1"/>
    </w:lvl>
  </w:abstractNum>
  <w:abstractNum w:abstractNumId="66">
    <w:nsid w:val="52D7B105"/>
    <w:multiLevelType w:val="hybridMultilevel"/>
    <w:lvl w:ilvl="0">
      <w:lvlJc w:val="left"/>
      <w:lvlText w:val="%1"/>
      <w:numFmt w:val="lowerLetter"/>
      <w:start w:val="1"/>
    </w:lvl>
    <w:lvl w:ilvl="1">
      <w:lvlJc w:val="left"/>
      <w:lvlText w:val="(%2)"/>
      <w:numFmt w:val="lowerLetter"/>
      <w:start w:val="35"/>
    </w:lvl>
  </w:abstractNum>
  <w:abstractNum w:abstractNumId="67">
    <w:nsid w:val="2E8A6394"/>
    <w:multiLevelType w:val="hybridMultilevel"/>
    <w:lvl w:ilvl="0">
      <w:lvlJc w:val="left"/>
      <w:lvlText w:val="(%1)"/>
      <w:numFmt w:val="lowerLetter"/>
      <w:start w:val="3"/>
    </w:lvl>
    <w:lvl w:ilvl="1">
      <w:lvlJc w:val="left"/>
      <w:lvlText w:val="%2"/>
      <w:numFmt w:val="lowerLetter"/>
      <w:start w:val="1"/>
    </w:lvl>
  </w:abstractNum>
  <w:abstractNum w:abstractNumId="68">
    <w:nsid w:val="24E60401"/>
    <w:multiLevelType w:val="hybridMultilevel"/>
    <w:lvl w:ilvl="0">
      <w:lvlJc w:val="left"/>
      <w:lvlText w:val="%1"/>
      <w:numFmt w:val="lowerRoman"/>
      <w:start w:val="1"/>
    </w:lvl>
    <w:lvl w:ilvl="1">
      <w:lvlJc w:val="left"/>
      <w:lvlText w:val="(%2)"/>
      <w:numFmt w:val="lowerLetter"/>
      <w:start w:val="6"/>
    </w:lvl>
  </w:abstractNum>
  <w:abstractNum w:abstractNumId="69">
    <w:nsid w:val="2A6AD9BE"/>
    <w:multiLevelType w:val="hybridMultilevel"/>
    <w:lvl w:ilvl="0">
      <w:lvlJc w:val="left"/>
      <w:lvlText w:val="(%1)"/>
      <w:numFmt w:val="lowerRoman"/>
      <w:start w:val="2"/>
    </w:lvl>
    <w:lvl w:ilvl="1">
      <w:lvlJc w:val="left"/>
      <w:lvlText w:val="%2"/>
      <w:numFmt w:val="lowerLetter"/>
      <w:start w:val="1"/>
    </w:lvl>
  </w:abstractNum>
  <w:abstractNum w:abstractNumId="70">
    <w:nsid w:val="BAAC1B4"/>
    <w:multiLevelType w:val="hybridMultilevel"/>
    <w:lvl w:ilvl="0">
      <w:lvlJc w:val="left"/>
      <w:lvlText w:val="(%1)"/>
      <w:numFmt w:val="lowerLetter"/>
      <w:start w:val="7"/>
    </w:lvl>
  </w:abstractNum>
  <w:abstractNum w:abstractNumId="71">
    <w:nsid w:val="36B2ACBC"/>
    <w:multiLevelType w:val="hybridMultilevel"/>
    <w:lvl w:ilvl="0">
      <w:lvlJc w:val="left"/>
      <w:lvlText w:val="(%1)"/>
      <w:numFmt w:val="lowerLetter"/>
      <w:start w:val="25"/>
    </w:lvl>
    <w:lvl w:ilvl="1">
      <w:lvlJc w:val="left"/>
      <w:lvlText w:val="(%2)"/>
      <w:numFmt w:val="lowerLetter"/>
      <w:start w:val="9"/>
    </w:lvl>
    <w:lvl w:ilvl="2">
      <w:lvlJc w:val="left"/>
      <w:lvlText w:val="(%3)"/>
      <w:numFmt w:val="lowerLetter"/>
      <w:start w:val="9"/>
    </w:lvl>
  </w:abstractNum>
  <w:abstractNum w:abstractNumId="72">
    <w:nsid w:val="779D8544"/>
    <w:multiLevelType w:val="hybridMultilevel"/>
    <w:lvl w:ilvl="0">
      <w:lvlJc w:val="left"/>
      <w:lvlText w:val="(%1)"/>
      <w:numFmt w:val="lowerLetter"/>
      <w:start w:val="11"/>
    </w:lvl>
  </w:abstractNum>
  <w:abstractNum w:abstractNumId="73">
    <w:nsid w:val="4AB26E78"/>
    <w:multiLevelType w:val="hybridMultilevel"/>
    <w:lvl w:ilvl="0">
      <w:lvlJc w:val="left"/>
      <w:lvlText w:val="(%1)"/>
      <w:numFmt w:val="lowerLetter"/>
      <w:start w:val="24"/>
    </w:lvl>
    <w:lvl w:ilvl="1">
      <w:lvlJc w:val="left"/>
      <w:lvlText w:val="(%2)"/>
      <w:numFmt w:val="lowerLetter"/>
      <w:start w:val="2"/>
    </w:lvl>
  </w:abstractNum>
  <w:abstractNum w:abstractNumId="74">
    <w:nsid w:val="21FAA2FA"/>
    <w:multiLevelType w:val="hybridMultilevel"/>
    <w:lvl w:ilvl="0">
      <w:lvlJc w:val="left"/>
      <w:lvlText w:val="(%1)"/>
      <w:numFmt w:val="lowerLetter"/>
      <w:start w:val="1"/>
    </w:lvl>
    <w:lvl w:ilvl="1">
      <w:lvlJc w:val="left"/>
      <w:lvlText w:val="%2"/>
      <w:numFmt w:val="lowerLetter"/>
      <w:start w:val="1"/>
    </w:lvl>
  </w:abstractNum>
  <w:abstractNum w:abstractNumId="75">
    <w:nsid w:val="5451CF49"/>
    <w:multiLevelType w:val="hybridMultilevel"/>
    <w:lvl w:ilvl="0">
      <w:lvlJc w:val="left"/>
      <w:lvlText w:val="(%1)"/>
      <w:numFmt w:val="lowerLetter"/>
      <w:start w:val="2"/>
    </w:lvl>
  </w:abstractNum>
  <w:abstractNum w:abstractNumId="76">
    <w:nsid w:val="6181EF69"/>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77">
    <w:nsid w:val="3E6400E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78">
    <w:nsid w:val="14217E23"/>
    <w:multiLevelType w:val="hybridMultilevel"/>
    <w:lvl w:ilvl="0">
      <w:lvlJc w:val="left"/>
      <w:lvlText w:val="(%1)"/>
      <w:numFmt w:val="lowerLetter"/>
      <w:start w:val="4"/>
    </w:lvl>
  </w:abstractNum>
  <w:abstractNum w:abstractNumId="79">
    <w:nsid w:val="710757D0"/>
    <w:multiLevelType w:val="hybridMultilevel"/>
    <w:lvl w:ilvl="0">
      <w:lvlJc w:val="left"/>
      <w:lvlText w:val="(%1)"/>
      <w:numFmt w:val="lowerRoman"/>
      <w:start w:val="2"/>
    </w:lvl>
  </w:abstractNum>
  <w:abstractNum w:abstractNumId="80">
    <w:nsid w:val="5015CD1A"/>
    <w:multiLevelType w:val="hybridMultilevel"/>
    <w:lvl w:ilvl="0">
      <w:lvlJc w:val="left"/>
      <w:lvlText w:val="%1"/>
      <w:numFmt w:val="lowerLetter"/>
      <w:start w:val="1"/>
    </w:lvl>
    <w:lvl w:ilvl="1">
      <w:lvlJc w:val="left"/>
      <w:lvlText w:val="(%2)"/>
      <w:numFmt w:val="lowerLetter"/>
      <w:start w:val="2"/>
    </w:lvl>
  </w:abstractNum>
  <w:abstractNum w:abstractNumId="81">
    <w:nsid w:val="424479DA"/>
    <w:multiLevelType w:val="hybridMultilevel"/>
    <w:lvl w:ilvl="0">
      <w:lvlJc w:val="left"/>
      <w:lvlText w:val="(%1)"/>
      <w:numFmt w:val="lowerLetter"/>
      <w:start w:val="9"/>
    </w:lvl>
    <w:lvl w:ilvl="1">
      <w:lvlJc w:val="left"/>
      <w:lvlText w:val="(%2)"/>
      <w:numFmt w:val="lowerLetter"/>
      <w:start w:val="3"/>
    </w:lvl>
  </w:abstractNum>
  <w:abstractNum w:abstractNumId="82">
    <w:nsid w:val="1A9A9E69"/>
    <w:multiLevelType w:val="hybridMultilevel"/>
    <w:lvl w:ilvl="0">
      <w:lvlJc w:val="left"/>
      <w:lvlText w:val="(%1)"/>
      <w:numFmt w:val="lowerLetter"/>
      <w:start w:val="2"/>
    </w:lvl>
  </w:abstractNum>
  <w:abstractNum w:abstractNumId="83">
    <w:nsid w:val="475E256A"/>
    <w:multiLevelType w:val="hybridMultilevel"/>
    <w:lvl w:ilvl="0">
      <w:lvlJc w:val="left"/>
      <w:lvlText w:val="(%1)"/>
      <w:numFmt w:val="lowerLetter"/>
      <w:start w:val="2"/>
    </w:lvl>
  </w:abstractNum>
  <w:abstractNum w:abstractNumId="84">
    <w:nsid w:val="368DB37E"/>
    <w:multiLevelType w:val="hybridMultilevel"/>
    <w:lvl w:ilvl="0">
      <w:lvlJc w:val="left"/>
      <w:lvlText w:val="(%1)"/>
      <w:numFmt w:val="lowerLetter"/>
      <w:start w:val="4"/>
    </w:lvl>
  </w:abstractNum>
  <w:abstractNum w:abstractNumId="85">
    <w:nsid w:val="6A3B714C"/>
    <w:multiLevelType w:val="hybridMultilevel"/>
    <w:lvl w:ilvl="0">
      <w:lvlJc w:val="left"/>
      <w:lvlText w:val="(%1)"/>
      <w:numFmt w:val="lowerLetter"/>
      <w:start w:val="2"/>
    </w:lvl>
  </w:abstractNum>
  <w:abstractNum w:abstractNumId="86">
    <w:nsid w:val="327B517E"/>
    <w:multiLevelType w:val="hybridMultilevel"/>
    <w:lvl w:ilvl="0">
      <w:lvlJc w:val="left"/>
      <w:lvlText w:val="(%1)"/>
      <w:numFmt w:val="lowerLetter"/>
      <w:start w:val="2"/>
    </w:lvl>
  </w:abstractNum>
  <w:abstractNum w:abstractNumId="87">
    <w:nsid w:val="1F461B51"/>
    <w:multiLevelType w:val="hybridMultilevel"/>
    <w:lvl w:ilvl="0">
      <w:lvlJc w:val="left"/>
      <w:lvlText w:val="(%1)"/>
      <w:numFmt w:val="lowerLetter"/>
      <w:start w:val="3"/>
    </w:lvl>
  </w:abstractNum>
  <w:abstractNum w:abstractNumId="88">
    <w:nsid w:val="29BACF25"/>
    <w:multiLevelType w:val="hybridMultilevel"/>
    <w:lvl w:ilvl="0">
      <w:lvlJc w:val="left"/>
      <w:lvlText w:val="(%1)"/>
      <w:numFmt w:val="lowerLetter"/>
      <w:start w:val="6"/>
    </w:lvl>
    <w:lvl w:ilvl="1">
      <w:lvlJc w:val="left"/>
      <w:lvlText w:val="(%2)"/>
      <w:numFmt w:val="lowerLetter"/>
      <w:start w:val="9"/>
    </w:lvl>
  </w:abstractNum>
  <w:abstractNum w:abstractNumId="89">
    <w:nsid w:val="5D5BABB3"/>
    <w:multiLevelType w:val="hybridMultilevel"/>
    <w:lvl w:ilvl="0">
      <w:lvlJc w:val="left"/>
      <w:lvlText w:val="(%1)"/>
      <w:numFmt w:val="lowerRoman"/>
      <w:start w:val="2"/>
    </w:lvl>
  </w:abstractNum>
  <w:abstractNum w:abstractNumId="90">
    <w:nsid w:val="51BF6B48"/>
    <w:multiLevelType w:val="hybridMultilevel"/>
    <w:lvl w:ilvl="0">
      <w:lvlJc w:val="left"/>
      <w:lvlText w:val="(%1)"/>
      <w:numFmt w:val="lowerRoman"/>
      <w:start w:val="10"/>
    </w:lvl>
  </w:abstractNum>
  <w:abstractNum w:abstractNumId="91">
    <w:nsid w:val="7E0F6384"/>
    <w:multiLevelType w:val="hybridMultilevel"/>
    <w:lvl w:ilvl="0">
      <w:lvlJc w:val="left"/>
      <w:lvlText w:val="(%1)"/>
      <w:numFmt w:val="lowerLetter"/>
      <w:start w:val="2"/>
    </w:lvl>
  </w:abstractNum>
  <w:abstractNum w:abstractNumId="92">
    <w:nsid w:val="2B4B8B53"/>
    <w:multiLevelType w:val="hybridMultilevel"/>
    <w:lvl w:ilvl="0">
      <w:lvlJc w:val="left"/>
      <w:lvlText w:val="%1"/>
      <w:numFmt w:val="lowerLetter"/>
      <w:start w:val="1"/>
    </w:lvl>
    <w:lvl w:ilvl="1">
      <w:lvlJc w:val="left"/>
      <w:lvlText w:val="(%2)"/>
      <w:numFmt w:val="lowerLetter"/>
      <w:start w:val="4"/>
    </w:lvl>
  </w:abstractNum>
  <w:abstractNum w:abstractNumId="93">
    <w:nsid w:val="72E3413A"/>
    <w:multiLevelType w:val="hybridMultilevel"/>
    <w:lvl w:ilvl="0">
      <w:lvlJc w:val="left"/>
      <w:lvlText w:val="(%1)"/>
      <w:numFmt w:val="lowerLetter"/>
      <w:start w:val="24"/>
    </w:lvl>
    <w:lvl w:ilvl="1">
      <w:lvlJc w:val="left"/>
      <w:lvlText w:val="%2"/>
      <w:numFmt w:val="lowerLetter"/>
      <w:start w:val="1"/>
    </w:lvl>
  </w:abstractNum>
  <w:abstractNum w:abstractNumId="94">
    <w:nsid w:val="116AE494"/>
    <w:multiLevelType w:val="hybridMultilevel"/>
    <w:lvl w:ilvl="0">
      <w:lvlJc w:val="left"/>
      <w:lvlText w:val="(%1)"/>
      <w:numFmt w:val="upperLetter"/>
      <w:start w:val="1"/>
    </w:lvl>
  </w:abstractNum>
  <w:abstractNum w:abstractNumId="95">
    <w:nsid w:val="3494B2FB"/>
    <w:multiLevelType w:val="hybridMultilevel"/>
    <w:lvl w:ilvl="0">
      <w:lvlJc w:val="left"/>
      <w:lvlText w:val="(%1)"/>
      <w:numFmt w:val="lowerRoman"/>
      <w:start w:val="1"/>
    </w:lvl>
  </w:abstractNum>
  <w:abstractNum w:abstractNumId="96">
    <w:nsid w:val="B13A31"/>
    <w:multiLevelType w:val="hybridMultilevel"/>
    <w:lvl w:ilvl="0">
      <w:lvlJc w:val="left"/>
      <w:lvlText w:val="(%1)"/>
      <w:numFmt w:val="lowerLetter"/>
      <w:start w:val="2"/>
    </w:lvl>
  </w:abstractNum>
  <w:abstractNum w:abstractNumId="97">
    <w:nsid w:val="64429599"/>
    <w:multiLevelType w:val="hybridMultilevel"/>
    <w:lvl w:ilvl="0">
      <w:lvlJc w:val="left"/>
      <w:lvlText w:val="(%1)"/>
      <w:numFmt w:val="lowerLetter"/>
      <w:start w:val="2"/>
    </w:lvl>
  </w:abstractNum>
  <w:abstractNum w:abstractNumId="98">
    <w:nsid w:val="631F1690"/>
    <w:multiLevelType w:val="hybridMultilevel"/>
    <w:lvl w:ilvl="0">
      <w:lvlJc w:val="left"/>
      <w:lvlText w:val="(%1)"/>
      <w:numFmt w:val="lowerLetter"/>
      <w:start w:val="2"/>
    </w:lvl>
  </w:abstractNum>
  <w:abstractNum w:abstractNumId="99">
    <w:nsid w:val="25973E32"/>
    <w:multiLevelType w:val="hybridMultilevel"/>
    <w:lvl w:ilvl="0">
      <w:lvlJc w:val="left"/>
      <w:lvlText w:val="(%1)"/>
      <w:numFmt w:val="lowerLetter"/>
      <w:start w:val="3"/>
    </w:lvl>
  </w:abstractNum>
  <w:abstractNum w:abstractNumId="100">
    <w:nsid w:val="EAD6F57"/>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01">
    <w:nsid w:val="6EC9D844"/>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02">
    <w:nsid w:val="5C49EAEE"/>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03">
    <w:nsid w:val="64AF49B"/>
    <w:multiLevelType w:val="hybridMultilevel"/>
    <w:lvl w:ilvl="0">
      <w:lvlJc w:val="left"/>
      <w:lvlText w:val="(%1)"/>
      <w:numFmt w:val="lowerRoman"/>
      <w:start w:val="10"/>
    </w:lvl>
    <w:lvl w:ilvl="1">
      <w:lvlJc w:val="left"/>
      <w:lvlText w:val="(%2)"/>
      <w:numFmt w:val="decimal"/>
      <w:start w:val="2"/>
    </w:lvl>
    <w:lvl w:ilvl="2">
      <w:lvlJc w:val="left"/>
      <w:lvlText w:val="%3"/>
      <w:numFmt w:val="upperLetter"/>
      <w:start w:val="1"/>
    </w:lvl>
    <w:lvl w:ilvl="3">
      <w:lvlJc w:val="left"/>
      <w:lvlText w:val="%4"/>
      <w:numFmt w:val="lowerRoman"/>
      <w:start w:val="1"/>
    </w:lvl>
  </w:abstractNum>
  <w:abstractNum w:abstractNumId="104">
    <w:nsid w:val="397C46BC"/>
    <w:multiLevelType w:val="hybridMultilevel"/>
    <w:lvl w:ilvl="0">
      <w:lvlJc w:val="left"/>
      <w:lvlText w:val="(%1)"/>
      <w:numFmt w:val="decimal"/>
      <w:start w:val="3"/>
    </w:lvl>
  </w:abstractNum>
  <w:abstractNum w:abstractNumId="105">
    <w:nsid w:val="7E448DE9"/>
    <w:multiLevelType w:val="hybridMultilevel"/>
    <w:lvl w:ilvl="0">
      <w:lvlJc w:val="left"/>
      <w:lvlText w:val="(%1)"/>
      <w:numFmt w:val="upperLetter"/>
      <w:start w:val="3"/>
    </w:lvl>
  </w:abstractNum>
  <w:abstractNum w:abstractNumId="106">
    <w:nsid w:val="5A9CC3E5"/>
    <w:multiLevelType w:val="hybridMultilevel"/>
    <w:lvl w:ilvl="0">
      <w:lvlJc w:val="left"/>
      <w:lvlText w:val="(%1)"/>
      <w:numFmt w:val="lowerLetter"/>
      <w:start w:val="7"/>
    </w:lvl>
  </w:abstractNum>
  <w:abstractNum w:abstractNumId="107">
    <w:nsid w:val="1AFE3625"/>
    <w:multiLevelType w:val="hybridMultilevel"/>
    <w:lvl w:ilvl="0">
      <w:lvlJc w:val="left"/>
      <w:lvlText w:val="(%1)"/>
      <w:numFmt w:val="lowerLetter"/>
      <w:start w:val="8"/>
    </w:lvl>
  </w:abstractNum>
  <w:abstractNum w:abstractNumId="108">
    <w:nsid w:val="3CA88ECF"/>
    <w:multiLevelType w:val="hybridMultilevel"/>
    <w:lvl w:ilvl="0">
      <w:lvlJc w:val="left"/>
      <w:lvlText w:val="(%1)"/>
      <w:numFmt w:val="lowerLetter"/>
      <w:start w:val="2"/>
    </w:lvl>
  </w:abstractNum>
  <w:abstractNum w:abstractNumId="109">
    <w:nsid w:val="6EBE4208"/>
    <w:multiLevelType w:val="hybridMultilevel"/>
    <w:lvl w:ilvl="0">
      <w:lvlJc w:val="left"/>
      <w:lvlText w:val="%1"/>
      <w:numFmt w:val="lowerLetter"/>
      <w:start w:val="1"/>
    </w:lvl>
    <w:lvl w:ilvl="1">
      <w:lvlJc w:val="left"/>
      <w:lvlText w:val="(%2)"/>
      <w:numFmt w:val="lowerLetter"/>
      <w:start w:val="3"/>
    </w:lvl>
  </w:abstractNum>
  <w:abstractNum w:abstractNumId="110">
    <w:nsid w:val="C058DF5"/>
    <w:multiLevelType w:val="hybridMultilevel"/>
    <w:lvl w:ilvl="0">
      <w:lvlJc w:val="left"/>
      <w:lvlText w:val="(%1)"/>
      <w:numFmt w:val="lowerLetter"/>
      <w:start w:val="35"/>
    </w:lvl>
    <w:lvl w:ilvl="1">
      <w:lvlJc w:val="left"/>
      <w:lvlText w:val="%2"/>
      <w:numFmt w:val="lowerLetter"/>
      <w:start w:val="1"/>
    </w:lvl>
  </w:abstractNum>
  <w:abstractNum w:abstractNumId="111">
    <w:nsid w:val="CBE5BE9"/>
    <w:multiLevelType w:val="hybridMultilevel"/>
    <w:lvl w:ilvl="0">
      <w:lvlJc w:val="left"/>
      <w:lvlText w:val="(%1)"/>
      <w:numFmt w:val="lowerLetter"/>
      <w:start w:val="5"/>
    </w:lvl>
  </w:abstractNum>
  <w:abstractNum w:abstractNumId="112">
    <w:nsid w:val="3102BBE2"/>
    <w:multiLevelType w:val="hybridMultilevel"/>
    <w:lvl w:ilvl="0">
      <w:lvlJc w:val="left"/>
      <w:lvlText w:val="(%1)"/>
      <w:numFmt w:val="lowerLetter"/>
      <w:start w:val="2"/>
    </w:lvl>
  </w:abstractNum>
  <w:abstractNum w:abstractNumId="113">
    <w:nsid w:val="26A02C5E"/>
    <w:multiLevelType w:val="hybridMultilevel"/>
    <w:lvl w:ilvl="0">
      <w:lvlJc w:val="left"/>
      <w:lvlText w:val="(%1)"/>
      <w:numFmt w:val="lowerRoman"/>
      <w:start w:val="2"/>
    </w:lvl>
  </w:abstractNum>
  <w:abstractNum w:abstractNumId="114">
    <w:nsid w:val="541C8153"/>
    <w:multiLevelType w:val="hybridMultilevel"/>
    <w:lvl w:ilvl="0">
      <w:lvlJc w:val="left"/>
      <w:lvlText w:val="(%1)"/>
      <w:numFmt w:val="lowerLetter"/>
      <w:start w:val="1"/>
    </w:lvl>
  </w:abstractNum>
  <w:abstractNum w:abstractNumId="115">
    <w:nsid w:val="67906F60"/>
    <w:multiLevelType w:val="hybridMultilevel"/>
    <w:lvl w:ilvl="0">
      <w:lvlJc w:val="left"/>
      <w:lvlText w:val="(%1)"/>
      <w:numFmt w:val="lowerLetter"/>
      <w:start w:val="3"/>
    </w:lvl>
    <w:lvl w:ilvl="1">
      <w:lvlJc w:val="left"/>
      <w:lvlText w:val="(%2)"/>
      <w:numFmt w:val="lowerRoman"/>
      <w:start w:val="1"/>
    </w:lvl>
  </w:abstractNum>
  <w:abstractNum w:abstractNumId="116">
    <w:nsid w:val="10DB9DAA"/>
    <w:multiLevelType w:val="hybridMultilevel"/>
    <w:lvl w:ilvl="0">
      <w:lvlJc w:val="left"/>
      <w:lvlText w:val="%1"/>
      <w:numFmt w:val="lowerLetter"/>
      <w:start w:val="1"/>
    </w:lvl>
    <w:lvl w:ilvl="1">
      <w:lvlJc w:val="left"/>
      <w:lvlText w:val="(%2)"/>
      <w:numFmt w:val="lowerRoman"/>
      <w:start w:val="3"/>
    </w:lvl>
  </w:abstractNum>
  <w:abstractNum w:abstractNumId="117">
    <w:nsid w:val="697D2D2"/>
    <w:multiLevelType w:val="hybridMultilevel"/>
    <w:lvl w:ilvl="0">
      <w:lvlJc w:val="left"/>
      <w:lvlText w:val="(%1)"/>
      <w:numFmt w:val="lowerLetter"/>
      <w:start w:val="5"/>
    </w:lvl>
    <w:lvl w:ilvl="1">
      <w:lvlJc w:val="left"/>
      <w:lvlText w:val="%2"/>
      <w:numFmt w:val="lowerRoman"/>
      <w:start w:val="1"/>
    </w:lvl>
  </w:abstractNum>
  <w:abstractNum w:abstractNumId="118">
    <w:nsid w:val="6D68AB2"/>
    <w:multiLevelType w:val="hybridMultilevel"/>
    <w:lvl w:ilvl="0">
      <w:lvlJc w:val="left"/>
      <w:lvlText w:val="(%1)"/>
      <w:numFmt w:val="lowerLetter"/>
      <w:start w:val="7"/>
    </w:lvl>
  </w:abstractNum>
  <w:abstractNum w:abstractNumId="119">
    <w:nsid w:val="3A966CD0"/>
    <w:multiLevelType w:val="hybridMultilevel"/>
    <w:lvl w:ilvl="0">
      <w:lvlJc w:val="left"/>
      <w:lvlText w:val="(%1)"/>
      <w:numFmt w:val="lowerRoman"/>
      <w:start w:val="2"/>
    </w:lvl>
  </w:abstractNum>
  <w:abstractNum w:abstractNumId="120">
    <w:nsid w:val="63F37E85"/>
    <w:multiLevelType w:val="hybridMultilevel"/>
    <w:lvl w:ilvl="0">
      <w:lvlJc w:val="left"/>
      <w:lvlText w:val="(%1)"/>
      <w:numFmt w:val="decimal"/>
      <w:start w:val="1"/>
    </w:lvl>
  </w:abstractNum>
  <w:abstractNum w:abstractNumId="121">
    <w:nsid w:val="5895F5FA"/>
    <w:multiLevelType w:val="hybridMultilevel"/>
    <w:lvl w:ilvl="0">
      <w:lvlJc w:val="left"/>
      <w:lvlText w:val="(%1)"/>
      <w:numFmt w:val="lowerLetter"/>
      <w:start w:val="1"/>
    </w:lvl>
  </w:abstractNum>
  <w:abstractNum w:abstractNumId="122">
    <w:nsid w:val="38A5D054"/>
    <w:multiLevelType w:val="hybridMultilevel"/>
    <w:lvl w:ilvl="0">
      <w:lvlJc w:val="left"/>
      <w:lvlText w:val="(%1)"/>
      <w:numFmt w:val="lowerRoman"/>
      <w:start w:val="1"/>
    </w:lvl>
  </w:abstractNum>
  <w:abstractNum w:abstractNumId="123">
    <w:nsid w:val="F3F09D8"/>
    <w:multiLevelType w:val="hybridMultilevel"/>
    <w:lvl w:ilvl="0">
      <w:lvlJc w:val="left"/>
      <w:lvlText w:val="%1"/>
      <w:numFmt w:val="lowerLetter"/>
      <w:start w:val="1"/>
    </w:lvl>
    <w:lvl w:ilvl="1">
      <w:lvlJc w:val="left"/>
      <w:lvlText w:val="(%2)"/>
      <w:numFmt w:val="lowerLetter"/>
      <w:start w:val="1"/>
    </w:lvl>
  </w:abstractNum>
  <w:abstractNum w:abstractNumId="124">
    <w:nsid w:val="4B793735"/>
    <w:multiLevelType w:val="hybridMultilevel"/>
    <w:lvl w:ilvl="0">
      <w:lvlJc w:val="left"/>
      <w:lvlText w:val="(%1)"/>
      <w:numFmt w:val="lowerLetter"/>
      <w:start w:val="9"/>
    </w:lvl>
    <w:lvl w:ilvl="1">
      <w:lvlJc w:val="left"/>
      <w:lvlText w:val="(%2)"/>
      <w:numFmt w:val="lowerLetter"/>
      <w:start w:val="3"/>
    </w:lvl>
  </w:abstractNum>
  <w:abstractNum w:abstractNumId="125">
    <w:nsid w:val="4A10B4E8"/>
    <w:multiLevelType w:val="hybridMultilevel"/>
    <w:lvl w:ilvl="0">
      <w:lvlJc w:val="left"/>
      <w:lvlText w:val="(%1)"/>
      <w:numFmt w:val="lowerLetter"/>
      <w:start w:val="1"/>
    </w:lvl>
  </w:abstractNum>
  <w:abstractNum w:abstractNumId="126">
    <w:nsid w:val="43D3BCD4"/>
    <w:multiLevelType w:val="hybridMultilevel"/>
    <w:lvl w:ilvl="0">
      <w:lvlJc w:val="left"/>
      <w:lvlText w:val="(%1)"/>
      <w:numFmt w:val="lowerLetter"/>
      <w:start w:val="2"/>
    </w:lvl>
  </w:abstractNum>
  <w:abstractNum w:abstractNumId="127">
    <w:nsid w:val="4C2A7166"/>
    <w:multiLevelType w:val="hybridMultilevel"/>
    <w:lvl w:ilvl="0">
      <w:lvlJc w:val="left"/>
      <w:lvlText w:val="(%1)"/>
      <w:numFmt w:val="lowerLetter"/>
      <w:start w:val="1"/>
    </w:lvl>
  </w:abstractNum>
  <w:abstractNum w:abstractNumId="128">
    <w:nsid w:val="2E534A82"/>
    <w:multiLevelType w:val="hybridMultilevel"/>
    <w:lvl w:ilvl="0">
      <w:lvlJc w:val="left"/>
      <w:lvlText w:val="(%1)"/>
      <w:numFmt w:val="lowerLetter"/>
      <w:start w:val="1"/>
    </w:lvl>
  </w:abstractNum>
  <w:abstractNum w:abstractNumId="129">
    <w:nsid w:val="26F2D364"/>
    <w:multiLevelType w:val="hybridMultilevel"/>
    <w:lvl w:ilvl="0">
      <w:lvlJc w:val="left"/>
      <w:lvlText w:val="(%1)"/>
      <w:numFmt w:val="lowerLetter"/>
      <w:start w:val="1"/>
    </w:lvl>
  </w:abstractNum>
  <w:abstractNum w:abstractNumId="130">
    <w:nsid w:val="71C1AF98"/>
    <w:multiLevelType w:val="hybridMultilevel"/>
    <w:lvl w:ilvl="0">
      <w:lvlJc w:val="left"/>
      <w:lvlText w:val="(%1)"/>
      <w:numFmt w:val="lowerLetter"/>
      <w:start w:val="2"/>
    </w:lvl>
  </w:abstractNum>
  <w:abstractNum w:abstractNumId="131">
    <w:nsid w:val="3D00B9D9"/>
    <w:multiLevelType w:val="hybridMultilevel"/>
    <w:lvl w:ilvl="0">
      <w:lvlJc w:val="left"/>
      <w:lvlText w:val="(%1)"/>
      <w:numFmt w:val="lowerLetter"/>
      <w:start w:val="1"/>
    </w:lvl>
    <w:lvl w:ilvl="1">
      <w:lvlJc w:val="left"/>
      <w:lvlText w:val="(%2)"/>
      <w:numFmt w:val="lowerRoman"/>
      <w:start w:val="1"/>
    </w:lvl>
  </w:abstractNum>
  <w:abstractNum w:abstractNumId="132">
    <w:nsid w:val="15BCAB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133">
    <w:nsid w:val="4E0B9A87"/>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134">
    <w:nsid w:val="434BAE7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35">
    <w:nsid w:val="4F38F265"/>
    <w:multiLevelType w:val="hybridMultilevel"/>
    <w:lvl w:ilvl="0">
      <w:lvlJc w:val="left"/>
      <w:lvlText w:val="(%1)"/>
      <w:numFmt w:val="lowerLetter"/>
      <w:start w:val="1"/>
    </w:lvl>
  </w:abstractNum>
  <w:abstractNum w:abstractNumId="136">
    <w:nsid w:val="4C502870"/>
    <w:multiLevelType w:val="hybridMultilevel"/>
    <w:lvl w:ilvl="0">
      <w:lvlJc w:val="left"/>
      <w:lvlText w:val="(%1)"/>
      <w:numFmt w:val="lowerLetter"/>
      <w:start w:val="3"/>
    </w:lvl>
  </w:abstractNum>
  <w:abstractNum w:abstractNumId="137">
    <w:nsid w:val="1DE8725A"/>
    <w:multiLevelType w:val="hybridMultilevel"/>
    <w:lvl w:ilvl="0">
      <w:lvlJc w:val="left"/>
      <w:lvlText w:val="(%1)"/>
      <w:numFmt w:val="lowerLetter"/>
      <w:start w:val="9"/>
    </w:lvl>
  </w:abstractNum>
  <w:abstractNum w:abstractNumId="138">
    <w:nsid w:val="6A37288A"/>
    <w:multiLevelType w:val="hybridMultilevel"/>
    <w:lvl w:ilvl="0">
      <w:lvlJc w:val="left"/>
      <w:lvlText w:val="(%1)"/>
      <w:numFmt w:val="lowerLetter"/>
      <w:start w:val="1"/>
    </w:lvl>
  </w:abstractNum>
  <w:abstractNum w:abstractNumId="139">
    <w:nsid w:val="8F8B73F"/>
    <w:multiLevelType w:val="hybridMultilevel"/>
    <w:lvl w:ilvl="0">
      <w:lvlJc w:val="left"/>
      <w:lvlText w:val="(%1)"/>
      <w:numFmt w:val="lowerLetter"/>
      <w:start w:val="1"/>
    </w:lvl>
  </w:abstractNum>
  <w:abstractNum w:abstractNumId="140">
    <w:nsid w:val="CA6B462"/>
    <w:multiLevelType w:val="hybridMultilevel"/>
    <w:lvl w:ilvl="0">
      <w:lvlJc w:val="left"/>
      <w:lvlText w:val="(%1)"/>
      <w:numFmt w:val="lowerLetter"/>
      <w:start w:val="2"/>
    </w:lvl>
  </w:abstractNum>
  <w:abstractNum w:abstractNumId="141">
    <w:nsid w:val="763CB680"/>
    <w:multiLevelType w:val="hybridMultilevel"/>
    <w:lvl w:ilvl="0">
      <w:lvlJc w:val="left"/>
      <w:lvlText w:val="(%1)"/>
      <w:numFmt w:val="decimal"/>
      <w:start w:val="5"/>
    </w:lvl>
  </w:abstractNum>
  <w:abstractNum w:abstractNumId="142">
    <w:nsid w:val="15B71329"/>
    <w:multiLevelType w:val="hybridMultilevel"/>
    <w:lvl w:ilvl="0">
      <w:lvlJc w:val="left"/>
      <w:lvlText w:val="(%1)"/>
      <w:numFmt w:val="lowerLetter"/>
      <w:start w:val="1"/>
    </w:lvl>
  </w:abstractNum>
  <w:abstractNum w:abstractNumId="143">
    <w:nsid w:val="3DA97044"/>
    <w:multiLevelType w:val="hybridMultilevel"/>
    <w:lvl w:ilvl="0">
      <w:lvlJc w:val="left"/>
      <w:lvlText w:val="(%1)"/>
      <w:numFmt w:val="decimal"/>
      <w:start w:val="30"/>
    </w:lvl>
  </w:abstractNum>
  <w:abstractNum w:abstractNumId="144">
    <w:nsid w:val="1CDCE2DE"/>
    <w:multiLevelType w:val="hybridMultilevel"/>
    <w:lvl w:ilvl="0">
      <w:lvlJc w:val="left"/>
      <w:lvlText w:val="%1"/>
      <w:numFmt w:val="decimal"/>
      <w:start w:val="1"/>
    </w:lvl>
    <w:lvl w:ilvl="1">
      <w:lvlJc w:val="left"/>
      <w:lvlText w:val="(%2)"/>
      <w:numFmt w:val="lowerLetter"/>
      <w:start w:val="1"/>
    </w:lvl>
  </w:abstractNum>
  <w:abstractNum w:abstractNumId="145">
    <w:nsid w:val="69D3947C"/>
    <w:multiLevelType w:val="hybridMultilevel"/>
    <w:lvl w:ilvl="0">
      <w:lvlJc w:val="left"/>
      <w:lvlText w:val="(%1)"/>
      <w:numFmt w:val="decimal"/>
      <w:start w:val="12"/>
    </w:lvl>
    <w:lvl w:ilvl="1">
      <w:lvlJc w:val="left"/>
      <w:lvlText w:val="%2"/>
      <w:numFmt w:val="lowerLetter"/>
      <w:start w:val="1"/>
    </w:lvl>
  </w:abstractNum>
  <w:abstractNum w:abstractNumId="146">
    <w:nsid w:val="2539DFA5"/>
    <w:multiLevelType w:val="hybridMultilevel"/>
    <w:lvl w:ilvl="0">
      <w:lvlJc w:val="left"/>
      <w:lvlText w:val="(%1)"/>
      <w:numFmt w:val="lowerLetter"/>
      <w:start w:val="1"/>
    </w:lvl>
  </w:abstractNum>
  <w:abstractNum w:abstractNumId="147">
    <w:nsid w:val="2DB88089"/>
    <w:multiLevelType w:val="hybridMultilevel"/>
    <w:lvl w:ilvl="0">
      <w:lvlJc w:val="left"/>
      <w:lvlText w:val="(%1)"/>
      <w:numFmt w:val="decimal"/>
      <w:start w:val="30"/>
    </w:lvl>
  </w:abstractNum>
  <w:abstractNum w:abstractNumId="148">
    <w:nsid w:val="706B674E"/>
    <w:multiLevelType w:val="hybridMultilevel"/>
    <w:lvl w:ilvl="0">
      <w:lvlJc w:val="left"/>
      <w:lvlText w:val="(%1)"/>
      <w:numFmt w:val="lowerLetter"/>
      <w:start w:val="1"/>
    </w:lvl>
    <w:lvl w:ilvl="1">
      <w:lvlJc w:val="left"/>
      <w:lvlText w:val="(%2)"/>
      <w:numFmt w:val="lowerLetter"/>
      <w:start w:val="2"/>
    </w:lvl>
  </w:abstractNum>
  <w:abstractNum w:abstractNumId="149">
    <w:nsid w:val="2C106A57"/>
    <w:multiLevelType w:val="hybridMultilevel"/>
    <w:lvl w:ilvl="0">
      <w:lvlJc w:val="left"/>
      <w:lvlText w:val="(%1)"/>
      <w:numFmt w:val="lowerLetter"/>
      <w:start w:val="1"/>
    </w:lvl>
  </w:abstractNum>
  <w:abstractNum w:abstractNumId="150">
    <w:nsid w:val="684EED59"/>
    <w:multiLevelType w:val="hybridMultilevel"/>
    <w:lvl w:ilvl="0">
      <w:lvlJc w:val="left"/>
      <w:lvlText w:val="(%1)"/>
      <w:numFmt w:val="lowerRoman"/>
      <w:start w:val="3"/>
    </w:lvl>
  </w:abstractNum>
  <w:abstractNum w:abstractNumId="151">
    <w:nsid w:val="545EE5D3"/>
    <w:multiLevelType w:val="hybridMultilevel"/>
    <w:lvl w:ilvl="0">
      <w:lvlJc w:val="left"/>
      <w:lvlText w:val="%1"/>
      <w:numFmt w:val="lowerLetter"/>
      <w:start w:val="1"/>
    </w:lvl>
    <w:lvl w:ilvl="1">
      <w:lvlJc w:val="left"/>
      <w:lvlText w:val="(%2)"/>
      <w:numFmt w:val="lowerLetter"/>
      <w:start w:val="1"/>
    </w:lvl>
  </w:abstractNum>
  <w:abstractNum w:abstractNumId="152">
    <w:nsid w:val="4A66051"/>
    <w:multiLevelType w:val="hybridMultilevel"/>
    <w:lvl w:ilvl="0">
      <w:lvlJc w:val="left"/>
      <w:lvlText w:val="(%1)"/>
      <w:numFmt w:val="lowerLetter"/>
      <w:start w:val="61"/>
    </w:lvl>
    <w:lvl w:ilvl="1">
      <w:lvlJc w:val="left"/>
      <w:lvlText w:val="(%2)"/>
      <w:numFmt w:val="lowerLetter"/>
      <w:start w:val="3"/>
    </w:lvl>
  </w:abstractNum>
  <w:abstractNum w:abstractNumId="153">
    <w:nsid w:val="20F4BDAD"/>
    <w:multiLevelType w:val="hybridMultilevel"/>
    <w:lvl w:ilvl="0">
      <w:lvlJc w:val="left"/>
      <w:lvlText w:val="(%1)"/>
      <w:numFmt w:val="lowerLetter"/>
      <w:start w:val="5"/>
    </w:lvl>
  </w:abstractNum>
  <w:abstractNum w:abstractNumId="154">
    <w:nsid w:val="639DEFAC"/>
    <w:multiLevelType w:val="hybridMultilevel"/>
    <w:lvl w:ilvl="0">
      <w:lvlJc w:val="left"/>
      <w:lvlText w:val="(%1)"/>
      <w:numFmt w:val="lowerLetter"/>
      <w:start w:val="1"/>
    </w:lvl>
  </w:abstractNum>
  <w:abstractNum w:abstractNumId="155">
    <w:nsid w:val="501F9786"/>
    <w:multiLevelType w:val="hybridMultilevel"/>
    <w:lvl w:ilvl="0">
      <w:lvlJc w:val="left"/>
      <w:lvlText w:val="(%1)"/>
      <w:numFmt w:val="lowerLetter"/>
      <w:start w:val="4"/>
    </w:lvl>
    <w:lvl w:ilvl="1">
      <w:lvlJc w:val="left"/>
      <w:lvlText w:val="(%2)"/>
      <w:numFmt w:val="lowerRoman"/>
      <w:start w:val="1"/>
    </w:lvl>
  </w:abstractNum>
  <w:abstractNum w:abstractNumId="156">
    <w:nsid w:val="6B057295"/>
    <w:multiLevelType w:val="hybridMultilevel"/>
    <w:lvl w:ilvl="0">
      <w:lvlJc w:val="left"/>
      <w:lvlText w:val="(%1)"/>
      <w:numFmt w:val="lowerRoman"/>
      <w:start w:val="1"/>
    </w:lvl>
  </w:abstractNum>
  <w:abstractNum w:abstractNumId="157">
    <w:nsid w:val="2771AC80"/>
    <w:multiLevelType w:val="hybridMultilevel"/>
    <w:lvl w:ilvl="0">
      <w:lvlJc w:val="left"/>
      <w:lvlText w:val="(%1)"/>
      <w:numFmt w:val="lowerLetter"/>
      <w:start w:val="1"/>
    </w:lvl>
  </w:abstractNum>
  <w:abstractNum w:abstractNumId="158">
    <w:nsid w:val="1C4A08EC"/>
    <w:multiLevelType w:val="hybridMultilevel"/>
    <w:lvl w:ilvl="0">
      <w:lvlJc w:val="left"/>
      <w:lvlText w:val="(%1)"/>
      <w:numFmt w:val="lowerLetter"/>
      <w:start w:val="6"/>
    </w:lvl>
  </w:abstractNum>
  <w:abstractNum w:abstractNumId="159">
    <w:nsid w:val="1958BD17"/>
    <w:multiLevelType w:val="hybridMultilevel"/>
    <w:lvl w:ilvl="0">
      <w:lvlJc w:val="left"/>
      <w:lvlText w:val="(%1)"/>
      <w:numFmt w:val="lowerRoman"/>
      <w:start w:val="1"/>
    </w:lvl>
  </w:abstractNum>
  <w:abstractNum w:abstractNumId="160">
    <w:nsid w:val="4E647FE4"/>
    <w:multiLevelType w:val="hybridMultilevel"/>
    <w:lvl w:ilvl="0">
      <w:lvlJc w:val="left"/>
      <w:lvlText w:val="(%1)"/>
      <w:numFmt w:val="lowerLetter"/>
      <w:start w:val="1"/>
    </w:lvl>
  </w:abstractNum>
  <w:abstractNum w:abstractNumId="161">
    <w:nsid w:val="E0BB885"/>
    <w:multiLevelType w:val="hybridMultilevel"/>
    <w:lvl w:ilvl="0">
      <w:lvlJc w:val="left"/>
      <w:lvlText w:val="(%1)"/>
      <w:numFmt w:val="lowerLetter"/>
      <w:start w:val="1"/>
    </w:lvl>
  </w:abstractNum>
  <w:abstractNum w:abstractNumId="162">
    <w:nsid w:val="565976F1"/>
    <w:multiLevelType w:val="hybridMultilevel"/>
    <w:lvl w:ilvl="0">
      <w:lvlJc w:val="left"/>
      <w:lvlText w:val="(%1)"/>
      <w:numFmt w:val="lowerLetter"/>
      <w:start w:val="4"/>
    </w:lvl>
  </w:abstractNum>
  <w:abstractNum w:abstractNumId="163">
    <w:nsid w:val="64212B8C"/>
    <w:multiLevelType w:val="hybridMultilevel"/>
    <w:lvl w:ilvl="0">
      <w:lvlJc w:val="left"/>
      <w:lvlText w:val="(%1)"/>
      <w:numFmt w:val="lowerLetter"/>
      <w:start w:val="7"/>
    </w:lvl>
  </w:abstractNum>
  <w:abstractNum w:abstractNumId="164">
    <w:nsid w:val="5C17530C"/>
    <w:multiLevelType w:val="hybridMultilevel"/>
    <w:lvl w:ilvl="0">
      <w:lvlJc w:val="left"/>
      <w:lvlText w:val="%1"/>
      <w:numFmt w:val="decimal"/>
      <w:start w:val="1"/>
    </w:lvl>
    <w:lvl w:ilvl="1">
      <w:lvlJc w:val="left"/>
      <w:lvlText w:val="(%2)"/>
      <w:numFmt w:val="lowerLetter"/>
      <w:start w:val="1"/>
    </w:lvl>
  </w:abstractNum>
  <w:abstractNum w:abstractNumId="165">
    <w:nsid w:val="19A52566"/>
    <w:multiLevelType w:val="hybridMultilevel"/>
    <w:lvl w:ilvl="0">
      <w:lvlJc w:val="left"/>
      <w:lvlText w:val="(%1)"/>
      <w:numFmt w:val="decimal"/>
      <w:start w:val="5"/>
    </w:lvl>
    <w:lvl w:ilvl="1">
      <w:lvlJc w:val="left"/>
      <w:lvlText w:val="(%2)"/>
      <w:numFmt w:val="lowerLetter"/>
      <w:start w:val="2"/>
    </w:lvl>
  </w:abstractNum>
  <w:abstractNum w:abstractNumId="166">
    <w:nsid w:val="335A1DF1"/>
    <w:multiLevelType w:val="hybridMultilevel"/>
    <w:lvl w:ilvl="0">
      <w:lvlJc w:val="left"/>
      <w:lvlText w:val="(%1)"/>
      <w:numFmt w:val="lowerLetter"/>
      <w:start w:val="4"/>
    </w:lvl>
  </w:abstractNum>
  <w:abstractNum w:abstractNumId="167">
    <w:nsid w:val="28677B7C"/>
    <w:multiLevelType w:val="hybridMultilevel"/>
    <w:lvl w:ilvl="0">
      <w:lvlJc w:val="left"/>
      <w:lvlText w:val="%1"/>
      <w:numFmt w:val="lowerLetter"/>
      <w:start w:val="1"/>
    </w:lvl>
    <w:lvl w:ilvl="1">
      <w:lvlJc w:val="left"/>
      <w:lvlText w:val="(%2)"/>
      <w:numFmt w:val="lowerLetter"/>
      <w:start w:val="7"/>
    </w:lvl>
  </w:abstractNum>
  <w:abstractNum w:abstractNumId="168">
    <w:nsid w:val="378D97C0"/>
    <w:multiLevelType w:val="hybridMultilevel"/>
    <w:lvl w:ilvl="0">
      <w:lvlJc w:val="left"/>
      <w:lvlText w:val="(%1)"/>
      <w:numFmt w:val="lowerLetter"/>
      <w:start w:val="35"/>
    </w:lvl>
    <w:lvl w:ilvl="1">
      <w:lvlJc w:val="left"/>
      <w:lvlText w:val="(%2)"/>
      <w:numFmt w:val="lowerLetter"/>
      <w:start w:val="8"/>
    </w:lvl>
  </w:abstractNum>
  <w:abstractNum w:abstractNumId="169">
    <w:nsid w:val="1D91467C"/>
    <w:multiLevelType w:val="hybridMultilevel"/>
    <w:lvl w:ilvl="0">
      <w:lvlJc w:val="left"/>
      <w:lvlText w:val="(%1)"/>
      <w:numFmt w:val="lowerLetter"/>
      <w:start w:val="2"/>
    </w:lvl>
  </w:abstractNum>
  <w:abstractNum w:abstractNumId="170">
    <w:nsid w:val="316032BB"/>
    <w:multiLevelType w:val="hybridMultilevel"/>
    <w:lvl w:ilvl="0">
      <w:lvlJc w:val="left"/>
      <w:lvlText w:val="(%1)"/>
      <w:numFmt w:val="lowerLetter"/>
      <w:start w:val="1"/>
    </w:lvl>
    <w:lvl w:ilvl="1">
      <w:lvlJc w:val="left"/>
      <w:lvlText w:val="(%2)"/>
      <w:numFmt w:val="lowerRoman"/>
      <w:start w:val="1"/>
    </w:lvl>
  </w:abstractNum>
  <w:abstractNum w:abstractNumId="171">
    <w:nsid w:val="44344C22"/>
    <w:multiLevelType w:val="hybridMultilevel"/>
    <w:lvl w:ilvl="0">
      <w:lvlJc w:val="left"/>
      <w:lvlText w:val="(%1)"/>
      <w:numFmt w:val="lowerLetter"/>
      <w:start w:val="26"/>
    </w:lvl>
    <w:lvl w:ilvl="1">
      <w:lvlJc w:val="left"/>
      <w:lvlText w:val="(%2)"/>
      <w:numFmt w:val="lowerRoman"/>
      <w:start w:val="5"/>
    </w:lvl>
  </w:abstractNum>
  <w:abstractNum w:abstractNumId="172">
    <w:nsid w:val="13CDFCFC"/>
    <w:multiLevelType w:val="hybridMultilevel"/>
    <w:lvl w:ilvl="0">
      <w:lvlJc w:val="left"/>
      <w:lvlText w:val="(%1)"/>
      <w:numFmt w:val="lowerLetter"/>
      <w:start w:val="2"/>
    </w:lvl>
  </w:abstractNum>
  <w:abstractNum w:abstractNumId="173">
    <w:nsid w:val="471745E4"/>
    <w:multiLevelType w:val="hybridMultilevel"/>
    <w:lvl w:ilvl="0">
      <w:lvlJc w:val="left"/>
      <w:lvlText w:val="(%1)"/>
      <w:numFmt w:val="lowerLetter"/>
      <w:start w:val="2"/>
    </w:lvl>
  </w:abstractNum>
  <w:abstractNum w:abstractNumId="174">
    <w:nsid w:val="1DDBC66"/>
    <w:multiLevelType w:val="hybridMultilevel"/>
    <w:lvl w:ilvl="0">
      <w:lvlJc w:val="left"/>
      <w:lvlText w:val="(%1)"/>
      <w:numFmt w:val="lowerLetter"/>
      <w:start w:val="3"/>
    </w:lvl>
    <w:lvl w:ilvl="1">
      <w:lvlJc w:val="left"/>
      <w:lvlText w:val="(%2)"/>
      <w:numFmt w:val="lowerRoman"/>
      <w:start w:val="1"/>
    </w:lvl>
  </w:abstractNum>
  <w:abstractNum w:abstractNumId="175">
    <w:nsid w:val="30AADFDA"/>
    <w:multiLevelType w:val="hybridMultilevel"/>
    <w:lvl w:ilvl="0">
      <w:lvlJc w:val="left"/>
      <w:lvlText w:val="(%1)"/>
      <w:numFmt w:val="lowerLetter"/>
      <w:start w:val="5"/>
    </w:lvl>
    <w:lvl w:ilvl="1">
      <w:lvlJc w:val="left"/>
      <w:lvlText w:val="(%2)"/>
      <w:numFmt w:val="lowerRoman"/>
      <w:start w:val="1"/>
    </w:lvl>
  </w:abstractNum>
  <w:abstractNum w:abstractNumId="176">
    <w:nsid w:val="30EADA61"/>
    <w:multiLevelType w:val="hybridMultilevel"/>
    <w:lvl w:ilvl="0">
      <w:lvlJc w:val="left"/>
      <w:lvlText w:val="(%1)"/>
      <w:numFmt w:val="lowerLetter"/>
      <w:start w:val="7"/>
    </w:lvl>
  </w:abstractNum>
  <w:abstractNum w:abstractNumId="177">
    <w:nsid w:val="27179C0B"/>
    <w:multiLevelType w:val="hybridMultilevel"/>
    <w:lvl w:ilvl="0">
      <w:lvlJc w:val="left"/>
      <w:lvlText w:val="(%1)"/>
      <w:numFmt w:val="lowerLetter"/>
      <w:start w:val="2"/>
    </w:lvl>
  </w:abstractNum>
  <w:abstractNum w:abstractNumId="178">
    <w:nsid w:val="5E636063"/>
    <w:multiLevelType w:val="hybridMultilevel"/>
    <w:lvl w:ilvl="0">
      <w:lvlJc w:val="left"/>
      <w:lvlText w:val="%1"/>
      <w:numFmt w:val="lowerRoman"/>
      <w:start w:val="1"/>
    </w:lvl>
    <w:lvl w:ilvl="1">
      <w:lvlJc w:val="left"/>
      <w:lvlText w:val="(%2)"/>
      <w:numFmt w:val="lowerLetter"/>
      <w:start w:val="3"/>
    </w:lvl>
  </w:abstractNum>
  <w:abstractNum w:abstractNumId="179">
    <w:nsid w:val="215641AF"/>
    <w:multiLevelType w:val="hybridMultilevel"/>
    <w:lvl w:ilvl="0">
      <w:lvlJc w:val="left"/>
      <w:lvlText w:val="(%1)"/>
      <w:numFmt w:val="lowerRoman"/>
      <w:start w:val="6"/>
    </w:lvl>
    <w:lvl w:ilvl="1">
      <w:lvlJc w:val="left"/>
      <w:lvlText w:val="%2"/>
      <w:numFmt w:val="lowerLetter"/>
      <w:start w:val="1"/>
    </w:lvl>
  </w:abstractNum>
  <w:abstractNum w:abstractNumId="180">
    <w:nsid w:val="53280662"/>
    <w:multiLevelType w:val="hybridMultilevel"/>
    <w:lvl w:ilvl="0">
      <w:lvlJc w:val="left"/>
      <w:lvlText w:val="(%1)"/>
      <w:numFmt w:val="lowerLetter"/>
      <w:start w:val="2"/>
    </w:lvl>
  </w:abstractNum>
  <w:abstractNum w:abstractNumId="181">
    <w:nsid w:val="46B24DBC"/>
    <w:multiLevelType w:val="hybridMultilevel"/>
    <w:lvl w:ilvl="0">
      <w:lvlJc w:val="left"/>
      <w:lvlText w:val="(%1)"/>
      <w:numFmt w:val="lowerLetter"/>
      <w:start w:val="4"/>
    </w:lvl>
  </w:abstractNum>
  <w:abstractNum w:abstractNumId="182">
    <w:nsid w:val="75B52783"/>
    <w:multiLevelType w:val="hybridMultilevel"/>
    <w:lvl w:ilvl="0">
      <w:lvlJc w:val="left"/>
      <w:lvlText w:val="(%1)"/>
      <w:numFmt w:val="lowerLetter"/>
      <w:start w:val="2"/>
    </w:lvl>
  </w:abstractNum>
  <w:abstractNum w:abstractNumId="183">
    <w:nsid w:val="57CE66B4"/>
    <w:multiLevelType w:val="hybridMultilevel"/>
    <w:lvl w:ilvl="0">
      <w:lvlJc w:val="left"/>
      <w:lvlText w:val="(%1)"/>
      <w:numFmt w:val="lowerLetter"/>
      <w:start w:val="2"/>
    </w:lvl>
  </w:abstractNum>
  <w:abstractNum w:abstractNumId="184">
    <w:nsid w:val="67A70B69"/>
    <w:multiLevelType w:val="hybridMultilevel"/>
    <w:lvl w:ilvl="0">
      <w:lvlJc w:val="left"/>
      <w:lvlText w:val="(%1)"/>
      <w:numFmt w:val="lowerRoman"/>
      <w:start w:val="2"/>
    </w:lvl>
  </w:abstractNum>
  <w:abstractNum w:abstractNumId="185">
    <w:nsid w:val="5953172F"/>
    <w:multiLevelType w:val="hybridMultilevel"/>
    <w:lvl w:ilvl="0">
      <w:lvlJc w:val="left"/>
      <w:lvlText w:val="(%1)"/>
      <w:numFmt w:val="lowerLetter"/>
      <w:start w:val="2"/>
    </w:lvl>
  </w:abstractNum>
  <w:abstractNum w:abstractNumId="186">
    <w:nsid w:val="27EDFE3A"/>
    <w:multiLevelType w:val="hybridMultilevel"/>
    <w:lvl w:ilvl="0">
      <w:lvlJc w:val="left"/>
      <w:lvlText w:val="(%1)"/>
      <w:numFmt w:val="lowerRoman"/>
      <w:start w:val="4"/>
    </w:lvl>
  </w:abstractNum>
  <w:abstractNum w:abstractNumId="187">
    <w:nsid w:val="52AC7DFF"/>
    <w:multiLevelType w:val="hybridMultilevel"/>
    <w:lvl w:ilvl="0">
      <w:lvlJc w:val="left"/>
      <w:lvlText w:val="(%1)"/>
      <w:numFmt w:val="lowerRoman"/>
      <w:start w:val="1"/>
    </w:lvl>
  </w:abstractNum>
  <w:abstractNum w:abstractNumId="188">
    <w:nsid w:val="C4C3AF"/>
    <w:multiLevelType w:val="hybridMultilevel"/>
    <w:lvl w:ilvl="0">
      <w:lvlJc w:val="left"/>
      <w:lvlText w:val="%1"/>
      <w:numFmt w:val="lowerLetter"/>
      <w:start w:val="1"/>
    </w:lvl>
    <w:lvl w:ilvl="1">
      <w:lvlJc w:val="left"/>
      <w:lvlText w:val="(%2)"/>
      <w:numFmt w:val="lowerLetter"/>
      <w:start w:val="61"/>
    </w:lvl>
  </w:abstractNum>
  <w:abstractNum w:abstractNumId="189">
    <w:nsid w:val="44380727"/>
    <w:multiLevelType w:val="hybridMultilevel"/>
    <w:lvl w:ilvl="0">
      <w:lvlJc w:val="left"/>
      <w:lvlText w:val="(%1)"/>
      <w:numFmt w:val="lowerLetter"/>
      <w:start w:val="7"/>
    </w:lvl>
    <w:lvl w:ilvl="1">
      <w:lvlJc w:val="left"/>
      <w:lvlText w:val="%2"/>
      <w:numFmt w:val="lowerLetter"/>
      <w:start w:val="1"/>
    </w:lvl>
  </w:abstractNum>
  <w:abstractNum w:abstractNumId="190">
    <w:nsid w:val="6C053B16"/>
    <w:multiLevelType w:val="hybridMultilevel"/>
    <w:lvl w:ilvl="0">
      <w:lvlJc w:val="left"/>
      <w:lvlText w:val="%1"/>
      <w:numFmt w:val="lowerLetter"/>
      <w:start w:val="1"/>
    </w:lvl>
    <w:lvl w:ilvl="1">
      <w:lvlJc w:val="left"/>
      <w:lvlText w:val="(%2)"/>
      <w:numFmt w:val="lowerRoman"/>
      <w:start w:val="4"/>
    </w:lvl>
  </w:abstractNum>
  <w:abstractNum w:abstractNumId="191">
    <w:nsid w:val="4F294393"/>
    <w:multiLevelType w:val="hybridMultilevel"/>
    <w:lvl w:ilvl="0">
      <w:lvlJc w:val="left"/>
      <w:lvlText w:val="(%1)"/>
      <w:numFmt w:val="lowerLetter"/>
      <w:start w:val="2"/>
    </w:lvl>
    <w:lvl w:ilvl="1">
      <w:lvlJc w:val="left"/>
      <w:lvlText w:val="%2"/>
      <w:numFmt w:val="lowerRoman"/>
      <w:start w:val="1"/>
    </w:lvl>
  </w:abstractNum>
  <w:abstractNum w:abstractNumId="192">
    <w:nsid w:val="5243BFAC"/>
    <w:multiLevelType w:val="hybridMultilevel"/>
    <w:lvl w:ilvl="0">
      <w:lvlJc w:val="left"/>
      <w:lvlText w:val="(%1)"/>
      <w:numFmt w:val="lowerRoman"/>
      <w:start w:val="1"/>
    </w:lvl>
  </w:abstractNum>
  <w:abstractNum w:abstractNumId="193">
    <w:nsid w:val="425EB207"/>
    <w:multiLevelType w:val="hybridMultilevel"/>
    <w:lvl w:ilvl="0">
      <w:lvlJc w:val="left"/>
      <w:lvlText w:val="(%1)"/>
      <w:numFmt w:val="lowerRoman"/>
      <w:start w:val="4"/>
    </w:lvl>
  </w:abstractNum>
  <w:abstractNum w:abstractNumId="194">
    <w:nsid w:val="334A6F1F"/>
    <w:multiLevelType w:val="hybridMultilevel"/>
    <w:lvl w:ilvl="0">
      <w:lvlJc w:val="left"/>
      <w:lvlText w:val="(%1)"/>
      <w:numFmt w:val="lowerLetter"/>
      <w:start w:val="2"/>
    </w:lvl>
  </w:abstractNum>
  <w:abstractNum w:abstractNumId="195">
    <w:nsid w:val="2E5B12B8"/>
    <w:multiLevelType w:val="hybridMultilevel"/>
    <w:lvl w:ilvl="0">
      <w:lvlJc w:val="left"/>
      <w:lvlText w:val="(%1)"/>
      <w:numFmt w:val="lowerLetter"/>
      <w:start w:val="4"/>
    </w:lvl>
  </w:abstractNum>
  <w:abstractNum w:abstractNumId="196">
    <w:nsid w:val="5C03D76D"/>
    <w:multiLevelType w:val="hybridMultilevel"/>
    <w:lvl w:ilvl="0">
      <w:lvlJc w:val="left"/>
      <w:lvlText w:val="%1"/>
      <w:numFmt w:val="lowerLetter"/>
      <w:start w:val="1"/>
    </w:lvl>
    <w:lvl w:ilvl="1">
      <w:lvlJc w:val="left"/>
      <w:lvlText w:val="(%2)"/>
      <w:numFmt w:val="lowerLetter"/>
      <w:start w:val="2"/>
    </w:lvl>
  </w:abstractNum>
  <w:abstractNum w:abstractNumId="197">
    <w:nsid w:val="66A48D11"/>
    <w:multiLevelType w:val="hybridMultilevel"/>
    <w:lvl w:ilvl="0">
      <w:lvlJc w:val="left"/>
      <w:lvlText w:val="(%1)"/>
      <w:numFmt w:val="lowerLetter"/>
      <w:start w:val="9"/>
    </w:lvl>
    <w:lvl w:ilvl="1">
      <w:lvlJc w:val="left"/>
      <w:lvlText w:val="%2"/>
      <w:numFmt w:val="lowerLetter"/>
      <w:start w:val="1"/>
    </w:lvl>
  </w:abstractNum>
  <w:abstractNum w:abstractNumId="198">
    <w:nsid w:val="56C28E34"/>
    <w:multiLevelType w:val="hybridMultilevel"/>
    <w:lvl w:ilvl="0">
      <w:lvlJc w:val="left"/>
      <w:lvlText w:val="(%1)"/>
      <w:numFmt w:val="lowerRoman"/>
      <w:start w:val="6"/>
    </w:lvl>
  </w:abstractNum>
  <w:abstractNum w:abstractNumId="199">
    <w:nsid w:val="13916F2D"/>
    <w:multiLevelType w:val="hybridMultilevel"/>
    <w:lvl w:ilvl="0">
      <w:lvlJc w:val="left"/>
      <w:lvlText w:val="(%1)"/>
      <w:numFmt w:val="lowerLetter"/>
      <w:start w:val="3"/>
    </w:lvl>
  </w:abstractNum>
  <w:abstractNum w:abstractNumId="200">
    <w:nsid w:val="435D38D"/>
    <w:multiLevelType w:val="hybridMultilevel"/>
    <w:lvl w:ilvl="0">
      <w:lvlJc w:val="left"/>
      <w:lvlText w:val="(%1)"/>
      <w:numFmt w:val="lowerLetter"/>
      <w:start w:val="5"/>
    </w:lvl>
  </w:abstractNum>
  <w:abstractNum w:abstractNumId="201">
    <w:nsid w:val="822C0EF"/>
    <w:multiLevelType w:val="hybridMultilevel"/>
    <w:lvl w:ilvl="0">
      <w:lvlJc w:val="left"/>
      <w:lvlText w:val="(%1)"/>
      <w:numFmt w:val="lowerLetter"/>
      <w:start w:val="1"/>
    </w:lvl>
  </w:abstractNum>
  <w:abstractNum w:abstractNumId="202">
    <w:nsid w:val="57C5BB4F"/>
    <w:multiLevelType w:val="hybridMultilevel"/>
    <w:lvl w:ilvl="0">
      <w:lvlJc w:val="left"/>
      <w:lvlText w:val="(%1)"/>
      <w:numFmt w:val="lowerLetter"/>
      <w:start w:val="4"/>
    </w:lvl>
  </w:abstractNum>
  <w:abstractNum w:abstractNumId="203">
    <w:nsid w:val="1803D089"/>
    <w:multiLevelType w:val="hybridMultilevel"/>
    <w:lvl w:ilvl="0">
      <w:lvlJc w:val="left"/>
      <w:lvlText w:val="(%1)"/>
      <w:numFmt w:val="lowerLetter"/>
      <w:start w:val="3"/>
    </w:lvl>
    <w:lvl w:ilvl="1">
      <w:lvlJc w:val="left"/>
      <w:lvlText w:val="(%2)"/>
      <w:numFmt w:val="lowerLetter"/>
      <w:start w:val="2"/>
    </w:lvl>
    <w:lvl w:ilvl="2">
      <w:lvlJc w:val="left"/>
      <w:lvlText w:val="(%3)"/>
      <w:numFmt w:val="decimal"/>
      <w:start w:val="9"/>
    </w:lvl>
    <w:lvl w:ilvl="3">
      <w:lvlJc w:val="left"/>
      <w:lvlText w:val="(%4)"/>
      <w:numFmt w:val="upperLetter"/>
      <w:start w:val="1"/>
    </w:lvl>
  </w:abstractNum>
  <w:abstractNum w:abstractNumId="204">
    <w:nsid w:val="4F3A06D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2"/>
    </w:lvl>
  </w:abstractNum>
  <w:abstractNum w:abstractNumId="205">
    <w:nsid w:val="59A377B6"/>
    <w:multiLevelType w:val="hybridMultilevel"/>
    <w:lvl w:ilvl="0">
      <w:lvlJc w:val="left"/>
      <w:lvlText w:val="%1"/>
      <w:numFmt w:val="upperLetter"/>
      <w:start w:val="1"/>
    </w:lvl>
    <w:lvl w:ilvl="1">
      <w:lvlJc w:val="left"/>
      <w:lvlText w:val="(%2)"/>
      <w:numFmt w:val="lowerRoman"/>
      <w:start w:val="2"/>
    </w:lvl>
  </w:abstractNum>
  <w:abstractNum w:abstractNumId="206">
    <w:nsid w:val="48AEB063"/>
    <w:multiLevelType w:val="hybridMultilevel"/>
    <w:lvl w:ilvl="0">
      <w:lvlJc w:val="left"/>
      <w:lvlText w:val="(%1)"/>
      <w:numFmt w:val="upperLetter"/>
      <w:start w:val="1"/>
    </w:lvl>
    <w:lvl w:ilvl="1">
      <w:lvlJc w:val="left"/>
      <w:lvlText w:val="%2"/>
      <w:numFmt w:val="lowerRoman"/>
      <w:start w:val="1"/>
    </w:lvl>
  </w:abstractNum>
  <w:abstractNum w:abstractNumId="207">
    <w:nsid w:val="24E135"/>
    <w:multiLevelType w:val="hybridMultilevel"/>
    <w:lvl w:ilvl="0">
      <w:lvlJc w:val="left"/>
      <w:lvlText w:val="(%1)"/>
      <w:numFmt w:val="upperLetter"/>
      <w:start w:val="2"/>
    </w:lvl>
  </w:abstractNum>
  <w:abstractNum w:abstractNumId="208">
    <w:nsid w:val="BB13C1"/>
    <w:multiLevelType w:val="hybridMultilevel"/>
    <w:lvl w:ilvl="0">
      <w:lvlJc w:val="left"/>
      <w:lvlText w:val="(%1)"/>
      <w:numFmt w:val="lowerRoman"/>
      <w:start w:val="3"/>
    </w:lvl>
  </w:abstractNum>
  <w:abstractNum w:abstractNumId="209">
    <w:nsid w:val="271210C7"/>
    <w:multiLevelType w:val="hybridMultilevel"/>
    <w:lvl w:ilvl="0">
      <w:lvlJc w:val="left"/>
      <w:lvlText w:val="%1"/>
      <w:numFmt w:val="lowerLetter"/>
      <w:start w:val="1"/>
    </w:lvl>
    <w:lvl w:ilvl="1">
      <w:lvlJc w:val="left"/>
      <w:lvlText w:val="(%2)"/>
      <w:numFmt w:val="lowerRoman"/>
      <w:start w:val="4"/>
    </w:lvl>
  </w:abstractNum>
  <w:abstractNum w:abstractNumId="210">
    <w:nsid w:val="217B22E4"/>
    <w:multiLevelType w:val="hybridMultilevel"/>
    <w:lvl w:ilvl="0">
      <w:lvlJc w:val="left"/>
      <w:lvlText w:val="(%1)"/>
      <w:numFmt w:val="lowerLetter"/>
      <w:start w:val="3"/>
    </w:lvl>
    <w:lvl w:ilvl="1">
      <w:lvlJc w:val="left"/>
      <w:lvlText w:val="%2"/>
      <w:numFmt w:val="lowerRoman"/>
      <w:start w:val="1"/>
    </w:lvl>
  </w:abstractNum>
  <w:abstractNum w:abstractNumId="211">
    <w:nsid w:val="53E31A24"/>
    <w:multiLevelType w:val="hybridMultilevel"/>
    <w:lvl w:ilvl="0">
      <w:lvlJc w:val="left"/>
      <w:lvlText w:val="(%1)"/>
      <w:numFmt w:val="lowerLetter"/>
      <w:start w:val="4"/>
    </w:lvl>
  </w:abstractNum>
  <w:abstractNum w:abstractNumId="212">
    <w:nsid w:val="6DC45E83"/>
    <w:multiLevelType w:val="hybridMultilevel"/>
    <w:lvl w:ilvl="0">
      <w:lvlJc w:val="left"/>
      <w:lvlText w:val="%1"/>
      <w:numFmt w:val="lowerLetter"/>
      <w:start w:val="1"/>
    </w:lvl>
    <w:lvl w:ilvl="1">
      <w:lvlJc w:val="left"/>
      <w:lvlText w:val="(%2)"/>
      <w:numFmt w:val="lowerLetter"/>
      <w:start w:val="2"/>
    </w:lvl>
  </w:abstractNum>
  <w:abstractNum w:abstractNumId="213">
    <w:nsid w:val="17304A67"/>
    <w:multiLevelType w:val="hybridMultilevel"/>
    <w:lvl w:ilvl="0">
      <w:lvlJc w:val="left"/>
      <w:lvlText w:val="(%1)"/>
      <w:numFmt w:val="lowerLetter"/>
      <w:start w:val="26"/>
    </w:lvl>
    <w:lvl w:ilvl="1">
      <w:lvlJc w:val="left"/>
      <w:lvlText w:val="%2"/>
      <w:numFmt w:val="lowerLetter"/>
      <w:start w:val="1"/>
    </w:lvl>
  </w:abstractNum>
  <w:abstractNum w:abstractNumId="214">
    <w:nsid w:val="2BB180D8"/>
    <w:multiLevelType w:val="hybridMultilevel"/>
    <w:lvl w:ilvl="0">
      <w:lvlJc w:val="left"/>
      <w:lvlText w:val="(%1)"/>
      <w:numFmt w:val="lowerRoman"/>
      <w:start w:val="3"/>
    </w:lvl>
  </w:abstractNum>
  <w:abstractNum w:abstractNumId="215">
    <w:nsid w:val="556B69ED"/>
    <w:multiLevelType w:val="hybridMultilevel"/>
    <w:lvl w:ilvl="0">
      <w:lvlJc w:val="left"/>
      <w:lvlText w:val="(%1)"/>
      <w:numFmt w:val="lowerLetter"/>
      <w:start w:val="2"/>
    </w:lvl>
  </w:abstractNum>
  <w:abstractNum w:abstractNumId="216">
    <w:nsid w:val="70836196"/>
    <w:multiLevelType w:val="hybridMultilevel"/>
    <w:lvl w:ilvl="0">
      <w:lvlJc w:val="left"/>
      <w:lvlText w:val="(%1)"/>
      <w:numFmt w:val="lowerLetter"/>
      <w:start w:val="61"/>
    </w:lvl>
    <w:lvl w:ilvl="1">
      <w:lvlJc w:val="left"/>
      <w:lvlText w:val="(%2)"/>
      <w:numFmt w:val="lowerLetter"/>
      <w:start w:val="4"/>
    </w:lvl>
  </w:abstractNum>
  <w:abstractNum w:abstractNumId="217">
    <w:nsid w:val="539F7F12"/>
    <w:multiLevelType w:val="hybridMultilevel"/>
    <w:lvl w:ilvl="0">
      <w:lvlJc w:val="left"/>
      <w:lvlText w:val="(%1)"/>
      <w:numFmt w:val="lowerLetter"/>
      <w:start w:val="5"/>
    </w:lvl>
  </w:abstractNum>
  <w:abstractNum w:abstractNumId="218">
    <w:nsid w:val="2817E7EC"/>
    <w:multiLevelType w:val="hybridMultilevel"/>
    <w:lvl w:ilvl="0">
      <w:lvlJc w:val="left"/>
      <w:lvlText w:val="(%1)"/>
      <w:numFmt w:val="lowerLetter"/>
      <w:start w:val="8"/>
    </w:lvl>
  </w:abstractNum>
  <w:abstractNum w:abstractNumId="219">
    <w:nsid w:val="71482545"/>
    <w:multiLevelType w:val="hybridMultilevel"/>
    <w:lvl w:ilvl="0">
      <w:lvlJc w:val="left"/>
      <w:lvlText w:val="(%1)"/>
      <w:numFmt w:val="lowerLetter"/>
      <w:start w:val="1"/>
    </w:lvl>
  </w:abstractNum>
  <w:abstractNum w:abstractNumId="220">
    <w:nsid w:val="17D78639"/>
    <w:multiLevelType w:val="hybridMultilevel"/>
    <w:lvl w:ilvl="0">
      <w:lvlJc w:val="left"/>
      <w:lvlText w:val="(%1)"/>
      <w:numFmt w:val="lowerLetter"/>
      <w:start w:val="2"/>
    </w:lvl>
  </w:abstractNum>
  <w:abstractNum w:abstractNumId="221">
    <w:nsid w:val="141D230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Letter"/>
      <w:start w:val="2"/>
    </w:lvl>
  </w:abstractNum>
  <w:abstractNum w:abstractNumId="222">
    <w:nsid w:val="407168D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lvl w:ilvl="3">
      <w:lvlJc w:val="left"/>
      <w:lvlText w:val="%4"/>
      <w:numFmt w:val="lowerLetter"/>
      <w:start w:val="1"/>
    </w:lvl>
  </w:abstractNum>
  <w:abstractNum w:abstractNumId="223">
    <w:nsid w:val="6A1B45E5"/>
    <w:multiLevelType w:val="hybridMultilevel"/>
    <w:lvl w:ilvl="0">
      <w:lvlJc w:val="left"/>
      <w:lvlText w:val="%1"/>
      <w:numFmt w:val="upperLetter"/>
      <w:start w:val="35"/>
    </w:lvl>
  </w:abstractNum>
  <w:abstractNum w:abstractNumId="224">
    <w:nsid w:val="567BD50A"/>
    <w:multiLevelType w:val="hybridMultilevel"/>
    <w:lvl w:ilvl="0">
      <w:lvlJc w:val="left"/>
      <w:lvlText w:val="(%1)"/>
      <w:numFmt w:val="lowerLetter"/>
      <w:start w:val="1"/>
    </w:lvl>
  </w:abstractNum>
  <w:abstractNum w:abstractNumId="225">
    <w:nsid w:val="73BBD7F8"/>
    <w:multiLevelType w:val="hybridMultilevel"/>
    <w:lvl w:ilvl="0">
      <w:lvlJc w:val="left"/>
      <w:lvlText w:val="*"/>
      <w:numFmt w:val="bullet"/>
      <w:start w:val="1"/>
    </w:lvl>
  </w:abstractNum>
  <w:abstractNum w:abstractNumId="226">
    <w:nsid w:val="1876589D"/>
    <w:multiLevelType w:val="hybridMultilevel"/>
    <w:lvl w:ilvl="0">
      <w:lvlJc w:val="left"/>
      <w:lvlText w:val="%1."/>
      <w:numFmt w:val="decimal"/>
      <w:start w:val="1"/>
    </w:lvl>
  </w:abstractNum>
  <w:abstractNum w:abstractNumId="227">
    <w:nsid w:val="327FAC77"/>
    <w:multiLevelType w:val="hybridMultilevel"/>
    <w:lvl w:ilvl="0">
      <w:lvlJc w:val="left"/>
      <w:lvlText w:val="%1."/>
      <w:numFmt w:val="decimal"/>
      <w:start w:val="6"/>
    </w:lvl>
  </w:abstractNum>
  <w:abstractNum w:abstractNumId="228">
    <w:nsid w:val="5A606509"/>
    <w:multiLevelType w:val="hybridMultilevel"/>
    <w:lvl w:ilvl="0">
      <w:lvlJc w:val="left"/>
      <w:lvlText w:val="%1."/>
      <w:numFmt w:val="decimal"/>
      <w:start w:val="11"/>
    </w:lvl>
  </w:abstractNum>
  <w:abstractNum w:abstractNumId="229">
    <w:nsid w:val="6F38E6D1"/>
    <w:multiLevelType w:val="hybridMultilevel"/>
    <w:lvl w:ilvl="0">
      <w:lvlJc w:val="left"/>
      <w:lvlText w:val="%1."/>
      <w:numFmt w:val="decimal"/>
      <w:start w:val="13"/>
    </w:lvl>
  </w:abstractNum>
  <w:abstractNum w:abstractNumId="230">
    <w:nsid w:val="46111BA5"/>
    <w:multiLevelType w:val="hybridMultilevel"/>
    <w:lvl w:ilvl="0">
      <w:lvlJc w:val="left"/>
      <w:lvlText w:val="%1."/>
      <w:numFmt w:val="decimal"/>
      <w:start w:val="15"/>
    </w:lvl>
  </w:abstractNum>
  <w:abstractNum w:abstractNumId="231">
    <w:nsid w:val="5E963896"/>
    <w:multiLevelType w:val="hybridMultilevel"/>
    <w:lvl w:ilvl="0">
      <w:lvlJc w:val="left"/>
      <w:lvlText w:val="%1."/>
      <w:numFmt w:val="decimal"/>
      <w:start w:val="21"/>
    </w:lvl>
  </w:abstractNum>
  <w:abstractNum w:abstractNumId="232">
    <w:nsid w:val="775BA7C1"/>
    <w:multiLevelType w:val="hybridMultilevel"/>
    <w:lvl w:ilvl="0">
      <w:lvlJc w:val="left"/>
      <w:lvlText w:val="%1."/>
      <w:numFmt w:val="lowerRoman"/>
      <w:start w:val="1"/>
    </w:lvl>
  </w:abstractNum>
  <w:abstractNum w:abstractNumId="233">
    <w:nsid w:val="1DD6D6F4"/>
    <w:multiLevelType w:val="hybridMultilevel"/>
    <w:lvl w:ilvl="0">
      <w:lvlJc w:val="left"/>
      <w:lvlText w:val="%1."/>
      <w:numFmt w:val="lowerRoman"/>
      <w:start w:val="2"/>
    </w:lvl>
  </w:abstractNum>
  <w:abstractNum w:abstractNumId="234">
    <w:nsid w:val="769A091F"/>
    <w:multiLevelType w:val="hybridMultilevel"/>
    <w:lvl w:ilvl="0">
      <w:lvlJc w:val="left"/>
      <w:lvlText w:val="%1."/>
      <w:numFmt w:val="lowerRoman"/>
      <w:start w:val="3"/>
    </w:lvl>
  </w:abstractNum>
  <w:abstractNum w:abstractNumId="235">
    <w:nsid w:val="4695AE95"/>
    <w:multiLevelType w:val="hybridMultilevel"/>
    <w:lvl w:ilvl="0">
      <w:lvlJc w:val="left"/>
      <w:lvlText w:val="%1."/>
      <w:numFmt w:val="lowerRoman"/>
      <w:start w:val="4"/>
    </w:lvl>
  </w:abstractNum>
  <w:abstractNum w:abstractNumId="236">
    <w:nsid w:val="777A4EAA"/>
    <w:multiLevelType w:val="hybridMultilevel"/>
    <w:lvl w:ilvl="0">
      <w:lvlJc w:val="left"/>
      <w:lvlText w:val="%1."/>
      <w:numFmt w:val="lowerRoman"/>
      <w:start w:val="5"/>
    </w:lvl>
  </w:abstractNum>
  <w:abstractNum w:abstractNumId="237">
    <w:nsid w:val="3F48B982"/>
    <w:multiLevelType w:val="hybridMultilevel"/>
    <w:lvl w:ilvl="0">
      <w:lvlJc w:val="left"/>
      <w:lvlText w:val="%1."/>
      <w:numFmt w:val="lowerRoman"/>
      <w:start w:val="6"/>
    </w:lvl>
  </w:abstractNum>
  <w:abstractNum w:abstractNumId="238">
    <w:nsid w:val="46BA8FCA"/>
    <w:multiLevelType w:val="hybridMultilevel"/>
    <w:lvl w:ilvl="0">
      <w:lvlJc w:val="left"/>
      <w:lvlText w:val="%1."/>
      <w:numFmt w:val="lowerRoman"/>
      <w:start w:val="7"/>
    </w:lvl>
  </w:abstractNum>
  <w:abstractNum w:abstractNumId="239">
    <w:nsid w:val="7835626C"/>
    <w:multiLevelType w:val="hybridMultilevel"/>
    <w:lvl w:ilvl="0">
      <w:lvlJc w:val="left"/>
      <w:lvlText w:val="%1."/>
      <w:numFmt w:val="lowerRoman"/>
      <w:start w:val="8"/>
    </w:lvl>
  </w:abstractNum>
  <w:abstractNum w:abstractNumId="240">
    <w:nsid w:val="665ACA49"/>
    <w:multiLevelType w:val="hybridMultilevel"/>
    <w:lvl w:ilvl="0">
      <w:lvlJc w:val="left"/>
      <w:lvlText w:val="%1."/>
      <w:numFmt w:val="lowerRoman"/>
      <w:start w:val="9"/>
    </w:lvl>
  </w:abstractNum>
  <w:abstractNum w:abstractNumId="241">
    <w:nsid w:val="6835B2AE"/>
    <w:multiLevelType w:val="hybridMultilevel"/>
    <w:lvl w:ilvl="0">
      <w:lvlJc w:val="left"/>
      <w:lvlText w:val="%1."/>
      <w:numFmt w:val="lowerRoman"/>
      <w:start w:val="10"/>
    </w:lvl>
  </w:abstractNum>
  <w:abstractNum w:abstractNumId="242">
    <w:nsid w:val="4C187C90"/>
    <w:multiLevelType w:val="hybridMultilevel"/>
    <w:lvl w:ilvl="0">
      <w:lvlJc w:val="left"/>
      <w:lvlText w:val="%1."/>
      <w:numFmt w:val="lowerRoman"/>
      <w:start w:val="11"/>
    </w:lvl>
  </w:abstractNum>
  <w:abstractNum w:abstractNumId="243">
    <w:nsid w:val="541F28CD"/>
    <w:multiLevelType w:val="hybridMultilevel"/>
    <w:lvl w:ilvl="0">
      <w:lvlJc w:val="left"/>
      <w:lvlText w:val="%1."/>
      <w:numFmt w:val="lowerRoman"/>
      <w:start w:val="12"/>
    </w:lvl>
  </w:abstractNum>
  <w:abstractNum w:abstractNumId="244">
    <w:nsid w:val="7F65FD16"/>
    <w:multiLevelType w:val="hybridMultilevel"/>
    <w:lvl w:ilvl="0">
      <w:lvlJc w:val="left"/>
      <w:lvlText w:val="%1."/>
      <w:numFmt w:val="lowerRoman"/>
      <w:start w:val="13"/>
    </w:lvl>
  </w:abstractNum>
  <w:abstractNum w:abstractNumId="245">
    <w:nsid w:val="77C9FD68"/>
    <w:multiLevelType w:val="hybridMultilevel"/>
    <w:lvl w:ilvl="0">
      <w:lvlJc w:val="left"/>
      <w:lvlText w:val="%1."/>
      <w:numFmt w:val="decimal"/>
      <w:start w:val="1"/>
    </w:lvl>
  </w:abstractNum>
  <w:abstractNum w:abstractNumId="246">
    <w:nsid w:val="298A92BA"/>
    <w:multiLevelType w:val="hybridMultilevel"/>
    <w:lvl w:ilvl="0">
      <w:lvlJc w:val="left"/>
      <w:lvlText w:val="%1."/>
      <w:numFmt w:val="decimal"/>
      <w:start w:val="1"/>
    </w:lvl>
  </w:abstractNum>
  <w:abstractNum w:abstractNumId="247">
    <w:nsid w:val="6FE95EAC"/>
    <w:multiLevelType w:val="hybridMultilevel"/>
    <w:lvl w:ilvl="0">
      <w:lvlJc w:val="left"/>
      <w:lvlText w:val="%1."/>
      <w:numFmt w:val="decimal"/>
      <w:start w:val="3"/>
    </w:lvl>
  </w:abstractNum>
  <w:abstractNum w:abstractNumId="248">
    <w:nsid w:val="4B697C7A"/>
    <w:multiLevelType w:val="hybridMultilevel"/>
    <w:lvl w:ilvl="0">
      <w:lvlJc w:val="left"/>
      <w:lvlText w:val="%1."/>
      <w:numFmt w:val="decimal"/>
      <w:start w:val="1"/>
    </w:lvl>
  </w:abstractNum>
  <w:abstractNum w:abstractNumId="249">
    <w:nsid w:val="51A27AA6"/>
    <w:multiLevelType w:val="hybridMultilevel"/>
    <w:lvl w:ilvl="0">
      <w:lvlJc w:val="left"/>
      <w:lvlText w:val="(%1)"/>
      <w:numFmt w:val="lowerRoman"/>
      <w:start w:val="3"/>
    </w:lvl>
  </w:abstractNum>
  <w:abstractNum w:abstractNumId="250">
    <w:nsid w:val="613183F2"/>
    <w:multiLevelType w:val="hybridMultilevel"/>
    <w:lvl w:ilvl="0">
      <w:lvlJc w:val="left"/>
      <w:lvlText w:val="%1."/>
      <w:numFmt w:val="decimal"/>
      <w:start w:val="2"/>
    </w:lvl>
  </w:abstractNum>
  <w:abstractNum w:abstractNumId="251">
    <w:nsid w:val="634102B4"/>
    <w:multiLevelType w:val="hybridMultilevel"/>
    <w:lvl w:ilvl="0">
      <w:lvlJc w:val="left"/>
      <w:lvlText w:val="(%1)"/>
      <w:numFmt w:val="upperLetter"/>
      <w:start w:val="1"/>
    </w:lvl>
  </w:abstractNum>
  <w:abstractNum w:abstractNumId="252">
    <w:nsid w:val="65BF9DA8"/>
    <w:multiLevelType w:val="hybridMultilevel"/>
    <w:lvl w:ilvl="0">
      <w:lvlJc w:val="left"/>
      <w:lvlText w:val="(%1)"/>
      <w:numFmt w:val="upperLetter"/>
      <w:start w:val="4"/>
    </w:lvl>
  </w:abstractNum>
  <w:abstractNum w:abstractNumId="253">
    <w:nsid w:val="21A2ECCA"/>
    <w:multiLevelType w:val="hybridMultilevel"/>
    <w:lvl w:ilvl="0">
      <w:lvlJc w:val="left"/>
      <w:lvlText w:val="(%1)"/>
      <w:numFmt w:val="upperLetter"/>
      <w:start w:val="1"/>
    </w:lvl>
  </w:abstractNum>
  <w:abstractNum w:abstractNumId="254">
    <w:nsid w:val="4D5C4899"/>
    <w:multiLevelType w:val="hybridMultilevel"/>
    <w:lvl w:ilvl="0">
      <w:lvlJc w:val="left"/>
      <w:lvlText w:val="(%1)"/>
      <w:numFmt w:val="upperLetter"/>
      <w:start w:val="3"/>
    </w:lvl>
  </w:abstractNum>
  <w:abstractNum w:abstractNumId="255">
    <w:nsid w:val="3C3B72B2"/>
    <w:multiLevelType w:val="hybridMultilevel"/>
    <w:lvl w:ilvl="0">
      <w:lvlJc w:val="left"/>
      <w:lvlText w:val="(%1)"/>
      <w:numFmt w:val="upperLetter"/>
      <w:start w:val="4"/>
    </w:lvl>
  </w:abstractNum>
  <w:abstractNum w:abstractNumId="256">
    <w:nsid w:val="155EC4C2"/>
    <w:multiLevelType w:val="hybridMultilevel"/>
    <w:lvl w:ilvl="0">
      <w:lvlJc w:val="left"/>
      <w:lvlText w:val="%1."/>
      <w:numFmt w:val="decimal"/>
      <w:start w:val="1"/>
    </w:lvl>
  </w:abstractNum>
  <w:abstractNum w:abstractNumId="257">
    <w:nsid w:val="65D2A137"/>
    <w:multiLevelType w:val="hybridMultilevel"/>
    <w:lvl w:ilvl="0">
      <w:lvlJc w:val="left"/>
      <w:lvlText w:val="%1."/>
      <w:numFmt w:val="decimal"/>
      <w:start w:val="2"/>
    </w:lvl>
  </w:abstractNum>
  <w:abstractNum w:abstractNumId="258">
    <w:nsid w:val="6EBB1F2A"/>
    <w:multiLevelType w:val="hybridMultilevel"/>
    <w:lvl w:ilvl="0">
      <w:lvlJc w:val="left"/>
      <w:lvlText w:val="%1."/>
      <w:numFmt w:val="decimal"/>
      <w:start w:val="5"/>
    </w:lvl>
  </w:abstractNum>
  <w:abstractNum w:abstractNumId="259">
    <w:nsid w:val="6FBF29CB"/>
    <w:multiLevelType w:val="hybridMultilevel"/>
    <w:lvl w:ilvl="0">
      <w:lvlJc w:val="left"/>
      <w:lvlText w:val="%1."/>
      <w:numFmt w:val="decimal"/>
      <w:start w:val="1"/>
    </w:lvl>
  </w:abstractNum>
  <w:abstractNum w:abstractNumId="260">
    <w:nsid w:val="550B8808"/>
    <w:multiLevelType w:val="hybridMultilevel"/>
    <w:lvl w:ilvl="0">
      <w:lvlJc w:val="left"/>
      <w:lvlText w:val="%1."/>
      <w:numFmt w:val="decimal"/>
      <w:start w:val="2"/>
    </w:lvl>
  </w:abstractNum>
  <w:abstractNum w:abstractNumId="261">
    <w:nsid w:val="34CC3ACF"/>
    <w:multiLevelType w:val="hybridMultilevel"/>
    <w:lvl w:ilvl="0">
      <w:lvlJc w:val="left"/>
      <w:lvlText w:val="%1."/>
      <w:numFmt w:val="decimal"/>
      <w:start w:val="3"/>
    </w:lvl>
    <w:lvl w:ilvl="1">
      <w:lvlJc w:val="left"/>
      <w:lvlText w:val="["/>
      <w:numFmt w:val="bullet"/>
      <w:start w:val="1"/>
    </w:lvl>
  </w:abstractNum>
  <w:abstractNum w:abstractNumId="262">
    <w:nsid w:val="4E556261"/>
    <w:multiLevelType w:val="hybridMultilevel"/>
    <w:lvl w:ilvl="0">
      <w:lvlJc w:val="left"/>
      <w:lvlText w:val="%1"/>
      <w:numFmt w:val="decimal"/>
      <w:start w:val="1"/>
    </w:lvl>
    <w:lvl w:ilvl="1">
      <w:lvlJc w:val="left"/>
      <w:lvlText w:val="%2."/>
      <w:numFmt w:val="upperLetter"/>
      <w:start w:val="1"/>
    </w:lvl>
  </w:abstractNum>
  <w:abstractNum w:abstractNumId="263">
    <w:nsid w:val="4C672FC9"/>
    <w:multiLevelType w:val="hybridMultilevel"/>
    <w:lvl w:ilvl="0">
      <w:lvlJc w:val="left"/>
      <w:lvlText w:val="%1."/>
      <w:numFmt w:val="decimal"/>
      <w:start w:val="1"/>
    </w:lvl>
    <w:lvl w:ilvl="1">
      <w:lvlJc w:val="left"/>
      <w:lvlText w:val="%2"/>
      <w:numFmt w:val="upperLetter"/>
      <w:start w:val="1"/>
    </w:lvl>
  </w:abstractNum>
  <w:abstractNum w:abstractNumId="264">
    <w:nsid w:val="52A311C3"/>
    <w:multiLevelType w:val="hybridMultilevel"/>
    <w:lvl w:ilvl="0">
      <w:lvlJc w:val="left"/>
      <w:lvlText w:val="%1."/>
      <w:numFmt w:val="decimal"/>
      <w:start w:val="2"/>
    </w:lvl>
  </w:abstractNum>
  <w:abstractNum w:abstractNumId="265">
    <w:nsid w:val="44EF6B80"/>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lvl w:ilvl="3">
      <w:lvlJc w:val="left"/>
      <w:lvlText w:val="%4"/>
      <w:numFmt w:val="upperLetter"/>
      <w:start w:val="1"/>
    </w:lvl>
    <w:lvl w:ilvl="4">
      <w:lvlJc w:val="left"/>
      <w:lvlText w:val="%5."/>
      <w:numFmt w:val="upperLetter"/>
      <w:start w:val="2"/>
    </w:lvl>
    <w:lvl w:ilvl="5">
      <w:lvlJc w:val="left"/>
      <w:lvlText w:val="%6"/>
      <w:numFmt w:val="upperLetter"/>
      <w:start w:val="1"/>
    </w:lvl>
  </w:abstractNum>
  <w:abstractNum w:abstractNumId="266">
    <w:nsid w:val="12FCDE5E"/>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lvl w:ilvl="3">
      <w:lvlJc w:val="left"/>
      <w:lvlText w:val="%4."/>
      <w:numFmt w:val="upperLetter"/>
      <w:start w:val="3"/>
    </w:lvl>
    <w:lvl w:ilvl="4">
      <w:lvlJc w:val="left"/>
      <w:lvlText w:val="%5"/>
      <w:numFmt w:val="upperLetter"/>
      <w:start w:val="1"/>
    </w:lvl>
    <w:lvl w:ilvl="5">
      <w:lvlJc w:val="left"/>
      <w:lvlText w:val="%6"/>
      <w:numFmt w:val="upperLetter"/>
      <w:start w:val="1"/>
    </w:lvl>
  </w:abstractNum>
  <w:abstractNum w:abstractNumId="267">
    <w:nsid w:val="4A1D606E"/>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lvl w:ilvl="3">
      <w:lvlJc w:val="left"/>
      <w:lvlText w:val="%4"/>
      <w:numFmt w:val="upperLetter"/>
      <w:start w:val="1"/>
    </w:lvl>
    <w:lvl w:ilvl="4">
      <w:lvlJc w:val="left"/>
      <w:lvlText w:val="%5"/>
      <w:numFmt w:val="upperLetter"/>
      <w:start w:val="1"/>
    </w:lvl>
    <w:lvl w:ilvl="5">
      <w:lvlJc w:val="left"/>
      <w:lvlText w:val="%6"/>
      <w:numFmt w:val="upperLetter"/>
      <w:start w:val="1"/>
    </w:lvl>
  </w:abstractNum>
  <w:abstractNum w:abstractNumId="268">
    <w:nsid w:val="4382503"/>
    <w:multiLevelType w:val="hybridMultilevel"/>
    <w:lvl w:ilvl="0">
      <w:lvlJc w:val="left"/>
      <w:lvlText w:val="%1."/>
      <w:numFmt w:val="decimal"/>
      <w:start w:val="8"/>
    </w:lvl>
    <w:lvl w:ilvl="1">
      <w:lvlJc w:val="left"/>
      <w:lvlText w:val="%2"/>
      <w:numFmt w:val="lowerRoman"/>
      <w:start w:val="1"/>
    </w:lvl>
    <w:lvl w:ilvl="2">
      <w:lvlJc w:val="left"/>
      <w:lvlText w:val="%3."/>
      <w:numFmt w:val="upperLetter"/>
      <w:start w:val="5"/>
    </w:lvl>
    <w:lvl w:ilvl="3">
      <w:lvlJc w:val="left"/>
      <w:lvlText w:val="%4"/>
      <w:numFmt w:val="upperLetter"/>
      <w:start w:val="1"/>
    </w:lvl>
    <w:lvl w:ilvl="4">
      <w:lvlJc w:val="left"/>
      <w:lvlText w:val="%5"/>
      <w:numFmt w:val="upperLetter"/>
      <w:start w:val="1"/>
    </w:lvl>
    <w:lvl w:ilvl="5">
      <w:lvlJc w:val="left"/>
      <w:lvlText w:val="%6."/>
      <w:numFmt w:val="upperLetter"/>
      <w:start w:val="4"/>
    </w:lvl>
  </w:abstractNum>
  <w:abstractNum w:abstractNumId="269">
    <w:nsid w:val="59B76E28"/>
    <w:multiLevelType w:val="hybridMultilevel"/>
    <w:lvl w:ilvl="0">
      <w:lvlJc w:val="left"/>
      <w:lvlText w:val="%1."/>
      <w:numFmt w:val="decimal"/>
      <w:start w:val="13"/>
    </w:lvl>
    <w:lvl w:ilvl="1">
      <w:lvlJc w:val="left"/>
      <w:lvlText w:val="(%2)"/>
      <w:numFmt w:val="lowerLetter"/>
      <w:start w:val="25"/>
    </w:lvl>
    <w:lvl w:ilvl="2">
      <w:lvlJc w:val="left"/>
      <w:lvlText w:val="%3."/>
      <w:numFmt w:val="upperLetter"/>
      <w:start w:val="6"/>
    </w:lvl>
  </w:abstractNum>
  <w:abstractNum w:abstractNumId="270">
    <w:nsid w:val="4252C2DA"/>
    <w:multiLevelType w:val="hybridMultilevel"/>
    <w:lvl w:ilvl="0">
      <w:lvlJc w:val="left"/>
      <w:lvlText w:val="%1."/>
      <w:numFmt w:val="decimal"/>
      <w:start w:val="18"/>
    </w:lvl>
  </w:abstractNum>
  <w:abstractNum w:abstractNumId="271">
    <w:nsid w:val="6A92EF4C"/>
    <w:multiLevelType w:val="hybridMultilevel"/>
    <w:lvl w:ilvl="0">
      <w:lvlJc w:val="left"/>
      <w:lvlText w:val="(%1)"/>
      <w:numFmt w:val="lowerRoman"/>
      <w:start w:val="4"/>
    </w:lvl>
  </w:abstractNum>
  <w:abstractNum w:abstractNumId="272">
    <w:nsid w:val="41ED20D7"/>
    <w:multiLevelType w:val="hybridMultilevel"/>
    <w:lvl w:ilvl="0">
      <w:lvlJc w:val="left"/>
      <w:lvlText w:val="(%1)"/>
      <w:numFmt w:val="lowerRoman"/>
      <w:start w:val="4"/>
    </w:lvl>
  </w:abstractNum>
  <w:abstractNum w:abstractNumId="273">
    <w:nsid w:val="E6B3F6A"/>
    <w:multiLevelType w:val="hybridMultilevel"/>
    <w:lvl w:ilvl="0">
      <w:lvlJc w:val="left"/>
      <w:lvlText w:val="%1."/>
      <w:numFmt w:val="decimal"/>
      <w:start w:val="1"/>
    </w:lvl>
    <w:lvl w:ilvl="1">
      <w:lvlJc w:val="left"/>
      <w:lvlText w:val="%2."/>
      <w:numFmt w:val="lowerLetter"/>
      <w:start w:val="1"/>
    </w:lvl>
  </w:abstractNum>
  <w:abstractNum w:abstractNumId="274">
    <w:nsid w:val="3EB21819"/>
    <w:multiLevelType w:val="hybridMultilevel"/>
    <w:lvl w:ilvl="0">
      <w:lvlJc w:val="left"/>
      <w:lvlText w:val="%1."/>
      <w:numFmt w:val="decimal"/>
      <w:start w:val="1"/>
    </w:lvl>
    <w:lvl w:ilvl="1">
      <w:lvlJc w:val="left"/>
      <w:lvlText w:val="%2."/>
      <w:numFmt w:val="lowerLetter"/>
      <w:start w:val="1"/>
    </w:lvl>
  </w:abstractNum>
  <w:abstractNum w:abstractNumId="275">
    <w:nsid w:val="41531DED"/>
    <w:multiLevelType w:val="hybridMultilevel"/>
    <w:lvl w:ilvl="0">
      <w:lvlJc w:val="left"/>
      <w:lvlText w:val="(%1)"/>
      <w:numFmt w:val="decimal"/>
      <w:start w:val="1"/>
    </w:lvl>
  </w:abstractNum>
  <w:abstractNum w:abstractNumId="276">
    <w:nsid w:val="6353CD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jpeg"/><Relationship Id="rId126" Type="http://schemas.openxmlformats.org/officeDocument/2006/relationships/image" Target="media/image105.jpeg"/><Relationship Id="rId127" Type="http://schemas.openxmlformats.org/officeDocument/2006/relationships/image" Target="media/image106.png"/><Relationship Id="rId128" Type="http://schemas.openxmlformats.org/officeDocument/2006/relationships/image" Target="media/image107.jpeg"/><Relationship Id="rId129" Type="http://schemas.openxmlformats.org/officeDocument/2006/relationships/image" Target="media/image108.png"/><Relationship Id="rId130" Type="http://schemas.openxmlformats.org/officeDocument/2006/relationships/image" Target="media/image109.jpeg"/><Relationship Id="rId131" Type="http://schemas.openxmlformats.org/officeDocument/2006/relationships/image" Target="media/image110.jpeg"/><Relationship Id="rId132" Type="http://schemas.openxmlformats.org/officeDocument/2006/relationships/image" Target="media/image111.jpeg"/><Relationship Id="rId133" Type="http://schemas.openxmlformats.org/officeDocument/2006/relationships/image" Target="media/image112.jpeg"/><Relationship Id="rId134" Type="http://schemas.openxmlformats.org/officeDocument/2006/relationships/image" Target="media/image113.png"/><Relationship Id="rId135" Type="http://schemas.openxmlformats.org/officeDocument/2006/relationships/image" Target="media/image114.jpeg"/><Relationship Id="rId136" Type="http://schemas.openxmlformats.org/officeDocument/2006/relationships/image" Target="media/image115.png"/><Relationship Id="rId137" Type="http://schemas.openxmlformats.org/officeDocument/2006/relationships/image" Target="media/image116.jpeg"/><Relationship Id="rId138" Type="http://schemas.openxmlformats.org/officeDocument/2006/relationships/image" Target="media/image117.jpeg"/><Relationship Id="rId139" Type="http://schemas.openxmlformats.org/officeDocument/2006/relationships/image" Target="media/image118.png"/><Relationship Id="rId140" Type="http://schemas.openxmlformats.org/officeDocument/2006/relationships/image" Target="media/image119.jpe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jpeg"/><Relationship Id="rId144" Type="http://schemas.openxmlformats.org/officeDocument/2006/relationships/image" Target="media/image123.jpe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jpe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jpe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jpe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jpeg"/><Relationship Id="rId164" Type="http://schemas.openxmlformats.org/officeDocument/2006/relationships/image" Target="media/image143.jpe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jpeg"/><Relationship Id="rId173" Type="http://schemas.openxmlformats.org/officeDocument/2006/relationships/image" Target="media/image152.png"/><Relationship Id="rId174" Type="http://schemas.openxmlformats.org/officeDocument/2006/relationships/image" Target="media/image153.jpeg"/><Relationship Id="rId175" Type="http://schemas.openxmlformats.org/officeDocument/2006/relationships/image" Target="media/image154.png"/><Relationship Id="rId176" Type="http://schemas.openxmlformats.org/officeDocument/2006/relationships/image" Target="media/image155.jpeg"/><Relationship Id="rId177" Type="http://schemas.openxmlformats.org/officeDocument/2006/relationships/image" Target="media/image156.png"/><Relationship Id="rId178" Type="http://schemas.openxmlformats.org/officeDocument/2006/relationships/image" Target="media/image157.jpe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jpeg"/><Relationship Id="rId187" Type="http://schemas.openxmlformats.org/officeDocument/2006/relationships/image" Target="media/image166.png"/><Relationship Id="rId188" Type="http://schemas.openxmlformats.org/officeDocument/2006/relationships/image" Target="media/image167.jpeg"/><Relationship Id="rId189" Type="http://schemas.openxmlformats.org/officeDocument/2006/relationships/image" Target="media/image168.png"/><Relationship Id="rId190" Type="http://schemas.openxmlformats.org/officeDocument/2006/relationships/image" Target="media/image169.jpe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jpeg"/><Relationship Id="rId194" Type="http://schemas.openxmlformats.org/officeDocument/2006/relationships/image" Target="media/image173.jpe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jpe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jpe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jpe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106" Type="http://schemas.openxmlformats.org/officeDocument/2006/relationships/hyperlink" Target="https://www.sec.gov/Archives/edgar/data/1436126/000095012309044623/y02145a4exv3w1.htm" TargetMode="External"/><Relationship Id="rId107" Type="http://schemas.openxmlformats.org/officeDocument/2006/relationships/hyperlink" Target="https://www.sec.gov/Archives/edgar/data/1436126/000143612617000011/fy17q2exhibit31.htm" TargetMode="External"/><Relationship Id="rId108" Type="http://schemas.openxmlformats.org/officeDocument/2006/relationships/hyperlink" Target="https://www.sec.gov/Archives/edgar/data/1436126/000143612616000069/fy17q1exhibit31.htm" TargetMode="External"/><Relationship Id="rId109" Type="http://schemas.openxmlformats.org/officeDocument/2006/relationships/hyperlink" Target="https://www.sec.gov/Archives/edgar/data/0001436126/000143612620000018/a2019123110kexhibit42.htm" TargetMode="External"/><Relationship Id="rId110" Type="http://schemas.openxmlformats.org/officeDocument/2006/relationships/hyperlink" Target="https://www.sec.gov/Archives/edgar/data/1436126/000095012309044623/y02145a4exv10w1.htm" TargetMode="External"/><Relationship Id="rId111" Type="http://schemas.openxmlformats.org/officeDocument/2006/relationships/hyperlink" Target="https://www.sec.gov/Archives/edgar/data/1436126/000162612916000819/my-def14a_090716.htm" TargetMode="External"/><Relationship Id="rId112" Type="http://schemas.openxmlformats.org/officeDocument/2006/relationships/hyperlink" Target="https://www.sec.gov/Archives/edgar/data/1436126/000143612620000064/exhibit102firstamendme.htm" TargetMode="External"/><Relationship Id="rId113" Type="http://schemas.openxmlformats.org/officeDocument/2006/relationships/hyperlink" Target="https://www.sec.gov/Archives/edgar/data/0001436126/000143612621000013/a20201231-amendmentno2to20.htm" TargetMode="External"/><Relationship Id="rId114" Type="http://schemas.openxmlformats.org/officeDocument/2006/relationships/hyperlink" Target="https://www.sec.gov/Archives/edgar/data/1436126/000143612622000044/a10qexhibit102-q22022.htm" TargetMode="External"/><Relationship Id="rId115" Type="http://schemas.openxmlformats.org/officeDocument/2006/relationships/hyperlink" Target="https://www.sec.gov/Archives/edgar/data/1436126/000143612617000024/mg-2016123110kexhibit1016.htm" TargetMode="External"/><Relationship Id="rId118" Type="http://schemas.openxmlformats.org/officeDocument/2006/relationships/hyperlink" Target="https://www.sec.gov/Archives/edgar/data/1436126/000143612620000044/exhibit102formofsenior.htm" TargetMode="External"/><Relationship Id="rId119" Type="http://schemas.openxmlformats.org/officeDocument/2006/relationships/hyperlink" Target="https://www.sec.gov/Archives/edgar/data/1436126/000143612619000014/mistrasgroupseveranceplan.htm" TargetMode="External"/><Relationship Id="rId120" Type="http://schemas.openxmlformats.org/officeDocument/2006/relationships/hyperlink" Target="https://www.sec.gov/Archives/edgar/data/1436126/000143612618000027/sjv2-28x18employmentagreem.htm" TargetMode="External"/><Relationship Id="rId121" Type="http://schemas.openxmlformats.org/officeDocument/2006/relationships/hyperlink" Target="https://www.sec.gov/Archives/edgar/data/1436126/000143612618000027/db3-13x18employmen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2023-03-15T17:26:30Z</dcterms:created>
  <dcterms:modified xsi:type="dcterms:W3CDTF">2023-03-15T17:26:30Z</dcterms:modified>
</cp:coreProperties>
</file>