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800" w:right="20" w:hanging="448"/>
        <w:spacing w:after="0" w:line="237" w:lineRule="auto"/>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November 30, 2013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00" w:hanging="448"/>
        <w:spacing w:after="0" w:line="256" w:lineRule="auto"/>
        <w:tabs>
          <w:tab w:leader="none" w:pos="8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6400" w:type="dxa"/>
            <w:vAlign w:val="bottom"/>
            <w:gridSpan w:val="3"/>
          </w:tcPr>
          <w:p>
            <w:pPr>
              <w:ind w:left="2880"/>
              <w:spacing w:after="0"/>
              <w:rPr>
                <w:sz w:val="20"/>
                <w:szCs w:val="20"/>
                <w:color w:val="auto"/>
              </w:rPr>
            </w:pPr>
            <w:r>
              <w:rPr>
                <w:rFonts w:ascii="Arial" w:cs="Arial" w:eastAsia="Arial" w:hAnsi="Arial"/>
                <w:sz w:val="18"/>
                <w:szCs w:val="18"/>
                <w:b w:val="1"/>
                <w:bCs w:val="1"/>
                <w:color w:val="auto"/>
              </w:rPr>
              <w:t>For the transition period to</w:t>
            </w:r>
          </w:p>
        </w:tc>
        <w:tc>
          <w:tcPr>
            <w:tcW w:w="152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35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Commission file number 001- 34481</w:t>
            </w:r>
          </w:p>
        </w:tc>
        <w:tc>
          <w:tcPr>
            <w:tcW w:w="1520" w:type="dxa"/>
            <w:vAlign w:val="bottom"/>
          </w:tcPr>
          <w:p>
            <w:pPr>
              <w:spacing w:after="0"/>
              <w:rPr>
                <w:sz w:val="24"/>
                <w:szCs w:val="24"/>
                <w:color w:val="auto"/>
              </w:rPr>
            </w:pPr>
          </w:p>
        </w:tc>
      </w:tr>
      <w:tr>
        <w:trPr>
          <w:trHeight w:val="324"/>
        </w:trPr>
        <w:tc>
          <w:tcPr>
            <w:tcW w:w="29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68"/>
        </w:trPr>
        <w:tc>
          <w:tcPr>
            <w:tcW w:w="2900" w:type="dxa"/>
            <w:vAlign w:val="bottom"/>
          </w:tcPr>
          <w:p>
            <w:pPr>
              <w:spacing w:after="0"/>
              <w:rPr>
                <w:sz w:val="24"/>
                <w:szCs w:val="24"/>
                <w:color w:val="auto"/>
              </w:rPr>
            </w:pPr>
          </w:p>
        </w:tc>
        <w:tc>
          <w:tcPr>
            <w:tcW w:w="3500" w:type="dxa"/>
            <w:vAlign w:val="bottom"/>
            <w:gridSpan w:val="2"/>
          </w:tcPr>
          <w:p>
            <w:pPr>
              <w:jc w:val="center"/>
              <w:ind w:right="640"/>
              <w:spacing w:after="0"/>
              <w:rPr>
                <w:sz w:val="20"/>
                <w:szCs w:val="20"/>
                <w:color w:val="auto"/>
              </w:rPr>
            </w:pPr>
            <w:r>
              <w:rPr>
                <w:rFonts w:ascii="Arial" w:cs="Arial" w:eastAsia="Arial" w:hAnsi="Arial"/>
                <w:sz w:val="32"/>
                <w:szCs w:val="32"/>
                <w:b w:val="1"/>
                <w:bCs w:val="1"/>
                <w:color w:val="auto"/>
                <w:w w:val="94"/>
              </w:rPr>
              <w:t>Mistras Group, Inc.</w:t>
            </w:r>
          </w:p>
        </w:tc>
        <w:tc>
          <w:tcPr>
            <w:tcW w:w="1520" w:type="dxa"/>
            <w:vAlign w:val="bottom"/>
          </w:tcPr>
          <w:p>
            <w:pPr>
              <w:spacing w:after="0"/>
              <w:rPr>
                <w:sz w:val="24"/>
                <w:szCs w:val="24"/>
                <w:color w:val="auto"/>
              </w:rPr>
            </w:pPr>
          </w:p>
        </w:tc>
      </w:tr>
      <w:tr>
        <w:trPr>
          <w:trHeight w:val="230"/>
        </w:trPr>
        <w:tc>
          <w:tcPr>
            <w:tcW w:w="6400" w:type="dxa"/>
            <w:vAlign w:val="bottom"/>
            <w:gridSpan w:val="3"/>
          </w:tcPr>
          <w:p>
            <w:pPr>
              <w:jc w:val="center"/>
              <w:ind w:left="219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324"/>
        </w:trPr>
        <w:tc>
          <w:tcPr>
            <w:tcW w:w="29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9"/>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2"/>
              </w:rPr>
              <w:t>195 Clarksville Road</w:t>
            </w:r>
          </w:p>
        </w:tc>
        <w:tc>
          <w:tcPr>
            <w:tcW w:w="1520" w:type="dxa"/>
            <w:vAlign w:val="bottom"/>
          </w:tcPr>
          <w:p>
            <w:pPr>
              <w:spacing w:after="0"/>
              <w:rPr>
                <w:sz w:val="24"/>
                <w:szCs w:val="24"/>
                <w:color w:val="auto"/>
              </w:rPr>
            </w:pPr>
          </w:p>
        </w:tc>
      </w:tr>
      <w:tr>
        <w:trPr>
          <w:trHeight w:val="22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88"/>
              </w:rPr>
              <w:t>Princeton Junction, New Jersey</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08550</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578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0"/>
              </w:rPr>
              <w:t>(609) 716-4000</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6400" w:type="dxa"/>
            <w:vAlign w:val="bottom"/>
            <w:gridSpan w:val="3"/>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22" w:lineRule="exact"/>
        <w:rPr>
          <w:sz w:val="24"/>
          <w:szCs w:val="24"/>
          <w:color w:val="auto"/>
        </w:rPr>
      </w:pPr>
    </w:p>
    <w:p>
      <w:pPr>
        <w:ind w:left="1880"/>
        <w:spacing w:after="0"/>
        <w:tabs>
          <w:tab w:leader="none" w:pos="64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3" w:lineRule="exact"/>
        <w:rPr>
          <w:sz w:val="24"/>
          <w:szCs w:val="24"/>
          <w:color w:val="auto"/>
        </w:rPr>
      </w:pPr>
    </w:p>
    <w:p>
      <w:pPr>
        <w:ind w:left="1880"/>
        <w:spacing w:after="0"/>
        <w:tabs>
          <w:tab w:leader="none" w:pos="648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January 1, 2014, the registrant had 28,382,851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20"/>
          </w:cols>
          <w:pgMar w:left="240" w:top="233" w:right="339" w:bottom="0" w:gutter="0" w:footer="0" w:header="0"/>
        </w:sectPr>
      </w:pPr>
    </w:p>
    <w:p>
      <w:pPr>
        <w:spacing w:after="0" w:line="217" w:lineRule="exact"/>
        <w:rPr>
          <w:sz w:val="24"/>
          <w:szCs w:val="24"/>
          <w:color w:val="auto"/>
        </w:rPr>
      </w:pPr>
    </w:p>
    <w:p>
      <w:pPr>
        <w:ind w:left="10740"/>
        <w:spacing w:after="0"/>
        <w:rPr>
          <w:sz w:val="20"/>
          <w:szCs w:val="20"/>
          <w:color w:val="auto"/>
        </w:rPr>
      </w:pPr>
      <w:r>
        <w:rPr>
          <w:rFonts w:ascii="Arial" w:cs="Arial" w:eastAsia="Arial" w:hAnsi="Arial"/>
          <w:sz w:val="13"/>
          <w:szCs w:val="13"/>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6625590</wp:posOffset>
            </wp:positionH>
            <wp:positionV relativeFrom="paragraph">
              <wp:posOffset>13970</wp:posOffset>
            </wp:positionV>
            <wp:extent cx="626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ectPr>
          <w:pgSz w:w="11900" w:h="16838" w:orient="portrait"/>
          <w:cols w:equalWidth="0" w:num="1">
            <w:col w:w="11320"/>
          </w:cols>
          <w:pgMar w:left="240" w:top="233"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98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I—FINANCIAL INFORMATION</w:t>
              </w:r>
            </w:hyperlink>
          </w:p>
        </w:tc>
        <w:tc>
          <w:tcPr>
            <w:tcW w:w="786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7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94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Balance Sheets as of November 30, 2013 (unaudited) and May 31, 2013</w:t>
              </w:r>
            </w:hyperlink>
          </w:p>
        </w:tc>
        <w:tc>
          <w:tcPr>
            <w:tcW w:w="190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Condensed Consolidated Statements of Income for the three and six months ended November 30, 2013 and</w:t>
              </w:r>
            </w:hyperlink>
          </w:p>
        </w:tc>
        <w:tc>
          <w:tcPr>
            <w:tcW w:w="5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2012</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Comprehensive Income for the three and six months ended</w:t>
              </w:r>
            </w:hyperlink>
          </w:p>
        </w:tc>
        <w:tc>
          <w:tcPr>
            <w:tcW w:w="102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November 30, 2013 and 2012</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Cash Flows for the six months ended November 30, 2013 and 2012</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2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Unaudited Condensed Consolidated Financial Statements</w:t>
              </w:r>
            </w:hyperlink>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38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7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3.</w:t>
              </w:r>
            </w:hyperlink>
          </w:p>
        </w:tc>
        <w:tc>
          <w:tcPr>
            <w:tcW w:w="540" w:type="dxa"/>
            <w:vAlign w:val="bottom"/>
            <w:gridSpan w:val="2"/>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72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4.</w:t>
              </w:r>
            </w:hyperlink>
          </w:p>
        </w:tc>
        <w:tc>
          <w:tcPr>
            <w:tcW w:w="540" w:type="dxa"/>
            <w:vAlign w:val="bottom"/>
            <w:gridSpan w:val="2"/>
          </w:tcPr>
          <w:p>
            <w:pPr>
              <w:spacing w:after="0"/>
              <w:rPr>
                <w:sz w:val="24"/>
                <w:szCs w:val="24"/>
                <w:color w:val="auto"/>
              </w:rPr>
            </w:pP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464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084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II—OTHER INFORMATION</w:t>
              </w:r>
            </w:hyperlink>
          </w:p>
        </w:tc>
        <w:tc>
          <w:tcPr>
            <w:tcW w:w="580" w:type="dxa"/>
            <w:vAlign w:val="bottom"/>
          </w:tcPr>
          <w:p>
            <w:pPr>
              <w:spacing w:after="0"/>
              <w:rPr>
                <w:sz w:val="24"/>
                <w:szCs w:val="24"/>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1.</w:t>
              </w:r>
            </w:hyperlink>
          </w:p>
        </w:tc>
        <w:tc>
          <w:tcPr>
            <w:tcW w:w="540" w:type="dxa"/>
            <w:vAlign w:val="bottom"/>
            <w:gridSpan w:val="2"/>
          </w:tcPr>
          <w:p>
            <w:pPr>
              <w:spacing w:after="0"/>
              <w:rPr>
                <w:sz w:val="24"/>
                <w:szCs w:val="24"/>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760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ITEM 1.A.</w:t>
              </w:r>
            </w:hyperlink>
          </w:p>
        </w:tc>
        <w:tc>
          <w:tcPr>
            <w:tcW w:w="3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3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3.</w:t>
              </w:r>
            </w:hyperlink>
          </w:p>
        </w:tc>
        <w:tc>
          <w:tcPr>
            <w:tcW w:w="540" w:type="dxa"/>
            <w:vAlign w:val="bottom"/>
            <w:tcBorders>
              <w:top w:val="single" w:sz="8" w:color="0000EE"/>
            </w:tcBorders>
            <w:gridSpan w:val="2"/>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460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4.</w:t>
              </w:r>
            </w:hyperlink>
          </w:p>
        </w:tc>
        <w:tc>
          <w:tcPr>
            <w:tcW w:w="540" w:type="dxa"/>
            <w:vAlign w:val="bottom"/>
            <w:gridSpan w:val="2"/>
          </w:tcPr>
          <w:p>
            <w:pPr>
              <w:spacing w:after="0"/>
              <w:rPr>
                <w:sz w:val="24"/>
                <w:szCs w:val="24"/>
                <w:color w:val="auto"/>
              </w:rPr>
            </w:pP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662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5.</w:t>
              </w:r>
            </w:hyperlink>
          </w:p>
        </w:tc>
        <w:tc>
          <w:tcPr>
            <w:tcW w:w="54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18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89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90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rPr>
              <w:t>PART I—FINANCIAL INFORMATION</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November 30, 2013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16,240</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122,418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Inventories</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Deferred income taxes</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2,647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4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Acquisition-related deposit</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118,679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assets</w:t>
            </w:r>
          </w:p>
        </w:tc>
        <w:tc>
          <w:tcPr>
            <w:tcW w:w="4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415,866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11,273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Accrued expenses and other current liabilities</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70,799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12,629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10,000,000 shares authorized</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$0.01 par value, 200,000,000 shares authorized, 28,382,851 and 28,210,862 shares</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issued and outstanding as of November 30, 2013 and May 31, 2013, respectively</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197,462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33,880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November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Six months ended November 30,</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143,139</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127,731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271,481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226,956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13,616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24,160</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156,755</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292,593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98,860</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87,044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187,484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157,560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and systems sold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8,076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 and systems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108,778</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95,824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205,339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29,849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46,854</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786</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Acquisition-related expense, net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772</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8,391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5"/>
              </w:rPr>
              <w:t>Less: net income attributable to noncontrolling interests, net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of taxes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28,378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28,094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29,102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ectPr>
          <w:pgSz w:w="11900" w:h="16838"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November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2,432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11,981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line="182" w:lineRule="exact"/>
              <w:rPr>
                <w:sz w:val="20"/>
                <w:szCs w:val="20"/>
                <w:color w:val="auto"/>
              </w:rPr>
            </w:pPr>
            <w:r>
              <w:rPr>
                <w:rFonts w:ascii="Arial" w:cs="Arial" w:eastAsia="Arial" w:hAnsi="Arial"/>
                <w:sz w:val="18"/>
                <w:szCs w:val="18"/>
                <w:color w:val="auto"/>
              </w:rPr>
              <w:t>less: comprehensive income attributable to noncontrolling</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Comprehensive income attributable to Mistras Group, Inc.</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11,954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14,919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13,550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 to contingent consideration liabilities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2,524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(8,189)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Acquisition-related deposit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(3,757)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Net borrowings against revolver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22,013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contingent consideration for business acquisitions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Taxes paid related to net share settlement of share-based awards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 of period</w:t>
            </w:r>
          </w:p>
        </w:tc>
        <w:tc>
          <w:tcPr>
            <w:tcW w:w="1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acquired through capital lease obligations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 leading products and technologies, expertise in mechanical integrity (MI), non-destructive testing (NDT) services, destructive testing services, and proprietary data analysis software to deliver a comprehensive portfolio of customized solutions, ranging from routine inspections to complex, and plant-wide asset integrity assessments.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aerospace and defense, fossil and nuclear power, alternative and renewable energy, public infrastructure, chemicals,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2014 and 2013.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2013, as filed with the Securities and Exchange Commission on August 14,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operating results, net of tax, is classified separately in the accompanying consolidated statements of income.</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The fiscal year for Mistras Group, Inc. and its subsidiaries end on May 31, except for the companies in the International segment, which end on April 30. Accordingly, the Company’s International segment subsidiaries are consolidated on a one-month lag. Therefore, in the fiscal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as of or for any period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Certain amounts in prior periods have been reclassified to conform to the current year presentation. Such reclassifications did not have a material effect on the Company’s financial condition or results of operations as previously reported. For the three and six months ended November 30, 2012, the Company reclassified $0.3 million and $0.5 million, respectively, related to interest accretion imputed on its acquisition related contingent consideration liabilities from interest expense to acquisition-related expense, net, which is a component of income from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discussion with regards to acquisition-related expense, net.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Our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our Annual Report. On an ongoing basis, we evaluate our estimates and assumptions, including, among other things those related to revenue recognition, valuations of accounts receivable, long-lived assets, goodwill, deferred tax assets and uncertain tax positions. Since the date of our Annual Report, there have been no material changes to our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February 2013, the FASB issued Accounting Standard Update (ASU) 2013-02, Reporting of Amounts Reclassified Out of Accumulated Other Comprehensive Income, which expands the disclosure requirements for amounts reclassified out of accumulated other comprehensive income. The update</w:t>
      </w:r>
    </w:p>
    <w:p>
      <w:pPr>
        <w:sectPr>
          <w:pgSz w:w="11900" w:h="16975" w:orient="portrait"/>
          <w:cols w:equalWidth="0" w:num="1">
            <w:col w:w="11420"/>
          </w:cols>
          <w:pgMar w:left="240" w:top="125" w:right="239" w:bottom="0" w:gutter="0" w:footer="0" w:header="0"/>
        </w:sectPr>
      </w:pPr>
    </w:p>
    <w:bookmarkStart w:id="5" w:name="page6"/>
    <w:bookmarkEnd w:id="5"/>
    <w:p>
      <w:pPr>
        <w:spacing w:after="0" w:line="4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does not change the current requirements for reporting net income or other comprehensive income in financial statements and is effective for annual and interim reporting periods beginning after December 15, 2012. The adoption of this pronouncement did not have a material impact on the Company’s consolidated financial statements. Other recently issued accounting pronouncements did not, or are not believed by management to likely have a material impact on the Company’s current or future consolidated financial statements.</w:t>
      </w:r>
    </w:p>
    <w:p>
      <w:pPr>
        <w:spacing w:after="0" w:line="18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has share-based incentive awards outstanding to our eligible employees and Directors under two employee stock ownership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stock appreciation rights and deferred stock rights.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three months ended November 30, 2013 and 2012, the Company recognized share-based compensation expense related to stock option awards of less than $0.1 million and $0.8 million, respectively. For the six months ended November 30, 2013 and 2012, the Company recognized share-based compensation expense related to stock option awards of $0.7 and $1.6 million, respectively. As of November 30, 2013, there was less than $0.1 million of unrecognized compensation costs, net of estimated forfeitures, related to stock option awards, which are expected to be recognized over a remaining weighted average period of 1.9 years. Cash proceeds from, and the aggregate intrinsic value of, stock options exercised during the three and six months ended November 30, 2013 and 2012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November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November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8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11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8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0"/>
                <w:szCs w:val="20"/>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1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six months ended November 30, 2013 and 2012.</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also recognized approximately $1.1 million and $0.8 million during the three months ended November 30, 2013 and 2012, respectively, in share-based compensation expense related to restricted stock unit awards. For the six months ended November 30, 2013 and 2012, the Company recognized share-based compensation expense related to restricted stock unit awards of $1.9 million and $1.6 million, respectively. As of November 30, 2013, there was approximately $10.5 million of unrecognized compensation costs, net of estimated forfeitures, related to restricted stock unit awards, which are expected to be recognized over a remaining weighted average period of 2.8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first quarters of fiscal 2014 and 2013, the Company granted approximately 10,000 and 13,000 shares of fully-vested common stock to its five non-employee directors, in connection with its non-employee director compensation plan. These shares had grant date fair values of approximately $0.2 million and $0.3 million, respectively, which was recorded as share-based compensation expense during the six months ended November 30, 2013 and 2012.</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first six months of fiscal 2014 and 2013 respectively, approximately 178,000 and 123,000 restricted stock units vested. The fair value of these units was $3.3 million and $1.9 million, respectively. Upon vesting, restricted stock units are generally net share-settled to cover the required minimum withholding tax and the remaining amount is converted into an equivalent number of shares of common stock. The restricted stock units that vested in the first six months of fiscal 2014 and 2013 were net-share settled such that the Company withheld approximately 55,000 and 37,000 shares, respectively, having value equivalent to the employees’ minimum statutory obligation for the applicable income and other employment taxes, and remitted the cash to the appropriate taxing authorities. The shares withheld were based on the value of the restricted stock units on their vesting date as determined by the Company’s closing stock price. Payments to taxing authorities for employees’ tax obligations for the six month periods ended November 30, 2013 and 2012 totaled $1.0 million and $0.8 million, respectively, and are reflected as a financing activity within the condensed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7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6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Three months ended November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Numerator: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Mistras Group, Inc.</w:t>
            </w:r>
          </w:p>
        </w:tc>
        <w:tc>
          <w:tcPr>
            <w:tcW w:w="10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9,163</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14,898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Denominator: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28,378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28,309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28,094</w:t>
            </w: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8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Net income attributable to Mistras Group, Inc.</w:t>
            </w:r>
          </w:p>
        </w:tc>
        <w:tc>
          <w:tcPr>
            <w:tcW w:w="11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9,257</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9,163</w:t>
            </w:r>
          </w:p>
        </w:tc>
        <w:tc>
          <w:tcPr>
            <w:tcW w:w="5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14,898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13,444</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28,378</w:t>
            </w: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28,144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28,309</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28,094</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 outstanding</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Dilutive effect of restricted stock units outstanding</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the second quarter of fiscal 2014, the Company completed an acquisition of a professional engineering consulting and technical training services company serving the hydrocarbon processing and other energy-related industries. This company was acquired to complement service offerings within the Company’s Services segment and expand its technical capabilities. The Company acquired 100% of the common stock in exchange for $1.5 million in cash.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assets and liabilities of the acquired business were included in the Company’s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This valuation and the related purchase price allocation is expected to be finalized prior to the end of fiscal 2014. The results of operations for this acquisition are included in the Services segment’s results of operations from the date of acquisition. The Company’s preliminary allocation of purchase price for this acquisition is included in the table below, which summarizes the estimated fair value of the assets acquired and liabilities assumed at the date of acquisition:</w:t>
      </w:r>
    </w:p>
    <w:p>
      <w:pPr>
        <w:spacing w:after="0" w:line="179"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 acquired</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amortization period of intangible assets acquired ranges from 3 to 5 years. The Company recorded approximately $1.5 million of goodwill in connection with this acquisition, reflecting the strategic fit and revenue and earnings growth potential of this business.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Revenues and operating income from this acquisition for the period subsequent to the closing of the transaction were approximately $0.5 million and $0.0 million, respectively, for the three and six month periods ended November 30, 2013. This acquisition is not significant and no pro forma financial information has been included in this report.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three and six month periods ended November 30, 2013, the Company incurred acquisition-related costs of $0.4 million and $0.5 million, respectively, in connection with due diligence, professional fees, and other expenses related to the completed acquisition as well as its other acquisition activity. Additionally, the Company adjusted the fair value of certain previously recorded acquisition-related contingent consideration liabilities. For the three and six month periods ended November 30, 2013, these adjustments resulted in a net decrease of acquisition-related contingent consideration liabilities and a corresponding increase in income from operations of approximately $0.8 million and $3.0 million, respectively. The Company’s aggregate acquisition-related contingent consideration liabilities were approximately $12.0 million and $15.4 million as of November 30, 2013 and May 31, 2013, respectively.</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and six month periods ended November 30, 2012, the Company incurred acquisition-related costs of $0.2 million and $0.9 million in connection with due diligence, professional fees, and other expenses for its acquisition activity. Additionally, the Company adjusted the fair value of certain acquisition-related contingent consideration liabilities. For the three and six month periods ended November 30, 2012, these adjustments resulted in a net decrease of acquisition-related contingent consideration liabilities and a corresponding increase in income from operations of approximately $0.1 million and $0.7 million, respectively.</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fair value adjustments to acquisition-related contingent consideration liabilities and the acquisition-related transaction costs have been classified as acquisition-related expense-net in the condensed consolidated statements of income for the three and six month periods ended November 30, 2013 and 2012.</w:t>
      </w:r>
    </w:p>
    <w:p>
      <w:pPr>
        <w:spacing w:after="0" w:line="12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November 30, 2013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w w:val="95"/>
              </w:rPr>
              <w:t>May 31, 2013</w:t>
            </w: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0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124,623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6"/>
          </w:tcPr>
          <w:p>
            <w:pPr>
              <w:jc w:val="right"/>
              <w:ind w:right="130"/>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122,418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w w:val="79"/>
              </w:rPr>
              <w:t>6.</w:t>
            </w:r>
          </w:p>
        </w:tc>
        <w:tc>
          <w:tcPr>
            <w:tcW w:w="55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Inventories</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vMerge w:val="continue"/>
          </w:tcPr>
          <w:p>
            <w:pPr>
              <w:spacing w:after="0"/>
              <w:rPr>
                <w:sz w:val="24"/>
                <w:szCs w:val="24"/>
                <w:color w:val="auto"/>
              </w:rPr>
            </w:pPr>
          </w:p>
        </w:tc>
        <w:tc>
          <w:tcPr>
            <w:tcW w:w="55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November 30, 2013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May 31, 2013</w:t>
            </w: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Work in process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2,206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Services-related consumable supplies</w:t>
            </w: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3,257</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12,828</w:t>
            </w: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w w:val="79"/>
              </w:rPr>
              <w:t>7.</w:t>
            </w:r>
          </w:p>
        </w:tc>
        <w:tc>
          <w:tcPr>
            <w:tcW w:w="55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Property, Plant and Equipment, net</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vMerge w:val="continue"/>
          </w:tcPr>
          <w:p>
            <w:pPr>
              <w:spacing w:after="0"/>
              <w:rPr>
                <w:sz w:val="24"/>
                <w:szCs w:val="24"/>
                <w:color w:val="auto"/>
              </w:rPr>
            </w:pPr>
          </w:p>
        </w:tc>
        <w:tc>
          <w:tcPr>
            <w:tcW w:w="55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Useful Life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November 30, 2013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6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00" w:type="dxa"/>
            <w:vAlign w:val="bottom"/>
          </w:tcPr>
          <w:p>
            <w:pPr>
              <w:jc w:val="center"/>
              <w:ind w:left="396"/>
              <w:spacing w:after="0"/>
              <w:rPr>
                <w:sz w:val="20"/>
                <w:szCs w:val="20"/>
                <w:color w:val="auto"/>
              </w:rPr>
            </w:pPr>
            <w:r>
              <w:rPr>
                <w:rFonts w:ascii="Arial" w:cs="Arial" w:eastAsia="Arial" w:hAnsi="Arial"/>
                <w:sz w:val="18"/>
                <w:szCs w:val="18"/>
                <w:color w:val="auto"/>
                <w:w w:val="91"/>
              </w:rPr>
              <w:t>30-40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22,458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20,973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90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92"/>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tcBorders>
              <w:bottom w:val="single" w:sz="8" w:color="CCEEFF"/>
            </w:tcBorders>
          </w:tcPr>
          <w:p>
            <w:pPr>
              <w:jc w:val="center"/>
              <w:ind w:left="376"/>
              <w:spacing w:after="0"/>
              <w:rPr>
                <w:sz w:val="20"/>
                <w:szCs w:val="20"/>
                <w:color w:val="auto"/>
              </w:rPr>
            </w:pPr>
            <w:r>
              <w:rPr>
                <w:rFonts w:ascii="Arial" w:cs="Arial" w:eastAsia="Arial" w:hAnsi="Arial"/>
                <w:sz w:val="18"/>
                <w:szCs w:val="18"/>
                <w:color w:val="auto"/>
                <w:w w:val="92"/>
              </w:rPr>
              <w:t>5-7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129,543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121,563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160,571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tcPr>
          <w:p>
            <w:pPr>
              <w:jc w:val="right"/>
              <w:ind w:right="65"/>
              <w:spacing w:after="0"/>
              <w:rPr>
                <w:sz w:val="20"/>
                <w:szCs w:val="20"/>
                <w:color w:val="auto"/>
              </w:rPr>
            </w:pPr>
            <w:r>
              <w:rPr>
                <w:rFonts w:ascii="Arial" w:cs="Arial" w:eastAsia="Arial" w:hAnsi="Arial"/>
                <w:sz w:val="18"/>
                <w:szCs w:val="18"/>
                <w:color w:val="auto"/>
              </w:rPr>
              <w:t>(90,054)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(81,603)</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70,517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68,419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Depreciation expense for each of the three month periods ended November 30, 2013 and 2012 was approximately $4.6 million. Depreciation expense for the six months ended November 30, 2013 and 2012 was approximately $9.2 million and $9.0 million, respectively.</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are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November 30, 2013</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5"/>
              </w:rPr>
              <w:t>May 31, 2013</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Useful Life</w:t>
            </w:r>
          </w:p>
        </w:tc>
        <w:tc>
          <w:tcPr>
            <w:tcW w:w="180" w:type="dxa"/>
            <w:vAlign w:val="bottom"/>
          </w:tcPr>
          <w:p>
            <w:pPr>
              <w:spacing w:after="0"/>
              <w:rPr>
                <w:sz w:val="10"/>
                <w:szCs w:val="10"/>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9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0"/>
                <w:szCs w:val="10"/>
                <w:color w:val="auto"/>
              </w:rPr>
            </w:pPr>
          </w:p>
        </w:tc>
        <w:tc>
          <w:tcPr>
            <w:tcW w:w="86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14,852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(8,380)</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6,472</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14,336</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(7,629)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(3,237)</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5,195</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99,403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(50,121)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49,282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97,501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(45,509)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51,992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Amortization expense for the three months ended November 30, 2013 and 2012 was approximately $2.2 million and $1.9 million, respectively. Amortization expense for the six months ended November 30, 2013 and 2012 was approximately $4.3 million and $3.5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9.</w:t>
            </w:r>
          </w:p>
        </w:tc>
        <w:tc>
          <w:tcPr>
            <w:tcW w:w="7600" w:type="dxa"/>
            <w:vAlign w:val="bottom"/>
          </w:tcPr>
          <w:p>
            <w:pPr>
              <w:ind w:left="46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November 30, 2013</w:t>
            </w:r>
          </w:p>
        </w:tc>
        <w:tc>
          <w:tcPr>
            <w:tcW w:w="24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31, 2013</w:t>
            </w:r>
          </w:p>
        </w:tc>
      </w:tr>
      <w:tr>
        <w:trPr>
          <w:trHeight w:val="210"/>
        </w:trPr>
        <w:tc>
          <w:tcPr>
            <w:tcW w:w="2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23,662</w:t>
            </w: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Contingent consideration, current portion</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5,144</w:t>
            </w: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workers’ compensation and health benefits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3,823</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w:t>
            </w: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1,836</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2,623</w:t>
            </w:r>
          </w:p>
        </w:tc>
      </w:tr>
      <w:tr>
        <w:trPr>
          <w:trHeight w:val="124"/>
        </w:trPr>
        <w:tc>
          <w:tcPr>
            <w:tcW w:w="200" w:type="dxa"/>
            <w:vAlign w:val="bottom"/>
          </w:tcPr>
          <w:p>
            <w:pPr>
              <w:spacing w:after="0"/>
              <w:rPr>
                <w:sz w:val="10"/>
                <w:szCs w:val="10"/>
                <w:color w:val="auto"/>
              </w:rPr>
            </w:pPr>
          </w:p>
        </w:tc>
        <w:tc>
          <w:tcPr>
            <w:tcW w:w="7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bl>
    <w:p>
      <w:pPr>
        <w:sectPr>
          <w:pgSz w:w="11900" w:h="16900" w:orient="portrait"/>
          <w:cols w:equalWidth="0" w:num="1">
            <w:col w:w="11380"/>
          </w:cols>
          <w:pgMar w:left="240" w:top="121"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Total</w:t>
            </w:r>
          </w:p>
        </w:tc>
        <w:tc>
          <w:tcPr>
            <w:tcW w:w="71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gridSpan w:val="3"/>
          </w:tcPr>
          <w:p>
            <w:pPr>
              <w:jc w:val="right"/>
              <w:ind w:right="12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w:t>
            </w:r>
          </w:p>
        </w:tc>
        <w:tc>
          <w:tcPr>
            <w:tcW w:w="7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Long-Term Debt</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 w:type="dxa"/>
            <w:vAlign w:val="bottom"/>
            <w:gridSpan w:val="3"/>
            <w:vMerge w:val="continue"/>
          </w:tcPr>
          <w:p>
            <w:pPr>
              <w:spacing w:after="0"/>
              <w:rPr>
                <w:sz w:val="24"/>
                <w:szCs w:val="24"/>
                <w:color w:val="auto"/>
              </w:rPr>
            </w:pPr>
          </w:p>
        </w:tc>
        <w:tc>
          <w:tcPr>
            <w:tcW w:w="7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spacing w:after="0"/>
              <w:rPr>
                <w:sz w:val="20"/>
                <w:szCs w:val="20"/>
                <w:color w:val="auto"/>
              </w:rPr>
            </w:pPr>
            <w:r>
              <w:rPr>
                <w:rFonts w:ascii="Arial" w:cs="Arial" w:eastAsia="Arial" w:hAnsi="Arial"/>
                <w:sz w:val="18"/>
                <w:szCs w:val="18"/>
                <w:color w:val="auto"/>
              </w:rPr>
              <w:t>Long-term debt consists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November 30, 2013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31, 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61,581</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Notes payable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11,210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78,698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60,267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gridSpan w:val="4"/>
          </w:tcPr>
          <w:p>
            <w:pPr>
              <w:ind w:left="80"/>
              <w:spacing w:after="0"/>
              <w:rPr>
                <w:sz w:val="20"/>
                <w:szCs w:val="20"/>
                <w:color w:val="auto"/>
              </w:rPr>
            </w:pPr>
            <w:r>
              <w:rPr>
                <w:rFonts w:ascii="Arial" w:cs="Arial" w:eastAsia="Arial" w:hAnsi="Arial"/>
                <w:sz w:val="18"/>
                <w:szCs w:val="18"/>
                <w:color w:val="auto"/>
              </w:rPr>
              <w:t>Long-term debt, net of current portion</w:t>
            </w: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70,799</w:t>
            </w: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credit agreement has a maturity date of December 20, 2016. The credit agreement provides the company with a $125.0 million revolving line of credit, which, under certain circumstances, can be increased to $150.0 million. The Company may borrow up to $30.0 million in non-U.S. dollar currencies and use up to $10.0 million of the credit limit for the issuance of letters of credit. As of November 30, 2013, there were outstanding borrowings of $61.6 million and a total of $3.6 million of outstanding letters of credit under the revolving credit facility.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Loans under the credit agreement bear interest at LIBOR plus an applicable LIBOR margin ranging from 1% to 2%, or a base rate less a margin of 0.25% to 1.25%, at the option of the Company, or based upon the Company’s Funded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Leverage Ratio. Funded Debt Leverage Ratio is generally the ratio of (1) all outstanding indebtedness for borrowed money and other interest-bearing indebtedness as of the date of determination to (2) EBITDA (which is defined in the agreement as (a) net income, less (b) income (or plus loss) from discontinued operations and extraordinary items, plus (c) income tax expenses, plus (d) interest expense, plus (e) depreciation, depletion, and amortization (including non-cash loss on retirement of assets), plus (f) share-based compensation expense, less (g) cash expense related to share-based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November 30, 2013, the Company was in compliance with the terms of the credit agreement, and it will continuously monitor its compliance with its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acquisitions through end of fiscal 2013, the Company issued subordinated notes payable to the sellers. The maturity of these notes range from three to five years from the date of acquisition, with stated interest rates ranging from 0% to 4%. The Company has discounted these obligations to reflect a 2% to 4% market interest rate. Unamortized discount on the notes was de minimis as of November 30, 2013 and May 31, 2013. Amortization is recorded as interest expense in the condensed consolidated statement of income.</w:t>
      </w:r>
    </w:p>
    <w:p>
      <w:pPr>
        <w:spacing w:after="0" w:line="187"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w:t>
      </w:r>
    </w:p>
    <w:p>
      <w:pPr>
        <w:sectPr>
          <w:pgSz w:w="11900" w:h="16838" w:orient="portrait"/>
          <w:cols w:equalWidth="0" w:num="1">
            <w:col w:w="11400"/>
          </w:cols>
          <w:pgMar w:left="240" w:top="140" w:right="259" w:bottom="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measurement date. It also establishes a three level hierarchy that prioritizes the inputs used to measure fair value. The three levels of the hierarchy are defined as follows: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2"/>
              </w:rPr>
              <w:t>November 30, 2013</w:t>
            </w: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11,970</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ind w:left="580"/>
              <w:spacing w:after="0"/>
              <w:rPr>
                <w:sz w:val="20"/>
                <w:szCs w:val="20"/>
                <w:color w:val="auto"/>
              </w:rPr>
            </w:pPr>
            <w:r>
              <w:rPr>
                <w:rFonts w:ascii="Arial" w:cs="Arial" w:eastAsia="Arial" w:hAnsi="Arial"/>
                <w:sz w:val="18"/>
                <w:szCs w:val="18"/>
                <w:color w:val="auto"/>
                <w:w w:val="83"/>
              </w:rPr>
              <w:t>11,970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11,970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11,970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5"/>
              </w:rPr>
              <w:t>May 31, 2013</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15,438</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15,438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15,438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subject to lawsuits, investigations and claims that arise in the ordinary course of business. Although the Company cannot predict with certainty the ultimate resolution of lawsuits, investigations and claims asserted against it, the Company believes that, except for the matters discussed below, the reasonably possible range of loss for all other pending legal proceeding to which the Company is a party in the aggregate is immaterial. The costs of defense and amounts that may be paid in such matters may be covered by insurance.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an environmental incident which occurred in February 2011 outside of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2013, the Company performed radiography work on the construction of a pipeline project in Georgia. The Company has received notice that the pipeline project owner contends that certain of the x-ray images the Company’s technicians prepared regarding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project did not meet the code quality interpretation standards required by API (American Petroleum Institute) 1104. The project owner is claiming damages as a result of the alleged quality defects of the Company’s x-ray images. No lawsuit has yet to be filed in this matter. At the present time, the Company is unable to determine the likely outcome or reasonably estimate the amount or range of potential liability related to this matter, and accordingly, has not established any reserves for this matter.</w:t>
      </w:r>
    </w:p>
    <w:p>
      <w:pPr>
        <w:sectPr>
          <w:pgSz w:w="11900" w:h="16838" w:orient="portrait"/>
          <w:cols w:equalWidth="0" w:num="1">
            <w:col w:w="11400"/>
          </w:cols>
          <w:pgMar w:left="240" w:top="125" w:right="259" w:bottom="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Company is liable for contingent consideration in connection with certain of its acquisitions. Using information available as of November, 30 2013, estimated potential acquisition-related contingent consideration ranged from zero to approximately $25.6 million and would be payable upon the achievement of specific performance metrics by certain of the acquired companies over the next five years of operations. See Note 4 -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and Note 10 — </w:t>
      </w: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to these consolidated financial statements for further discussion of the Company’s acquisitions.</w:t>
      </w:r>
    </w:p>
    <w:p>
      <w:pPr>
        <w:spacing w:after="0" w:line="16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Subsequent to November 30, 2013, the Company completed the acquisition of an asset protection business located in Texas to continue its market expansion strategy. The Company’s initial cash payment for this acquisition was $11.0 million and is presented as acquisition-related deposit on the condensed consolidated balance sheet. In addition to the initial cash payment, the agreement provides for up to $4.0 million in contingent consideration which may be earned based upon the acquired company achieving specific performance metrics over the next three years of operation. The Company is in the process of completing the preliminary purchase price allocation. This acquisition is not significant and no pro forma financial information has been included in this report.</w:t>
      </w:r>
    </w:p>
    <w:p>
      <w:pPr>
        <w:spacing w:after="0" w:line="18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80" w:right="60" w:hanging="324"/>
        <w:spacing w:after="0" w:line="264"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accounting policies of the reportable segments are the same as those described in Note 1 —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November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7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108,862</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105,213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204,672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187,610</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43,209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51,206</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15,189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17,973</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(5,673)</w:t>
            </w: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156,755</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292,593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November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7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30,918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30,692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57,665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51,632</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13,293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23,413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14,380</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6,102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9,220</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47,977</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November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2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14,400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15,801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25,246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22,567</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2,871</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1,060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4,783</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(6,910)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(6,768)</w:t>
            </w: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15,252</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November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Six months ended November 30,</w:t>
            </w:r>
          </w:p>
        </w:tc>
        <w:tc>
          <w:tcPr>
            <w:tcW w:w="40" w:type="dxa"/>
            <w:vAlign w:val="bottom"/>
          </w:tcPr>
          <w:p>
            <w:pPr>
              <w:spacing w:after="0"/>
              <w:rPr>
                <w:sz w:val="14"/>
                <w:szCs w:val="14"/>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1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22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4,156</w:t>
            </w:r>
          </w:p>
        </w:tc>
        <w:tc>
          <w:tcPr>
            <w:tcW w:w="30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4,579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9,103</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c>
          <w:tcPr>
            <w:tcW w:w="4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583</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6,785</w:t>
            </w:r>
          </w:p>
        </w:tc>
        <w:tc>
          <w:tcPr>
            <w:tcW w:w="3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6,462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2220" w:type="dxa"/>
            <w:vAlign w:val="bottom"/>
            <w:gridSpan w:val="2"/>
          </w:tcPr>
          <w:p>
            <w:pPr>
              <w:jc w:val="right"/>
              <w:ind w:right="27"/>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 2013</w:t>
            </w:r>
          </w:p>
        </w:tc>
        <w:tc>
          <w:tcPr>
            <w:tcW w:w="2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31, 2013</w:t>
            </w: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Intangible assets, net</w:t>
            </w: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12,563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14,527</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27,487</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27,520</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8,950</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9,600</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r>
      <w:tr>
        <w:trPr>
          <w:trHeight w:val="210"/>
        </w:trPr>
        <w:tc>
          <w:tcPr>
            <w:tcW w:w="5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51,992</w:t>
            </w:r>
          </w:p>
        </w:tc>
        <w:tc>
          <w:tcPr>
            <w:tcW w:w="1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 2013</w:t>
            </w:r>
          </w:p>
        </w:tc>
        <w:tc>
          <w:tcPr>
            <w:tcW w:w="24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31, 2013</w:t>
            </w: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210,181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200,326</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149,534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138,108</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37,221</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37,948</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18,930</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r>
      <w:tr>
        <w:trPr>
          <w:trHeight w:val="210"/>
        </w:trPr>
        <w:tc>
          <w:tcPr>
            <w:tcW w:w="5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415,866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1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 2013</w:t>
            </w:r>
          </w:p>
        </w:tc>
        <w:tc>
          <w:tcPr>
            <w:tcW w:w="24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31, 2013</w:t>
            </w: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62,542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61,285</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42,941</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40,788</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13,196</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13,197</w:t>
            </w:r>
          </w:p>
        </w:tc>
      </w:tr>
      <w:tr>
        <w:trPr>
          <w:trHeight w:val="210"/>
        </w:trPr>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six months ended November 30, 2013 and 2012, respectively,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November 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November 30,</w:t>
            </w:r>
          </w:p>
        </w:tc>
        <w:tc>
          <w:tcPr>
            <w:tcW w:w="40" w:type="dxa"/>
            <w:vAlign w:val="bottom"/>
          </w:tcPr>
          <w:p>
            <w:pPr>
              <w:spacing w:after="0"/>
              <w:rPr>
                <w:sz w:val="14"/>
                <w:szCs w:val="14"/>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1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99,497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95,560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182,654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171,835</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27,929</w:t>
            </w:r>
          </w:p>
        </w:tc>
        <w:tc>
          <w:tcPr>
            <w:tcW w:w="40" w:type="dxa"/>
            <w:vAlign w:val="bottom"/>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Europe</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37,399</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22,231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72,805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38,908</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12,444</w:t>
            </w:r>
          </w:p>
        </w:tc>
        <w:tc>
          <w:tcPr>
            <w:tcW w:w="4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156,755</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292,593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6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following Management’s Discussion and Analysis (“MD&amp;A”) includes a narrative explanation and analysis of our results of operations and financial condition for the three and six months ended November 30, 2013 and 2012.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2013 (“2013 Annual Report”). In this quarterly report, our fiscal years, which end on May 31, are identified according to the calendar year in which they end (e.g., the fiscal year ending May 31, 2014 is referred to as “fiscal 2014”), and unless otherwise</w:t>
      </w:r>
    </w:p>
    <w:p>
      <w:pPr>
        <w:sectPr>
          <w:pgSz w:w="11900" w:h="16838" w:orient="portrait"/>
          <w:cols w:equalWidth="0" w:num="1">
            <w:col w:w="11460"/>
          </w:cols>
          <w:pgMar w:left="240" w:top="333" w:right="199" w:bottom="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specified or the context otherwise requires, “Mistras,” “the Company,” “we,” “us” and “our” refer to Mistras Group, Inc. and its consolidated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MD&amp;A includes disclosure in the following areas:</w:t>
      </w:r>
    </w:p>
    <w:p>
      <w:pPr>
        <w:spacing w:after="0" w:line="211"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elsewhere in this Report in Part II, Item 1A “Risk Factors” and in “Business—Forward-Looking Statements,” and “Risk Factors” sections of our 2013 Annual Report as well as those discussed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31"/>
          <w:szCs w:val="31"/>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88" w:lineRule="exact"/>
        <w:rPr>
          <w:sz w:val="20"/>
          <w:szCs w:val="20"/>
          <w:color w:val="auto"/>
        </w:rPr>
      </w:pPr>
    </w:p>
    <w:p>
      <w:pPr>
        <w:jc w:val="both"/>
        <w:ind w:left="660" w:right="200" w:hanging="328"/>
        <w:spacing w:after="0" w:line="264"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primarily in North America with the largest concentration in the United States and a rapidly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hanging="328"/>
        <w:spacing w:after="0" w:line="342" w:lineRule="auto"/>
        <w:tabs>
          <w:tab w:leader="none" w:pos="624"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color w:val="auto"/>
        </w:rPr>
      </w:pPr>
    </w:p>
    <w:p>
      <w:pPr>
        <w:ind w:left="660" w:right="16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 role our solutions play in helping to ensure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aerospace and defense, fossil and nuclear power, alternative and renewable energy, public infrastructure, chemicals, transportation, primary metals and metalworking, pharmaceuticals and food processing industries.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global economy has shown some signs of improvement, but continues to be fragile. Global financial markets continue to experience uncertainty, including tight liquidity and credit availability, relatively low consumer confidence, slow economic growth,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November 30, 2013 compared to the three months ended November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November 30, 2013 and 2012 were as follows:</w:t>
      </w:r>
    </w:p>
    <w:p>
      <w:pPr>
        <w:sectPr>
          <w:pgSz w:w="11900" w:h="16838" w:orient="portrait"/>
          <w:cols w:equalWidth="0" w:num="1">
            <w:col w:w="11400"/>
          </w:cols>
          <w:pgMar w:left="240" w:top="125" w:right="259" w:bottom="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156,755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47,977</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Gross profit as a % of Revenue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32,725</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expenses as a % of Revenue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15,252</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Income from Operations as a % of Revenue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772</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5,196</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Mistras Group, Inc.</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November 30, 2013 and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November 30,</w:t>
            </w:r>
          </w:p>
        </w:tc>
      </w:tr>
      <w:tr>
        <w:trPr>
          <w:trHeight w:val="142"/>
        </w:trPr>
        <w:tc>
          <w:tcPr>
            <w:tcW w:w="6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9,284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680" w:type="dxa"/>
            <w:vAlign w:val="bottom"/>
          </w:tcPr>
          <w:p>
            <w:pPr>
              <w:spacing w:after="0"/>
              <w:rPr>
                <w:sz w:val="18"/>
                <w:szCs w:val="18"/>
                <w:color w:val="auto"/>
              </w:rPr>
            </w:pP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5,196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5,745</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w:t>
            </w: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EBITDA</w:t>
            </w:r>
          </w:p>
        </w:tc>
        <w:tc>
          <w:tcPr>
            <w:tcW w:w="1680" w:type="dxa"/>
            <w:vAlign w:val="bottom"/>
          </w:tcPr>
          <w:p>
            <w:pPr>
              <w:spacing w:after="0"/>
              <w:rPr>
                <w:sz w:val="18"/>
                <w:szCs w:val="18"/>
                <w:color w:val="auto"/>
              </w:rPr>
            </w:pP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22,010</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22,639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share-based compensation expense, and, if applicable, certain acquisition-related expense (including adjustments to the fair value of contingent consideration) and certain non-recurring items (which items are in the reconciliation table above if applicable).</w:t>
      </w:r>
    </w:p>
    <w:p>
      <w:pPr>
        <w:spacing w:after="0" w:line="19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management uses EBITDA and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Later in this report, the non-GAAP financial performance measures “Segment and Total Company Income from Operations before Acquisition-Related Expense (Benefit), net” is used, with tables reconciling the measures to financial measures under GAAP. These non-GAAP measures exclude from the GAAP measures income from operations (a) transaction expenses related to acquisitions, such as professional fees and due diligence costs and (b) the net changes in the fair value of acquisition-related contingent consideration liabilities. These items have been excluded from the GAAP measures because these expenses 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investors and other users of our financial statements benefit from the presentation of EBITDA, Adjusted EBITDA and “Segment and Total Company Income from Operations before Acquisition-Related Expense (Benefit), net” in evaluating our operating performance because it provides additional tools to compare our operating performance on a consistent basis and measure underlying trends and results in our business. EBITDA and Adjusted EBITDA remove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 Similarly, we believe that Segment and Total Company Income from Operations before Acquisition-Related Expense (Benefit), net, provides</w:t>
      </w:r>
    </w:p>
    <w:p>
      <w:pPr>
        <w:sectPr>
          <w:pgSz w:w="11900" w:h="16838" w:orient="portrait"/>
          <w:cols w:equalWidth="0" w:num="1">
            <w:col w:w="11420"/>
          </w:cols>
          <w:pgMar w:left="240" w:top="341" w:right="239" w:bottom="0" w:gutter="0" w:footer="0" w:header="0"/>
        </w:sectPr>
      </w:pPr>
    </w:p>
    <w:bookmarkStart w:id="14" w:name="page15"/>
    <w:bookmarkEnd w:id="14"/>
    <w:p>
      <w:pPr>
        <w:spacing w:after="0" w:line="1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investors with useful information and more meaningful period over period comparisons by identifying and excluding these acquisition-related costs so that the performance of the core business operations can be identified and compared.</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EBITDA and Adjusted EBITDA should not be considered in isolation or as a substitute for analyzing our results as reported under U.S. GAAP. In addition, acquisitions are a part of our growth strategy, and therefore acquisition-related items are a necessary cost of the Company’s business. Segment and Total Company Income from Operations before Acquisition-Related Expense (Benefit), net, are not metrics used to determine incentive compensation for executives or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were $156.8 million for the three months ended November 30, 2013 compared to $137.7 million for the three months ended November 30,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second quarter of fiscal 2014 and 2013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gridSpan w:val="11"/>
          </w:tcPr>
          <w:p>
            <w:pPr>
              <w:ind w:left="160"/>
              <w:spacing w:after="0"/>
              <w:rPr>
                <w:sz w:val="20"/>
                <w:szCs w:val="20"/>
                <w:color w:val="auto"/>
              </w:rPr>
            </w:pPr>
            <w:r>
              <w:rPr>
                <w:rFonts w:ascii="Arial" w:cs="Arial" w:eastAsia="Arial" w:hAnsi="Arial"/>
                <w:sz w:val="14"/>
                <w:szCs w:val="14"/>
                <w:b w:val="1"/>
                <w:bCs w:val="1"/>
                <w:color w:val="auto"/>
              </w:rPr>
              <w:t>Three months ended November 30,</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108,862</w:t>
            </w: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105,213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8,604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(3,920)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Our growth rates for the second quarter of fiscal 2014 and 2013 were as follows:</w:t>
            </w:r>
          </w:p>
        </w:tc>
        <w:tc>
          <w:tcPr>
            <w:tcW w:w="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11"/>
          </w:tcPr>
          <w:p>
            <w:pPr>
              <w:ind w:left="540"/>
              <w:spacing w:after="0"/>
              <w:rPr>
                <w:sz w:val="20"/>
                <w:szCs w:val="20"/>
                <w:color w:val="auto"/>
              </w:rPr>
            </w:pPr>
            <w:r>
              <w:rPr>
                <w:rFonts w:ascii="Arial" w:cs="Arial" w:eastAsia="Arial" w:hAnsi="Arial"/>
                <w:sz w:val="14"/>
                <w:szCs w:val="14"/>
                <w:b w:val="1"/>
                <w:bCs w:val="1"/>
                <w:color w:val="auto"/>
              </w:rPr>
              <w:t>Three months ended November 30,</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7"/>
          </w:tcPr>
          <w:p>
            <w:pPr>
              <w:jc w:val="right"/>
              <w:ind w:right="136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19,026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640" w:type="dxa"/>
            <w:vAlign w:val="bottom"/>
            <w:gridSpan w:val="4"/>
          </w:tcPr>
          <w:p>
            <w:pPr>
              <w:jc w:val="right"/>
              <w:ind w:right="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Comprised of:</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 of acquisition growth</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640" w:type="dxa"/>
            <w:vAlign w:val="bottom"/>
            <w:gridSpan w:val="4"/>
          </w:tcPr>
          <w:p>
            <w:pPr>
              <w:jc w:val="right"/>
              <w:ind w:right="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for the three months ended November 30, 2013 experienced year-on-year growth of $19.0 million, or 13.8%, fueled by growth from acquisitions of approximately 9% and organic growth of approximately 4%. Acquisitions contributed approximately 19% of the Company’s 20.6% year-on-year revenue growth generated in the second quarter of fiscal 2013, while organic growth contributed approximately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was experienced primarily in our International and Services segments. The Company’s 61% year-on-year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growth in International revenue was driven primarily by acquisition, as the Company acquired its German subsidiary during the second quarter of the prior fiscal year. The remainder of the International increase was driven by organic growth of 17%. The 3.5% increase in Services segment revenues was driven by organic growth of 2.2% and acquisition growth of approximately 1%.</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continued to experience year-on-year growth in its key vertical markets during the second quarter of fiscal 2014. Oil and gas revenues grew by approximately 5% and remained the Company’s most significant vertical market, but saw its proportion decline to 48% of total Company revenues compared with 52% in the second quarter of fiscal 2013. This decline was driven primarily by acquisition-driven growth from the Company’s German subsidiary which was acquired during fiscal 2013 and has a high concentration of aerospace customers. The Company’s aerospace revenues increased to nearly 12% of total revenues, compared with approximately 6% in the prior year’s second quarter. The Company’s top ten customers comprised approximately 36% of total revenues in the second quarter of fiscal 2014 compared with 32% in the second quarter of the prior fiscal year.</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increased by $6.1 million, or 14%, to $48.0 million in the second quarter of fiscal 2014, compared with $41.9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2013. Gross profit by segment for the three months ended November 30, 2013 and 2012 was as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31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Three months ended November 30,</w:t>
            </w:r>
          </w:p>
        </w:tc>
      </w:t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30,918</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30,692</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13,293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7,299</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3,975</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0"/>
        </w:trPr>
        <w:tc>
          <w:tcPr>
            <w:tcW w:w="60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47,977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percentage of revenues, gross profit was 30.6% and 30.4% for the second quarters of fiscal 2014 and 2013, respectively. The increase in gross profit percentage was primarily attributable to improved margins in the International segment, which saw gross margins increase to 30.8% in the second quarter of fiscal 2014 compared with 27.3% in the prior year. The improvement in International margins was driven by an increase in higher margin product sales in the U.K., Russia and France, as well as an improvement in utilization of personnel performing services. Gross profit margin for the Services segment improved</w:t>
      </w:r>
    </w:p>
    <w:p>
      <w:pPr>
        <w:sectPr>
          <w:pgSz w:w="11900" w:h="16945" w:orient="portrait"/>
          <w:cols w:equalWidth="0" w:num="1">
            <w:col w:w="11360"/>
          </w:cols>
          <w:pgMar w:left="240" w:top="125" w:right="299" w:bottom="0" w:gutter="0" w:footer="0" w:header="0"/>
        </w:sectPr>
      </w:pPr>
    </w:p>
    <w:bookmarkStart w:id="15" w:name="page16"/>
    <w:bookmarkEnd w:id="15"/>
    <w:p>
      <w:pPr>
        <w:spacing w:after="0" w:line="62"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sequentially to 28.4% compared with 27.9% generated in the first quarter of fiscal 2014, but was lower than gross profit margin of 29.2% in the second quarter of fiscal 2013. The decline from prior year was primarily the result of additional costs incurred by the Company in anticipation of growth in its Canadian business, as well as the timing of fringe benefit costs incurred, including medical costs. As in the first quarter of fiscal 2014, the Products and Systems segment continued to experience lower gross margins due to an adverse sales mix compared with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a reconciliation of the segment and total Company income from operations before acquisition-related expense (benefit), net, to income from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12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Three months ended November 30,</w:t>
            </w:r>
          </w:p>
        </w:tc>
      </w:tr>
      <w:tr>
        <w:trPr>
          <w:trHeight w:val="142"/>
        </w:trPr>
        <w:tc>
          <w:tcPr>
            <w:tcW w:w="7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14,387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16,284</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14,400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7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8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(3,301)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r>
      <w:tr>
        <w:trPr>
          <w:trHeight w:val="210"/>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7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Corporate and Eliminations: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before acquisition-related (benefit), net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(3,988)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(2,869)</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Acquisition-related expense, net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r>
      <w:tr>
        <w:trPr>
          <w:trHeight w:val="210"/>
        </w:trPr>
        <w:tc>
          <w:tcPr>
            <w:tcW w:w="7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7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14,841</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Income from operations of $15.3 million for the second quarter of fiscal 2014 decreased $0.5 million, or approximately 3%, compared with the second quarter of fiscal 2013. As a percentage of revenues, income from operations was 9.7% and 11.4% for the second quarters of fiscal 2014 and fiscal 2013, respectively.</w:t>
      </w:r>
    </w:p>
    <w:p>
      <w:pPr>
        <w:spacing w:after="0" w:line="12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Operating expenses increased by $6.6 million, or 25%, compared with the prior year’s second quarter, and by $7.1 million, or 27%, excluding acquisition-related items. The primary driver to this increase was the impact from the acquisition of the Company’s German subsidiary in the second quarter of fiscal 2013, which added $3.2 million of year-on-year impact. The Services segment incurred a year-on-year operating expense increase of $2.1 million, or 15%, exclusive of acquisition-related charges, driven primarily by increases in headcount and facility-related costs incurred to grow its business in Canada and in the United States. Corporate operating expenses increased by $1.2 million, or 44%, exclusive of acquisition-related charges, compared to the prior year, driven primarily by the timing of insurance and recruiting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approximately $0.8 million for each of the second quarters of fiscal 2014 and 2013, respectively.</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Company’s effective income tax rate was approximately 36% and 38% for the three months ended November 30, 2013 and November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respectively. The decrease was primarily due to the greater proportion of income from various foreign jurisdictions that carry lower tax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November 30, 2013 compared to the six months ended November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six months ended November 30, 2013 and 2012 were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56"/>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2"/>
          </w:tcPr>
          <w:p>
            <w:pPr>
              <w:jc w:val="center"/>
              <w:ind w:left="536"/>
              <w:spacing w:after="0"/>
              <w:rPr>
                <w:sz w:val="20"/>
                <w:szCs w:val="20"/>
                <w:color w:val="auto"/>
              </w:rPr>
            </w:pPr>
            <w:r>
              <w:rPr>
                <w:rFonts w:ascii="Arial" w:cs="Arial" w:eastAsia="Arial" w:hAnsi="Arial"/>
                <w:sz w:val="14"/>
                <w:szCs w:val="14"/>
                <w:b w:val="1"/>
                <w:bCs w:val="1"/>
                <w:color w:val="auto"/>
                <w:w w:val="90"/>
              </w:rPr>
              <w:t>($ in thousands)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6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292,593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87,254</w:t>
            </w: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Gross profit as a % of Revenue</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62,427</w:t>
            </w: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expenses as a % of Revenue</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Income from operations</w:t>
            </w:r>
          </w:p>
        </w:tc>
        <w:tc>
          <w:tcPr>
            <w:tcW w:w="26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136"/>
              <w:spacing w:after="0"/>
              <w:rPr>
                <w:sz w:val="20"/>
                <w:szCs w:val="20"/>
                <w:color w:val="auto"/>
              </w:rPr>
            </w:pPr>
            <w:r>
              <w:rPr>
                <w:rFonts w:ascii="Arial" w:cs="Arial" w:eastAsia="Arial" w:hAnsi="Arial"/>
                <w:sz w:val="18"/>
                <w:szCs w:val="18"/>
                <w:color w:val="auto"/>
              </w:rPr>
              <w:t>24,827</w:t>
            </w:r>
          </w:p>
        </w:tc>
        <w:tc>
          <w:tcPr>
            <w:tcW w:w="5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23,453</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1,517</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1,576</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8,391</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8,400</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Mistras Group, Inc.</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earlier under the consolidated results of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2013 and 2012), for the six months ended November 30, 2013 and 2012,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November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14"/>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14,919</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13,477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680" w:type="dxa"/>
            <w:vAlign w:val="bottom"/>
          </w:tcPr>
          <w:p>
            <w:pPr>
              <w:spacing w:after="0"/>
              <w:rPr>
                <w:sz w:val="18"/>
                <w:szCs w:val="18"/>
                <w:color w:val="auto"/>
              </w:rPr>
            </w:pP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14,898</w:t>
            </w:r>
          </w:p>
        </w:tc>
        <w:tc>
          <w:tcPr>
            <w:tcW w:w="2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13,444</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1,517</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8,391</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13,550</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12,501</w:t>
            </w: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EBITDA</w:t>
            </w:r>
          </w:p>
        </w:tc>
        <w:tc>
          <w:tcPr>
            <w:tcW w:w="1680" w:type="dxa"/>
            <w:vAlign w:val="bottom"/>
          </w:tcPr>
          <w:p>
            <w:pPr>
              <w:spacing w:after="0"/>
              <w:rPr>
                <w:sz w:val="18"/>
                <w:szCs w:val="18"/>
                <w:color w:val="auto"/>
              </w:rPr>
            </w:pP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38,356</w:t>
            </w:r>
          </w:p>
        </w:tc>
        <w:tc>
          <w:tcPr>
            <w:tcW w:w="2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35,921</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2,747</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(2,508)</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38,595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39,333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were $292.6 million for the six months ended November 30, 2013 compared to $251.1 million for the six months ended November 30, 2012.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six months ended November 30, 2013 and 2012 were as 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November 30,</w:t>
            </w:r>
          </w:p>
        </w:tc>
      </w:tr>
      <w:tr>
        <w:trPr>
          <w:trHeight w:val="142"/>
        </w:trPr>
        <w:tc>
          <w:tcPr>
            <w:tcW w:w="4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204,672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187,610</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80,968</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51,206</w:t>
            </w: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15,189</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17,973</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(8,236)</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(5,673)</w:t>
            </w:r>
          </w:p>
        </w:tc>
      </w:tr>
      <w:tr>
        <w:trPr>
          <w:trHeight w:val="210"/>
        </w:trPr>
        <w:tc>
          <w:tcPr>
            <w:tcW w:w="4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292,593</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six months ended November 30, 2013 and 2012, respectively, were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jc w:val="center"/>
              <w:ind w:right="313"/>
              <w:spacing w:after="0"/>
              <w:rPr>
                <w:sz w:val="20"/>
                <w:szCs w:val="20"/>
                <w:color w:val="auto"/>
              </w:rPr>
            </w:pPr>
            <w:r>
              <w:rPr>
                <w:rFonts w:ascii="Arial" w:cs="Arial" w:eastAsia="Arial" w:hAnsi="Arial"/>
                <w:sz w:val="14"/>
                <w:szCs w:val="14"/>
                <w:b w:val="1"/>
                <w:bCs w:val="1"/>
                <w:color w:val="auto"/>
                <w:w w:val="91"/>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60" w:type="dxa"/>
            <w:vAlign w:val="bottom"/>
            <w:gridSpan w:val="4"/>
          </w:tcPr>
          <w:p>
            <w:pPr>
              <w:jc w:val="center"/>
              <w:ind w:left="69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41,477</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Comprised of:</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of acquisition growth</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(decrease)</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Revenues for the first half of fiscal 2014 experienced year-on-year growth of $41.5 million, or 16.5%, fueled by growth from acquisitions of approximately 12% and organic growth of approximately 4%. Acquisitions contributed approximately 18% of the Company’s 22.1% year-on-year revenue growth generated in first half of fiscal 2013, while organic growth contributed approximately 5%, with foreign exchange reducing that rate of increase by nearly 1%.</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 growth for the first half was experienced primarily in our International and Services segments. The Company’s 58% year-on-year growth in International revenue was driven primarily by acquisition, as the Company acquired its German subsidiary during the second quarter of fiscal 2013. The remainder of the International increase was driven by organic growth of 2.5%. The 9% increase in Services segment revenues was driven by organic growth of 8.1% and acquisition growth of approximately 1%.</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continued to experience year-on-year growth in its key vertical markets during the first half of fiscal 2014. Oil and gas revenues grew by approximately 12% and remained the Company’s most significant vertical market, but saw its proportion decline to 48% of total Company revenues compared with 50% in the first half of fiscal 2013. This decline was driven primarily by acquisition-driven growth from the Company’s German subsidiary which was acquired during fiscal 2013 and has a high concentration of aerospace customers. The Company’s aerospace revenues increased to 12% of total revenues, compared with approximately 6% in the prior year’s first half. The Company’s top ten customers comprised approximately 35% of total revenues in the first half of fiscal 2014 compared with 31% in the first half of the prior fiscal year.</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increased by $11.6 million, or approximately 15%, to $87.3 million during the first half of fiscal 2014, compared with $75.6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fiscal 2013. Gross profit by segment for the six months ended November 30, 2013 and 2012 were as follows:</w:t>
      </w:r>
    </w:p>
    <w:p>
      <w:pPr>
        <w:sectPr>
          <w:pgSz w:w="11900" w:h="16838" w:orient="portrait"/>
          <w:cols w:equalWidth="0" w:num="1">
            <w:col w:w="11420"/>
          </w:cols>
          <w:pgMar w:left="240" w:top="140" w:right="239" w:bottom="0" w:gutter="0" w:footer="0" w:header="0"/>
        </w:sectPr>
      </w:pPr>
    </w:p>
    <w:bookmarkStart w:id="17" w:name="page18"/>
    <w:bookmarkEnd w:id="17"/>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November 30,</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4"/>
          </w:tcPr>
          <w:p>
            <w:pPr>
              <w:jc w:val="right"/>
              <w:ind w:right="450"/>
              <w:spacing w:after="0" w:line="142" w:lineRule="exact"/>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57,665</w:t>
            </w:r>
          </w:p>
        </w:tc>
        <w:tc>
          <w:tcPr>
            <w:tcW w:w="860" w:type="dxa"/>
            <w:vAlign w:val="bottom"/>
            <w:gridSpan w:val="2"/>
          </w:tcPr>
          <w:p>
            <w:pPr>
              <w:jc w:val="right"/>
              <w:ind w:right="73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51,632</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23,413</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14,380</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6,102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9,220</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87,254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percentage of revenues, gross profit was 29.8% and 30.1% for the six month periods ended November 30, 2013 and 2012, respectively. The slight reduction in gross profit percentage was primarily attributable to improved margins in both the Services and International segments that was more than offset by the Products and Systems segment’s reduction. Gross profit margin for the Services segment improved to 28.2% in the first half of fiscal 2014 compared with 27.5% in the first half of the prior fiscal year, driven by operational efficiencies. Gross profit margin for the International segment improved to 28.9% in the first half of fiscal 2014 compared with 28.1% in the first half of the prior fiscal year, driven by higher margin product sales in the U.K., Russia and France, as well as improved utilization of personnel performing services. These gains were offset by the Products and Systems segment’s decline in gross margin to 40.2% from 51.3% in the prior fiscal year’s first half. The decline in Products and Systems segment gross margin was due to lower sales levels and an adverse sales mix compared with prior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a reconciliation of the segment and total Company income from operations before acquisition-related expense (benefit), net, to income from operations: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November 30,</w:t>
            </w:r>
          </w:p>
        </w:tc>
      </w:tr>
      <w:tr>
        <w:trPr>
          <w:trHeight w:val="142"/>
        </w:trPr>
        <w:tc>
          <w:tcPr>
            <w:tcW w:w="6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25,402</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23,260</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 net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r>
      <w:tr>
        <w:trPr>
          <w:trHeight w:val="210"/>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13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25,246</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5,337</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(3,771)</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0"/>
        </w:trPr>
        <w:tc>
          <w:tcPr>
            <w:tcW w:w="6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r>
      <w:tr>
        <w:trPr>
          <w:trHeight w:val="210"/>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13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Corporate and Eliminations: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before acquisition-related (benefit), net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(8,445)</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(6,132)</w:t>
            </w: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Acquisition-related expense, net</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2,142</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r>
      <w:tr>
        <w:trPr>
          <w:trHeight w:val="210"/>
        </w:trPr>
        <w:tc>
          <w:tcPr>
            <w:tcW w:w="6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22,319</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23,659</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24,827</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from operations of $24.8 million for the first half of fiscal 2014 improved by $1.4 million, or approximately 6%, compared with the first half of fiscal 2013. As a percentage of revenues, income from operations was 8.5% and 9.3% for the first half of fiscal 2014 and fiscal 2013, respectively. Exclusive of acquisition-related items, income from operations for the first half of fiscal 2014 declined by $1.3 million, or 5.7%, during the first half of fiscal 2014 compared with the prior year.</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Operating expenses increased by $10.3 million, or 20%, compared with the prior year’s first half, and by $13.0 million, or 25%, during the same period excluding acquisition-related items. The primary driver to this increase was the impact from the prior year’s acquisition of the Company’s German subsidiary, which added $7.1 million of year-on-year impact. The Services segment incurred a year-on-year operating expense increase of $3.9 million, or 14%, exclusive of acquisition-related charges, driven primarily by increases in headcount and facility-related costs incurred to grow its business in Canada and in the United States. Corporate operating expenses increased by $2.0 million, or 31%, exclusive of acquisition-related charges, compared to the prior year, driven primarily by the timing of insurance and recruiting costs, as well as increased levels of performance-based compensation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six months ended November 30, 2013 was $1.5 million, a decrease of $0.1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when compared to the prior year period. The decrease was primarily related to a decrease in average interest rates in the first half of fiscal 2014.</w:t>
      </w:r>
    </w:p>
    <w:p>
      <w:pPr>
        <w:spacing w:after="0" w:line="2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income tax rate was approximately 36% and 38% for the six month periods ended November 30, 2013 and November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decrease was primarily due to the greater proportion of income from various foreign jurisdictions that carry lower income tax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15,634</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27,396</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(20,237)</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(32,303)</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13,130</w:t>
            </w: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9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8,438</w:t>
            </w:r>
          </w:p>
        </w:tc>
        <w:tc>
          <w:tcPr>
            <w:tcW w:w="280" w:type="dxa"/>
            <w:vAlign w:val="bottom"/>
          </w:tcPr>
          <w:p>
            <w:pPr>
              <w:spacing w:after="0"/>
              <w:rPr>
                <w:sz w:val="19"/>
                <w:szCs w:val="19"/>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cash flow excluding changes in operating assets and liabilities was approximately $29 million in each of the six-month periods ended November 30, 2013 and 2012, respectively. However, cash provided by our operating activities during the six month period ended November 30, 2013 of $15.6 million represented a year-on-year decline of $11.8 million. The reduction in operating cash flow was driven by the timing of changes in working capital, principally accounts receivable, which entailed a $12.5 million use of cash, or 12% of the May 31, 2013 accounts receivable balance, that was in turn driven by the Company’s year-on-year sales increase of 16.5%.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used $20.2 million principally to fund capital expenditures of $8.2 million, a consummated acquisition of $1.5 million and an acquisition that was completed subsequent to November 30, 2013 of $11.0 million. The Company used a total of $32.3 million for investing activities in the comparable period of the prior fiscal year to fund acquisitions of $27.0 million and capital expenditures of $5.2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activities was $13.1 million for the six months ended November 30, 2013, an increase of $8.5 million from the comparable period of fiscal 2013. Net cash provided by financing activities related primarily to net borrowings of $22.0 million from our revolving credit facility offset by payments of notes payable, other long-term debt, capital lease obligations and contingent consideration totaling $8.4 million. The increase in cash provided by financing activities compared with prior year was driven by the increased level of borrowings against our credit facility that were made primarily for the purpose of funding the acquisition made subsequent to November 30,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($0.1) million and ($0.2) million for the six months ended November 30,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November 30, 2013, we had cash and cash equivalents totaling $16.2 million and available borrowing capacity of $59.8 million under our current revolving credit facility. As of November 30, 2013, there were outstanding borrowings of $61.6 million and a total of $3.6 million of outstanding letters of credit under the existing revolving credit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finance our operations primarily through our existing cash balances, cash collected from operations, bank borrowings and capital lease financing. We believe these sources are sufficient to fund our operations for the foreseeable future.</w:t>
      </w:r>
    </w:p>
    <w:p>
      <w:pPr>
        <w:spacing w:after="0" w:line="17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Company’s credit agreement provides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LIBOR plus an applicable LIBOR margin ranging from 1% to 2%, or a base rate margin less a margin of 1.25% to 0.25%, at our option, or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share-based compensation expense, less (g) cash expense related to share-based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ectPr>
          <w:pgSz w:w="11900" w:h="16838" w:orient="portrait"/>
          <w:cols w:equalWidth="0" w:num="1">
            <w:col w:w="11420"/>
          </w:cols>
          <w:pgMar w:left="240" w:top="125" w:right="239" w:bottom="151" w:gutter="0" w:footer="0" w:header="0"/>
        </w:sectPr>
      </w:pPr>
    </w:p>
    <w:bookmarkStart w:id="19" w:name="page20"/>
    <w:bookmarkEnd w:id="19"/>
    <w:p>
      <w:pPr>
        <w:spacing w:after="0" w:line="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November 30, 2013,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expect our future sources of cash to include cash flow generated from our operating activities and borrowings under our revolving credit facility. Our revolving credit facility is available for cash advances required for working capital and for letters of credit to support our operations.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expect our future uses of cash primarily will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We historically spend approximately 3% to 4% of our total revenues on capital expenditures, including capital leases and excluding acquisitions, and expect to fund these expenditures through a combination of cash and lease financing.</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future acquisitions also may require capital. We acquired three companies in fiscal 2013 and one company during the first half of fiscal 2014, with an initial aggregate cash outlay of $36.5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six months ended November 30, 2013,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2013 Annual Report.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w:t>
      </w:r>
    </w:p>
    <w:p>
      <w:pPr>
        <w:sectPr>
          <w:pgSz w:w="11900" w:h="16865" w:orient="portrait"/>
          <w:cols w:equalWidth="0" w:num="1">
            <w:col w:w="11420"/>
          </w:cols>
          <w:pgMar w:left="240" w:top="125" w:right="239" w:bottom="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t>the value in U.S. Dollars of our foreign currency denominated assets and liabilities, even if the value of these items has not changed in their original currency. We had approximately $2.4 million of foreign currency translation gains and $0.5 million of foreign currency translation losses in other comprehensive income for the first half of fiscal 2014 and 2013, respectively. We do not currently enter into forward exchange contracts to hedge exposures to foreign currencies. We may consider entering into hedging or forward exchange contracts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had cash and cash equivalents of $16.2 million at November 30, 2013. These amounts are held for working capital purposes and were invested primarily in bank deposits, money market funds and short-term, interest-bearing, investment-grade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Due to the short-term nature of these investments, we believe that we do not have any material exposure to changes in the fair value of our investment portfolio as a result of changes in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do not believe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November 30, 2013,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November 30, 2013 that has materially affected, or is reasonably likely to materially affect, such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2013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included in this report for a description of our other legal proceedings.</w:t>
      </w:r>
    </w:p>
    <w:p>
      <w:pPr>
        <w:spacing w:after="0" w:line="24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2013 Annual Report. There have been no material changes to the risk factors previously disclosed in the 2013 Annual Report.</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780" w:hanging="652"/>
        <w:spacing w:after="0" w:line="501"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60" w:hanging="652"/>
        <w:spacing w:after="0" w:line="498"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quarter pursuant to the surrender of shares by employees to satisfy tax withholding obligations in connection with the vesting of restricted stock units.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Fiscal Month Ending</w:t>
            </w:r>
          </w:p>
        </w:tc>
        <w:tc>
          <w:tcPr>
            <w:tcW w:w="3840" w:type="dxa"/>
            <w:vAlign w:val="bottom"/>
          </w:tcPr>
          <w:p>
            <w:pPr>
              <w:jc w:val="center"/>
              <w:ind w:left="1168"/>
              <w:spacing w:after="0"/>
              <w:rPr>
                <w:sz w:val="20"/>
                <w:szCs w:val="20"/>
                <w:color w:val="auto"/>
              </w:rPr>
            </w:pPr>
            <w:r>
              <w:rPr>
                <w:rFonts w:ascii="Arial" w:cs="Arial" w:eastAsia="Arial" w:hAnsi="Arial"/>
                <w:sz w:val="14"/>
                <w:szCs w:val="14"/>
                <w:b w:val="1"/>
                <w:bCs w:val="1"/>
                <w:color w:val="auto"/>
                <w:w w:val="93"/>
              </w:rPr>
              <w:t>Total Number of Shares (or</w:t>
            </w:r>
          </w:p>
        </w:tc>
        <w:tc>
          <w:tcPr>
            <w:tcW w:w="186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Average Price Paid per</w:t>
            </w:r>
          </w:p>
        </w:tc>
        <w:tc>
          <w:tcPr>
            <w:tcW w:w="0" w:type="dxa"/>
            <w:vAlign w:val="bottom"/>
          </w:tcPr>
          <w:p>
            <w:pPr>
              <w:spacing w:after="0"/>
              <w:rPr>
                <w:sz w:val="1"/>
                <w:szCs w:val="1"/>
                <w:color w:val="auto"/>
              </w:rPr>
            </w:pPr>
          </w:p>
        </w:tc>
      </w:tr>
      <w:tr>
        <w:trPr>
          <w:trHeight w:val="186"/>
        </w:trPr>
        <w:tc>
          <w:tcPr>
            <w:tcW w:w="3000" w:type="dxa"/>
            <w:vAlign w:val="bottom"/>
            <w:vMerge w:val="continue"/>
          </w:tcPr>
          <w:p>
            <w:pPr>
              <w:spacing w:after="0"/>
              <w:rPr>
                <w:sz w:val="16"/>
                <w:szCs w:val="16"/>
                <w:color w:val="auto"/>
              </w:rPr>
            </w:pPr>
          </w:p>
        </w:tc>
        <w:tc>
          <w:tcPr>
            <w:tcW w:w="3840" w:type="dxa"/>
            <w:vAlign w:val="bottom"/>
          </w:tcPr>
          <w:p>
            <w:pPr>
              <w:jc w:val="center"/>
              <w:ind w:left="1148"/>
              <w:spacing w:after="0"/>
              <w:rPr>
                <w:sz w:val="20"/>
                <w:szCs w:val="20"/>
                <w:color w:val="auto"/>
              </w:rPr>
            </w:pPr>
            <w:r>
              <w:rPr>
                <w:rFonts w:ascii="Arial" w:cs="Arial" w:eastAsia="Arial" w:hAnsi="Arial"/>
                <w:sz w:val="14"/>
                <w:szCs w:val="14"/>
                <w:b w:val="1"/>
                <w:bCs w:val="1"/>
                <w:color w:val="auto"/>
                <w:w w:val="92"/>
              </w:rPr>
              <w:t>Units) Purchased</w:t>
            </w:r>
          </w:p>
        </w:tc>
        <w:tc>
          <w:tcPr>
            <w:tcW w:w="186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-8890</wp:posOffset>
            </wp:positionV>
            <wp:extent cx="579755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ind w:left="980"/>
        <w:spacing w:after="0"/>
        <w:tabs>
          <w:tab w:leader="none" w:pos="7380" w:val="left"/>
          <w:tab w:leader="none" w:pos="9580" w:val="left"/>
        </w:tabs>
        <w:rPr>
          <w:sz w:val="20"/>
          <w:szCs w:val="20"/>
          <w:color w:val="auto"/>
        </w:rPr>
      </w:pPr>
      <w:r>
        <w:rPr>
          <w:rFonts w:ascii="Arial" w:cs="Arial" w:eastAsia="Arial" w:hAnsi="Arial"/>
          <w:sz w:val="18"/>
          <w:szCs w:val="18"/>
          <w:color w:val="auto"/>
        </w:rPr>
        <w:t>September 30, 2013</w:t>
      </w:r>
      <w:r>
        <w:rPr>
          <w:sz w:val="20"/>
          <w:szCs w:val="20"/>
          <w:color w:val="auto"/>
        </w:rPr>
        <w:tab/>
      </w:r>
      <w:r>
        <w:rPr>
          <w:rFonts w:ascii="Arial" w:cs="Arial" w:eastAsia="Arial" w:hAnsi="Arial"/>
          <w:sz w:val="18"/>
          <w:szCs w:val="18"/>
          <w:color w:val="auto"/>
        </w:rPr>
        <w:t>684</w:t>
      </w:r>
      <w:r>
        <w:rPr>
          <w:sz w:val="20"/>
          <w:szCs w:val="20"/>
          <w:color w:val="auto"/>
        </w:rPr>
        <w:tab/>
      </w:r>
      <w:r>
        <w:rPr>
          <w:rFonts w:ascii="Arial" w:cs="Arial" w:eastAsia="Arial" w:hAnsi="Arial"/>
          <w:sz w:val="15"/>
          <w:szCs w:val="15"/>
          <w:color w:val="auto"/>
        </w:rPr>
        <w:t>16.50</w:t>
      </w:r>
    </w:p>
    <w:p>
      <w:pPr>
        <w:sectPr>
          <w:pgSz w:w="11900" w:h="16838" w:orient="portrait"/>
          <w:cols w:equalWidth="0" w:num="1">
            <w:col w:w="11400"/>
          </w:cols>
          <w:pgMar w:left="240" w:top="125" w:right="259" w:bottom="0" w:gutter="0" w:footer="0" w:header="0"/>
          <w:type w:val="continuous"/>
        </w:sectPr>
      </w:pPr>
    </w:p>
    <w:bookmarkStart w:id="21" w:name="page22"/>
    <w:bookmarkEnd w:id="21"/>
    <w:tbl>
      <w:tblPr>
        <w:tblLayout w:type="fixed"/>
        <w:tblInd w:w="98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October 31, 2013</w:t>
            </w:r>
          </w:p>
        </w:tc>
        <w:tc>
          <w:tcPr>
            <w:tcW w:w="3780" w:type="dxa"/>
            <w:vAlign w:val="bottom"/>
          </w:tcPr>
          <w:p>
            <w:pPr>
              <w:ind w:left="252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November 30, 2013</w:t>
            </w:r>
          </w:p>
        </w:tc>
        <w:tc>
          <w:tcPr>
            <w:tcW w:w="37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Information</w:t>
            </w:r>
          </w:p>
        </w:tc>
        <w:tc>
          <w:tcPr>
            <w:tcW w:w="40" w:type="dxa"/>
            <w:vAlign w:val="bottom"/>
          </w:tcPr>
          <w:p>
            <w:pPr>
              <w:spacing w:after="0"/>
              <w:rPr>
                <w:sz w:val="20"/>
                <w:szCs w:val="20"/>
                <w:color w:val="auto"/>
              </w:rPr>
            </w:pPr>
          </w:p>
        </w:tc>
      </w:tr>
      <w:tr>
        <w:trPr>
          <w:trHeight w:val="432"/>
        </w:trPr>
        <w:tc>
          <w:tcPr>
            <w:tcW w:w="1300" w:type="dxa"/>
            <w:vAlign w:val="bottom"/>
            <w:gridSpan w:val="3"/>
          </w:tcPr>
          <w:p>
            <w:pPr>
              <w:ind w:left="66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4"/>
                <w:szCs w:val="24"/>
                <w:color w:val="auto"/>
              </w:rPr>
            </w:pPr>
          </w:p>
        </w:tc>
      </w:tr>
      <w:tr>
        <w:trPr>
          <w:trHeight w:val="365"/>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24"/>
                <w:szCs w:val="24"/>
                <w:color w:val="auto"/>
              </w:rPr>
            </w:pPr>
          </w:p>
        </w:tc>
        <w:tc>
          <w:tcPr>
            <w:tcW w:w="9980" w:type="dxa"/>
            <w:vAlign w:val="bottom"/>
          </w:tcPr>
          <w:p>
            <w:pPr>
              <w:ind w:left="46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
          </w:tcPr>
          <w:p>
            <w:pPr>
              <w:jc w:val="center"/>
              <w:ind w:right="1212"/>
              <w:spacing w:after="0"/>
              <w:rPr>
                <w:sz w:val="20"/>
                <w:szCs w:val="20"/>
                <w:color w:val="auto"/>
              </w:rPr>
            </w:pPr>
            <w:r>
              <w:rPr>
                <w:rFonts w:ascii="Arial" w:cs="Arial" w:eastAsia="Arial" w:hAnsi="Arial"/>
                <w:sz w:val="18"/>
                <w:szCs w:val="18"/>
                <w:color w:val="auto"/>
                <w:w w:val="89"/>
              </w:rPr>
              <w:t>29</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3"/>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14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1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Schema Document</w:t>
            </w: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Calculation Linkbase Document</w:t>
            </w: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Labels Linkbase Document</w:t>
            </w: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Presentation Linkbase Document</w:t>
            </w:r>
          </w:p>
        </w:tc>
        <w:tc>
          <w:tcPr>
            <w:tcW w:w="40" w:type="dxa"/>
            <w:vAlign w:val="bottom"/>
          </w:tcPr>
          <w:p>
            <w:pPr>
              <w:spacing w:after="0"/>
              <w:rPr>
                <w:sz w:val="24"/>
                <w:szCs w:val="24"/>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XBRL Definition Linkbase Document</w:t>
            </w:r>
          </w:p>
        </w:tc>
        <w:tc>
          <w:tcPr>
            <w:tcW w:w="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
          </w:tcPr>
          <w:p>
            <w:pPr>
              <w:jc w:val="center"/>
              <w:ind w:right="1212"/>
              <w:spacing w:after="0"/>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3"/>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14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tcPr>
          <w:p>
            <w:pPr>
              <w:jc w:val="center"/>
              <w:ind w:right="1352"/>
              <w:spacing w:after="0"/>
              <w:rPr>
                <w:sz w:val="20"/>
                <w:szCs w:val="20"/>
                <w:color w:val="auto"/>
              </w:rPr>
            </w:pPr>
            <w:r>
              <w:rPr>
                <w:rFonts w:ascii="Arial" w:cs="Arial" w:eastAsia="Arial" w:hAnsi="Arial"/>
                <w:sz w:val="18"/>
                <w:szCs w:val="18"/>
                <w:b w:val="1"/>
                <w:bCs w:val="1"/>
                <w:color w:val="auto"/>
                <w:w w:val="88"/>
              </w:rPr>
              <w:t>Signatures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-3585845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-3585845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Jonathan H. Wolk</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2014</w:t>
      </w:r>
    </w:p>
    <w:p>
      <w:pPr>
        <w:sectPr>
          <w:pgSz w:w="11900" w:h="16838" w:orient="portrait"/>
          <w:cols w:equalWidth="0" w:num="1">
            <w:col w:w="11460"/>
          </w:cols>
          <w:pgMar w:left="240" w:top="125" w:right="19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Jonathan H. Wolk,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Jonathan H. Wolk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November 30, 2013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Jonathan H. Wolk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decimal"/>
      <w:start w:val="12"/>
    </w:lvl>
  </w:abstractNum>
  <w:abstractNum w:abstractNumId="11">
    <w:nsid w:val="6B68079A"/>
    <w:multiLevelType w:val="hybridMultilevel"/>
    <w:lvl w:ilvl="0">
      <w:lvlJc w:val="left"/>
      <w:lvlText w:val="%1."/>
      <w:numFmt w:val="decimal"/>
      <w:start w:val="13"/>
    </w:lvl>
  </w:abstractNum>
  <w:abstractNum w:abstractNumId="12">
    <w:nsid w:val="4E6AFB66"/>
    <w:multiLevelType w:val="hybridMultilevel"/>
    <w:lvl w:ilvl="0">
      <w:lvlJc w:val="left"/>
      <w:lvlText w:val="%1."/>
      <w:numFmt w:val="decimal"/>
      <w:start w:val="1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2019-12-07T18:55:29Z</dcterms:created>
  <dcterms:modified xsi:type="dcterms:W3CDTF">2019-12-07T18:55:29Z</dcterms:modified>
</cp:coreProperties>
</file>