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4512_defa14a.htm"/>
      <w:bookmarkStart w:id="1" w:name="ksef20084512_defa14a"/>
      <w:bookmarkStart w:id="2" w:name="ef20084512_defa14a.htm"/>
      <w:bookmarkStart w:id="3" w:name="ksef20084512_defa14a"/>
      <w:bookmarkEnd w:id="2"/>
      <w:bookmarkEnd w:id="3"/>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SCHEDULE 14A</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 the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Securities Exchange Act of 1934</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c5ff8d9306a548df8d835936ba68426d"/>
      <w:bookmarkStart w:id="5" w:name="zc5ff8d9306a548df8d835936ba68426d"/>
      <w:bookmarkEnd w:id="5"/>
    </w:p>
    <w:tbl>
      <w:tblPr>
        <w:tblW w:w="4120" w:type="dxa"/>
        <w:jc w:val="left"/>
        <w:tblInd w:w="0" w:type="dxa"/>
        <w:tblLayout w:type="fixed"/>
        <w:tblCellMar>
          <w:top w:w="0" w:type="dxa"/>
          <w:left w:w="0" w:type="dxa"/>
          <w:bottom w:w="0" w:type="dxa"/>
          <w:right w:w="0" w:type="dxa"/>
        </w:tblCellMar>
      </w:tblPr>
      <w:tblGrid>
        <w:gridCol w:w="3890"/>
        <w:gridCol w:w="230"/>
      </w:tblGrid>
      <w:tr>
        <w:trPr/>
        <w:tc>
          <w:tcPr>
            <w:tcW w:w="3890" w:type="dxa"/>
            <w:tcBorders/>
            <w:vAlign w:val="center"/>
          </w:tcPr>
          <w:p>
            <w:pPr>
              <w:pStyle w:val="TableContents"/>
              <w:bidi w:val="0"/>
              <w:spacing w:before="0" w:after="0"/>
              <w:jc w:val="left"/>
              <w:rPr/>
            </w:pPr>
            <w:r>
              <w:rPr/>
              <w:t>Filed by the Registrant</w:t>
            </w:r>
          </w:p>
        </w:tc>
        <w:tc>
          <w:tcPr>
            <w:tcW w:w="230" w:type="dxa"/>
            <w:tcBorders/>
            <w:vAlign w:val="center"/>
          </w:tcPr>
          <w:p>
            <w:pPr>
              <w:pStyle w:val="TableContents"/>
              <w:bidi w:val="0"/>
              <w:spacing w:before="0" w:after="0"/>
              <w:jc w:val="left"/>
              <w:rPr/>
            </w:pPr>
            <w:r>
              <w:rPr/>
              <w:t>☒</w:t>
            </w:r>
          </w:p>
        </w:tc>
      </w:tr>
      <w:tr>
        <w:trPr/>
        <w:tc>
          <w:tcPr>
            <w:tcW w:w="3890" w:type="dxa"/>
            <w:tcBorders/>
            <w:vAlign w:val="center"/>
          </w:tcPr>
          <w:p>
            <w:pPr>
              <w:pStyle w:val="TableContents"/>
              <w:bidi w:val="0"/>
              <w:spacing w:before="0" w:after="0"/>
              <w:jc w:val="left"/>
              <w:rPr/>
            </w:pPr>
            <w:r>
              <w:rPr/>
              <w:t>Filed by a Party other than the Registrant</w:t>
            </w:r>
          </w:p>
        </w:tc>
        <w:tc>
          <w:tcPr>
            <w:tcW w:w="230" w:type="dxa"/>
            <w:tcBorders/>
            <w:vAlign w:val="center"/>
          </w:tcPr>
          <w:p>
            <w:pPr>
              <w:pStyle w:val="TableContents"/>
              <w:bidi w:val="0"/>
              <w:spacing w:before="0" w:after="0"/>
              <w:jc w:val="left"/>
              <w:rPr/>
            </w:pPr>
            <w:r>
              <w:rPr/>
              <w: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p>
      <w:pPr>
        <w:pStyle w:val="Normal"/>
        <w:bidi w:val="0"/>
        <w:spacing w:before="0" w:after="0"/>
        <w:jc w:val="left"/>
        <w:rPr>
          <w:sz w:val="4"/>
          <w:szCs w:val="4"/>
        </w:rPr>
      </w:pPr>
      <w:r>
        <w:rPr>
          <w:sz w:val="4"/>
          <w:szCs w:val="4"/>
        </w:rPr>
      </w:r>
      <w:bookmarkStart w:id="6" w:name="z6ad5aec8cb754298a7316c09a01c8881"/>
      <w:bookmarkStart w:id="7" w:name="z6ad5aec8cb754298a7316c09a01c8881"/>
      <w:bookmarkEnd w:id="7"/>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Normal"/>
        <w:bidi w:val="0"/>
        <w:spacing w:before="0" w:after="0"/>
        <w:jc w:val="left"/>
        <w:rPr>
          <w:sz w:val="4"/>
          <w:szCs w:val="4"/>
        </w:rPr>
      </w:pPr>
      <w:r>
        <w:rPr>
          <w:sz w:val="4"/>
          <w:szCs w:val="4"/>
        </w:rPr>
      </w:r>
      <w:bookmarkStart w:id="8" w:name="zdcd105bb2eda4aab9479cd123f693e5f"/>
      <w:bookmarkStart w:id="9" w:name="zdcd105bb2eda4aab9479cd123f693e5f"/>
      <w:bookmarkEnd w:id="9"/>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bl>
    <w:p>
      <w:pPr>
        <w:pStyle w:val="Normal"/>
        <w:bidi w:val="0"/>
        <w:spacing w:before="0" w:after="0"/>
        <w:jc w:val="left"/>
        <w:rPr>
          <w:sz w:val="4"/>
          <w:szCs w:val="4"/>
        </w:rPr>
      </w:pPr>
      <w:r>
        <w:rPr>
          <w:sz w:val="4"/>
          <w:szCs w:val="4"/>
        </w:rPr>
      </w:r>
      <w:bookmarkStart w:id="10" w:name="z2ac0fadef3464fb58a66a6ff93bca41e"/>
      <w:bookmarkStart w:id="11" w:name="z2ac0fadef3464fb58a66a6ff93bca41e"/>
      <w:bookmarkEnd w:id="11"/>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Normal"/>
        <w:bidi w:val="0"/>
        <w:spacing w:before="0" w:after="0"/>
        <w:jc w:val="left"/>
        <w:rPr>
          <w:sz w:val="4"/>
          <w:szCs w:val="4"/>
        </w:rPr>
      </w:pPr>
      <w:r>
        <w:rPr>
          <w:sz w:val="4"/>
          <w:szCs w:val="4"/>
        </w:rPr>
      </w:r>
      <w:bookmarkStart w:id="12" w:name="z68b20c0deca045819057275188437b99"/>
      <w:bookmarkStart w:id="13" w:name="z68b20c0deca045819057275188437b99"/>
      <w:bookmarkEnd w:id="13"/>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Normal"/>
        <w:bidi w:val="0"/>
        <w:spacing w:before="0" w:after="0"/>
        <w:jc w:val="left"/>
        <w:rPr>
          <w:sz w:val="4"/>
          <w:szCs w:val="4"/>
        </w:rPr>
      </w:pPr>
      <w:r>
        <w:rPr>
          <w:sz w:val="4"/>
          <w:szCs w:val="4"/>
        </w:rPr>
      </w:r>
      <w:bookmarkStart w:id="14" w:name="za54cb5e9d8f74093a6d60f0bf3c815c9"/>
      <w:bookmarkStart w:id="15" w:name="za54cb5e9d8f74093a6d60f0bf3c815c9"/>
      <w:bookmarkEnd w:id="15"/>
    </w:p>
    <w:tbl>
      <w:tblPr>
        <w:tblW w:w="3880" w:type="dxa"/>
        <w:jc w:val="left"/>
        <w:tblInd w:w="0" w:type="dxa"/>
        <w:tblLayout w:type="fixed"/>
        <w:tblCellMar>
          <w:top w:w="0" w:type="dxa"/>
          <w:left w:w="0" w:type="dxa"/>
          <w:bottom w:w="0" w:type="dxa"/>
          <w:right w:w="0" w:type="dxa"/>
        </w:tblCellMar>
      </w:tblPr>
      <w:tblGrid>
        <w:gridCol w:w="245"/>
        <w:gridCol w:w="3635"/>
      </w:tblGrid>
      <w:tr>
        <w:trPr/>
        <w:tc>
          <w:tcPr>
            <w:tcW w:w="24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0"/>
              <w:jc w:val="left"/>
              <w:rPr/>
            </w:pPr>
            <w:r>
              <w:rPr/>
              <w:t>Soliciting Material under §240.14a-12</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48"/>
        </w:rPr>
      </w:pPr>
      <w:r>
        <w:rPr>
          <w:rFonts w:ascii="Times New Roman;Times;serif" w:hAnsi="Times New Roman;Times;serif"/>
          <w:b/>
          <w:color w:val="000000"/>
          <w:sz w:val="48"/>
        </w:rPr>
        <w:t>Mistras Group,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N/A</w:t>
      </w:r>
    </w:p>
    <w:p>
      <w:pPr>
        <w:pStyle w:val="HorizontalLine"/>
        <w:pBdr>
          <w:bottom w:val="single" w:sz="12" w:space="0" w:color="808080"/>
        </w:pBdr>
        <w:bidi w:val="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p>
      <w:pPr>
        <w:pStyle w:val="Normal"/>
        <w:bidi w:val="0"/>
        <w:spacing w:before="0" w:after="0"/>
        <w:jc w:val="left"/>
        <w:rPr>
          <w:sz w:val="4"/>
          <w:szCs w:val="4"/>
        </w:rPr>
      </w:pPr>
      <w:r>
        <w:rPr>
          <w:sz w:val="4"/>
          <w:szCs w:val="4"/>
        </w:rPr>
      </w:r>
      <w:bookmarkStart w:id="16" w:name="zf19a6fd158bf4d4a95664483becb6f67"/>
      <w:bookmarkStart w:id="17" w:name="zf19a6fd158bf4d4a95664483becb6f67"/>
      <w:bookmarkEnd w:id="17"/>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409fdb1b38d24b3e98a4a23928caaf45"/>
      <w:bookmarkStart w:id="19" w:name="z409fdb1b38d24b3e98a4a23928caaf45"/>
      <w:bookmarkEnd w:id="19"/>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87c9d03a60914307b6fd41118073ab0a"/>
      <w:bookmarkStart w:id="21" w:name="z87c9d03a60914307b6fd41118073ab0a"/>
      <w:bookmarkEnd w:id="21"/>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t>false000143612600014361262026-10-272026-10-27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rFonts w:ascii="Times New Roman" w:hAnsi="Times New Roman"/>
          <w:b/>
        </w:rPr>
      </w:pPr>
      <w:r>
        <w:rPr>
          <w:rFonts w:ascii="Times New Roman" w:hAnsi="Times New Roman"/>
          <w:b/>
        </w:rPr>
      </w:r>
    </w:p>
    <w:p>
      <w:pPr>
        <w:pStyle w:val="HorizontalLine"/>
        <w:bidi w:val="0"/>
        <w:jc w:val="left"/>
        <w:rPr/>
      </w:pPr>
      <w:r>
        <w:rPr/>
      </w:r>
    </w:p>
    <w:p>
      <w:pPr>
        <w:pStyle w:val="TextBody"/>
        <w:bidi w:val="0"/>
        <w:spacing w:before="0" w:after="0"/>
        <w:jc w:val="center"/>
        <w:rPr>
          <w:rFonts w:ascii="Times New Roman" w:hAnsi="Times New Roman"/>
          <w:b/>
        </w:rPr>
      </w:pPr>
      <w:r>
        <w:rPr>
          <w:rFonts w:ascii="Times New Roman" w:hAnsi="Times New Roman"/>
          <w:b/>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center"/>
        <w:rPr>
          <w:rFonts w:ascii="Times New Roman" w:hAnsi="Times New Roman"/>
          <w:b/>
        </w:rPr>
      </w:pPr>
      <w:r>
        <w:rPr>
          <w:rFonts w:ascii="Times New Roman" w:hAnsi="Times New Roman"/>
          <w:b/>
        </w:rPr>
      </w:r>
    </w:p>
    <w:p>
      <w:pPr>
        <w:pStyle w:val="HorizontalLine"/>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October 27,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62a5f3e6d96e4139b1ee01aacdb28738"/>
      <w:bookmarkStart w:id="23" w:name="z62a5f3e6d96e4139b1ee01aacdb28738"/>
      <w:bookmarkEnd w:id="23"/>
    </w:p>
    <w:tbl>
      <w:tblPr>
        <w:tblW w:w="10020" w:type="dxa"/>
        <w:jc w:val="left"/>
        <w:tblInd w:w="0" w:type="dxa"/>
        <w:tblLayout w:type="fixed"/>
        <w:tblCellMar>
          <w:top w:w="0" w:type="dxa"/>
          <w:left w:w="0" w:type="dxa"/>
          <w:bottom w:w="0" w:type="dxa"/>
          <w:right w:w="0" w:type="dxa"/>
        </w:tblCellMar>
      </w:tblPr>
      <w:tblGrid>
        <w:gridCol w:w="4130"/>
        <w:gridCol w:w="2615"/>
        <w:gridCol w:w="3275"/>
      </w:tblGrid>
      <w:tr>
        <w:trPr/>
        <w:tc>
          <w:tcPr>
            <w:tcW w:w="4130" w:type="dxa"/>
            <w:tcBorders/>
            <w:vAlign w:val="center"/>
          </w:tcPr>
          <w:p>
            <w:pPr>
              <w:pStyle w:val="TableContents"/>
              <w:bidi w:val="0"/>
              <w:spacing w:before="0" w:after="0"/>
              <w:ind w:left="0" w:right="0" w:hanging="0"/>
              <w:jc w:val="center"/>
              <w:rPr>
                <w:b/>
              </w:rPr>
            </w:pPr>
            <w:r>
              <w:rPr>
                <w:b/>
              </w:rPr>
              <w:t>Delaware</w:t>
            </w:r>
          </w:p>
          <w:p>
            <w:pPr>
              <w:pStyle w:val="TableContents"/>
              <w:bidi w:val="0"/>
              <w:spacing w:before="0" w:after="0"/>
              <w:jc w:val="center"/>
              <w:rPr/>
            </w:pPr>
            <w:r>
              <w:rPr/>
              <w:t>(State or other jurisdiction of incorporation)</w:t>
            </w:r>
          </w:p>
        </w:tc>
        <w:tc>
          <w:tcPr>
            <w:tcW w:w="2615" w:type="dxa"/>
            <w:tcBorders/>
            <w:vAlign w:val="center"/>
          </w:tcPr>
          <w:p>
            <w:pPr>
              <w:pStyle w:val="TableContents"/>
              <w:bidi w:val="0"/>
              <w:spacing w:before="0" w:after="0"/>
              <w:jc w:val="center"/>
              <w:rPr>
                <w:b/>
              </w:rPr>
            </w:pPr>
            <w:r>
              <w:rPr>
                <w:b/>
              </w:rPr>
              <w:t>001-34481</w:t>
            </w:r>
          </w:p>
          <w:p>
            <w:pPr>
              <w:pStyle w:val="TableContents"/>
              <w:bidi w:val="0"/>
              <w:spacing w:before="0" w:after="0"/>
              <w:jc w:val="center"/>
              <w:rPr/>
            </w:pPr>
            <w:r>
              <w:rPr/>
              <w:t>(Commission File Number)</w:t>
            </w:r>
          </w:p>
        </w:tc>
        <w:tc>
          <w:tcPr>
            <w:tcW w:w="3275" w:type="dxa"/>
            <w:tcBorders/>
            <w:vAlign w:val="center"/>
          </w:tcPr>
          <w:p>
            <w:pPr>
              <w:pStyle w:val="TableContents"/>
              <w:bidi w:val="0"/>
              <w:spacing w:before="0" w:after="0"/>
              <w:jc w:val="center"/>
              <w:rPr>
                <w:b/>
              </w:rPr>
            </w:pPr>
            <w:r>
              <w:rPr>
                <w:b/>
              </w:rPr>
              <w:t>22-3341267</w:t>
            </w:r>
          </w:p>
          <w:p>
            <w:pPr>
              <w:pStyle w:val="TableContents"/>
              <w:bidi w:val="0"/>
              <w:spacing w:before="0" w:after="0"/>
              <w:jc w:val="center"/>
              <w:rPr/>
            </w:pPr>
            <w:r>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195 Clarksville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Princeton Junction, New Jersey 08550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(609) 716-4000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31ebf6d033df48e195501db8e745db24"/>
      <w:bookmarkStart w:id="25" w:name="z31ebf6d033df48e195501db8e745db24"/>
      <w:bookmarkEnd w:id="25"/>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left"/>
              <w:rPr/>
            </w:pPr>
            <w:r>
              <w:rPr/>
              <w:t>Written communications pursuant to Rule 425 under the Securities Act (17 CFR 230.425)</w:t>
            </w:r>
          </w:p>
        </w:tc>
      </w:tr>
    </w:tbl>
    <w:p>
      <w:pPr>
        <w:pStyle w:val="Normal"/>
        <w:bidi w:val="0"/>
        <w:spacing w:before="0" w:after="0"/>
        <w:jc w:val="left"/>
        <w:rPr>
          <w:sz w:val="4"/>
          <w:szCs w:val="4"/>
        </w:rPr>
      </w:pPr>
      <w:r>
        <w:rPr>
          <w:sz w:val="4"/>
          <w:szCs w:val="4"/>
        </w:rPr>
      </w:r>
      <w:bookmarkStart w:id="26" w:name="z6e5fad2537f54415b3b80c89f3392551"/>
      <w:bookmarkStart w:id="27" w:name="z6e5fad2537f54415b3b80c89f3392551"/>
      <w:bookmarkEnd w:id="27"/>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jc w:val="left"/>
              <w:rPr/>
            </w:pPr>
            <w:r>
              <w:rPr/>
              <w:t>Soliciting material pursuant to Rule 14a-12 under the Exchange Act (17 CFR 240.14a-12)</w:t>
            </w:r>
          </w:p>
        </w:tc>
      </w:tr>
    </w:tbl>
    <w:p>
      <w:pPr>
        <w:pStyle w:val="Normal"/>
        <w:bidi w:val="0"/>
        <w:spacing w:before="0" w:after="0"/>
        <w:jc w:val="left"/>
        <w:rPr>
          <w:sz w:val="4"/>
          <w:szCs w:val="4"/>
        </w:rPr>
      </w:pPr>
      <w:r>
        <w:rPr>
          <w:sz w:val="4"/>
          <w:szCs w:val="4"/>
        </w:rPr>
      </w:r>
      <w:bookmarkStart w:id="28" w:name="z538cebb3db014d05ba30bfdfa8f7ca6f"/>
      <w:bookmarkStart w:id="29" w:name="z538cebb3db014d05ba30bfdfa8f7ca6f"/>
      <w:bookmarkEnd w:id="29"/>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Pre-commencement communications pursuant to Rule 14d-2(b) under the Exchange Act (17 CFR 240.14d-2(b))</w:t>
            </w:r>
          </w:p>
        </w:tc>
      </w:tr>
    </w:tbl>
    <w:p>
      <w:pPr>
        <w:pStyle w:val="Normal"/>
        <w:bidi w:val="0"/>
        <w:spacing w:before="0" w:after="0"/>
        <w:jc w:val="left"/>
        <w:rPr>
          <w:sz w:val="4"/>
          <w:szCs w:val="4"/>
        </w:rPr>
      </w:pPr>
      <w:r>
        <w:rPr>
          <w:sz w:val="4"/>
          <w:szCs w:val="4"/>
        </w:rPr>
      </w:r>
      <w:bookmarkStart w:id="30" w:name="z5639fc3e5a8c42edbdc69e047a338d2b"/>
      <w:bookmarkStart w:id="31" w:name="z5639fc3e5a8c42edbdc69e047a338d2b"/>
      <w:bookmarkEnd w:id="3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2b6510b004134dd98f471ed062381b27"/>
      <w:bookmarkStart w:id="33" w:name="z2b6510b004134dd98f471ed062381b27"/>
      <w:bookmarkEnd w:id="33"/>
    </w:p>
    <w:tbl>
      <w:tblPr>
        <w:tblW w:w="8445" w:type="dxa"/>
        <w:jc w:val="left"/>
        <w:tblInd w:w="0" w:type="dxa"/>
        <w:tblLayout w:type="fixed"/>
        <w:tblCellMar>
          <w:top w:w="0" w:type="dxa"/>
          <w:left w:w="0" w:type="dxa"/>
          <w:bottom w:w="0" w:type="dxa"/>
          <w:right w:w="0" w:type="dxa"/>
        </w:tblCellMar>
      </w:tblPr>
      <w:tblGrid>
        <w:gridCol w:w="3110"/>
        <w:gridCol w:w="1925"/>
        <w:gridCol w:w="3410"/>
      </w:tblGrid>
      <w:tr>
        <w:trPr/>
        <w:tc>
          <w:tcPr>
            <w:tcW w:w="3110" w:type="dxa"/>
            <w:tcBorders/>
            <w:vAlign w:val="center"/>
          </w:tcPr>
          <w:p>
            <w:pPr>
              <w:pStyle w:val="TableContents"/>
              <w:bidi w:val="0"/>
              <w:spacing w:before="0" w:after="0"/>
              <w:jc w:val="center"/>
              <w:rPr>
                <w:b/>
              </w:rPr>
            </w:pPr>
            <w:r>
              <w:rPr>
                <w:b/>
              </w:rPr>
              <w:t>Title of each class</w:t>
            </w:r>
          </w:p>
        </w:tc>
        <w:tc>
          <w:tcPr>
            <w:tcW w:w="1925" w:type="dxa"/>
            <w:tcBorders/>
            <w:vAlign w:val="center"/>
          </w:tcPr>
          <w:p>
            <w:pPr>
              <w:pStyle w:val="TableContents"/>
              <w:bidi w:val="0"/>
              <w:spacing w:before="0" w:after="0"/>
              <w:jc w:val="center"/>
              <w:rPr>
                <w:b/>
              </w:rPr>
            </w:pPr>
            <w:r>
              <w:rPr>
                <w:b/>
              </w:rPr>
              <w:t>Trading Symbol(s)</w:t>
            </w:r>
          </w:p>
        </w:tc>
        <w:tc>
          <w:tcPr>
            <w:tcW w:w="3410" w:type="dxa"/>
            <w:tcBorders/>
            <w:vAlign w:val="center"/>
          </w:tcPr>
          <w:p>
            <w:pPr>
              <w:pStyle w:val="TableContents"/>
              <w:bidi w:val="0"/>
              <w:spacing w:before="0" w:after="0"/>
              <w:jc w:val="center"/>
              <w:rPr>
                <w:b/>
              </w:rPr>
            </w:pPr>
            <w:r>
              <w:rPr>
                <w:b/>
              </w:rPr>
              <w:t>Name of each exchange on which</w:t>
            </w:r>
          </w:p>
          <w:p>
            <w:pPr>
              <w:pStyle w:val="TableContents"/>
              <w:bidi w:val="0"/>
              <w:spacing w:before="0" w:after="0"/>
              <w:jc w:val="center"/>
              <w:rPr>
                <w:b/>
              </w:rPr>
            </w:pPr>
            <w:r>
              <w:rPr>
                <w:b/>
              </w:rPr>
              <w:t>registered</w:t>
            </w:r>
          </w:p>
        </w:tc>
      </w:tr>
      <w:tr>
        <w:trPr/>
        <w:tc>
          <w:tcPr>
            <w:tcW w:w="3110" w:type="dxa"/>
            <w:tcBorders/>
            <w:vAlign w:val="center"/>
          </w:tcPr>
          <w:p>
            <w:pPr>
              <w:pStyle w:val="TableContents"/>
              <w:bidi w:val="0"/>
              <w:spacing w:before="0" w:after="0"/>
              <w:jc w:val="center"/>
              <w:rPr/>
            </w:pPr>
            <w:r>
              <w:rPr/>
              <w:t>Common Stock, $0.01 par value</w:t>
            </w:r>
          </w:p>
        </w:tc>
        <w:tc>
          <w:tcPr>
            <w:tcW w:w="1925" w:type="dxa"/>
            <w:tcBorders/>
            <w:vAlign w:val="center"/>
          </w:tcPr>
          <w:p>
            <w:pPr>
              <w:pStyle w:val="TableContents"/>
              <w:bidi w:val="0"/>
              <w:spacing w:before="0" w:after="0"/>
              <w:jc w:val="center"/>
              <w:rPr/>
            </w:pPr>
            <w:r>
              <w:rPr/>
              <w:t>MG</w:t>
            </w:r>
          </w:p>
        </w:tc>
        <w:tc>
          <w:tcPr>
            <w:tcW w:w="3410" w:type="dxa"/>
            <w:tcBorders/>
            <w:vAlign w:val="center"/>
          </w:tcPr>
          <w:p>
            <w:pPr>
              <w:pStyle w:val="TableContents"/>
              <w:bidi w:val="0"/>
              <w:spacing w:before="0" w:after="0"/>
              <w:jc w:val="center"/>
              <w:rPr/>
            </w:pPr>
            <w:r>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34" w:name="zceb42c9cc8b44468b9c5c3fbe2412600"/>
      <w:bookmarkStart w:id="35" w:name="zceb42c9cc8b44468b9c5c3fbe2412600"/>
      <w:bookmarkEnd w:id="35"/>
    </w:p>
    <w:tbl>
      <w:tblPr>
        <w:tblW w:w="2410" w:type="dxa"/>
        <w:jc w:val="left"/>
        <w:tblInd w:w="0" w:type="dxa"/>
        <w:tblLayout w:type="fixed"/>
        <w:tblCellMar>
          <w:top w:w="0" w:type="dxa"/>
          <w:left w:w="0" w:type="dxa"/>
          <w:bottom w:w="0" w:type="dxa"/>
          <w:right w:w="0" w:type="dxa"/>
        </w:tblCellMar>
      </w:tblPr>
      <w:tblGrid>
        <w:gridCol w:w="965"/>
        <w:gridCol w:w="1445"/>
      </w:tblGrid>
      <w:tr>
        <w:trPr/>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0"/>
              <w:jc w:val="left"/>
              <w:rPr>
                <w:b/>
              </w:rPr>
            </w:pPr>
            <w:r>
              <w:rPr>
                <w:b/>
              </w:rPr>
              <w:t>Other Events.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28, 2026, Mistras Group, Inc., a Delaware corporation (the “Company”), issued a press release, a copy of which is attached as Exhibit 99.1 and incorporated by reference into this Item 8.01, announcing the expiration of the “go-shop” period established pursuant to the terms of the previously announced Agreement and Plan of Merger (the “Merger Agreement”), dated as of September 17, 2026, by and among the Company, Athena Purchaser, LLC, a Delaware limited liability company (“Parent”), and Athena Merger Sub, Inc., a Delaware corporation and a wholly owned subsidiary of Parent (“Acquisition Sub”). The Merger Agreement provides that, upon the terms and subject to the conditions set forth therein, Acquisition Sub will be merged with and into the Company (the “Merger”), with the Company surviving the Merger as a wholly owned subsidiary of Parent. Parent and Acquisition Sub are controlled by funds affiliated with H.I.G. Capital (“H.I.G.”).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1b4e8f9dba2d481fb4467395ea3f1140"/>
      <w:bookmarkStart w:id="37" w:name="z1b4e8f9dba2d481fb4467395ea3f1140"/>
      <w:bookmarkEnd w:id="37"/>
    </w:p>
    <w:tbl>
      <w:tblPr>
        <w:tblW w:w="4525" w:type="dxa"/>
        <w:jc w:val="left"/>
        <w:tblInd w:w="0" w:type="dxa"/>
        <w:tblLayout w:type="fixed"/>
        <w:tblCellMar>
          <w:top w:w="0" w:type="dxa"/>
          <w:left w:w="0" w:type="dxa"/>
          <w:bottom w:w="0" w:type="dxa"/>
          <w:right w:w="0" w:type="dxa"/>
        </w:tblCellMar>
      </w:tblPr>
      <w:tblGrid>
        <w:gridCol w:w="965"/>
        <w:gridCol w:w="3560"/>
      </w:tblGrid>
      <w:tr>
        <w:trPr/>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0"/>
              <w:jc w:val="left"/>
              <w:rPr>
                <w:b/>
              </w:rPr>
            </w:pPr>
            <w:r>
              <w:rPr>
                <w:b/>
              </w:rPr>
              <w:t>Financial Statements and Exhibits.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 Exhibits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97a2fdc9d83f42b7837c2a311c2fa52e"/>
      <w:bookmarkStart w:id="39" w:name="z97a2fdc9d83f42b7837c2a311c2fa52e"/>
      <w:bookmarkEnd w:id="39"/>
    </w:p>
    <w:tbl>
      <w:tblPr>
        <w:tblW w:w="8440" w:type="dxa"/>
        <w:jc w:val="left"/>
        <w:tblInd w:w="0" w:type="dxa"/>
        <w:tblLayout w:type="fixed"/>
        <w:tblCellMar>
          <w:top w:w="0" w:type="dxa"/>
          <w:left w:w="0" w:type="dxa"/>
          <w:bottom w:w="0" w:type="dxa"/>
          <w:right w:w="0" w:type="dxa"/>
        </w:tblCellMar>
      </w:tblPr>
      <w:tblGrid>
        <w:gridCol w:w="770"/>
        <w:gridCol w:w="60"/>
        <w:gridCol w:w="7610"/>
      </w:tblGrid>
      <w:tr>
        <w:trPr/>
        <w:tc>
          <w:tcPr>
            <w:tcW w:w="770" w:type="dxa"/>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No.</w:t>
            </w:r>
          </w:p>
        </w:tc>
        <w:tc>
          <w:tcPr>
            <w:tcW w:w="7670" w:type="dxa"/>
            <w:gridSpan w:val="2"/>
            <w:tcBorders/>
            <w:vAlign w:val="center"/>
          </w:tcPr>
          <w:p>
            <w:pPr>
              <w:pStyle w:val="TableContents"/>
              <w:bidi w:val="0"/>
              <w:spacing w:before="0" w:after="0"/>
              <w:jc w:val="left"/>
              <w:rPr>
                <w:b/>
                <w:color w:val="000000"/>
              </w:rPr>
            </w:pPr>
            <w:r>
              <w:rPr>
                <w:b/>
                <w:color w:val="000000"/>
              </w:rPr>
              <w:t>Description</w:t>
            </w:r>
          </w:p>
        </w:tc>
      </w:tr>
      <w:tr>
        <w:trPr/>
        <w:tc>
          <w:tcPr>
            <w:tcW w:w="770" w:type="dxa"/>
            <w:tcBorders/>
            <w:vAlign w:val="center"/>
          </w:tcPr>
          <w:p>
            <w:pPr>
              <w:pStyle w:val="TableContents"/>
              <w:bidi w:val="0"/>
              <w:spacing w:before="0" w:after="283"/>
              <w:jc w:val="left"/>
              <w:rPr/>
            </w:pPr>
            <w:r>
              <w:rPr/>
              <w:t> </w:t>
            </w:r>
          </w:p>
        </w:tc>
        <w:tc>
          <w:tcPr>
            <w:tcW w:w="7670" w:type="dxa"/>
            <w:gridSpan w:val="2"/>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pPr>
            <w:hyperlink w:anchor="ef20084512_ex99-1.htm">
              <w:r>
                <w:rPr>
                  <w:rStyle w:val="InternetLink"/>
                  <w:color w:val="000000"/>
                </w:rPr>
                <w:t>99.1</w:t>
              </w:r>
            </w:hyperlink>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pPr>
            <w:r>
              <w:rPr/>
              <w:t>Press Release issued by Mistras Group, Inc., dated October 28, 2026</w:t>
            </w:r>
          </w:p>
        </w:tc>
      </w:tr>
      <w:tr>
        <w:trPr/>
        <w:tc>
          <w:tcPr>
            <w:tcW w:w="770" w:type="dxa"/>
            <w:tcBorders/>
            <w:vAlign w:val="center"/>
          </w:tcPr>
          <w:p>
            <w:pPr>
              <w:pStyle w:val="TableContents"/>
              <w:bidi w:val="0"/>
              <w:spacing w:before="0" w:after="283"/>
              <w:jc w:val="left"/>
              <w:rPr/>
            </w:pPr>
            <w:r>
              <w:rPr/>
              <w:t> </w:t>
            </w:r>
          </w:p>
        </w:tc>
        <w:tc>
          <w:tcPr>
            <w:tcW w:w="7670" w:type="dxa"/>
            <w:gridSpan w:val="2"/>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color w:val="000000"/>
              </w:rPr>
            </w:pPr>
            <w:r>
              <w:rPr>
                <w:color w:val="000000"/>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filed with the U.S. Securities and Exchange Commission (the “SEC”) a definitive proxy statement on Schedule 14A on October 27, 2026 (File No. 001-34481), relating to a special meeting of the Company’s stockholders to seek stockholder approval in connection with the proposed transaction. Because the “go-shop” period under the Merger Agreement had not expired as of the filing of the definitive proxy statement, the Company is filing the press release as additional definitive proxy soliciting material to supplement the definitive proxy statement’s disclosure regarding the “go-shop” process. INVESTORS AND SECURITYHOLDERS OF THE COMPANY ARE URGED TO READ THE DEFINITIVE PROXY STATEMENT, THE PRESS RELEASE AND ANY OTHER RELEVANT MATERIALS FILED OR THAT WILL BE FILED WITH THE SEC, AS WELL AS ANY AMENDMENTS OR SUPPLEMENTS TO THESE MATERIALS AND DOCUMENTS INCORPORATED BY REFERENCE THEREIN, CAREFULLY AND IN THEIR ENTIRETY BECAUSE THEY CONTAIN OR WILL CONTAIN IMPORTANT INFORMATION ABOUT THE PROPOSED TRANSACTION AND RELATED MATTERS. The Company has mailed the definitive proxy statement and a proxy card to each stockholder entitled to vote at the special meeting relating to the proposed transaction, to be held virtually on November 24, 2026. Any vote in respect of proposals at the Company’s special meeting of stockholders should be made only on the basis of the information contained in the definitive proxy statement, as supplemented. Investors and securityholders are able to obtain free copies of the definitive proxy statement and other documents filed or that will be filed by the Company with the SEC at http://www.sec.gov, the SEC’s website, or on the Company’s investor relations website (http://www.investors.mistrasgroup.com). In addition, the definitive proxy statement and other documents filed or that will be filed by the Company with the SEC may be obtained from the Company free of charge by requesting them from Investor Relations by email at investors@mistrasgroup.com or by telephone at 1 (833) MISTRAS, or from D.F. King &amp; Co., Inc., the Company’s proxy solicitor, at 28 Liberty Street, 53rd Floor, New York, NY 10005 or by calling toll-free at 888-605-1957.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Meeting of Shareholders,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the Company’s directors and executive officers in the proposed transaction, including their beneficial ownership of the Company’s securities, is included in the definitive proxy statement relating to the proposed transaction which was filed with the SEC on October 27, 2026 (File No. 001-34481), and in other relevant materials the Company may file with the SEC. You may obtain free copies of these documents using the sources indicated above.</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Current Report on Form 8-K, including statements regarding the proposed transaction, are “forward-looking statements” within the meaning of Section 27A of the Securities Act of 1933, as amended, and Section 21E of the Securities Exchange Act of 1934, as amended. These forward-looking statements are intended to qualify for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notwithstanding the expiration of the “go-shop” period, including pursuant to the “fiduciary out” provisions of the Merger Agreement;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“Item 1A. Risk Factors” of the Company’s Annual Report on Form 10-K for the fiscal year ended December 31, 2025,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3ba2b0fdf94848a4b8498dfe5d08749b"/>
      <w:bookmarkStart w:id="41" w:name="z3ba2b0fdf94848a4b8498dfe5d08749b"/>
      <w:bookmarkEnd w:id="41"/>
    </w:p>
    <w:tbl>
      <w:tblPr>
        <w:tblW w:w="7890" w:type="dxa"/>
        <w:jc w:val="left"/>
        <w:tblInd w:w="0" w:type="dxa"/>
        <w:tblLayout w:type="fixed"/>
        <w:tblCellMar>
          <w:top w:w="0" w:type="dxa"/>
          <w:left w:w="0" w:type="dxa"/>
          <w:bottom w:w="0" w:type="dxa"/>
          <w:right w:w="0" w:type="dxa"/>
        </w:tblCellMar>
      </w:tblPr>
      <w:tblGrid>
        <w:gridCol w:w="1700"/>
        <w:gridCol w:w="60"/>
        <w:gridCol w:w="650"/>
        <w:gridCol w:w="548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0"/>
              <w:jc w:val="left"/>
              <w:rPr>
                <w:b/>
              </w:rPr>
            </w:pPr>
            <w:r>
              <w:rPr>
                <w:b/>
              </w:rPr>
              <w:t>Mistras Group, Inc.</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October 28, 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5480" w:type="dxa"/>
            <w:tcBorders>
              <w:bottom w:val="single" w:sz="12" w:space="0" w:color="000000"/>
            </w:tcBorders>
            <w:tcMar>
              <w:bottom w:w="28" w:type="dxa"/>
            </w:tcMar>
            <w:vAlign w:val="center"/>
          </w:tcPr>
          <w:p>
            <w:pPr>
              <w:pStyle w:val="TableContents"/>
              <w:bidi w:val="0"/>
              <w:spacing w:before="0" w:after="0"/>
              <w:jc w:val="left"/>
              <w:rPr/>
            </w:pPr>
            <w:r>
              <w:rPr/>
              <w:t xml:space="preserve">/s/ </w:t>
            </w:r>
            <w:r>
              <w:rPr>
                <w:color w:val="000000"/>
              </w:rPr>
              <w:t>Eileen M. Coggins</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5480" w:type="dxa"/>
            <w:tcBorders/>
            <w:vAlign w:val="center"/>
          </w:tcPr>
          <w:p>
            <w:pPr>
              <w:pStyle w:val="TableContents"/>
              <w:bidi w:val="0"/>
              <w:spacing w:before="0" w:after="0"/>
              <w:jc w:val="left"/>
              <w:rPr>
                <w:color w:val="000000"/>
              </w:rPr>
            </w:pPr>
            <w:r>
              <w:rPr>
                <w:color w:val="000000"/>
              </w:rPr>
              <w:t>Eileen M. Coggins</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5480" w:type="dxa"/>
            <w:tcBorders/>
            <w:vAlign w:val="center"/>
          </w:tcPr>
          <w:p>
            <w:pPr>
              <w:pStyle w:val="TableContents"/>
              <w:bidi w:val="0"/>
              <w:spacing w:before="0" w:after="0"/>
              <w:jc w:val="left"/>
              <w:rPr>
                <w:color w:val="000000"/>
              </w:rPr>
            </w:pPr>
            <w:r>
              <w:rPr>
                <w:color w:val="000000"/>
              </w:rPr>
              <w:t>Executive Vice President, General Counsel and Secretary</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42" w:name="ef20084512_ex99-1.htm"/>
      <w:bookmarkStart w:id="43" w:name="ksef20084512_ex991"/>
      <w:bookmarkStart w:id="44" w:name="ef20084512_ex99-1.htm"/>
      <w:bookmarkStart w:id="45" w:name="ksef20084512_ex991"/>
      <w:bookmarkEnd w:id="44"/>
      <w:bookmarkEnd w:id="4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MISTRAS Group, Inc. Announces Expiration of “Go-Shop” Period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Previously Announced Transaction with H.I.G. Capital Remains Expected to Close in Late 2026 or Early 2027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PRINCETON JUNCTION, NJ – October 28, 2026 – </w:t>
      </w:r>
      <w:r>
        <w:rPr>
          <w:rFonts w:ascii="Times New Roman" w:hAnsi="Times New Roman"/>
          <w:color w:val="000000"/>
          <w:sz w:val="20"/>
        </w:rPr>
        <w:t>MISTRAS Group, Inc. (NYSE: MG) (“MISTRAS” or the “Company”), a global leader in technology-enabled industrial asset integrity and laboratory testing solutions, today announced the expiration of the 40-calendar-day “go-shop” period under the terms of the previously announced definitive merger agreement entered into by the Company with entities affiliated with H.I.G. Capital, LLC (“H.I.G.”), dated as of September 17, 2026 (the “Merger Agreement”), pursuant to which affiliates of H.I.G. have agreed to acquire the Company in an all-cash transaction for $20.35 per share of common stock. The “go-shop” period expired at 11:59 p.m. Eastern Time on October 27, 2026. No alternative acquisition proposals were received from any third party prior to the expiration.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During the 40-day “go-shop” period, at the direction of the Company’s board of directors, the Company and its financial advisor, Robert W. Baird &amp; Co. Incorporated (“Baird”), actively solicited inquiries relating to alternative acquisition proposals from a wide range of potentially interested third parties. In total, the representatives of Baird contacted, or were contacted by, 122 third parties, consisting of 24 strategic companies, including a party with which the Company had previously discussed a strategic business combination, and 98 financial sponsors. The Company entered into confidentiality agreements, all of which contained customary standstill and non-solicit provisions, with 40 of those third parties and provided access to certain non-public information regarding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Upon expiration of the “go-shop” period, the Company, its subsidiaries and their respective representatives became subject to customary “no-shop” provisions that limit their ability to solicit alternative acquisition proposals from third parties, to engage in discussions or negotiations regarding such proposals or to provide confidential information to third parties, subject to specific exceptions outlined in the Merger Agreement, including customary “fiduciary out” provisions.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previously disclosed, under the terms of the Merger Agreement, affiliates of H.I.G. have agreed to acquire the Company in an all-cash transaction for $20.35 per share of common stock, representing an enterprise value of approximately $866 million, including outstanding debt. The purchase price per share represents a premium of approximately 8% and 13% to the Company’s 30- and 90-day volume-weighted average unaffected share price, respectively, for the periods ended September 17, 2026. In addition, the purchase price is inclusive of 61% price appreciation from December 31, 2025 to September 17, 2026. The transaction is expected to close in late 2026 or early 2027, subject to customary closing conditions, including approval by the Company’s stockholders and the receipt of all required regulatory approvals.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MISTRAS Group, Inc.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MISTRAS Group, Inc. (NYSE: MG) is a global leader in technology-enabled industrial asset integrity and laboratory testing solutions, serving critical strategic markets including oil &amp; gas, aerospace &amp; defense, industrials, power generation &amp; transmission, infrastructure, engineering, and research. MISTRAS Group provides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MISTRAS Group helps clients reduce risk, extend asset life, and optimize operational performance. Learn more at www.mistrasgroup.com.</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filed with the U.S. Securities and Exchange Commission (the “SEC”) a definitive proxy statement on Schedule 14A on October 27, 2026 (File No. 001-34481), relating to a special meeting of the Company’s stockholders to seek stockholder approval in connection with the proposed transaction. Because the “go-shop” period under the Merger Agreement had not expired as of the filing of the definitive proxy statement, the Company is filing this press release as additional definitive proxy soliciting material to supplement the definitive proxy statement’s disclosure regarding the “go-shop” process. INVESTORS AND SECURITYHOLDERS OF THE COMPANY ARE URGED TO READ THE DEFINITIVE PROXY STATEMENT, THIS PRESS RELEASE AND ANY OTHER RELEVANT MATERIALS FILED OR THAT WILL BE FILED WITH THE SEC, AS WELL AS ANY AMENDMENTS OR SUPPLEMENTS TO THESE MATERIALS AND DOCUMENTS INCORPORATED BY REFERENCE THEREIN, CAREFULLY AND IN THEIR ENTIRETY BECAUSE THEY CONTAIN OR WILL CONTAIN IMPORTANT INFORMATION ABOUT THE PROPOSED TRANSACTION AND RELATED MATTERS. The Company has mailed the definitive proxy statement and a proxy card to each stockholder entitled to vote at the special meeting relating to the proposed transaction, to be held virtually on November 24, 2026. Any vote in respect of proposals at the Company’s special meeting of stockholders should be made only on the basis of the information contained in the definitive proxy statement, as supplemented. Investors and securityholders are able to obtain free copies of the definitive proxy statement and other documents filed or that will be filed by the Company with the SEC at http://www.sec.gov, the SEC’s website, or on the Company’s investor relations website (http://www.investors.mistrasgroup.com). In addition, the definitive proxy statement and other documents filed or that will be filed by the Company with the SEC may be obtained from the Company free of charge by requesting them from Investor Relations by email at investors@mistrasgroup.com or by telephone at 1 (833) MISTRAS, or from D.F. King &amp; Co., Inc., the Company’s proxy solicitor, at 28 Liberty Street, 53rd Floor, New York, NY 10005 or by calling toll-free at 888-605-1957.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Meeting of Shareholders,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the Company’s directors and executive officers in the proposed transaction, including their beneficial ownership of the Company’s securities, is included in the definitive proxy statement relating to the proposed transaction which was filed with the SEC on October 27, 2026 (File No. 001-34481), and in other relevant materials the Company may file with the SEC. You may obtain free copies of these documents using the sources indicated above.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press release, including statements regarding the proposed transaction, are “forward-looking statements” within the meaning of Section 27A of the Securities Act of 1933, as amended, and Section 21E of the Securities Exchange Act of 1934, as amended. These forward-looking statements are intended to qualify for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notwithstanding the expiration of the “go-shop” period, including pursuant to the “fiduciary out” provisions of the Merger Agreement;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“Item 1A. Risk Factors” of the Company’s Annual Report on Form 10-K for the fiscal year ended December 31, 2025,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sz w:val="20"/>
        </w:rPr>
      </w:pPr>
      <w:r>
        <w:rPr>
          <w:sz w:val="20"/>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MISTRAS Media Contact:</w:t>
      </w:r>
    </w:p>
    <w:p>
      <w:pPr>
        <w:pStyle w:val="TextBody"/>
        <w:bidi w:val="0"/>
        <w:spacing w:before="0" w:after="0"/>
        <w:jc w:val="left"/>
        <w:rPr>
          <w:color w:val="000000"/>
        </w:rPr>
      </w:pPr>
      <w:r>
        <w:rPr>
          <w:color w:val="000000"/>
        </w:rPr>
        <w:t> </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Theresa Feraren</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Senior Vice President &amp; Chief Marketing Officer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MISTRAS Group, Inc.</w:t>
      </w:r>
    </w:p>
    <w:p>
      <w:pPr>
        <w:pStyle w:val="TextBody"/>
        <w:bidi w:val="0"/>
        <w:spacing w:before="0" w:after="0"/>
        <w:ind w:left="360" w:right="0" w:hanging="360"/>
        <w:jc w:val="left"/>
        <w:rPr>
          <w:rFonts w:ascii="Times New Roman" w:hAnsi="Times New Roman"/>
          <w:color w:val="000000"/>
          <w:sz w:val="20"/>
          <w:u w:val="single"/>
        </w:rPr>
      </w:pPr>
      <w:r>
        <w:rPr>
          <w:rFonts w:ascii="Times New Roman" w:hAnsi="Times New Roman"/>
          <w:color w:val="000000"/>
          <w:sz w:val="20"/>
          <w:u w:val="single"/>
        </w:rPr>
        <w:t>marcom@mistrasgroup.com</w:t>
      </w:r>
    </w:p>
    <w:p>
      <w:pPr>
        <w:pStyle w:val="TextBody"/>
        <w:bidi w:val="0"/>
        <w:spacing w:before="0" w:after="0"/>
        <w:ind w:left="360" w:right="0" w:hanging="360"/>
        <w:jc w:val="left"/>
        <w:rPr>
          <w:rFonts w:ascii="Times New Roman" w:hAnsi="Times New Roman"/>
          <w:color w:val="000000"/>
          <w:sz w:val="20"/>
          <w:u w:val="single"/>
        </w:rPr>
      </w:pPr>
      <w:r>
        <w:rPr>
          <w:rFonts w:ascii="Times New Roman" w:hAnsi="Times New Roman"/>
          <w:color w:val="000000"/>
          <w:sz w:val="20"/>
          <w:u w:val="single"/>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Aaron Palash / Tim Lynch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Joele Frank, Wilkinson Brimmer Katcher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(212) 355-4449</w:t>
      </w:r>
    </w:p>
    <w:p>
      <w:pPr>
        <w:pStyle w:val="TextBody"/>
        <w:bidi w:val="0"/>
        <w:spacing w:before="0" w:after="0"/>
        <w:jc w:val="left"/>
        <w:rPr>
          <w:sz w:val="20"/>
        </w:rPr>
      </w:pPr>
      <w:r>
        <w:rPr>
          <w:sz w:val="20"/>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MISTRAS Investors Contact:</w:t>
      </w:r>
    </w:p>
    <w:p>
      <w:pPr>
        <w:pStyle w:val="TextBody"/>
        <w:bidi w:val="0"/>
        <w:spacing w:before="0" w:after="0"/>
        <w:jc w:val="left"/>
        <w:rPr>
          <w:color w:val="000000"/>
        </w:rPr>
      </w:pPr>
      <w:r>
        <w:rPr>
          <w:color w:val="000000"/>
        </w:rPr>
        <w:t> </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Edward J. Prajzner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Senior Executive Vice President &amp; Chief Financial Officer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 xml:space="preserve">+1 (833) MISTRAS | </w:t>
      </w:r>
      <w:r>
        <w:rPr>
          <w:rFonts w:ascii="Times New Roman" w:hAnsi="Times New Roman"/>
          <w:color w:val="000000"/>
          <w:sz w:val="20"/>
          <w:u w:val="single"/>
        </w:rPr>
        <w:t>investors@mistrasgroup.com</w:t>
      </w:r>
    </w:p>
    <w:p>
      <w:pPr>
        <w:pStyle w:val="TextBody"/>
        <w:bidi w:val="0"/>
        <w:spacing w:before="0" w:after="0"/>
        <w:jc w:val="left"/>
        <w:rPr>
          <w:sz w:val="20"/>
        </w:rPr>
      </w:pPr>
      <w:r>
        <w:rPr>
          <w:sz w:val="20"/>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H.I.G. Contact:</w:t>
      </w:r>
    </w:p>
    <w:p>
      <w:pPr>
        <w:pStyle w:val="TextBody"/>
        <w:bidi w:val="0"/>
        <w:spacing w:before="0" w:after="0"/>
        <w:jc w:val="left"/>
        <w:rPr>
          <w:color w:val="000000"/>
        </w:rPr>
      </w:pPr>
      <w:r>
        <w:rPr>
          <w:color w:val="000000"/>
        </w:rPr>
        <w:t> </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Media Relations</w:t>
      </w:r>
    </w:p>
    <w:p>
      <w:pPr>
        <w:pStyle w:val="TextBody"/>
        <w:bidi w:val="0"/>
        <w:spacing w:before="0" w:after="0"/>
        <w:ind w:left="360" w:right="0" w:hanging="360"/>
        <w:jc w:val="left"/>
        <w:rPr>
          <w:rFonts w:ascii="Times New Roman" w:hAnsi="Times New Roman"/>
          <w:color w:val="000000"/>
          <w:sz w:val="20"/>
          <w:u w:val="single"/>
        </w:rPr>
      </w:pPr>
      <w:r>
        <w:rPr>
          <w:rFonts w:ascii="Times New Roman" w:hAnsi="Times New Roman"/>
          <w:color w:val="000000"/>
          <w:sz w:val="20"/>
          <w:u w:val="single"/>
        </w:rPr>
        <w:t>media@hig.com​</w:t>
      </w:r>
    </w:p>
    <w:p>
      <w:pPr>
        <w:pStyle w:val="TextBody"/>
        <w:bidi w:val="0"/>
        <w:spacing w:before="0" w:after="0"/>
        <w:ind w:left="360" w:right="0" w:hanging="360"/>
        <w:jc w:val="left"/>
        <w:rPr>
          <w:rFonts w:ascii="Times New Roman" w:hAnsi="Times New Roman"/>
          <w:color w:val="000000"/>
          <w:u w:val="single"/>
        </w:rPr>
      </w:pPr>
      <w:r>
        <w:rPr>
          <w:rFonts w:ascii="Times New Roman" w:hAnsi="Times New Roman"/>
          <w:color w:val="000000"/>
          <w:u w:val="single"/>
        </w:rPr>
      </w:r>
    </w:p>
    <w:p>
      <w:pPr>
        <w:pStyle w:val="TextBody"/>
        <w:bidi w:val="0"/>
        <w:spacing w:before="0" w:after="0"/>
        <w:jc w:val="left"/>
        <w:rPr>
          <w:u w:val="single"/>
        </w:rPr>
      </w:pPr>
      <w:r>
        <w:rPr>
          <w:u w:val="single"/>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3751</Words>
  <Characters>21473</Characters>
  <CharactersWithSpaces>25150</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