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191135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181" w:lineRule="exact"/>
        <w:rPr>
          <w:sz w:val="24"/>
          <w:szCs w:val="24"/>
          <w:color w:val="auto"/>
        </w:rPr>
      </w:pPr>
    </w:p>
    <w:tbl>
      <w:tblPr>
        <w:tblLayout w:type="fixed"/>
        <w:tblInd w:w="344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96"/>
        </w:trPr>
        <w:tc>
          <w:tcPr>
            <w:tcW w:w="2960" w:type="dxa"/>
            <w:vAlign w:val="bottom"/>
          </w:tcPr>
          <w:p>
            <w:pPr>
              <w:jc w:val="center"/>
              <w:ind w:righ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8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0"/>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5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MG</w:t>
            </w:r>
          </w:p>
        </w:tc>
        <w:tc>
          <w:tcPr>
            <w:tcW w:w="8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1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line="189" w:lineRule="exact"/>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231"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2024, the registrant had 30,966,973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23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410845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2"/>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3"/>
            <w:vMerge w:val="continue"/>
          </w:tcPr>
          <w:p>
            <w:pPr>
              <w:spacing w:after="0"/>
              <w:rPr>
                <w:sz w:val="14"/>
                <w:szCs w:val="14"/>
                <w:color w:val="auto"/>
              </w:rPr>
            </w:pPr>
          </w:p>
        </w:tc>
        <w:tc>
          <w:tcPr>
            <w:tcW w:w="7520" w:type="dxa"/>
            <w:vAlign w:val="bottom"/>
            <w:gridSpan w:val="1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March 31, 2024 and December 31, 2023</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(Loss) for the three months ended March 31, 2024 and March</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Borders>
              <w:top w:val="single" w:sz="8" w:color="0E32E1"/>
              <w:bottom w:val="single" w:sz="8" w:color="0E32E1"/>
            </w:tcBorders>
            <w:gridSpan w:val="3"/>
          </w:tcPr>
          <w:p>
            <w:pPr>
              <w:spacing w:after="0" w:line="142" w:lineRule="exact"/>
              <w:rPr>
                <w:sz w:val="20"/>
                <w:szCs w:val="20"/>
                <w:color w:val="auto"/>
              </w:rPr>
            </w:pPr>
            <w:r>
              <w:rPr>
                <w:rFonts w:ascii="Times New Roman" w:cs="Times New Roman" w:eastAsia="Times New Roman" w:hAnsi="Times New Roman"/>
                <w:sz w:val="16"/>
                <w:szCs w:val="16"/>
                <w:color w:val="0E32E1"/>
              </w:rPr>
              <w:t>31, 2023</w:t>
            </w:r>
          </w:p>
        </w:tc>
        <w:tc>
          <w:tcPr>
            <w:tcW w:w="28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5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tcPr>
          <w:p>
            <w:pPr>
              <w:spacing w:after="0"/>
              <w:rPr>
                <w:sz w:val="13"/>
                <w:szCs w:val="13"/>
                <w:color w:val="auto"/>
              </w:rPr>
            </w:pPr>
          </w:p>
        </w:tc>
        <w:tc>
          <w:tcPr>
            <w:tcW w:w="15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9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Loss for the three months ended March 31, 2024 and</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vMerge w:val="continue"/>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Borders>
              <w:top w:val="single" w:sz="8" w:color="0E32E1"/>
            </w:tcBorders>
            <w:gridSpan w:val="7"/>
          </w:tcPr>
          <w:p>
            <w:pPr>
              <w:spacing w:after="0" w:line="142" w:lineRule="exact"/>
              <w:rPr>
                <w:sz w:val="20"/>
                <w:szCs w:val="20"/>
                <w:color w:val="auto"/>
              </w:rPr>
            </w:pPr>
            <w:r>
              <w:rPr>
                <w:rFonts w:ascii="Times New Roman" w:cs="Times New Roman" w:eastAsia="Times New Roman" w:hAnsi="Times New Roman"/>
                <w:sz w:val="16"/>
                <w:szCs w:val="16"/>
                <w:color w:val="0E32E1"/>
              </w:rPr>
              <w:t>March 31, 2023</w:t>
            </w:r>
          </w:p>
        </w:tc>
        <w:tc>
          <w:tcPr>
            <w:tcW w:w="7320" w:type="dxa"/>
            <w:vAlign w:val="bottom"/>
            <w:tcBorders>
              <w:top w:val="single" w:sz="8" w:color="0E32E1"/>
            </w:tcBorders>
            <w:gridSpan w:val="10"/>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E32E1"/>
          </w:tcPr>
          <w:p>
            <w:pPr>
              <w:spacing w:after="0"/>
              <w:rPr>
                <w:sz w:val="2"/>
                <w:szCs w:val="2"/>
                <w:color w:val="auto"/>
              </w:rPr>
            </w:pPr>
          </w:p>
        </w:tc>
        <w:tc>
          <w:tcPr>
            <w:tcW w:w="240" w:type="dxa"/>
            <w:vAlign w:val="bottom"/>
            <w:shd w:val="clear" w:color="auto" w:fill="0E32E1"/>
          </w:tcPr>
          <w:p>
            <w:pPr>
              <w:spacing w:after="0"/>
              <w:rPr>
                <w:sz w:val="2"/>
                <w:szCs w:val="2"/>
                <w:color w:val="auto"/>
              </w:rPr>
            </w:pPr>
          </w:p>
        </w:tc>
        <w:tc>
          <w:tcPr>
            <w:tcW w:w="300" w:type="dxa"/>
            <w:vAlign w:val="bottom"/>
            <w:gridSpan w:val="2"/>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gridSpan w:val="2"/>
            <w:shd w:val="clear" w:color="auto" w:fill="0E32E1"/>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Equity for the three months ended March 31, 2024 and March 31, 2023</w:t>
            </w: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2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three months ended March 31, 2024 and March 31,</w:t>
            </w:r>
          </w:p>
        </w:tc>
        <w:tc>
          <w:tcPr>
            <w:tcW w:w="100" w:type="dxa"/>
            <w:vAlign w:val="bottom"/>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42" w:lineRule="exact"/>
              <w:rPr>
                <w:sz w:val="20"/>
                <w:szCs w:val="20"/>
                <w:color w:val="auto"/>
              </w:rPr>
            </w:pPr>
            <w:r>
              <w:rPr>
                <w:rFonts w:ascii="Times New Roman" w:cs="Times New Roman" w:eastAsia="Times New Roman" w:hAnsi="Times New Roman"/>
                <w:sz w:val="16"/>
                <w:szCs w:val="16"/>
                <w:color w:val="0E32E1"/>
              </w:rPr>
              <w:t>2023</w:t>
            </w:r>
          </w:p>
        </w:tc>
        <w:tc>
          <w:tcPr>
            <w:tcW w:w="240" w:type="dxa"/>
            <w:vAlign w:val="bottom"/>
            <w:tcBorders>
              <w:top w:val="single" w:sz="8" w:color="0E32E1"/>
            </w:tcBorders>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28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18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5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tcPr>
          <w:p>
            <w:pPr>
              <w:spacing w:after="0"/>
              <w:rPr>
                <w:sz w:val="13"/>
                <w:szCs w:val="13"/>
                <w:color w:val="auto"/>
              </w:rPr>
            </w:pPr>
          </w:p>
        </w:tc>
        <w:tc>
          <w:tcPr>
            <w:tcW w:w="15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E32E1"/>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4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24</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4"/>
                <w:szCs w:val="24"/>
                <w:color w:val="auto"/>
              </w:rPr>
            </w:pPr>
          </w:p>
        </w:tc>
        <w:tc>
          <w:tcPr>
            <w:tcW w:w="714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5"/>
          </w:tcPr>
          <w:p>
            <w:pPr>
              <w:spacing w:after="0"/>
              <w:rPr>
                <w:sz w:val="24"/>
                <w:szCs w:val="24"/>
                <w:color w:val="auto"/>
              </w:rPr>
            </w:pPr>
          </w:p>
        </w:tc>
        <w:tc>
          <w:tcPr>
            <w:tcW w:w="758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181,499</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30,910,552 and 30,597,633 shares issued</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190,503</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67"/>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116,051</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46,077</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42,823</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30,021</w:t>
            </w:r>
          </w:p>
        </w:tc>
      </w:tr>
      <w:tr>
        <w:trPr>
          <w:trHeight w:val="230"/>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30,021</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r>
      <w:tr>
        <w:trPr>
          <w:trHeight w:val="202"/>
        </w:trPr>
        <w:tc>
          <w:tcPr>
            <w:tcW w:w="7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Mistras Group, Inc.</w:t>
            </w:r>
          </w:p>
        </w:tc>
        <w:tc>
          <w:tcPr>
            <w:tcW w:w="100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1"/>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70"/>
        </w:trPr>
        <w:tc>
          <w:tcPr>
            <w:tcW w:w="2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28"/>
        </w:trPr>
        <w:tc>
          <w:tcPr>
            <w:tcW w:w="2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9"/>
        </w:trPr>
        <w:tc>
          <w:tcPr>
            <w:tcW w:w="2500" w:type="dxa"/>
            <w:vAlign w:val="bottom"/>
          </w:tcPr>
          <w:p>
            <w:pPr>
              <w:spacing w:after="0"/>
              <w:rPr>
                <w:sz w:val="14"/>
                <w:szCs w:val="14"/>
                <w:color w:val="auto"/>
              </w:rPr>
            </w:pPr>
          </w:p>
        </w:tc>
        <w:tc>
          <w:tcPr>
            <w:tcW w:w="168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1"/>
        </w:trPr>
        <w:tc>
          <w:tcPr>
            <w:tcW w:w="25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120" w:type="dxa"/>
            <w:vAlign w:val="bottom"/>
          </w:tcPr>
          <w:p>
            <w:pPr>
              <w:spacing w:after="0"/>
              <w:rPr>
                <w:sz w:val="5"/>
                <w:szCs w:val="5"/>
                <w:color w:val="auto"/>
              </w:rPr>
            </w:pPr>
          </w:p>
        </w:tc>
        <w:tc>
          <w:tcPr>
            <w:tcW w:w="880" w:type="dxa"/>
            <w:vAlign w:val="bottom"/>
          </w:tcPr>
          <w:p>
            <w:pPr>
              <w:jc w:val="right"/>
              <w:ind w:right="79"/>
              <w:spacing w:after="0" w:line="61"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other</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Noncontrolling</w:t>
            </w: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183"/>
        </w:trPr>
        <w:tc>
          <w:tcPr>
            <w:tcW w:w="250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0" w:type="dxa"/>
            <w:vAlign w:val="bottom"/>
          </w:tcPr>
          <w:p>
            <w:pPr>
              <w:spacing w:after="0"/>
              <w:rPr>
                <w:sz w:val="15"/>
                <w:szCs w:val="15"/>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5"/>
                <w:szCs w:val="15"/>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r>
      <w:tr>
        <w:trPr>
          <w:trHeight w:val="257"/>
        </w:trPr>
        <w:tc>
          <w:tcPr>
            <w:tcW w:w="25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190,503</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w:t>
            </w:r>
          </w:p>
        </w:tc>
      </w:tr>
      <w:tr>
        <w:trPr>
          <w:trHeight w:val="16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30,911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247,329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(27,947)</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(32,565)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187,145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187,465</w:t>
            </w: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r>
      <w:tr>
        <w:trPr>
          <w:trHeight w:val="163"/>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29,895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198,450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198,749</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(4,978)</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r>
      <w:tr>
        <w:trPr>
          <w:trHeight w:val="20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244,131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196,148</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40" w:type="dxa"/>
            <w:vAlign w:val="bottom"/>
          </w:tcPr>
          <w:p>
            <w:pPr>
              <w:spacing w:after="0"/>
              <w:rPr>
                <w:sz w:val="17"/>
                <w:szCs w:val="17"/>
                <w:color w:val="auto"/>
              </w:rPr>
            </w:pP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6,905</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40" w:type="dxa"/>
            <w:vAlign w:val="bottom"/>
          </w:tcPr>
          <w:p>
            <w:pPr>
              <w:spacing w:after="0"/>
              <w:rPr>
                <w:sz w:val="18"/>
                <w:szCs w:val="18"/>
                <w:color w:val="auto"/>
              </w:rPr>
            </w:pPr>
          </w:p>
        </w:tc>
      </w:tr>
      <w:tr>
        <w:trPr>
          <w:trHeight w:val="196"/>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 liability in excess of acquisition-date fair value</w:t>
            </w:r>
          </w:p>
        </w:tc>
        <w:tc>
          <w:tcPr>
            <w:tcW w:w="10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40" w:type="dxa"/>
            <w:vAlign w:val="bottom"/>
          </w:tcPr>
          <w:p>
            <w:pPr>
              <w:spacing w:after="0"/>
              <w:rPr>
                <w:sz w:val="17"/>
                <w:szCs w:val="17"/>
                <w:color w:val="auto"/>
              </w:rPr>
            </w:pPr>
          </w:p>
        </w:tc>
      </w:tr>
      <w:tr>
        <w:trPr>
          <w:trHeight w:val="203"/>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40" w:type="dxa"/>
            <w:vAlign w:val="bottom"/>
          </w:tcPr>
          <w:p>
            <w:pPr>
              <w:spacing w:after="0"/>
              <w:rPr>
                <w:sz w:val="17"/>
                <w:szCs w:val="17"/>
                <w:color w:val="auto"/>
              </w:rPr>
            </w:pP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40" w:type="dxa"/>
            <w:vAlign w:val="bottom"/>
          </w:tcPr>
          <w:p>
            <w:pPr>
              <w:spacing w:after="0"/>
              <w:rPr>
                <w:sz w:val="18"/>
                <w:szCs w:val="18"/>
                <w:color w:val="auto"/>
              </w:rPr>
            </w:pP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40" w:type="dxa"/>
            <w:vAlign w:val="bottom"/>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27,000</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(27,100)</w:t>
            </w:r>
          </w:p>
        </w:tc>
        <w:tc>
          <w:tcPr>
            <w:tcW w:w="40" w:type="dxa"/>
            <w:vAlign w:val="bottom"/>
          </w:tcPr>
          <w:p>
            <w:pPr>
              <w:spacing w:after="0"/>
              <w:rPr>
                <w:sz w:val="18"/>
                <w:szCs w:val="18"/>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40" w:type="dxa"/>
            <w:vAlign w:val="bottom"/>
          </w:tcPr>
          <w:p>
            <w:pPr>
              <w:spacing w:after="0"/>
              <w:rPr>
                <w:sz w:val="17"/>
                <w:szCs w:val="17"/>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40" w:type="dxa"/>
            <w:vAlign w:val="bottom"/>
          </w:tcPr>
          <w:p>
            <w:pPr>
              <w:spacing w:after="0"/>
              <w:rPr>
                <w:sz w:val="17"/>
                <w:szCs w:val="17"/>
                <w:color w:val="auto"/>
              </w:rPr>
            </w:pP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40" w:type="dxa"/>
            <w:vAlign w:val="bottom"/>
          </w:tcPr>
          <w:p>
            <w:pPr>
              <w:spacing w:after="0"/>
              <w:rPr>
                <w:sz w:val="17"/>
                <w:szCs w:val="17"/>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(3,771)</w:t>
            </w:r>
          </w:p>
        </w:tc>
        <w:tc>
          <w:tcPr>
            <w:tcW w:w="40" w:type="dxa"/>
            <w:vAlign w:val="bottom"/>
          </w:tcPr>
          <w:p>
            <w:pPr>
              <w:spacing w:after="0"/>
              <w:rPr>
                <w:sz w:val="17"/>
                <w:szCs w:val="17"/>
                <w:color w:val="auto"/>
              </w:rPr>
            </w:pPr>
          </w:p>
        </w:tc>
      </w:tr>
      <w:tr>
        <w:trPr>
          <w:trHeight w:val="196"/>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20,488</w:t>
            </w:r>
          </w:p>
        </w:tc>
        <w:tc>
          <w:tcPr>
            <w:tcW w:w="40" w:type="dxa"/>
            <w:vAlign w:val="bottom"/>
          </w:tcPr>
          <w:p>
            <w:pPr>
              <w:spacing w:after="0"/>
              <w:rPr>
                <w:sz w:val="17"/>
                <w:szCs w:val="17"/>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16,717</w:t>
            </w:r>
          </w:p>
        </w:tc>
        <w:tc>
          <w:tcPr>
            <w:tcW w:w="40" w:type="dxa"/>
            <w:vAlign w:val="bottom"/>
          </w:tcPr>
          <w:p>
            <w:pPr>
              <w:spacing w:after="0"/>
              <w:rPr>
                <w:sz w:val="17"/>
                <w:szCs w:val="17"/>
                <w:color w:val="auto"/>
              </w:rPr>
            </w:pPr>
          </w:p>
        </w:tc>
      </w:tr>
      <w:tr>
        <w:trPr>
          <w:trHeight w:val="17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
        </w:trPr>
        <w:tc>
          <w:tcPr>
            <w:tcW w:w="7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40" w:type="dxa"/>
            <w:vAlign w:val="bottom"/>
          </w:tcPr>
          <w:p>
            <w:pPr>
              <w:spacing w:after="0"/>
              <w:rPr>
                <w:sz w:val="17"/>
                <w:szCs w:val="17"/>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40" w:type="dxa"/>
            <w:vAlign w:val="bottom"/>
          </w:tcPr>
          <w:p>
            <w:pPr>
              <w:spacing w:after="0"/>
              <w:rPr>
                <w:sz w:val="16"/>
                <w:szCs w:val="16"/>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311"/>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20" w:type="dxa"/>
            <w:vAlign w:val="bottom"/>
          </w:tcPr>
          <w:p>
            <w:pPr>
              <w:spacing w:after="0"/>
              <w:rPr>
                <w:sz w:val="24"/>
                <w:szCs w:val="24"/>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0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2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Russian-Ukrainian war and the conflict in the Middle East between Israel and Hamas continues to create disruptions in the oil and gas market and the supply chain in general, which is resulting in some disruption to our business operations. The Company’s European operations are currently experiencing increased costs associated with higher energy costs, among others, due in part to the Russian-Ukrainian war.</w:t>
      </w:r>
    </w:p>
    <w:p>
      <w:pPr>
        <w:spacing w:after="0" w:line="203"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 will continue to monitor market conditions and respond accordingly.</w:t>
      </w: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2024 and December 31,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2023 Annual Report on Form 10-K ("2023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2023 Annual Report. On an ongoing basis, the Company evaluates its estimates and assumptions, including among other things, those related to revenue recognition, long-lived assets, goodwill and acquisitions. Since the date of the 2023 Annual Report, there have been no material changes to the Company's significant accounting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or all of a deferred income tax asset will not be realized. A current tax liability or asset is recognized for the estimated taxes payable or refundable on tax returns for the current and prior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management concluded that it is more likely than not that a substantial portion of the Company's deferred tax assets will be realized.</w:t>
      </w:r>
    </w:p>
    <w:p>
      <w:pPr>
        <w:spacing w:after="0" w:line="25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10.6% and 15.6% for the three months ended March 31, 2024 and 2023, respectively. The effective income tax rate benefit for the three months ended March 31, 2024 was lower than the statutory rate primarily due to the impact of a favorable discrete item related to stock compensation.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to expand the disclosures about a public entity's reportable segments and address requests from investors for additional, more detailed information about a reportable segment's expenses. The new standard is effective for fiscal years beginning after December 15, 2023, and interim periods within fiscal years beginning after December 15, 2024. We are currently evaluating the impact of ASU 2023-07 on our financial statements.</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We are currently evaluating the impact of ASU 2023-09 on our financial statements.</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Pr>
          <w:p>
            <w:pPr>
              <w:spacing w:after="0"/>
              <w:rPr>
                <w:sz w:val="16"/>
                <w:szCs w:val="16"/>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113,165</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r>
      <w:tr>
        <w:trPr>
          <w:trHeight w:val="229"/>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w:t>
            </w:r>
          </w:p>
        </w:tc>
      </w:tr>
      <w:tr>
        <w:trPr>
          <w:trHeight w:val="230"/>
        </w:trPr>
        <w:tc>
          <w:tcPr>
            <w:tcW w:w="20" w:type="dxa"/>
            <w:vAlign w:val="bottom"/>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29"/>
        </w:trPr>
        <w:tc>
          <w:tcPr>
            <w:tcW w:w="20" w:type="dxa"/>
            <w:vAlign w:val="bottom"/>
          </w:tcPr>
          <w:p>
            <w:pPr>
              <w:spacing w:after="0"/>
              <w:rPr>
                <w:sz w:val="19"/>
                <w:szCs w:val="19"/>
                <w:color w:val="auto"/>
              </w:rPr>
            </w:pPr>
          </w:p>
        </w:tc>
        <w:tc>
          <w:tcPr>
            <w:tcW w:w="3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r>
      <w:tr>
        <w:trPr>
          <w:trHeight w:val="248"/>
        </w:trPr>
        <w:tc>
          <w:tcPr>
            <w:tcW w:w="20" w:type="dxa"/>
            <w:vAlign w:val="bottom"/>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40" w:type="dxa"/>
            <w:vAlign w:val="bottom"/>
          </w:tcPr>
          <w:p>
            <w:pPr>
              <w:spacing w:after="0"/>
              <w:rPr>
                <w:sz w:val="24"/>
                <w:szCs w:val="24"/>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98,665</w:t>
            </w: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18,602</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r>
      <w:tr>
        <w:trPr>
          <w:trHeight w:val="229"/>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r>
      <w:tr>
        <w:trPr>
          <w:trHeight w:val="230"/>
        </w:trPr>
        <w:tc>
          <w:tcPr>
            <w:tcW w:w="2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43"/>
        </w:trPr>
        <w:tc>
          <w:tcPr>
            <w:tcW w:w="20" w:type="dxa"/>
            <w:vAlign w:val="bottom"/>
            <w:shd w:val="clear" w:color="auto" w:fill="CCEEFF"/>
          </w:tcPr>
          <w:p>
            <w:pPr>
              <w:spacing w:after="0"/>
              <w:rPr>
                <w:sz w:val="21"/>
                <w:szCs w:val="21"/>
                <w:color w:val="auto"/>
              </w:rPr>
            </w:pPr>
          </w:p>
        </w:tc>
        <w:tc>
          <w:tcPr>
            <w:tcW w:w="3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129,839</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w:t>
            </w: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r>
      <w:tr>
        <w:trPr>
          <w:trHeight w:val="248"/>
        </w:trPr>
        <w:tc>
          <w:tcPr>
            <w:tcW w:w="3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4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122,112</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25,030</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48"/>
        </w:trPr>
        <w:tc>
          <w:tcPr>
            <w:tcW w:w="3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2024 and 2023 that was included in the contract liability balance at the beginning of such year was $2.9 million and $3.1 million for each period. Changes in the contract asset and liability balances during these periods were not materially impacted by any other factors. The Company applies a practical expedient to expense incremental costs incurred related to obtaining a contract. The Company applies the practical expedient to expense incremental costs incurred related to obtaining a contract when the amortization period of the asset that the Company otherwise would have recognized is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23, 2022, the Company’s shareholders approved an amendment to increase the total number of shares that may be issued under the 2016 Plan by 1.2 million, for a total of 4.9 million shares that are authorized for issuance under the 2016 Plan, of which approximately 450,000 shares were available for future grants as of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11, 2023, Mr. Stamatakis was granted an award of stock options to purchase 250,000 shares of common stock of the Company, with an exercise price of $5.36, the closing price of the Company's common stock as quoted on the New York Stock Exchange on the grant date (the "Options"). The Options were granted as an inducement for Mr. Stamatakis to accept the position of Interim President and CEO of the Company and were therefore granted outside the 2016 Plan, as permitted by the rules of the NYSE. The Options can be exercised any time after the grant date until its expiration date, which is the earlier of 10 years from the grant date or one year following the date Mr. Stamatakis is no longer serving as an officer, director or in any other capacity of the Company.</w:t>
      </w: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and options outstanding as of March 31, 2024 as follows (in thousands, except per share amounts and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1"/>
                <w:szCs w:val="11"/>
                <w:color w:val="auto"/>
              </w:rPr>
            </w:pPr>
          </w:p>
        </w:tc>
        <w:tc>
          <w:tcPr>
            <w:tcW w:w="1120" w:type="dxa"/>
            <w:vAlign w:val="bottom"/>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recognized all share-based compensation expense related to the stock options granted in the fourth quarter of 2023 and no further unrecognized share-based compensation expense remains as of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makes semi-annual issuances of fully-vested common stock to its non-employee directors. A summary of the fully-vested common stock the Company issued to its non-employee directors, in connection with its non-employee director compensation, is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the Company recognized share-based compensation expense related to restricted stock unit awards of $1.0 million and $0.9 million, respectively. As of March 31, 2024, there was $11.2 million of unrecognized compensation costs, net of estimated forfeitures, related to restricted stock unit awards, which is expected to be recognized over a remaining weighted-average period of 3.0 years. Upon vesting, restricted stock units are generally net share-settled to cover the required withholding tax and the remaining amount is converted into an equivalent number of shares of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gridSpan w:val="4"/>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2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10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5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jc w:val="both"/>
        <w:ind w:right="52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may vary between zero and 200% of the target award, based on the Company’s performance over a one-year period based on specific metrics approved by the Compensation Committee of the Board of Directors of the Company.</w:t>
      </w:r>
    </w:p>
    <w:p>
      <w:pPr>
        <w:spacing w:after="0" w:line="1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2023, the Compensation Committee utilized the following metrics for the Company's PRSUs awarded to its executive officers, and approved the new target awards for 2023. The three metrics are:</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net cash provided by operating activities less purchases of property, plant, equipment and intangible assets and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2024, the Compensation Committee utilized the same metrics as 2023 PRSUs, but with revised performance goals.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4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15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282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(32)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(64)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(84)</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382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2023, the Compensation Committee approved the final calculation of the award metrics for calendar year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the calendar year 2022 PRSUs decreased by approximately 32,000 units as a result of the final calculation of award metrics.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the Company recognized aggregate share-based compensation expense related to the awards described above of approximately $0.1 million and $0.7 million, respectively. At March 31, 2024, there was $2.4 million of total unrecognized compensation costs related to approximately 309,000 non-vested PRSUs, which is expected to be recognized over a remaining weighted-average period of 3.0 years.</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9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36" w:lineRule="auto"/>
        <w:tabs>
          <w:tab w:leader="none" w:pos="183"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March 31, 2023, 1,513,000 shares, related to restricted stock were excluded from the calculation of diluted EPS due to the net loss for the period.</w:t>
      </w:r>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w:t>
      </w: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months ended March 31, 2024 and 2023:</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7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left="340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Mistras Group, Inc. and Subsidiaries Notes to Unaudited Condensed Consolidated Financial Statements </w:t>
      </w: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134,495</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48"/>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had $36.5 million and $18.5 million of unbilled revenue accrued as of March 31, 2024 and December 31, 2023,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Consumable supplies</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6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270,788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(241,682)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approximately $6.5 million and $6.3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spacing w:after="0" w:line="19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using a terminal value calculation, which incorporates historical and forecasted trends, including an estimate of long-term future growth rates, based on the Company’s most recent views of the long-term outlook for each reporting unit. The Company's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Company's internally developed forecasts and which are updated for recent events. Increased interest rates in the current period increased the discount rate associated with the reporting units which contributed to an unfavorable decrease in the reporting units value.</w:t>
      </w:r>
    </w:p>
    <w:p>
      <w:pPr>
        <w:spacing w:after="0" w:line="2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3"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19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2023 and the Company did not identify any changes in circumstances that would indicate the carrying value of goodwill may not be recoverable. Additionally, through March 31, 2024,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2024 and 2023 was approximately $1.9 million and $2.1 million, respectively.</w:t>
      </w:r>
    </w:p>
    <w:p>
      <w:pPr>
        <w:spacing w:after="0" w:line="2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Long-Term Debt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7"/>
                <w:szCs w:val="17"/>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$0.3 million and $0.4 million, respectively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 2022, the Company entered into a new credit agreement (the “Credit Agreement”), which provides the Company with a $190 million 5-year committed revolving credit facility and a $125 million term loan with a balance of $116 million as of March 31, 2024.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25" w:lineRule="exact"/>
        <w:rPr>
          <w:sz w:val="20"/>
          <w:szCs w:val="20"/>
          <w:color w:val="auto"/>
        </w:rPr>
      </w:pPr>
    </w:p>
    <w:p>
      <w:pPr>
        <w:ind w:left="660" w:right="340" w:hanging="328"/>
        <w:spacing w:after="0" w:line="24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w:t>
      </w:r>
    </w:p>
    <w:p>
      <w:pPr>
        <w:ind w:left="1300" w:right="720" w:hanging="320"/>
        <w:spacing w:after="0" w:line="22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05" w:lineRule="exact"/>
        <w:rPr>
          <w:rFonts w:ascii="Times New Roman" w:cs="Times New Roman" w:eastAsia="Times New Roman" w:hAnsi="Times New Roman"/>
          <w:sz w:val="18"/>
          <w:szCs w:val="18"/>
          <w:color w:val="auto"/>
        </w:rPr>
      </w:pPr>
    </w:p>
    <w:p>
      <w:pPr>
        <w:jc w:val="both"/>
        <w:ind w:left="660" w:right="4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197"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to maintain a Total Consolidated Debt Leverage Ratio of no more than 4.0 to 1.0 at the end of each quarter through June 30, 2023 and stepping down to a maximum permitted ratio of no more than 3.75 to 1.0 for the remainder of the term.</w:t>
      </w:r>
    </w:p>
    <w:p>
      <w:pPr>
        <w:spacing w:after="0" w:line="189" w:lineRule="exact"/>
        <w:rPr>
          <w:rFonts w:ascii="Times New Roman" w:cs="Times New Roman" w:eastAsia="Times New Roman" w:hAnsi="Times New Roman"/>
          <w:sz w:val="18"/>
          <w:szCs w:val="18"/>
          <w:color w:val="auto"/>
        </w:rPr>
      </w:pPr>
    </w:p>
    <w:p>
      <w:pPr>
        <w:ind w:left="660" w:right="140" w:hanging="328"/>
        <w:spacing w:after="0" w:line="296"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2023, the Fixed Charge Coverage Ratio was modified from a ratio of 1.25 to 1.0 to a ratio of 1.1 to 1.0 for the fiscal quarters ended December 31, 2023 and March 31, 2024. For the period ending June 30, 2024 to maturity, the Fixed Charge Coverage Ratio is 1.25 to 1.</w:t>
      </w:r>
    </w:p>
    <w:p>
      <w:pPr>
        <w:spacing w:after="0" w:line="165" w:lineRule="exact"/>
        <w:rPr>
          <w:rFonts w:ascii="Times New Roman" w:cs="Times New Roman" w:eastAsia="Times New Roman" w:hAnsi="Times New Roman"/>
          <w:sz w:val="17"/>
          <w:szCs w:val="17"/>
          <w:color w:val="auto"/>
        </w:rPr>
      </w:pPr>
    </w:p>
    <w:p>
      <w:pPr>
        <w:jc w:val="both"/>
        <w:ind w:left="660" w:right="34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197" w:lineRule="exact"/>
        <w:rPr>
          <w:rFonts w:ascii="Times New Roman" w:cs="Times New Roman" w:eastAsia="Times New Roman" w:hAnsi="Times New Roman"/>
          <w:sz w:val="18"/>
          <w:szCs w:val="18"/>
          <w:color w:val="auto"/>
        </w:rPr>
      </w:pPr>
    </w:p>
    <w:p>
      <w:pPr>
        <w:ind w:left="660" w:right="180" w:hanging="328"/>
        <w:spacing w:after="0" w:line="23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198"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of March 31, 2024, the Company had borrowings of $194.9 million and a total of $2.9 million of letters of credit outstanding under the Credit Agreement. The Company has capitalized costs associated with debt modifications of $1.2 million as of March 31, 2024, which is included in Other Assets on the Condensed Consolidated Balance Sheets and will be amortized into interest expense over the remaining term of the Credit Agreement through July 30, 2027.</w:t>
      </w:r>
    </w:p>
    <w:p>
      <w:pPr>
        <w:spacing w:after="0" w:line="20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of March 31, 2024, the Company was in compliance with the terms and covenants of the Credit Agreement. The Company continuously monitors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March 31, 2024, there was an aggregate of approximately $3.6 million outstanding, payable at various times through 2030. Monthly payments range from $0.7 thousand to $16.0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10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that arise in the ordinary course of business. While the Company cannot predict with certainty the ultimate resolution of lawsuits, investigations and claims asserted against it,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 subsidiary of the Company, Mistras Arizona Inspection Services LLC (“Mistras Arizona”) is subject to a lawsuit filed by the Arizona Department of Environmental Quality (“DEQ”), which has been filed against the Company, captioned State of Arizona v. Mistras Group, Inc. and Naiman Phoenix, Ltd., filed on February 27, 2024, in the Superior Court of the State of Arizona for Maricopa County, CV 2024-003866. The Complaint alleges various violations of the Arizona environmental laws and regulations in connection with the operation of the Mistras Arizona testing facility in Phoenix, Arizona. The complaint seeks injunctive relief, the closing of a chromic acid plating line and air scrubber, implementation of a site assessment plan approved by the DEQ, corrective and remedial action to bring the facility in compliance, and costs and penalties. Mistras Arizona and the Company have also received notice of violations from the DEQ for the violations of Arizona environmental laws and regulations and from the Maricopa County Department of Air Quality for violation of various regulations regarding air quality. This matter is in the early stages and the Company is unable to assess the amount of liability the Company or Mistras Arizona may incur.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5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260"/>
        <w:spacing w:after="0" w:line="274"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March 31, 2024 is approximately $2.5 million, which were incurred in 2018 and 2019.</w:t>
      </w:r>
    </w:p>
    <w:p>
      <w:pPr>
        <w:spacing w:after="0" w:line="19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900" w:right="80" w:hanging="244"/>
        <w:spacing w:after="0" w:line="261" w:lineRule="auto"/>
        <w:tabs>
          <w:tab w:leader="none" w:pos="89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80" w:hanging="244"/>
        <w:spacing w:after="0" w:line="267"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200" w:hanging="244"/>
        <w:spacing w:after="0" w:line="284"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1"/>
        </w:trPr>
        <w:tc>
          <w:tcPr>
            <w:tcW w:w="8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36,637</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94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5020" w:type="dxa"/>
            <w:vAlign w:val="bottom"/>
            <w:gridSpan w:val="3"/>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and Systems</w:t>
            </w:r>
          </w:p>
        </w:tc>
        <w:tc>
          <w:tcPr>
            <w:tcW w:w="4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02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100" w:type="dxa"/>
            <w:vAlign w:val="bottom"/>
            <w:gridSpan w:val="2"/>
          </w:tcPr>
          <w:p>
            <w:pPr>
              <w:spacing w:after="0"/>
              <w:rPr>
                <w:sz w:val="16"/>
                <w:szCs w:val="16"/>
                <w:color w:val="auto"/>
              </w:rPr>
            </w:pPr>
          </w:p>
        </w:tc>
        <w:tc>
          <w:tcPr>
            <w:tcW w:w="9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5020" w:type="dxa"/>
            <w:vAlign w:val="bottom"/>
            <w:gridSpan w:val="3"/>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4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411,853</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402,782</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months ended March 31, 2024 and 2023. The MD&amp;A should be read together with our Unaudited Condensed Consolidated Financial Statements and related notes included in Item 1 in this Quarterly Report on Form 10-Q (the "Quarterly Report") and our audited consolidated financial statements and related notes included in our Annual Report on Form 10-K for the year ended December 31, 2023 (“2023 Annual Report”). Unless otherwise specified or the context otherwise requires, “Mistras,” “the Company,” “we,” “us” and “our” refer to Mistras Group, Inc. and its consolidated subsidiaries. The MD&amp;A includes the following sections:</w:t>
      </w:r>
    </w:p>
    <w:p>
      <w:pPr>
        <w:spacing w:after="0" w:line="18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2023 Annual Report as well as those discussed in this Quarterly Report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right="120" w:hanging="328"/>
        <w:spacing w:after="0" w:line="25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1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 w:lineRule="exact"/>
        <w:rPr>
          <w:rFonts w:ascii="Times New Roman" w:cs="Times New Roman" w:eastAsia="Times New Roman" w:hAnsi="Times New Roman"/>
          <w:sz w:val="18"/>
          <w:szCs w:val="18"/>
          <w:color w:val="auto"/>
        </w:rPr>
      </w:pPr>
    </w:p>
    <w:p>
      <w:pPr>
        <w:ind w:left="660" w:right="740" w:hanging="328"/>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Russian-Ukrainian war and the conflict in the Middle East between Israel and Hamas are creating disruptions in the oil and gas market and the supply chain in general, which is resulting in some disruption to our business operations primarily in Europe due to increased energy costs.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remains strong. As of March 31, 2024, the cash balance was approximately $16.9 million, and with our Credit Agreement, provides us with significant liquidity.</w:t>
      </w:r>
    </w:p>
    <w:p>
      <w:pPr>
        <w:spacing w:after="0" w:line="24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Company’s European operations are currently experiencing higher energy costs, among other increased costs, due in part to the Russian-Ukrainian war and the conflict in the Middle East between Israel and Hamas. The Company will continue to monitor market conditions and respond accordingly.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generally accepted accounting principles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months ended March 31, 2024 and 2023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184,442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168,016</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51,090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46,077</w:t>
            </w: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Income (loss) from Operations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benefit for income taxes</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(5,898)</w:t>
            </w: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(4,978)</w:t>
            </w:r>
          </w:p>
        </w:tc>
      </w:t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(4,986)</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 was $184.4 million for the three months ended March 31, 2024, an increase of $16.4 million, or 9.8%, compared with the three months ended March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months ended March 31, 2024 and 2023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w:t>
            </w:r>
          </w:p>
        </w:tc>
      </w:tr>
      <w:tr>
        <w:trPr>
          <w:trHeight w:val="229"/>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r>
      <w:tr>
        <w:trPr>
          <w:trHeight w:val="230"/>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2024, total revenue increased 9.8% versus the prior year comparable period due predominantly to a high single-digit organic increase. North America segment revenue increased 9.8%, driven predominantly by a high single-digit organic increase and increased turnarounds in the current year, minimally supported by low single-digit favorable impact of foreign exchange rates. International segment revenue increased 12.4%, due predominantly to low double-digit organic growth and low single-digit favorable impact of foreign exchange rates. Products and Systems segment revenue decreased by 14.1%, due to decreased sales volume and shipments as compared to the prior period.</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61% and 59% of total revenue for the three months ended March 31, 2024 and 2023, respectively. Aerospace and defense customer revenue comprised approximately 12% and 11% of total revenue for the three months ended March 31, 2024 and 2023, respectively. The Company’s top ten customers comprised approximately 39% of total revenue for the three months ended March 31, 2024, as compared to 36% for the three months ended March 31, 2023, with no customer accounting for 10% or more of total revenue in either three-month period.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36,939</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40,495</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113,165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98,665</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Oil and gas upstream customer revenue increased approximately $4.8 million, or 13%, due primarily to market share gains and increased exploration activity as compared to the prior period. Midstream customer revenues increased approximately $0.2 million, or 1%, due to decreased pipe inspection services performed as compared to the prior period. Downstream customer revenues increased $9.5 million or, 23%, primarily due to increased customer turnarounds in the current year that were delayed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109,680</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 Laboratories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13,132</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28,392</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Field Services revenues are comprised of revenue derived primarily by technicians performing asset inspections and maintenance services for our customers at locations other than Mistras properties. Field Services revenue increased by $16.7 million as compared to the prior period primarily due to increases in sales volume in our oil and gas, industrials and infrastructure, research and engineering end markets within our North America segment and oil and gas end market within our International segment.</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Shop Laboratory revenues are comprised of quality assurance inspections of components and materials at our Mistras in house laboratory facilities. Shop revenues increase by $4.1 million as compared to the prior period quarter due to increased sales volumes related to our aerospace and defense end market in our North America and International segments.</w:t>
      </w:r>
    </w:p>
    <w:p>
      <w:pPr>
        <w:spacing w:after="0" w:line="19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Data Analytical Solutions revenues are comprised of revenue derived from data software sales &amp; subscriptions, implementation services and analytics which offer insights and generate value from asset protection. Data Analytical Solutions revenue is derived from work performed by Mistras employees in our facilities, or at customer locations. Data Analytical Solutions revenue decreased by $1.3 million as compared to the prior period due to decreased sales volume within PCMS and other Data Analytical Solutions offerings within our North America segment.</w:t>
      </w:r>
    </w:p>
    <w:p>
      <w:pPr>
        <w:spacing w:after="0" w:line="20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Other revenues are comprised of locations that perform both asset inspection services and testing of components and materials at in house Mistras laboratories. Other revenues decreased by $3.0 million as compared to the prior year primarily due to decreased sales within the defense sector within the North America segment offset by increased private space shop related activities during the quarter.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increased by $5.0 million, or 10.9%, in the three months ended March 31, 2024 versus the prior year comparable period, an increase in revenue of 9.8%.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months ended March 31, 2024 and 2023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36,637</w:t>
            </w:r>
          </w:p>
        </w:tc>
      </w:tr>
      <w:tr>
        <w:trPr>
          <w:trHeight w:val="230"/>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7,367</w:t>
            </w:r>
          </w:p>
        </w:tc>
      </w:tr>
      <w:tr>
        <w:trPr>
          <w:trHeight w:val="229"/>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25.1 %</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2,063</w:t>
            </w:r>
          </w:p>
        </w:tc>
      </w:tr>
      <w:tr>
        <w:trPr>
          <w:trHeight w:val="230"/>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55.2 %</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8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51,090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46,077</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Gross profit margin was 27.7% and 27.4% for the three-month periods ended March 31, 2024 and 2023, respectively. North America segment realized a decrease of 0.2% in gross profit margin to 26.6% during the three months ended March 31, 2024 as compared to the prior period. This was primarily due to unfavorable sales mix in the period ended March 31, 2024 as compared to the prior period, and higher benefit claims expense in the current year period. International segment realized a 3.5% increase in gross profit margin to 28.6% during the three months ended March 31, 2024 due primarily to a better sales mix and decreased energy costs in the current period. Products and Systems segment gross margin had a decrease of 5.0% to 50.2% during the three months ended March 31, 2024 due to decreased sales volume as compared to the prior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2024 and 2023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42,823</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Operating expenses decreased $2.4 million, or 4.9%, for the three months ended March 31, 2024 compared to the three months ended March 31, 2023. Selling, general and administrative expenses decreased $1.6 million during the three months ended March 31, 2024 compared to the three months ended March 31, 2023, due to cost reduction measures implemented in 2023 and favorable foreign exchange impact as compared to the prior period. Reorganization and other costs decreased by approximately $0.5 million as compared to the prior year due primarily to a decrease in severance costs during the period. Depreciation and amortization decreased $0.1 million during the three months ended March 31, 2024 compared to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(loss) from operations before special items for each of our three segments, Corporate and Elimination and for the Company in total:</w:t>
      </w: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160" w:type="dxa"/>
            <w:vAlign w:val="bottom"/>
            <w:gridSpan w:val="5"/>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4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before special items (non-GAAP)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(11,024)</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report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income (loss) from operations (GAAP) increased $7.4 million or 403.4%, compared with the three months ended March 31, 2023, while the income from operations before special items (non-GAAP) improved by $6.9 million, or 2,755.8%. As a percentage of revenue, the income (loss) before special items improved by 380 basis points to 3.9% in the three months ended March 31, 2024 compared to 0.1% in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was approximately $4.4 million and $4.1 million for the three months ended March 31, 2024 and 2023, respectively. The increase was a result of increased interest rates in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approximately 10.6% and 15.6% for the three months ended March 31, 2024 and 2023, respectively.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2024 was lower than the statutory rate primarily due to the impact of favorable discrete items including stock compensation. The effective income tax rate for the three months ended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was lower than the statutory rate primarily due to the impact of an favorable discrete item related to stock compensation.</w:t>
      </w: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operating activities was $0.6 million, representing a year-on-year decrease of $3.8 million, or 86%. The decrease was primarily attributable to a decrease in days sales outstanding and movements in working capital, as compared to the prior year quarter.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cash used in investing activities was $5.6 million, primarily attributable to increased expenditures for vehicles leased related to customer projects and additional capital expenditures as compared to the prior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$5.1 million for the three months ended March 31, 2024, compared to net cash used in financing activities of $4.0 million for the three months ended March 31, 2023. During the three months ended March 31, 2024, net borrowings of debt were approximately $10.1 million higher as compared to 2023 resulting in debt borrowings during the period. In addition, $0.8 million more taxes were paid related to net share settlement of share-based awards during the three months ended March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 decrease of $0.9 million in the three months ended March 31, 2024, compared to an increase of $0.2 million for the three months ended March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1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March 31, 2024, we had cash and cash equivalents totaling $16.9 million and $104.0 million of unused commitments under our Credit Agreement with borrowings of $194.9 million and $2.9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we were in compliance with the terms of the Credit Agreement and will continuously monitor our compliance with the covenants contained in the Credit Agreement.</w:t>
      </w:r>
    </w:p>
    <w:p>
      <w:pPr>
        <w:spacing w:after="0" w:line="1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2023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2023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2023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March 31, 2024,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See Note 14 - </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legal proceedings and no material developments with regard to any matters disclosed under Part I, Item 3 "Legal Proceedings" in our 2023 Annual Report, except as disclosed herein under Note 14 - </w:t>
      </w:r>
      <w:r>
        <w:rPr>
          <w:rFonts w:ascii="Times New Roman" w:cs="Times New Roman" w:eastAsia="Times New Roman" w:hAnsi="Times New Roman"/>
          <w:sz w:val="18"/>
          <w:szCs w:val="18"/>
          <w:b w:val="1"/>
          <w:bCs w:val="1"/>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to the Notes to the Unaudited Condensed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2023 Annual Report. There have been no material changes to the risk factors previously disclosed in the 2023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2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700" w:type="dxa"/>
            <w:vAlign w:val="bottom"/>
            <w:tcBorders>
              <w:bottom w:val="single" w:sz="8" w:color="auto"/>
            </w:tcBorders>
            <w:gridSpan w:val="2"/>
            <w:vMerge w:val="continue"/>
          </w:tcPr>
          <w:p>
            <w:pPr>
              <w:spacing w:after="0"/>
              <w:rPr>
                <w:sz w:val="16"/>
                <w:szCs w:val="16"/>
                <w:color w:val="auto"/>
              </w:rPr>
            </w:pPr>
          </w:p>
        </w:tc>
        <w:tc>
          <w:tcPr>
            <w:tcW w:w="220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31, 2024</w:t>
            </w:r>
          </w:p>
        </w:tc>
        <w:tc>
          <w:tcPr>
            <w:tcW w:w="2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29, 2024</w:t>
            </w:r>
          </w:p>
        </w:tc>
        <w:tc>
          <w:tcPr>
            <w:tcW w:w="2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2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8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7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3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did not adopt, terminate or modify a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680" w:type="dxa"/>
            <w:vAlign w:val="bottom"/>
            <w:gridSpan w:val="6"/>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3"/>
        </w:trPr>
        <w:tc>
          <w:tcPr>
            <w:tcW w:w="340" w:type="dxa"/>
            <w:vAlign w:val="bottom"/>
            <w:gridSpan w:val="2"/>
          </w:tcPr>
          <w:p>
            <w:pPr>
              <w:ind w:left="20"/>
              <w:spacing w:after="0" w:line="182" w:lineRule="exact"/>
              <w:rPr>
                <w:rFonts w:ascii="Times New Roman" w:cs="Times New Roman" w:eastAsia="Times New Roman" w:hAnsi="Times New Roman"/>
                <w:sz w:val="18"/>
                <w:szCs w:val="18"/>
                <w:color w:val="0000FF"/>
                <w:w w:val="95"/>
              </w:rPr>
            </w:pPr>
            <w:hyperlink r:id="rId5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7"/>
          </w:tcPr>
          <w:p>
            <w:pPr>
              <w:spacing w:after="0" w:line="182"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First Amendment, dated February 27, 2024, to the Credit Agreement (filed as exhibit 10.1 to Current Report on Form 8-K filed on March</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1, 2024 and incorporated herein by reference).</w:t>
              </w:r>
            </w:hyperlink>
          </w:p>
        </w:tc>
        <w:tc>
          <w:tcPr>
            <w:tcW w:w="120" w:type="dxa"/>
            <w:vAlign w:val="bottom"/>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Employment Agreement between the registrant and Hani Hammad dated March 26, 2024</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1980" w:type="dxa"/>
            <w:vAlign w:val="bottom"/>
            <w:gridSpan w:val="2"/>
          </w:tcPr>
          <w:p>
            <w:pPr>
              <w:spacing w:after="0"/>
              <w:rPr>
                <w:sz w:val="24"/>
                <w:szCs w:val="24"/>
                <w:color w:val="auto"/>
              </w:rPr>
            </w:pPr>
          </w:p>
        </w:tc>
      </w:tr>
      <w:tr>
        <w:trPr>
          <w:trHeight w:val="43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2040" w:type="dxa"/>
            <w:vAlign w:val="bottom"/>
            <w:gridSpan w:val="3"/>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760" w:type="dxa"/>
            <w:vAlign w:val="bottom"/>
            <w:gridSpan w:val="5"/>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10.2 is a management agreement and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ectPr>
          <w:pgSz w:w="11900" w:h="16838" w:orient="portrait"/>
          <w:cols w:equalWidth="0" w:num="1">
            <w:col w:w="10920"/>
          </w:cols>
          <w:pgMar w:left="320" w:top="117" w:right="6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March 26,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Mistras Group,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Hani Hammad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w:t>
      </w:r>
      <w:r>
        <w:rPr>
          <w:rFonts w:ascii="Times New Roman" w:cs="Times New Roman" w:eastAsia="Times New Roman" w:hAnsi="Times New Roman"/>
          <w:sz w:val="22"/>
          <w:szCs w:val="22"/>
          <w:color w:val="auto"/>
        </w:rPr>
        <w:t>:</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this Agreement sets forth the terms and conditions of the Company’s employment of Executive.</w:t>
      </w:r>
    </w:p>
    <w:p>
      <w:pPr>
        <w:spacing w:after="0" w:line="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and intending to be legally bound hereby, the parties agree as follows:</w:t>
      </w:r>
    </w:p>
    <w:p>
      <w:pPr>
        <w:spacing w:after="0" w:line="205" w:lineRule="exact"/>
        <w:rPr>
          <w:sz w:val="20"/>
          <w:szCs w:val="20"/>
          <w:color w:val="auto"/>
        </w:rPr>
      </w:pPr>
    </w:p>
    <w:p>
      <w:pPr>
        <w:ind w:left="660" w:hanging="328"/>
        <w:spacing w:after="0" w:line="287"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The Company shall employ Executive and Executive shall be employed by the Company upon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set forth in this Agreement.</w:t>
      </w:r>
    </w:p>
    <w:p>
      <w:pPr>
        <w:spacing w:after="0" w:line="164" w:lineRule="exact"/>
        <w:rPr>
          <w:rFonts w:ascii="Times New Roman" w:cs="Times New Roman" w:eastAsia="Times New Roman" w:hAnsi="Times New Roman"/>
          <w:sz w:val="22"/>
          <w:szCs w:val="22"/>
          <w:color w:val="auto"/>
        </w:rPr>
      </w:pPr>
    </w:p>
    <w:p>
      <w:pPr>
        <w:ind w:left="660" w:hanging="328"/>
        <w:spacing w:after="0" w:line="275"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Executive’s employment pursuant to this Agreement will commence on the Effective Date and will continue until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terminated in accordance with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w:t>
      </w:r>
    </w:p>
    <w:p>
      <w:pPr>
        <w:spacing w:after="0" w:line="17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 Full Time Commitment</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1300" w:hanging="320"/>
        <w:spacing w:after="0" w:line="250" w:lineRule="auto"/>
        <w:tabs>
          <w:tab w:leader="none" w:pos="128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 shall serve as the Executive Vice President and Chief Transformation Officer of the Company, and in this position, Executive will report to the Company’s Chief Executive Officer and carry out such duties and responsibilities as are customarily performed by persons in Executive’s position within the industry and such other duties and responsibilities as the Company may reasonably assign to him from time to time.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sets forth some of those duties and responsibilities that the Company currently expects Executive to perform, subject to the Company’s reservation of the right to reasonably change these duties and responsibilities or to reasonably assign to Executive other duties and responsibilities, as well as some of the key expectations of the Company in its hiring of Executive.</w:t>
      </w:r>
    </w:p>
    <w:p>
      <w:pPr>
        <w:spacing w:after="0" w:line="213" w:lineRule="exact"/>
        <w:rPr>
          <w:rFonts w:ascii="Times New Roman" w:cs="Times New Roman" w:eastAsia="Times New Roman" w:hAnsi="Times New Roman"/>
          <w:sz w:val="22"/>
          <w:szCs w:val="22"/>
          <w:color w:val="auto"/>
        </w:rPr>
      </w:pPr>
    </w:p>
    <w:p>
      <w:pPr>
        <w:jc w:val="both"/>
        <w:ind w:left="1300" w:hanging="320"/>
        <w:spacing w:after="0" w:line="252" w:lineRule="auto"/>
        <w:tabs>
          <w:tab w:leader="none" w:pos="13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devote his full business time and best efforts to the performance of his duties and responsibilities hereunder and in furtherance of the Company’s interests and will not engage in any other employment, consulting or business services; provided that Executive may engage in charitable activities so long as such activities do not interfere with the performance of his duties and responsibilities hereunder.</w:t>
      </w:r>
    </w:p>
    <w:p>
      <w:pPr>
        <w:spacing w:after="0" w:line="215" w:lineRule="exact"/>
        <w:rPr>
          <w:rFonts w:ascii="Times New Roman" w:cs="Times New Roman" w:eastAsia="Times New Roman" w:hAnsi="Times New Roman"/>
          <w:sz w:val="22"/>
          <w:szCs w:val="22"/>
          <w:color w:val="auto"/>
        </w:rPr>
      </w:pPr>
    </w:p>
    <w:p>
      <w:pPr>
        <w:jc w:val="both"/>
        <w:ind w:left="660" w:hanging="328"/>
        <w:spacing w:after="0" w:line="259"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Company Policies</w:t>
      </w:r>
      <w:r>
        <w:rPr>
          <w:rFonts w:ascii="Times New Roman" w:cs="Times New Roman" w:eastAsia="Times New Roman" w:hAnsi="Times New Roman"/>
          <w:sz w:val="22"/>
          <w:szCs w:val="22"/>
          <w:color w:val="auto"/>
        </w:rPr>
        <w:t>. Executive will comply with all policies of the Company in effect from time to time,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policies regarding ethics, personal conduct, stock ownership, securities trading, compensation clawbacks and hedging and pledging of securities, all of which are on the Company’s website.</w:t>
      </w:r>
    </w:p>
    <w:p>
      <w:pPr>
        <w:spacing w:after="0" w:line="193" w:lineRule="exact"/>
        <w:rPr>
          <w:rFonts w:ascii="Times New Roman" w:cs="Times New Roman" w:eastAsia="Times New Roman" w:hAnsi="Times New Roman"/>
          <w:sz w:val="22"/>
          <w:szCs w:val="22"/>
          <w:color w:val="auto"/>
        </w:rPr>
      </w:pPr>
    </w:p>
    <w:p>
      <w:pPr>
        <w:ind w:left="660" w:hanging="328"/>
        <w:spacing w:after="0" w:line="275" w:lineRule="auto"/>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Place of Performance</w:t>
      </w:r>
      <w:r>
        <w:rPr>
          <w:rFonts w:ascii="Times New Roman" w:cs="Times New Roman" w:eastAsia="Times New Roman" w:hAnsi="Times New Roman"/>
          <w:sz w:val="22"/>
          <w:szCs w:val="22"/>
          <w:color w:val="auto"/>
        </w:rPr>
        <w:t>. Executive will be working remotely, from a home location when not traveling for work.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will be required to travel for business purposes to the</w:t>
      </w:r>
    </w:p>
    <w:p>
      <w:pPr>
        <w:sectPr>
          <w:pgSz w:w="11900" w:h="16838" w:orient="portrait"/>
          <w:cols w:equalWidth="0" w:num="1">
            <w:col w:w="11240"/>
          </w:cols>
          <w:pgMar w:left="320" w:top="1422" w:right="339" w:bottom="1440" w:gutter="0" w:footer="0" w:header="0"/>
        </w:sectPr>
      </w:pPr>
    </w:p>
    <w:bookmarkStart w:id="41" w:name="page42"/>
    <w:bookmarkEnd w:id="41"/>
    <w:p>
      <w:pPr>
        <w:ind w:left="328"/>
        <w:spacing w:after="0" w:line="271" w:lineRule="auto"/>
        <w:rPr>
          <w:sz w:val="20"/>
          <w:szCs w:val="20"/>
          <w:color w:val="auto"/>
        </w:rPr>
      </w:pPr>
      <w:r>
        <w:rPr>
          <w:rFonts w:ascii="Times New Roman" w:cs="Times New Roman" w:eastAsia="Times New Roman" w:hAnsi="Times New Roman"/>
          <w:sz w:val="22"/>
          <w:szCs w:val="22"/>
          <w:color w:val="auto"/>
        </w:rPr>
        <w:t>Company’s Princeton Junction headquarters and to various labs and facilities of the Company and its subsidiaries, which is expected to be up to 50% of Executive’s time but may vary based on the needs of the business.</w:t>
      </w:r>
    </w:p>
    <w:p>
      <w:pPr>
        <w:spacing w:after="0" w:line="181" w:lineRule="exact"/>
        <w:rPr>
          <w:sz w:val="20"/>
          <w:szCs w:val="20"/>
          <w:color w:val="auto"/>
        </w:rPr>
      </w:pPr>
    </w:p>
    <w:p>
      <w:pPr>
        <w:jc w:val="both"/>
        <w:ind w:left="328" w:hanging="328"/>
        <w:spacing w:after="0" w:line="254" w:lineRule="auto"/>
        <w:tabs>
          <w:tab w:leader="none" w:pos="3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Salary</w:t>
      </w:r>
      <w:r>
        <w:rPr>
          <w:rFonts w:ascii="Times New Roman" w:cs="Times New Roman" w:eastAsia="Times New Roman" w:hAnsi="Times New Roman"/>
          <w:sz w:val="22"/>
          <w:szCs w:val="22"/>
          <w:color w:val="auto"/>
        </w:rPr>
        <w:t>. Executive’s position with the Company is a full-time exempt position. The Company will pay Executive a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at an initial annual rate of $400,000, payable in accordance with the Company’s standard payroll schedule and subject to applicable deductions and withholdings. The amount of the Base Salary shall be reviewed on an annual basis by the Company in conjunction with an annual performance assessment of Executive and may be increased or decreased from time to time by the Company.</w:t>
      </w:r>
    </w:p>
    <w:p>
      <w:pPr>
        <w:spacing w:after="0" w:line="20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Annual Incentive Awards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left="968" w:hanging="320"/>
        <w:spacing w:after="0" w:line="250" w:lineRule="auto"/>
        <w:tabs>
          <w:tab w:leader="none" w:pos="95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year during his employment, Executive will have the opportunity to earn an annual incentive award under the Company’s “Executive annual incentive plan” (sometimes referred to as the “Executive annual bonus plan”) applicable to senior executives generally, with Executive’s annual incentive target opportunity amount (and range of potential payouts, if any) for each calendar year to be set by the Company and to be dependent upon the extent to which performance targets established by the Company are or are not achieved for such year. Any annual incentive award that is earned by Executive will be payable consistent with the Company’s regular payroll practices applicable to annual incentive awards for senior executives generally.</w:t>
      </w:r>
    </w:p>
    <w:p>
      <w:pPr>
        <w:spacing w:after="0" w:line="207" w:lineRule="exact"/>
        <w:rPr>
          <w:rFonts w:ascii="Times New Roman" w:cs="Times New Roman" w:eastAsia="Times New Roman" w:hAnsi="Times New Roman"/>
          <w:sz w:val="22"/>
          <w:szCs w:val="22"/>
          <w:color w:val="auto"/>
        </w:rPr>
      </w:pPr>
    </w:p>
    <w:p>
      <w:pPr>
        <w:jc w:val="both"/>
        <w:ind w:left="968" w:hanging="320"/>
        <w:spacing w:after="0" w:line="248" w:lineRule="auto"/>
        <w:tabs>
          <w:tab w:leader="none" w:pos="968"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calendar year 2024, Executive will have the opportunity to earn an annual incentive award under the Company’s previously established “Executive annual incentive plan” (sometimes, as noted above, referred to as the “Executive annual bonus plan”) applicable to senior executives generally for calendar year 2024, but with the amount of amount of any payment on account thereof to be pro-rated and computed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the target amount (prior to the following proration) shall be equal to 50% of the Base Salary (and with the actual award amount (the “nominal amount”), if any and prior to the following proration, ranging from 0 to 200% of the target amount, depending upon the extent to which performance targets previously established by the Company under the annual incentive plan for calendar year 2024 are or are not achieved, and with the weightings among such performance targets applied in the same manner for Executive); and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the actual payment amount, if any, shall be pro-rated to equal the product of the nominal amount multiplied by a fraction the numerator of which is the number of days from and including the Effective Date to and including December 31, 2024 and the denominator of which is three hundred sixty-five (366).</w:t>
      </w:r>
    </w:p>
    <w:p>
      <w:pPr>
        <w:spacing w:after="0" w:line="207"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Long-Term Equity Incentive Grants</w:t>
      </w:r>
      <w:r>
        <w:rPr>
          <w:rFonts w:ascii="Times New Roman" w:cs="Times New Roman" w:eastAsia="Times New Roman" w:hAnsi="Times New Roman"/>
          <w:sz w:val="22"/>
          <w:szCs w:val="22"/>
          <w:color w:val="auto"/>
        </w:rPr>
        <w:t>.</w:t>
      </w:r>
    </w:p>
    <w:p>
      <w:pPr>
        <w:sectPr>
          <w:pgSz w:w="11900" w:h="16838" w:orient="portrait"/>
          <w:cols w:equalWidth="0" w:num="1">
            <w:col w:w="10908"/>
          </w:cols>
          <w:pgMar w:left="652" w:top="1422" w:right="339" w:bottom="1440" w:gutter="0" w:footer="0" w:header="0"/>
        </w:sectPr>
      </w:pPr>
    </w:p>
    <w:bookmarkStart w:id="42" w:name="page43"/>
    <w:bookmarkEnd w:id="42"/>
    <w:p>
      <w:pPr>
        <w:jc w:val="both"/>
        <w:ind w:left="320" w:hanging="320"/>
        <w:spacing w:after="0" w:line="263" w:lineRule="auto"/>
        <w:tabs>
          <w:tab w:leader="none" w:pos="30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is eligible to participate in the Company’s Long-Term Incentive Plan (as amended or replaced from time to time, the “</w:t>
      </w:r>
      <w:r>
        <w:rPr>
          <w:rFonts w:ascii="Times New Roman" w:cs="Times New Roman" w:eastAsia="Times New Roman" w:hAnsi="Times New Roman"/>
          <w:sz w:val="21"/>
          <w:szCs w:val="21"/>
          <w:b w:val="1"/>
          <w:bCs w:val="1"/>
          <w:color w:val="auto"/>
        </w:rPr>
        <w:t>LTIP</w:t>
      </w:r>
      <w:r>
        <w:rPr>
          <w:rFonts w:ascii="Times New Roman" w:cs="Times New Roman" w:eastAsia="Times New Roman" w:hAnsi="Times New Roman"/>
          <w:sz w:val="21"/>
          <w:szCs w:val="21"/>
          <w:color w:val="auto"/>
        </w:rPr>
        <w:t>”). On the Effective Date, Executive shall be granted, on a one-time basis, Restricted Stock Units (as defined in the LTIP) that represents the right to receive up to 47,058 Shares (as defined in the LTIP) in the future (collectively, the “</w:t>
      </w:r>
      <w:r>
        <w:rPr>
          <w:rFonts w:ascii="Times New Roman" w:cs="Times New Roman" w:eastAsia="Times New Roman" w:hAnsi="Times New Roman"/>
          <w:sz w:val="21"/>
          <w:szCs w:val="21"/>
          <w:b w:val="1"/>
          <w:bCs w:val="1"/>
          <w:color w:val="auto"/>
        </w:rPr>
        <w:t>Initial RSUs</w:t>
      </w:r>
      <w:r>
        <w:rPr>
          <w:rFonts w:ascii="Times New Roman" w:cs="Times New Roman" w:eastAsia="Times New Roman" w:hAnsi="Times New Roman"/>
          <w:sz w:val="21"/>
          <w:szCs w:val="21"/>
          <w:color w:val="auto"/>
        </w:rPr>
        <w:t xml:space="preserve">”), provided that the Initial RSUs shall vest 50% on the first anniversary of the grant date and 25% after each of the second and third anniversary dates, conditioned upon the continued employment of Executive on such vesting dates and except as otherwise provided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below. Except as provided for in this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xml:space="preserve"> and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below, the Initial RSUs shall be subject to the terms of the LTIP.</w:t>
      </w:r>
    </w:p>
    <w:p>
      <w:pPr>
        <w:spacing w:after="0" w:line="199" w:lineRule="exact"/>
        <w:rPr>
          <w:rFonts w:ascii="Times New Roman" w:cs="Times New Roman" w:eastAsia="Times New Roman" w:hAnsi="Times New Roman"/>
          <w:sz w:val="21"/>
          <w:szCs w:val="21"/>
          <w:color w:val="auto"/>
        </w:rPr>
      </w:pPr>
    </w:p>
    <w:p>
      <w:pPr>
        <w:jc w:val="both"/>
        <w:ind w:left="320" w:hanging="320"/>
        <w:spacing w:after="0" w:line="251" w:lineRule="auto"/>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calendar year (other than calendar year 2024) during his employment, Executive will be eligible to receive a grant of performance-based equity, which, as of the Effective Date, is contemplated to be in the form of Restricted Stock Unit Awards (“</w:t>
      </w:r>
      <w:r>
        <w:rPr>
          <w:rFonts w:ascii="Times New Roman" w:cs="Times New Roman" w:eastAsia="Times New Roman" w:hAnsi="Times New Roman"/>
          <w:sz w:val="22"/>
          <w:szCs w:val="22"/>
          <w:b w:val="1"/>
          <w:bCs w:val="1"/>
          <w:color w:val="auto"/>
        </w:rPr>
        <w:t>Performance-Based RSUs</w:t>
      </w:r>
      <w:r>
        <w:rPr>
          <w:rFonts w:ascii="Times New Roman" w:cs="Times New Roman" w:eastAsia="Times New Roman" w:hAnsi="Times New Roman"/>
          <w:sz w:val="22"/>
          <w:szCs w:val="22"/>
          <w:color w:val="auto"/>
        </w:rPr>
        <w:t>”) under the LTIP or a successor plan. Executive’s performance-based target equity opportunity amount (and range of potential payouts, if any) for each calendar year (other than calendar year 2024) will be set by the Company and will be dependent upon the extent to which performance targets established by the Company are or are not achieved for such year.</w:t>
      </w:r>
    </w:p>
    <w:p>
      <w:pPr>
        <w:spacing w:after="0" w:line="208" w:lineRule="exact"/>
        <w:rPr>
          <w:rFonts w:ascii="Times New Roman" w:cs="Times New Roman" w:eastAsia="Times New Roman" w:hAnsi="Times New Roman"/>
          <w:sz w:val="22"/>
          <w:szCs w:val="22"/>
          <w:color w:val="auto"/>
        </w:rPr>
      </w:pPr>
    </w:p>
    <w:p>
      <w:pPr>
        <w:jc w:val="both"/>
        <w:ind w:left="320" w:hanging="320"/>
        <w:spacing w:after="0" w:line="248" w:lineRule="auto"/>
        <w:tabs>
          <w:tab w:leader="none" w:pos="30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calendar year 2024, Executive will be eligible to receive a number of performance-based Restricted Stock Units under the LTIP as follows: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any issuance of Restricted Stock Units to Executive for calendar year 2024 (“</w:t>
      </w:r>
      <w:r>
        <w:rPr>
          <w:rFonts w:ascii="Times New Roman" w:cs="Times New Roman" w:eastAsia="Times New Roman" w:hAnsi="Times New Roman"/>
          <w:sz w:val="22"/>
          <w:szCs w:val="22"/>
          <w:b w:val="1"/>
          <w:bCs w:val="1"/>
          <w:color w:val="auto"/>
        </w:rPr>
        <w:t>2024 RSUs</w:t>
      </w:r>
      <w:r>
        <w:rPr>
          <w:rFonts w:ascii="Times New Roman" w:cs="Times New Roman" w:eastAsia="Times New Roman" w:hAnsi="Times New Roman"/>
          <w:sz w:val="22"/>
          <w:szCs w:val="22"/>
          <w:color w:val="auto"/>
        </w:rPr>
        <w:t xml:space="preserve">”) will be contingent upon, and a direct function of, the extent to which the previously established performance targets applicable to performance-based equity for senior executives generally for calendar year 2024 are or are not achieved (and with the weightings among such performance targets applied in the same manner for Executive);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the target dollar amount of the 2024 RSUs (prior to the following proration) shall be equal to 100% of the Base Salary (and with the actual award amount, if any and prior to proration, ranging from 0 to 200% of the target dollar amount, depending upon the extent to which such previously established performance targets for calendar year 2024 are or are not achieved);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the actual award amount (the “nominal amount”), if any, shall be pro-rated to equal the product of the nominal amount multiplied by a fraction the numerator of which is the number of days from and including the Effective Date to and including December 31, 2024 and the denominator of which is three hundred sixty-five (366); and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the resulting dollar amount shall be converted into a number of earned 2024 RSUs using the Company’s valuation methodology for conversions generally applicable to other senior executives.</w:t>
      </w:r>
    </w:p>
    <w:p>
      <w:pPr>
        <w:spacing w:after="0" w:line="214" w:lineRule="exact"/>
        <w:rPr>
          <w:rFonts w:ascii="Times New Roman" w:cs="Times New Roman" w:eastAsia="Times New Roman" w:hAnsi="Times New Roman"/>
          <w:sz w:val="22"/>
          <w:szCs w:val="22"/>
          <w:color w:val="auto"/>
        </w:rPr>
      </w:pPr>
    </w:p>
    <w:p>
      <w:pPr>
        <w:jc w:val="both"/>
        <w:ind w:left="320" w:hanging="320"/>
        <w:spacing w:after="0" w:line="257" w:lineRule="auto"/>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earned 2024 RSUs shall vest in four equal installments on the same vesting schedule as other executive officers of the Company, subject to the continued employment of Executive on such vesting dates and except as otherwise provided</w:t>
      </w:r>
    </w:p>
    <w:p>
      <w:pPr>
        <w:sectPr>
          <w:pgSz w:w="11900" w:h="16838" w:orient="portrait"/>
          <w:cols w:equalWidth="0" w:num="1">
            <w:col w:w="10260"/>
          </w:cols>
          <w:pgMar w:left="1300" w:top="1422" w:right="339" w:bottom="1440" w:gutter="0" w:footer="0" w:header="0"/>
        </w:sectPr>
      </w:pPr>
    </w:p>
    <w:bookmarkStart w:id="43" w:name="page44"/>
    <w:bookmarkEnd w:id="43"/>
    <w:p>
      <w:pPr>
        <w:ind w:left="1300" w:right="20"/>
        <w:spacing w:after="0" w:line="271" w:lineRule="auto"/>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the LTIP. Except as provided for in this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below, the Performance-Based RSUs and 2024 RSUs shall be subject to the terms of the LTIP.</w:t>
      </w:r>
    </w:p>
    <w:p>
      <w:pPr>
        <w:spacing w:after="0" w:line="185" w:lineRule="exact"/>
        <w:rPr>
          <w:sz w:val="20"/>
          <w:szCs w:val="20"/>
          <w:color w:val="auto"/>
        </w:rPr>
      </w:pPr>
    </w:p>
    <w:p>
      <w:pPr>
        <w:jc w:val="both"/>
        <w:ind w:left="1300" w:hanging="320"/>
        <w:spacing w:after="0" w:line="263" w:lineRule="auto"/>
        <w:tabs>
          <w:tab w:leader="none" w:pos="1288"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equity award described herein will be subject to additional terms and conditions, not inconsistent with this Agreement, as specified by the administrator of the applicable equity plan and memorialized in a separate award agreement.</w:t>
      </w:r>
    </w:p>
    <w:p>
      <w:pPr>
        <w:spacing w:after="0" w:line="19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Benefits; Business Expenses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1300" w:hanging="320"/>
        <w:spacing w:after="0" w:line="250" w:lineRule="auto"/>
        <w:tabs>
          <w:tab w:leader="none" w:pos="1288"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 These benefits include opportunities to enroll in the Company’s medical, dental, vision, supplemental life insurance and dependent life insurance plans. Moreover, on the first day of the month following three (3) months of continuous employment, Executive may elect to participate in the Company’s 401(k) Salary Savings plan. Executive will be eligible for vacation under the Paid Time Off Policy for other Company executives. In addition, as of the date of this Agreement, the Company offers eligible employees basic life insurance, accidental death and dismemberment (AD&amp;D) insurance, short-term and long-term disability insurance and identity theft protection at no additional cost.</w:t>
      </w:r>
    </w:p>
    <w:p>
      <w:pPr>
        <w:spacing w:after="0" w:line="206" w:lineRule="exact"/>
        <w:rPr>
          <w:rFonts w:ascii="Times New Roman" w:cs="Times New Roman" w:eastAsia="Times New Roman" w:hAnsi="Times New Roman"/>
          <w:sz w:val="22"/>
          <w:szCs w:val="22"/>
          <w:color w:val="auto"/>
        </w:rPr>
      </w:pPr>
    </w:p>
    <w:p>
      <w:pPr>
        <w:jc w:val="both"/>
        <w:ind w:left="1300" w:hanging="320"/>
        <w:spacing w:after="0" w:line="257" w:lineRule="auto"/>
        <w:tabs>
          <w:tab w:leader="none" w:pos="13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199" w:lineRule="exact"/>
        <w:rPr>
          <w:rFonts w:ascii="Times New Roman" w:cs="Times New Roman" w:eastAsia="Times New Roman" w:hAnsi="Times New Roman"/>
          <w:sz w:val="22"/>
          <w:szCs w:val="22"/>
          <w:color w:val="auto"/>
        </w:rPr>
      </w:pPr>
    </w:p>
    <w:p>
      <w:pPr>
        <w:jc w:val="both"/>
        <w:ind w:left="1300" w:hanging="320"/>
        <w:spacing w:after="0" w:line="264" w:lineRule="auto"/>
        <w:tabs>
          <w:tab w:leader="none" w:pos="1288"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each calendar year during his employment, Executive shall receive an annual vehicle allowance of $10,100, which shall be paid ratably in accordance with the Company’s standard payroll schedule and subject to applicable deductions and withholdings; provided that the annual vehicle allowance will be pro-rated for calendar year 2024. Executive acknowledges that (except for “excess business mileage” and parking and toll expenses incurred in business travel-related outside of normal commuting, which shall be reimbursable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9(b)</w:t>
      </w:r>
      <w:r>
        <w:rPr>
          <w:rFonts w:ascii="Times New Roman" w:cs="Times New Roman" w:eastAsia="Times New Roman" w:hAnsi="Times New Roman"/>
          <w:sz w:val="21"/>
          <w:szCs w:val="21"/>
          <w:color w:val="auto"/>
        </w:rPr>
        <w:t>) the annual vehicle allowance is inclusive of all fuel, insurance, maintenance and other costs and expenses associated with his acquisition (whether by lease or otherwise) and maintenance of his selected vehicle and that payments on account of the annual vehicle allowance may result in his receipt of additional taxable income.</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Executive will be permitted to enroll in the Company’s healthcare plans upon the commencement of his employment, to the extent permitted by the plans. If the plans do not permit immediate enrollment, then the Company will reimburse Executive for his out-of-pocket</w:t>
      </w:r>
    </w:p>
    <w:p>
      <w:pPr>
        <w:sectPr>
          <w:pgSz w:w="11900" w:h="16838" w:orient="portrait"/>
          <w:cols w:equalWidth="0" w:num="1">
            <w:col w:w="11240"/>
          </w:cols>
          <w:pgMar w:left="320" w:top="1422"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22"/>
          <w:szCs w:val="22"/>
          <w:color w:val="auto"/>
        </w:rPr>
        <w:t>costs of continuing healthcare benefits with his prior employer under the Consolidated Omnibus Budget Reconciliation Act of 1985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less the amount Executive would contribute for healthcare benefits for comparable coverage under the Company’s plans, until Executive is eligible to enroll in the Company’s healthcare benefit plans, subject to his continued employment by the Company until the first day of the applicable month.</w:t>
      </w:r>
    </w:p>
    <w:p>
      <w:pPr>
        <w:spacing w:after="0" w:line="19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1300" w:hanging="320"/>
        <w:spacing w:after="0" w:line="249" w:lineRule="auto"/>
        <w:tabs>
          <w:tab w:leader="none" w:pos="128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shall terminate on the earliest of: (i) on the date set forth in a written notice to Executive from the Company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Company that Executive’s employment is terminated on account of Executive’s Disability, as determined by the Company.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208" w:lineRule="exact"/>
        <w:rPr>
          <w:rFonts w:ascii="Times New Roman" w:cs="Times New Roman" w:eastAsia="Times New Roman" w:hAnsi="Times New Roman"/>
          <w:sz w:val="22"/>
          <w:szCs w:val="22"/>
          <w:color w:val="auto"/>
        </w:rPr>
      </w:pPr>
    </w:p>
    <w:p>
      <w:pPr>
        <w:jc w:val="both"/>
        <w:ind w:left="1300" w:hanging="320"/>
        <w:spacing w:after="0" w:line="256" w:lineRule="auto"/>
        <w:tabs>
          <w:tab w:leader="none" w:pos="13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cessation of Executive’s employment for any reason, unless otherwise consented to in writing by the Company,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203" w:lineRule="exact"/>
        <w:rPr>
          <w:rFonts w:ascii="Times New Roman" w:cs="Times New Roman" w:eastAsia="Times New Roman" w:hAnsi="Times New Roman"/>
          <w:sz w:val="22"/>
          <w:szCs w:val="22"/>
          <w:color w:val="auto"/>
        </w:rPr>
      </w:pPr>
    </w:p>
    <w:p>
      <w:pPr>
        <w:ind w:left="1300" w:hanging="320"/>
        <w:spacing w:after="0" w:line="271" w:lineRule="auto"/>
        <w:tabs>
          <w:tab w:leader="none" w:pos="128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cessation of Executive’s employment with the Company, Executive will be entitled only to such compensation and benefits as described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below.</w:t>
      </w:r>
    </w:p>
    <w:p>
      <w:pPr>
        <w:spacing w:after="0" w:line="198" w:lineRule="exact"/>
        <w:rPr>
          <w:rFonts w:ascii="Times New Roman" w:cs="Times New Roman" w:eastAsia="Times New Roman" w:hAnsi="Times New Roman"/>
          <w:sz w:val="22"/>
          <w:szCs w:val="22"/>
          <w:color w:val="auto"/>
        </w:rPr>
      </w:pPr>
    </w:p>
    <w:p>
      <w:pPr>
        <w:jc w:val="both"/>
        <w:ind w:left="1300" w:hanging="320"/>
        <w:spacing w:after="0" w:line="251" w:lineRule="auto"/>
        <w:tabs>
          <w:tab w:leader="none" w:pos="13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208" w:lineRule="exact"/>
        <w:rPr>
          <w:rFonts w:ascii="Times New Roman" w:cs="Times New Roman" w:eastAsia="Times New Roman" w:hAnsi="Times New Roman"/>
          <w:sz w:val="22"/>
          <w:szCs w:val="22"/>
          <w:color w:val="auto"/>
        </w:rPr>
      </w:pPr>
    </w:p>
    <w:p>
      <w:pPr>
        <w:jc w:val="both"/>
        <w:ind w:left="1300" w:hanging="320"/>
        <w:spacing w:after="0" w:line="252" w:lineRule="auto"/>
        <w:tabs>
          <w:tab w:leader="none" w:pos="128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w:t>
      </w:r>
    </w:p>
    <w:p>
      <w:pPr>
        <w:sectPr>
          <w:pgSz w:w="11900" w:h="16838" w:orient="portrait"/>
          <w:cols w:equalWidth="0" w:num="1">
            <w:col w:w="11240"/>
          </w:cols>
          <w:pgMar w:left="320" w:top="1422" w:right="339" w:bottom="1440" w:gutter="0" w:footer="0" w:header="0"/>
        </w:sectPr>
      </w:pPr>
    </w:p>
    <w:bookmarkStart w:id="45" w:name="page46"/>
    <w:bookmarkEnd w:id="45"/>
    <w:p>
      <w:pPr>
        <w:ind w:left="968"/>
        <w:spacing w:after="0"/>
        <w:rPr>
          <w:sz w:val="20"/>
          <w:szCs w:val="20"/>
          <w:color w:val="auto"/>
        </w:rPr>
      </w:pPr>
      <w:r>
        <w:rPr>
          <w:rFonts w:ascii="Times New Roman" w:cs="Times New Roman" w:eastAsia="Times New Roman" w:hAnsi="Times New Roman"/>
          <w:sz w:val="22"/>
          <w:szCs w:val="22"/>
          <w:color w:val="auto"/>
        </w:rPr>
        <w:t>copies thereof), including without limitation any records, data, notes, reports, proposals, lists or correspondence.</w:t>
      </w:r>
    </w:p>
    <w:p>
      <w:pPr>
        <w:spacing w:after="0" w:line="243" w:lineRule="exact"/>
        <w:rPr>
          <w:sz w:val="20"/>
          <w:szCs w:val="20"/>
          <w:color w:val="auto"/>
        </w:rPr>
      </w:pPr>
    </w:p>
    <w:p>
      <w:pPr>
        <w:ind w:left="308" w:hanging="308"/>
        <w:spacing w:after="0"/>
        <w:tabs>
          <w:tab w:leader="none" w:pos="30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Upon Termination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968" w:hanging="324"/>
        <w:spacing w:after="0" w:line="26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u w:val="single" w:color="auto"/>
          <w:color w:val="auto"/>
        </w:rPr>
        <w:t>Termination without Cause or Resignation for Good Reason</w:t>
      </w:r>
      <w:r>
        <w:rPr>
          <w:rFonts w:ascii="Times New Roman" w:cs="Times New Roman" w:eastAsia="Times New Roman" w:hAnsi="Times New Roman"/>
          <w:sz w:val="22"/>
          <w:szCs w:val="22"/>
          <w:color w:val="auto"/>
        </w:rPr>
        <w:t xml:space="preserve">. If Executive’s employment by the Company ceases due to a termination by the Company without Cause (as defined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or a resignation by Executive for Good Reason (as defined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1628" w:hanging="446"/>
        <w:spacing w:after="0" w:line="257" w:lineRule="auto"/>
        <w:tabs>
          <w:tab w:leader="none" w:pos="1628"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213" w:lineRule="exact"/>
        <w:rPr>
          <w:rFonts w:ascii="Times New Roman" w:cs="Times New Roman" w:eastAsia="Times New Roman" w:hAnsi="Times New Roman"/>
          <w:sz w:val="22"/>
          <w:szCs w:val="22"/>
          <w:color w:val="auto"/>
        </w:rPr>
      </w:pPr>
    </w:p>
    <w:p>
      <w:pPr>
        <w:ind w:left="1628" w:hanging="506"/>
        <w:spacing w:after="0" w:line="271" w:lineRule="auto"/>
        <w:tabs>
          <w:tab w:leader="none" w:pos="1628"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any business expenses that were incurred prior to the date of such cessation of employment but not reimbursed and that are otherwise eligible for reimbursement;</w:t>
      </w:r>
    </w:p>
    <w:p>
      <w:pPr>
        <w:spacing w:after="0" w:line="184" w:lineRule="exact"/>
        <w:rPr>
          <w:rFonts w:ascii="Times New Roman" w:cs="Times New Roman" w:eastAsia="Times New Roman" w:hAnsi="Times New Roman"/>
          <w:sz w:val="22"/>
          <w:szCs w:val="22"/>
          <w:color w:val="auto"/>
        </w:rPr>
      </w:pPr>
    </w:p>
    <w:p>
      <w:pPr>
        <w:ind w:left="1628" w:hanging="566"/>
        <w:spacing w:after="0" w:line="271" w:lineRule="auto"/>
        <w:tabs>
          <w:tab w:leader="none" w:pos="1628" w:val="left"/>
        </w:tabs>
        <w:numPr>
          <w:ilvl w:val="3"/>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then unpaid, the Company shall pay to Executive the annual incentive award (if any) earned with respect to the calendar year ended immediately prior to the date of such cessation of employment;</w:t>
      </w:r>
    </w:p>
    <w:p>
      <w:pPr>
        <w:spacing w:after="0" w:line="184" w:lineRule="exact"/>
        <w:rPr>
          <w:rFonts w:ascii="Times New Roman" w:cs="Times New Roman" w:eastAsia="Times New Roman" w:hAnsi="Times New Roman"/>
          <w:sz w:val="22"/>
          <w:szCs w:val="22"/>
          <w:color w:val="auto"/>
        </w:rPr>
      </w:pPr>
    </w:p>
    <w:p>
      <w:pPr>
        <w:jc w:val="both"/>
        <w:ind w:left="1628" w:hanging="554"/>
        <w:spacing w:after="0" w:line="248" w:lineRule="auto"/>
        <w:tabs>
          <w:tab w:leader="none" w:pos="1614"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make twelve (12) monthly severance payments to Executive, with each payment equal to one-twelfth (1/12) of the Base Salary as in effect immediately prior to such cessation of employment (or, if such cessation is due to the Good Reason described in clause (ii) of that definition, the Base Salary in effect immediately prior to such material diminution); provided, however, that if the cessation of Executive’s employment with the Company due to a termination by the Company without Cause or a resignation by Executive for Good Reason occurs within ninety (90) days preceding or twelve (12) months after the date of a Change in Control (as defined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then, in lieu of the foregoing, the number of monthly severance payments shall be changed to eighteen (18), with each payment equal to one-eighteenth (1/18) of 150% of the Base Salary as in effect immediately prior to such cessation of employment (or, if such cessation is due to the Good Reason described in clause (ii) of that definition, the Base Salary in effect immediately prior to such material diminution);</w:t>
      </w:r>
    </w:p>
    <w:p>
      <w:pPr>
        <w:spacing w:after="0" w:line="215" w:lineRule="exact"/>
        <w:rPr>
          <w:rFonts w:ascii="Times New Roman" w:cs="Times New Roman" w:eastAsia="Times New Roman" w:hAnsi="Times New Roman"/>
          <w:sz w:val="22"/>
          <w:szCs w:val="22"/>
          <w:color w:val="auto"/>
        </w:rPr>
      </w:pPr>
    </w:p>
    <w:p>
      <w:pPr>
        <w:jc w:val="both"/>
        <w:ind w:left="1628" w:hanging="494"/>
        <w:spacing w:after="0" w:line="256" w:lineRule="auto"/>
        <w:tabs>
          <w:tab w:leader="none" w:pos="1614"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Executive a lump sum cash payment equal to a pro rata portion of the annual incentive award, if any, that Executive would have earned for the calendar year of his termination based on achievement of the applicable performance targets for such year (the “</w:t>
      </w:r>
      <w:r>
        <w:rPr>
          <w:rFonts w:ascii="Times New Roman" w:cs="Times New Roman" w:eastAsia="Times New Roman" w:hAnsi="Times New Roman"/>
          <w:sz w:val="22"/>
          <w:szCs w:val="22"/>
          <w:b w:val="1"/>
          <w:bCs w:val="1"/>
          <w:color w:val="auto"/>
        </w:rPr>
        <w:t>Terminal Award</w:t>
      </w:r>
      <w:r>
        <w:rPr>
          <w:rFonts w:ascii="Times New Roman" w:cs="Times New Roman" w:eastAsia="Times New Roman" w:hAnsi="Times New Roman"/>
          <w:sz w:val="22"/>
          <w:szCs w:val="22"/>
          <w:color w:val="auto"/>
        </w:rPr>
        <w:t>”) and, for the avoidance of doubt, if and to the extent</w:t>
      </w:r>
    </w:p>
    <w:p>
      <w:pPr>
        <w:sectPr>
          <w:pgSz w:w="11900" w:h="16838" w:orient="portrait"/>
          <w:cols w:equalWidth="0" w:num="1">
            <w:col w:w="10908"/>
          </w:cols>
          <w:pgMar w:left="652" w:top="1422" w:right="339" w:bottom="1440" w:gutter="0" w:footer="0" w:header="0"/>
        </w:sectPr>
      </w:pPr>
    </w:p>
    <w:bookmarkStart w:id="46" w:name="page47"/>
    <w:bookmarkEnd w:id="46"/>
    <w:p>
      <w:pPr>
        <w:jc w:val="both"/>
        <w:ind w:left="840"/>
        <w:spacing w:after="0" w:line="247" w:lineRule="auto"/>
        <w:rPr>
          <w:sz w:val="20"/>
          <w:szCs w:val="20"/>
          <w:color w:val="auto"/>
        </w:rPr>
      </w:pPr>
      <w:r>
        <w:rPr>
          <w:rFonts w:ascii="Times New Roman" w:cs="Times New Roman" w:eastAsia="Times New Roman" w:hAnsi="Times New Roman"/>
          <w:sz w:val="22"/>
          <w:szCs w:val="22"/>
          <w:color w:val="auto"/>
        </w:rPr>
        <w:t xml:space="preserve">that any portion of such achievement is based on subjective or judgmental factors, the Company’s determination of the extent of such achievement (if any) shall be final and binding. The pro-rated portion of the Terminal Award shall be determined by multiplying the Terminal Award by a fraction, the numerator of which is the number of days during which Executive was employed by the Company in the calendar year of his termination of employment and the denominator of which is three hundred sixty-five (365). Notwithstanding the foregoing, if the cessation of Executive’s employment with the Company due to a termination by the Company without Cause or a resignation by Executive for Good Reason occurs within ninety (90) days preceding or twelve (12) months after the date of a Change in Control, then in lieu of the foregoing, Executive shall receive 1.50 times his “base amount,” which “base amount” for Executive as of the Effective Date shall mean Executive’s annual incentive award target amount for the calendar year of Executive’s termination of employment; provided, however, that the formulation of the “base amount” is subject to change if the formulation for the base amount for similarly situated executives who experience a qualifying termination within an specified time window of a Change in Control is hereafter changed to something other than “annual incentive award target amount” for the calendar year of employment termination. Unless the payment is required to be delayed pursuant to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below, the payment shall be made on the date that annual incentive awards are paid to similarly situated executives (or if later, the Settlement Date (as defined below)), but in no event later than two-and-a-half months following the end of the calendar year in which Executive’s termination date occurs. If a Change in Control occurs and Executive’s employment is terminated, all unearned shares and equity-based Awards shall vest in accordance with the terms of the LTIP;</w:t>
      </w:r>
    </w:p>
    <w:p>
      <w:pPr>
        <w:spacing w:after="0" w:line="220" w:lineRule="exact"/>
        <w:rPr>
          <w:sz w:val="20"/>
          <w:szCs w:val="20"/>
          <w:color w:val="auto"/>
        </w:rPr>
      </w:pPr>
    </w:p>
    <w:p>
      <w:pPr>
        <w:jc w:val="both"/>
        <w:ind w:left="840" w:hanging="554"/>
        <w:spacing w:after="0" w:line="247" w:lineRule="auto"/>
        <w:tabs>
          <w:tab w:leader="none" w:pos="8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immediately before the cessation of Executive’s employment, Executive participates (other than pursuant to COBRA) in a Company group health plan, then, for the twelve (12) months following the date of such cessation (or, if sooner, upon Executive becomes eligible to obtain coverage under another employer plan), the Company will provide COBRA continuation coverage under such plan to Executive and his spouse at the Company’s expense, if and to the extent they or either of them shall have elected and shall be entitled to receive COBRA continuation coverage. Executive shall provide immediate notice to the Company (i) of such election of COBRA coverage and the date of such entitlement, and (ii) upon Executive becoming eligible for coverage under another employer plan. The Company may impute income to Executive in an amount determined by the Company, in its sole discretion, to the extent the Company determines that such imputation of income is necessary to</w:t>
      </w:r>
    </w:p>
    <w:p>
      <w:pPr>
        <w:sectPr>
          <w:pgSz w:w="11900" w:h="16838" w:orient="portrait"/>
          <w:cols w:equalWidth="0" w:num="1">
            <w:col w:w="10120"/>
          </w:cols>
          <w:pgMar w:left="1440" w:top="1422" w:right="339" w:bottom="1440" w:gutter="0" w:footer="0" w:header="0"/>
        </w:sectPr>
      </w:pPr>
    </w:p>
    <w:bookmarkStart w:id="47" w:name="page48"/>
    <w:bookmarkEnd w:id="47"/>
    <w:p>
      <w:pPr>
        <w:ind w:left="1960"/>
        <w:spacing w:after="0" w:line="271" w:lineRule="auto"/>
        <w:rPr>
          <w:sz w:val="20"/>
          <w:szCs w:val="20"/>
          <w:color w:val="auto"/>
        </w:rPr>
      </w:pPr>
      <w:r>
        <w:rPr>
          <w:rFonts w:ascii="Times New Roman" w:cs="Times New Roman" w:eastAsia="Times New Roman" w:hAnsi="Times New Roman"/>
          <w:sz w:val="22"/>
          <w:szCs w:val="22"/>
          <w:color w:val="auto"/>
        </w:rPr>
        <w:t>mitigate the risk of penalties and/or taxes to Executive or the Company, or to otherwise comply with applicable law; and</w:t>
      </w:r>
    </w:p>
    <w:p>
      <w:pPr>
        <w:spacing w:after="0" w:line="185" w:lineRule="exact"/>
        <w:rPr>
          <w:sz w:val="20"/>
          <w:szCs w:val="20"/>
          <w:color w:val="auto"/>
        </w:rPr>
      </w:pPr>
    </w:p>
    <w:p>
      <w:pPr>
        <w:jc w:val="both"/>
        <w:ind w:left="1960" w:hanging="614"/>
        <w:spacing w:after="0" w:line="248" w:lineRule="auto"/>
        <w:tabs>
          <w:tab w:leader="none" w:pos="1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immediately vest solely in (1) all of the Initial RSUs and that have not vested on such cessation date and (2) those Performance-Based RSUs and/or 2024 RSUs earned prior to the date of such cessation of employment and that (but for such cessation of employment) are scheduled to vest during (but not after) the one-year period following such cessation date; and, except as provided in the foregoing clauses (1) and (2), all other unvested and/or unearned Shares and equity-based awards then held by Executive will remain outstanding and held in suspense for ninety (90) days following such termination and (I) if a Change of Control occurs within such ninety (90) day period, then, in such circumstances only, those Shares and equity-based incentive awards shall become fully vested, with any performance-based equity awards then otherwise subject to an open performance period (as of the later of the termination or Change in Control) being deemed earned at the target amount established by the Company in connection with the grant of the applicable performance-based equity awards and (II) if a Change of Control does not occur within such ninety (90) day period, those Shares and equity-based awards shall be forfeited on such ninetieth (90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day.</w:t>
      </w:r>
    </w:p>
    <w:p>
      <w:pPr>
        <w:spacing w:after="0" w:line="2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 xml:space="preserve">Except as and solely to the extent otherwise provided in this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color w:val="auto"/>
        </w:rPr>
        <w:t xml:space="preserve"> are in lieu of, and are not in addition to, any other severance arrangements maintained by the Company, including but not limited to severance arrangements in Company plans of applicability to other executives. Notwithstanding any provision of this Agreement, the payments and benefits described in </w:t>
      </w:r>
      <w:r>
        <w:rPr>
          <w:rFonts w:ascii="Times New Roman" w:cs="Times New Roman" w:eastAsia="Times New Roman" w:hAnsi="Times New Roman"/>
          <w:sz w:val="20"/>
          <w:szCs w:val="20"/>
          <w:u w:val="single" w:color="auto"/>
          <w:color w:val="auto"/>
        </w:rPr>
        <w:t>Section 11(a)(iii) - 11(a)(vii)</w:t>
      </w:r>
      <w:r>
        <w:rPr>
          <w:rFonts w:ascii="Times New Roman" w:cs="Times New Roman" w:eastAsia="Times New Roman" w:hAnsi="Times New Roman"/>
          <w:sz w:val="20"/>
          <w:szCs w:val="20"/>
          <w:color w:val="auto"/>
        </w:rPr>
        <w:t xml:space="preserve"> are conditioned on Executive’s execution and delivery to the Company and the expiration of all applicable statutory revocation periods, by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following the effective date of Executive’s cessation of employment, of a general release of claims against the Company and its affiliates in a form and manner satisfactory to the Company (the “</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xml:space="preserve">”) and on Executive’s continued compliance with the provisions of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below.</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below (to the extent applicable) and provided the Release requirement described above has been timely satisfied: (x) the payment described in </w:t>
      </w:r>
      <w:r>
        <w:rPr>
          <w:rFonts w:ascii="Times New Roman" w:cs="Times New Roman" w:eastAsia="Times New Roman" w:hAnsi="Times New Roman"/>
          <w:sz w:val="22"/>
          <w:szCs w:val="22"/>
          <w:u w:val="single" w:color="auto"/>
          <w:color w:val="auto"/>
        </w:rPr>
        <w:t>Section 11(a)(iii)</w:t>
      </w:r>
      <w:r>
        <w:rPr>
          <w:rFonts w:ascii="Times New Roman" w:cs="Times New Roman" w:eastAsia="Times New Roman" w:hAnsi="Times New Roman"/>
          <w:sz w:val="22"/>
          <w:szCs w:val="22"/>
          <w:color w:val="auto"/>
        </w:rPr>
        <w:t xml:space="preserve"> will be paid on the later of the sixty-fifth (65</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day following Executive’s cessation of employment (the “</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xml:space="preserve">”) or the date such annual incentive award would have otherwise been paid, absent Executive’s cessation of employment, but in no event later than March 15 of the year following the year to which such annual incentive award relates; and (y) the payments described in </w:t>
      </w:r>
      <w:r>
        <w:rPr>
          <w:rFonts w:ascii="Times New Roman" w:cs="Times New Roman" w:eastAsia="Times New Roman" w:hAnsi="Times New Roman"/>
          <w:sz w:val="22"/>
          <w:szCs w:val="22"/>
          <w:u w:val="single" w:color="auto"/>
          <w:color w:val="auto"/>
        </w:rPr>
        <w:t>Section 11(a)(iv)</w:t>
      </w:r>
      <w:r>
        <w:rPr>
          <w:rFonts w:ascii="Times New Roman" w:cs="Times New Roman" w:eastAsia="Times New Roman" w:hAnsi="Times New Roman"/>
          <w:sz w:val="22"/>
          <w:szCs w:val="22"/>
          <w:color w:val="auto"/>
        </w:rPr>
        <w:t xml:space="preserve"> will commence to be paid on the Settlement Date, provided that the initial payment will include any payments that, but for the above-described timing rule, would have otherwise been paid since the date of Executive’s related cessation of employment.</w:t>
      </w:r>
    </w:p>
    <w:p>
      <w:pPr>
        <w:sectPr>
          <w:pgSz w:w="11900" w:h="16838" w:orient="portrait"/>
          <w:cols w:equalWidth="0" w:num="1">
            <w:col w:w="11240"/>
          </w:cols>
          <w:pgMar w:left="320" w:top="1422" w:right="339" w:bottom="1440" w:gutter="0" w:footer="0" w:header="0"/>
        </w:sectPr>
      </w:pPr>
    </w:p>
    <w:bookmarkStart w:id="48" w:name="page49"/>
    <w:bookmarkEnd w:id="48"/>
    <w:p>
      <w:pPr>
        <w:jc w:val="both"/>
        <w:ind w:left="968" w:hanging="320"/>
        <w:spacing w:after="0" w:line="260" w:lineRule="auto"/>
        <w:tabs>
          <w:tab w:leader="none" w:pos="96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Other Terminations</w:t>
      </w:r>
      <w:r>
        <w:rPr>
          <w:rFonts w:ascii="Times New Roman" w:cs="Times New Roman" w:eastAsia="Times New Roman" w:hAnsi="Times New Roman"/>
          <w:sz w:val="21"/>
          <w:szCs w:val="21"/>
          <w:color w:val="auto"/>
        </w:rPr>
        <w:t>. If Executive’s employment with the Company ceases for any reason other than as described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 </w:t>
      </w:r>
      <w:r>
        <w:rPr>
          <w:rFonts w:ascii="Times New Roman" w:cs="Times New Roman" w:eastAsia="Times New Roman" w:hAnsi="Times New Roman"/>
          <w:sz w:val="21"/>
          <w:szCs w:val="21"/>
          <w:u w:val="single" w:color="auto"/>
          <w:color w:val="auto"/>
        </w:rPr>
        <w:t>Section 11(a)</w:t>
      </w:r>
      <w:r>
        <w:rPr>
          <w:rFonts w:ascii="Times New Roman" w:cs="Times New Roman" w:eastAsia="Times New Roman" w:hAnsi="Times New Roman"/>
          <w:sz w:val="21"/>
          <w:szCs w:val="21"/>
          <w:color w:val="auto"/>
        </w:rPr>
        <w:t xml:space="preserve"> above (including but not limited to (i) termination by the Company for Cause, (ii) resignation by Executive without Good Reason, (iii) termination as a result of Executive’s Disability (as defined in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or (iv) Executive’s death), then the Company’s obligation to Executive will be limited solely to the payment of accrued and unpaid Base Salary through the date of such cessation of employment and payment of any business expenses that were previously incurred but not reimbursed and are otherwise eligible for reimbursement. Except as otherwise provided by COBRA, all compensation and benefits will cease at the time of such cessation of employment and the Company will have no further liability or obligation by reason of such termination; and, for the avoidance of doubt, all unvested and/or unearned equity and equity-based awards then held by Executive (including, without limitation, Initial RSUs, 2024 RSUs and Performance-Based RSUs) will be forfeited; provided, however, that, notwithstanding the foregoing, but without limiting </w:t>
      </w:r>
      <w:r>
        <w:rPr>
          <w:rFonts w:ascii="Times New Roman" w:cs="Times New Roman" w:eastAsia="Times New Roman" w:hAnsi="Times New Roman"/>
          <w:sz w:val="21"/>
          <w:szCs w:val="21"/>
          <w:u w:val="single" w:color="auto"/>
          <w:color w:val="auto"/>
        </w:rPr>
        <w:t>Section 11(a)</w:t>
      </w:r>
      <w:r>
        <w:rPr>
          <w:rFonts w:ascii="Times New Roman" w:cs="Times New Roman" w:eastAsia="Times New Roman" w:hAnsi="Times New Roman"/>
          <w:sz w:val="21"/>
          <w:szCs w:val="21"/>
          <w:color w:val="auto"/>
        </w:rPr>
        <w:t>, if Executive’s employment with the Company ceases as a result of Executive’s Disability or death then (i) any then unvested Initial RSUs shall thereupon vest and (ii) any other unvested and/or unearned equity and equity-based awards then held by Executive shall vest if and to the extent determined by the Committee at or after the time of the grant of the applicable awards. The foregoing will not be construed to limit Executive’s right to payment or reimbursement for claims incurred prior to the date of such termination under any insurance contract funding an employee benefit plan or arrangement of the Company in accordance with the terms of such insurance contract.</w:t>
      </w:r>
    </w:p>
    <w:p>
      <w:pPr>
        <w:spacing w:after="0" w:line="196" w:lineRule="exact"/>
        <w:rPr>
          <w:rFonts w:ascii="Times New Roman" w:cs="Times New Roman" w:eastAsia="Times New Roman" w:hAnsi="Times New Roman"/>
          <w:sz w:val="21"/>
          <w:szCs w:val="21"/>
          <w:color w:val="auto"/>
        </w:rPr>
      </w:pPr>
    </w:p>
    <w:p>
      <w:pPr>
        <w:ind w:left="328" w:hanging="328"/>
        <w:spacing w:after="0"/>
        <w:tabs>
          <w:tab w:leader="none" w:pos="32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968" w:hanging="320"/>
        <w:spacing w:after="0" w:line="263" w:lineRule="auto"/>
        <w:tabs>
          <w:tab w:leader="none" w:pos="95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194" w:lineRule="exact"/>
        <w:rPr>
          <w:rFonts w:ascii="Times New Roman" w:cs="Times New Roman" w:eastAsia="Times New Roman" w:hAnsi="Times New Roman"/>
          <w:sz w:val="22"/>
          <w:szCs w:val="22"/>
          <w:color w:val="auto"/>
        </w:rPr>
      </w:pPr>
    </w:p>
    <w:p>
      <w:pPr>
        <w:jc w:val="both"/>
        <w:ind w:left="968" w:hanging="320"/>
        <w:spacing w:after="0" w:line="249" w:lineRule="auto"/>
        <w:tabs>
          <w:tab w:leader="none" w:pos="968"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no portion of the benefits or payments to be made under </w:t>
      </w:r>
      <w:r>
        <w:rPr>
          <w:rFonts w:ascii="Times New Roman" w:cs="Times New Roman" w:eastAsia="Times New Roman" w:hAnsi="Times New Roman"/>
          <w:sz w:val="22"/>
          <w:szCs w:val="22"/>
          <w:u w:val="single" w:color="auto"/>
          <w:color w:val="auto"/>
        </w:rPr>
        <w:t>Section 11(a) or 11(b)(ii)</w:t>
      </w:r>
      <w:r>
        <w:rPr>
          <w:rFonts w:ascii="Times New Roman" w:cs="Times New Roman" w:eastAsia="Times New Roman" w:hAnsi="Times New Roman"/>
          <w:sz w:val="22"/>
          <w:szCs w:val="22"/>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w:t>
      </w:r>
    </w:p>
    <w:p>
      <w:pPr>
        <w:sectPr>
          <w:pgSz w:w="11900" w:h="16838" w:orient="portrait"/>
          <w:cols w:equalWidth="0" w:num="1">
            <w:col w:w="10908"/>
          </w:cols>
          <w:pgMar w:left="652" w:top="1418" w:right="339" w:bottom="1440" w:gutter="0" w:footer="0" w:header="0"/>
        </w:sectPr>
      </w:pPr>
    </w:p>
    <w:bookmarkStart w:id="49" w:name="page50"/>
    <w:bookmarkEnd w:id="49"/>
    <w:p>
      <w:pPr>
        <w:jc w:val="both"/>
        <w:ind w:left="968"/>
        <w:spacing w:after="0" w:line="257" w:lineRule="auto"/>
        <w:rPr>
          <w:sz w:val="20"/>
          <w:szCs w:val="20"/>
          <w:color w:val="auto"/>
        </w:rPr>
      </w:pPr>
      <w:r>
        <w:rPr>
          <w:rFonts w:ascii="Times New Roman" w:cs="Times New Roman" w:eastAsia="Times New Roman" w:hAnsi="Times New Roman"/>
          <w:sz w:val="22"/>
          <w:szCs w:val="22"/>
          <w:color w:val="auto"/>
        </w:rPr>
        <w:t>prevent the application of Treas. Reg. § 1.409A-1(b)(9)(iii) (or any successor provision) to amounts payable hereunder. For purposes of the application of Section 409A of the Code, each payment in a series of payments will be deemed a separate payment.</w:t>
      </w:r>
    </w:p>
    <w:p>
      <w:pPr>
        <w:spacing w:after="0" w:line="213" w:lineRule="exact"/>
        <w:rPr>
          <w:sz w:val="20"/>
          <w:szCs w:val="20"/>
          <w:color w:val="auto"/>
        </w:rPr>
      </w:pPr>
    </w:p>
    <w:p>
      <w:pPr>
        <w:jc w:val="both"/>
        <w:ind w:left="968" w:hanging="320"/>
        <w:spacing w:after="0" w:line="249" w:lineRule="auto"/>
        <w:tabs>
          <w:tab w:leader="none" w:pos="95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204" w:lineRule="exact"/>
        <w:rPr>
          <w:rFonts w:ascii="Times New Roman" w:cs="Times New Roman" w:eastAsia="Times New Roman" w:hAnsi="Times New Roman"/>
          <w:sz w:val="22"/>
          <w:szCs w:val="22"/>
          <w:color w:val="auto"/>
        </w:rPr>
      </w:pPr>
    </w:p>
    <w:p>
      <w:pPr>
        <w:jc w:val="both"/>
        <w:ind w:left="328" w:hanging="328"/>
        <w:spacing w:after="0" w:line="248" w:lineRule="auto"/>
        <w:tabs>
          <w:tab w:leader="none" w:pos="3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280G</w:t>
      </w:r>
      <w:r>
        <w:rPr>
          <w:rFonts w:ascii="Times New Roman" w:cs="Times New Roman" w:eastAsia="Times New Roman" w:hAnsi="Times New Roman"/>
          <w:sz w:val="22"/>
          <w:szCs w:val="22"/>
          <w:color w:val="auto"/>
        </w:rPr>
        <w:t>. Notwithstanding any contrary provision of this Agreement (or any plan, policy, agreement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covering Executive), if any payment, right or benefit paid, provided or due to Executive, whether pursuant to this Agreement or otherwise (each,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Total Payments</w:t>
      </w:r>
      <w:r>
        <w:rPr>
          <w:rFonts w:ascii="Times New Roman" w:cs="Times New Roman" w:eastAsia="Times New Roman" w:hAnsi="Times New Roman"/>
          <w:sz w:val="22"/>
          <w:szCs w:val="22"/>
          <w:color w:val="auto"/>
        </w:rPr>
        <w:t>”), would subject Executive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by the Company on an after-tax basis). Any reduction of the Total Payments required by this paragraph will be implemented by determining the Parachute Ratio (as defined below and determined by the Company)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w:t>
      </w:r>
      <w:r>
        <w:rPr>
          <w:rFonts w:ascii="Times New Roman" w:cs="Times New Roman" w:eastAsia="Times New Roman" w:hAnsi="Times New Roman"/>
          <w:sz w:val="22"/>
          <w:szCs w:val="22"/>
          <w:b w:val="1"/>
          <w:bCs w:val="1"/>
          <w:color w:val="auto"/>
        </w:rPr>
        <w:t>Parachute Ratio</w:t>
      </w:r>
      <w:r>
        <w:rPr>
          <w:rFonts w:ascii="Times New Roman" w:cs="Times New Roman" w:eastAsia="Times New Roman" w:hAnsi="Times New Roman"/>
          <w:sz w:val="22"/>
          <w:szCs w:val="22"/>
          <w:color w:val="auto"/>
        </w:rPr>
        <w:t>” means a fraction, (x) the numerator of which is the value of the applicable Payment, as calculated for purposes of Section 280G of the Code, and (y) the denominator of which is the economic value of the applicable Payment.</w:t>
      </w:r>
    </w:p>
    <w:p>
      <w:pPr>
        <w:spacing w:after="0" w:line="214"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For purposes of this Agreement:</w:t>
      </w:r>
    </w:p>
    <w:p>
      <w:pPr>
        <w:spacing w:after="0" w:line="246" w:lineRule="exact"/>
        <w:rPr>
          <w:rFonts w:ascii="Times New Roman" w:cs="Times New Roman" w:eastAsia="Times New Roman" w:hAnsi="Times New Roman"/>
          <w:sz w:val="22"/>
          <w:szCs w:val="22"/>
          <w:color w:val="auto"/>
        </w:rPr>
      </w:pPr>
    </w:p>
    <w:p>
      <w:pPr>
        <w:jc w:val="both"/>
        <w:ind w:left="968" w:hanging="320"/>
        <w:spacing w:after="0" w:line="254" w:lineRule="auto"/>
        <w:tabs>
          <w:tab w:leader="none" w:pos="95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any of the following: (i) failure of Executive to perform his duties and responsibilities to the Company (other than by reason of Executive’s physical or mental illness, incapacity or disability) which has continued for more than thirty (30) days following written notice of such non-performance from the Company; (ii) misconduct by Executive in connection with the performance of his duties and responsibilities to the Company, including, without limitation, a breach</w:t>
      </w:r>
    </w:p>
    <w:p>
      <w:pPr>
        <w:sectPr>
          <w:pgSz w:w="11900" w:h="16838" w:orient="portrait"/>
          <w:cols w:equalWidth="0" w:num="1">
            <w:col w:w="10908"/>
          </w:cols>
          <w:pgMar w:left="652" w:top="1422" w:right="33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22"/>
          <w:szCs w:val="22"/>
          <w:color w:val="auto"/>
        </w:rPr>
        <w:t>of fiduciary duties or a misappropriation of funds or property; (iii) the commission by Executive of any felony;</w:t>
      </w:r>
    </w:p>
    <w:p>
      <w:pPr>
        <w:spacing w:after="0" w:line="2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21"/>
          <w:szCs w:val="21"/>
          <w:color w:val="auto"/>
        </w:rPr>
        <w:t xml:space="preserve">(iv) the commission by Executive of a misdemeanor involving moral turpitude, deceit, dishonesty or fraud; (v) any conduct by Executive that would reasonably be expected to result in injury or reputational harm to the Company or any of its subsidiaries and affiliates; (vi) a breach by Executive of any agreement with the Company or its affiliates, which breach is not cured (if curable) within thirty (30) days after the delivery of written notice thereof (provided that if any such agreement includes a cure period and if such cure period is less than thirty (30) days, such shorter cure period shall apply); (vii) a violation by Executive of the Company’s written employment policies, which violation is not cured (if curable) within thirty (30) days after the delivery of written notice thereof (provided that if any such policies include a cure period and if such cure period is less than thirty (30) days, such shorter cure period shall apply); or (viii) Executive’s failure to cooperate with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In regard to each of those clauses in this definition of “Cause” that afford Executive a “cure right,” such cure right shall apply solely to the first failure, breach or violation by Executive that gives rise to the cure right and shall not apply to any repeat or subsequent failure, breach or violation involving similar actions or omissions, whether or not related to the first failure, breach or violation. For avoidance of doubt, a termination of Executive’s employment due to his Disability will not constitute a termination without Cause.</w:t>
      </w:r>
    </w:p>
    <w:p>
      <w:pPr>
        <w:spacing w:after="0" w:line="202" w:lineRule="exact"/>
        <w:rPr>
          <w:sz w:val="20"/>
          <w:szCs w:val="20"/>
          <w:color w:val="auto"/>
        </w:rPr>
      </w:pPr>
    </w:p>
    <w:p>
      <w:pPr>
        <w:ind w:left="320" w:hanging="320"/>
        <w:spacing w:after="0"/>
        <w:tabs>
          <w:tab w:leader="none" w:pos="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has the meaning given to this term in the LTIP.</w:t>
      </w:r>
    </w:p>
    <w:p>
      <w:pPr>
        <w:spacing w:after="0" w:line="260"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46" w:lineRule="exact"/>
        <w:rPr>
          <w:rFonts w:ascii="Times New Roman" w:cs="Times New Roman" w:eastAsia="Times New Roman" w:hAnsi="Times New Roman"/>
          <w:sz w:val="22"/>
          <w:szCs w:val="22"/>
          <w:color w:val="auto"/>
        </w:rPr>
      </w:pPr>
    </w:p>
    <w:p>
      <w:pPr>
        <w:jc w:val="both"/>
        <w:ind w:left="320" w:hanging="320"/>
        <w:spacing w:after="0" w:line="250" w:lineRule="auto"/>
        <w:tabs>
          <w:tab w:leader="none" w:pos="3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condition entitling Executive to benefits under the Company’s long term disability plan, policy or arrangement; provided, however, that if no such plan, policy or arrangement is then maintained by the Company and applicable to Executive,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207" w:lineRule="exact"/>
        <w:rPr>
          <w:rFonts w:ascii="Times New Roman" w:cs="Times New Roman" w:eastAsia="Times New Roman" w:hAnsi="Times New Roman"/>
          <w:sz w:val="22"/>
          <w:szCs w:val="22"/>
          <w:color w:val="auto"/>
        </w:rPr>
      </w:pPr>
    </w:p>
    <w:p>
      <w:pPr>
        <w:jc w:val="both"/>
        <w:ind w:left="320" w:hanging="320"/>
        <w:spacing w:after="0" w:line="259" w:lineRule="auto"/>
        <w:tabs>
          <w:tab w:leader="none" w:pos="30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(i) a reduction in the Base Salary that exceeds ten percent (10%) of the Base Salary as in effect immediately prior to the reduction (excluding, however, the impact of across-the-board salary reductions similarly</w:t>
      </w:r>
    </w:p>
    <w:p>
      <w:pPr>
        <w:sectPr>
          <w:pgSz w:w="11900" w:h="16838" w:orient="portrait"/>
          <w:cols w:equalWidth="0" w:num="1">
            <w:col w:w="10260"/>
          </w:cols>
          <w:pgMar w:left="1300" w:top="1422" w:right="339" w:bottom="1440" w:gutter="0" w:footer="0" w:header="0"/>
        </w:sectPr>
      </w:pPr>
    </w:p>
    <w:bookmarkStart w:id="51" w:name="page52"/>
    <w:bookmarkEnd w:id="51"/>
    <w:p>
      <w:pPr>
        <w:jc w:val="both"/>
        <w:ind w:left="968"/>
        <w:spacing w:after="0" w:line="248" w:lineRule="auto"/>
        <w:rPr>
          <w:sz w:val="20"/>
          <w:szCs w:val="20"/>
          <w:color w:val="auto"/>
        </w:rPr>
      </w:pPr>
      <w:r>
        <w:rPr>
          <w:rFonts w:ascii="Times New Roman" w:cs="Times New Roman" w:eastAsia="Times New Roman" w:hAnsi="Times New Roman"/>
          <w:sz w:val="22"/>
          <w:szCs w:val="22"/>
          <w:color w:val="auto"/>
        </w:rPr>
        <w:t>affecting other senior executives of the Company); (ii) an annual cash incentive target opportunity amount set at less than 40% of the Base Salary (excluding, however, the impact of across-the-board reductions to annual incentive target opportunity amounts similarly affecting other senior executives of the Company); (iii) an annual equity incentive target opportunity amount (as measured using the same valuation methodology generally applicable to other senior executives) set at less than 70% of the Base Salary (excluding, however, the impact of across-the-board reductions to equity incentive target opportunity amounts similarly affecting other senior executives of the Company); (iv) a Company-mandated relocation of Executive’s principal place of employment to a location that is more than 50 miles from Princeton Junction, New Jersey; or (v) the material breach of this Agreement by the Company; provided, however, that no such event will constitute Good Reason unless (x) Executive provides the Company with written objection to such event within 30 days after the initial occurrence thereof</w:t>
      </w:r>
      <w:r>
        <w:rPr>
          <w:rFonts w:ascii="Times New Roman" w:cs="Times New Roman" w:eastAsia="Times New Roman" w:hAnsi="Times New Roman"/>
          <w:sz w:val="22"/>
          <w:szCs w:val="22"/>
          <w:color w:val="464646"/>
        </w:rPr>
        <w:t>,</w:t>
      </w:r>
      <w:r>
        <w:rPr>
          <w:rFonts w:ascii="Times New Roman" w:cs="Times New Roman" w:eastAsia="Times New Roman" w:hAnsi="Times New Roman"/>
          <w:sz w:val="22"/>
          <w:szCs w:val="22"/>
          <w:color w:val="auto"/>
        </w:rPr>
        <w:t xml:space="preserve"> (y) such event is not reversed or corrected </w:t>
      </w:r>
      <w:r>
        <w:rPr>
          <w:rFonts w:ascii="Times New Roman" w:cs="Times New Roman" w:eastAsia="Times New Roman" w:hAnsi="Times New Roman"/>
          <w:sz w:val="22"/>
          <w:szCs w:val="22"/>
          <w:color w:val="161515"/>
        </w:rPr>
        <w:t>by</w:t>
      </w:r>
      <w:r>
        <w:rPr>
          <w:rFonts w:ascii="Times New Roman" w:cs="Times New Roman" w:eastAsia="Times New Roman" w:hAnsi="Times New Roman"/>
          <w:sz w:val="22"/>
          <w:szCs w:val="22"/>
          <w:color w:val="auto"/>
        </w:rPr>
        <w:t xml:space="preserve"> the Company within 30 days of its receipt of such written objection, and (z) Executive separates from service within 30 days following the expiration of that cure period.</w:t>
      </w:r>
    </w:p>
    <w:p>
      <w:pPr>
        <w:spacing w:after="0" w:line="207" w:lineRule="exact"/>
        <w:rPr>
          <w:sz w:val="20"/>
          <w:szCs w:val="20"/>
          <w:color w:val="auto"/>
        </w:rPr>
      </w:pPr>
    </w:p>
    <w:p>
      <w:pPr>
        <w:ind w:left="328" w:hanging="328"/>
        <w:spacing w:after="0"/>
        <w:tabs>
          <w:tab w:leader="none" w:pos="32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968" w:hanging="320"/>
        <w:spacing w:after="0" w:line="249" w:lineRule="auto"/>
        <w:tabs>
          <w:tab w:leader="none" w:pos="95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Access to Secret and Confidential Information</w:t>
      </w:r>
      <w:r>
        <w:rPr>
          <w:rFonts w:ascii="Times New Roman" w:cs="Times New Roman" w:eastAsia="Times New Roman" w:hAnsi="Times New Roman"/>
          <w:sz w:val="22"/>
          <w:szCs w:val="22"/>
          <w:color w:val="auto"/>
        </w:rPr>
        <w:t>. The Company has furnished and shall furnish to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secret and confidential information with respect to the Company and its affiliates (collectively “</w:t>
      </w:r>
      <w:r>
        <w:rPr>
          <w:rFonts w:ascii="Times New Roman" w:cs="Times New Roman" w:eastAsia="Times New Roman" w:hAnsi="Times New Roman"/>
          <w:sz w:val="22"/>
          <w:szCs w:val="22"/>
          <w:b w:val="1"/>
          <w:bCs w:val="1"/>
          <w:color w:val="auto"/>
        </w:rPr>
        <w:t>Secret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to which Executive would not otherwise have access and of which Executive would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otherwise have knowledge. Secret and Confidential Information includes, without limitation, technical and business information, whether patentable or not, which is of a confidential, trade secret or proprietary character, and which is either developed by Executive alone, with other or by others; lists of customers; identity of customers; identity of prospective customers; contract terms; bidding information and strategies; pricing methods or information; computer software; computer software methods and documentation; hardware; methods of operation; the procedures, forms and techniques used in servicing accounts; and other information or documents that the Company or any of its affiliates requires to be maintained in confidence for its or their continued business success.</w:t>
      </w:r>
    </w:p>
    <w:p>
      <w:pPr>
        <w:spacing w:after="0" w:line="217"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Non-Disclosure of Secret and Confidential Information</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1628" w:hanging="446"/>
        <w:spacing w:after="0" w:line="250" w:lineRule="auto"/>
        <w:tabs>
          <w:tab w:leader="none" w:pos="1628"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during the period of his employment with the Company or at any time thereafter, disclose to anyone, including, without limitation, any person, firm, corporation, or other entity, or publish, or use for any purpose, any Secret and Confidential Information, except as properly required in the ordinary course of the Company’s business or as directed and authorized by the Company or as required by court order, law or subpoena, or other legal compulsion to disclose, it being understood</w:t>
      </w:r>
    </w:p>
    <w:p>
      <w:pPr>
        <w:sectPr>
          <w:pgSz w:w="11900" w:h="16838" w:orient="portrait"/>
          <w:cols w:equalWidth="0" w:num="1">
            <w:col w:w="10908"/>
          </w:cols>
          <w:pgMar w:left="652" w:top="1422" w:right="339" w:bottom="1440" w:gutter="0" w:footer="0" w:header="0"/>
        </w:sectPr>
      </w:pPr>
    </w:p>
    <w:bookmarkStart w:id="52" w:name="page53"/>
    <w:bookmarkEnd w:id="52"/>
    <w:p>
      <w:pPr>
        <w:jc w:val="both"/>
        <w:ind w:left="980"/>
        <w:spacing w:after="0" w:line="257" w:lineRule="auto"/>
        <w:rPr>
          <w:sz w:val="20"/>
          <w:szCs w:val="20"/>
          <w:color w:val="auto"/>
        </w:rPr>
      </w:pPr>
      <w:r>
        <w:rPr>
          <w:rFonts w:ascii="Times New Roman" w:cs="Times New Roman" w:eastAsia="Times New Roman" w:hAnsi="Times New Roman"/>
          <w:sz w:val="22"/>
          <w:szCs w:val="22"/>
          <w:color w:val="auto"/>
        </w:rPr>
        <w:t xml:space="preserve">that information that is known generally in the industry or is otherwise available to the public (other than as a result of a violation of Executive’s obligation under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shall not be considered Secret and Confidential Information.</w:t>
      </w:r>
    </w:p>
    <w:p>
      <w:pPr>
        <w:spacing w:after="0" w:line="213" w:lineRule="exact"/>
        <w:rPr>
          <w:sz w:val="20"/>
          <w:szCs w:val="20"/>
          <w:color w:val="auto"/>
        </w:rPr>
      </w:pPr>
    </w:p>
    <w:p>
      <w:pPr>
        <w:jc w:val="both"/>
        <w:ind w:left="980" w:hanging="506"/>
        <w:spacing w:after="0" w:line="260" w:lineRule="auto"/>
        <w:tabs>
          <w:tab w:leader="none" w:pos="9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pursuant to 18 U.S.C. Section 1833(b), Executive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w:t>
      </w:r>
    </w:p>
    <w:p>
      <w:pPr>
        <w:spacing w:after="0" w:line="3" w:lineRule="exact"/>
        <w:rPr>
          <w:rFonts w:ascii="Times New Roman" w:cs="Times New Roman" w:eastAsia="Times New Roman" w:hAnsi="Times New Roman"/>
          <w:sz w:val="21"/>
          <w:szCs w:val="21"/>
          <w:color w:val="auto"/>
        </w:rPr>
      </w:pPr>
    </w:p>
    <w:p>
      <w:pPr>
        <w:ind w:left="980" w:hanging="8"/>
        <w:spacing w:after="0" w:line="261" w:lineRule="auto"/>
        <w:tabs>
          <w:tab w:leader="none" w:pos="1331"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w:t>
      </w:r>
    </w:p>
    <w:p>
      <w:pPr>
        <w:spacing w:after="0" w:line="195" w:lineRule="exact"/>
        <w:rPr>
          <w:rFonts w:ascii="Times New Roman" w:cs="Times New Roman" w:eastAsia="Times New Roman" w:hAnsi="Times New Roman"/>
          <w:sz w:val="22"/>
          <w:szCs w:val="22"/>
          <w:color w:val="auto"/>
        </w:rPr>
      </w:pPr>
    </w:p>
    <w:p>
      <w:pPr>
        <w:jc w:val="both"/>
        <w:ind w:left="980" w:hanging="566"/>
        <w:spacing w:after="0" w:line="249" w:lineRule="auto"/>
        <w:tabs>
          <w:tab w:leader="none" w:pos="98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Similarly, notwithstanding anything herein to the contrary, Executive understands that this Agreement will not (1) prohibit him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(2) require notification or prior approval by the Company of any such report; provided that, Executive is not authorized to disclose communications with counsel that were made for the purpose of receiving legal advice or that contain legal advice or that are protected by the attorney work product or similar privilege.</w:t>
      </w:r>
    </w:p>
    <w:p>
      <w:pPr>
        <w:spacing w:after="0" w:line="204" w:lineRule="exact"/>
        <w:rPr>
          <w:rFonts w:ascii="Times New Roman" w:cs="Times New Roman" w:eastAsia="Times New Roman" w:hAnsi="Times New Roman"/>
          <w:sz w:val="22"/>
          <w:szCs w:val="22"/>
          <w:color w:val="auto"/>
        </w:rPr>
      </w:pPr>
    </w:p>
    <w:p>
      <w:pPr>
        <w:jc w:val="both"/>
        <w:ind w:left="320" w:hanging="320"/>
        <w:spacing w:after="0" w:line="264" w:lineRule="auto"/>
        <w:tabs>
          <w:tab w:leader="none" w:pos="30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Duty to Return Company Documents and Property</w:t>
      </w:r>
      <w:r>
        <w:rPr>
          <w:rFonts w:ascii="Times New Roman" w:cs="Times New Roman" w:eastAsia="Times New Roman" w:hAnsi="Times New Roman"/>
          <w:sz w:val="21"/>
          <w:szCs w:val="21"/>
          <w:color w:val="auto"/>
        </w:rPr>
        <w:t>. Upon the termination of Executive’s employment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for any reason, Executive shall immediately return and deliver to the Company any and all papers, books, records, documents, memoranda and manuals, e-mail, electronic or magnetic recordings or data, including all copies thereof, belonging to the Company or relating to its business, in Executive’s possession or control, whether prepared by Executive or others. If at any time after the termination of employment, Executive determines that he has any Secret and Confidential Information in his possession or control, Executive shall immediately return to the Company all such Secret and Confidential Information, including all copies and portions thereof.</w:t>
      </w:r>
    </w:p>
    <w:p>
      <w:pPr>
        <w:spacing w:after="0" w:line="206" w:lineRule="exact"/>
        <w:rPr>
          <w:rFonts w:ascii="Times New Roman" w:cs="Times New Roman" w:eastAsia="Times New Roman" w:hAnsi="Times New Roman"/>
          <w:sz w:val="21"/>
          <w:szCs w:val="21"/>
          <w:color w:val="auto"/>
        </w:rPr>
      </w:pPr>
    </w:p>
    <w:p>
      <w:pPr>
        <w:jc w:val="both"/>
        <w:ind w:left="320" w:hanging="320"/>
        <w:spacing w:after="0" w:line="251" w:lineRule="auto"/>
        <w:tabs>
          <w:tab w:leader="none" w:pos="3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Inventions</w:t>
      </w:r>
      <w:r>
        <w:rPr>
          <w:rFonts w:ascii="Times New Roman" w:cs="Times New Roman" w:eastAsia="Times New Roman" w:hAnsi="Times New Roman"/>
          <w:sz w:val="22"/>
          <w:szCs w:val="22"/>
          <w:color w:val="auto"/>
        </w:rPr>
        <w:t>. Any and all writings, computer software, inventions, improvements, processes, procedures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techniques which Executive may make, conceive, discover, or develop, either solely or jointly with any other person or persons, at any time during the term of his employment, whether at the request or upon the suggestion of the Company or otherwise, which relate to or are useful in connection with any business now or hereafter carried on or contemplated by the Company, including developments or expansions of its present fields of</w:t>
      </w:r>
    </w:p>
    <w:p>
      <w:pPr>
        <w:sectPr>
          <w:pgSz w:w="11900" w:h="16838" w:orient="portrait"/>
          <w:cols w:equalWidth="0" w:num="1">
            <w:col w:w="10260"/>
          </w:cols>
          <w:pgMar w:left="1300" w:top="1422" w:right="339" w:bottom="1440" w:gutter="0" w:footer="0" w:header="0"/>
        </w:sectPr>
      </w:pPr>
    </w:p>
    <w:bookmarkStart w:id="53" w:name="page54"/>
    <w:bookmarkEnd w:id="53"/>
    <w:p>
      <w:pPr>
        <w:jc w:val="both"/>
        <w:ind w:left="180"/>
        <w:spacing w:after="0" w:line="249" w:lineRule="auto"/>
        <w:rPr>
          <w:sz w:val="20"/>
          <w:szCs w:val="20"/>
          <w:color w:val="auto"/>
        </w:rPr>
      </w:pPr>
      <w:r>
        <w:rPr>
          <w:rFonts w:ascii="Times New Roman" w:cs="Times New Roman" w:eastAsia="Times New Roman" w:hAnsi="Times New Roman"/>
          <w:sz w:val="22"/>
          <w:szCs w:val="22"/>
          <w:color w:val="auto"/>
        </w:rPr>
        <w:t>operations, shall be the sole and exclusive property of the Company. Executive shall take all actions necessary so that the Company can prepare and present applications for copyright or letters patent therefor, and can secure such copyright or letters patent wherever possible, as well as reissue renewals, and extensions thereof, and can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shall be bound by all such obligations and restrictions and take all action necessary to discharge the obligations of the Company.</w:t>
      </w:r>
    </w:p>
    <w:p>
      <w:pPr>
        <w:spacing w:after="0" w:line="206" w:lineRule="exact"/>
        <w:rPr>
          <w:sz w:val="20"/>
          <w:szCs w:val="20"/>
          <w:color w:val="auto"/>
        </w:rPr>
      </w:pPr>
    </w:p>
    <w:p>
      <w:pPr>
        <w:jc w:val="both"/>
        <w:ind w:left="180" w:hanging="323"/>
        <w:spacing w:after="0" w:line="253"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b w:val="1"/>
          <w:bCs w:val="1"/>
          <w:u w:val="single" w:color="auto"/>
          <w:color w:val="auto"/>
        </w:rPr>
        <w:t>Non-Solicitation and Non-Competition Restrictions</w:t>
      </w:r>
      <w:r>
        <w:rPr>
          <w:rFonts w:ascii="Times New Roman" w:cs="Times New Roman" w:eastAsia="Times New Roman" w:hAnsi="Times New Roman"/>
          <w:sz w:val="22"/>
          <w:szCs w:val="22"/>
          <w:color w:val="auto"/>
        </w:rPr>
        <w:t>. To protect the Company’s Secret and Confidential Information, and in the event of Executive’s termination of employment for any reason whatsoever, whether by Executive or the Company, Executive will be subject to the following restrictive covenants during and for the stated period following the termination of his employment.</w:t>
      </w:r>
    </w:p>
    <w:p>
      <w:pPr>
        <w:spacing w:after="0" w:line="216" w:lineRule="exact"/>
        <w:rPr>
          <w:sz w:val="20"/>
          <w:szCs w:val="20"/>
          <w:color w:val="auto"/>
        </w:rPr>
      </w:pPr>
    </w:p>
    <w:p>
      <w:pPr>
        <w:jc w:val="both"/>
        <w:ind w:left="840" w:hanging="446"/>
        <w:spacing w:after="0" w:line="247" w:lineRule="auto"/>
        <w:tabs>
          <w:tab w:leader="none" w:pos="8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Non-Competition</w:t>
      </w:r>
      <w:r>
        <w:rPr>
          <w:rFonts w:ascii="Times New Roman" w:cs="Times New Roman" w:eastAsia="Times New Roman" w:hAnsi="Times New Roman"/>
          <w:sz w:val="22"/>
          <w:szCs w:val="22"/>
          <w:color w:val="auto"/>
        </w:rPr>
        <w:t>. For one (1) year following the cessation of Executive’s employment with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any reason, Executive shall not, without the prior written consent of the Company, knowingly or intentionally (1) personally engage in Competitive Activities (as defined below) or (2) work for, own, manage, operate, control, or participate in the ownership, management, operation, or control of, or provide consulting or advisory services to, any person, partnership, firm, corporation, institution or other entity engaged in Competitive Activities, or any company or person affiliated with such person or entity engaged in Competitive Activities; provided that Executive’s purchase or holding, for investment purposes, of securities of a publicly traded company shall not constitute “ownership” or “participation in the ownership” for purposes of this paragraph so long as such equity interest in any such company is not more than 2% of the value of the outstanding stock or 2% of the outstanding voting securities of said publicly traded company. For the avoidance of doubt, this </w:t>
      </w:r>
      <w:r>
        <w:rPr>
          <w:rFonts w:ascii="Times New Roman" w:cs="Times New Roman" w:eastAsia="Times New Roman" w:hAnsi="Times New Roman"/>
          <w:sz w:val="22"/>
          <w:szCs w:val="22"/>
          <w:u w:val="single" w:color="auto"/>
          <w:color w:val="auto"/>
        </w:rPr>
        <w:t>Section 15(e)(i)</w:t>
      </w:r>
      <w:r>
        <w:rPr>
          <w:rFonts w:ascii="Times New Roman" w:cs="Times New Roman" w:eastAsia="Times New Roman" w:hAnsi="Times New Roman"/>
          <w:sz w:val="22"/>
          <w:szCs w:val="22"/>
          <w:color w:val="auto"/>
        </w:rPr>
        <w:t xml:space="preserve"> shall not prohibit Executive from being employed by, or providing services to, a consulting firm, provided that Executive does not personally engage in Competitive Activities or provide consulting or advisory services to any individual, partnership, firm, corporation, institution or other entity engaged in Competitive Activities, or any person entity affiliated with such individual, partnership, firm, corporation, institution or other entity engaged in Competitive Activities.</w:t>
      </w:r>
    </w:p>
    <w:p>
      <w:pPr>
        <w:spacing w:after="0" w:line="221" w:lineRule="exact"/>
        <w:rPr>
          <w:rFonts w:ascii="Times New Roman" w:cs="Times New Roman" w:eastAsia="Times New Roman" w:hAnsi="Times New Roman"/>
          <w:sz w:val="22"/>
          <w:szCs w:val="22"/>
          <w:color w:val="auto"/>
        </w:rPr>
      </w:pPr>
    </w:p>
    <w:p>
      <w:pPr>
        <w:ind w:left="840" w:hanging="506"/>
        <w:spacing w:after="0" w:line="275" w:lineRule="auto"/>
        <w:tabs>
          <w:tab w:leader="none" w:pos="8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Competitive Activities</w:t>
      </w:r>
      <w:r>
        <w:rPr>
          <w:rFonts w:ascii="Times New Roman" w:cs="Times New Roman" w:eastAsia="Times New Roman" w:hAnsi="Times New Roman"/>
          <w:sz w:val="22"/>
          <w:szCs w:val="22"/>
          <w:color w:val="auto"/>
        </w:rPr>
        <w:t>. For the purposes hereof, the term “</w:t>
      </w:r>
      <w:r>
        <w:rPr>
          <w:rFonts w:ascii="Times New Roman" w:cs="Times New Roman" w:eastAsia="Times New Roman" w:hAnsi="Times New Roman"/>
          <w:sz w:val="22"/>
          <w:szCs w:val="22"/>
          <w:b w:val="1"/>
          <w:bCs w:val="1"/>
          <w:color w:val="auto"/>
        </w:rPr>
        <w:t>Competitive Activities</w:t>
      </w:r>
      <w:r>
        <w:rPr>
          <w:rFonts w:ascii="Times New Roman" w:cs="Times New Roman" w:eastAsia="Times New Roman" w:hAnsi="Times New Roman"/>
          <w:sz w:val="22"/>
          <w:szCs w:val="22"/>
          <w:color w:val="auto"/>
        </w:rPr>
        <w:t>” means activities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relating to products or services of the same or</w:t>
      </w:r>
    </w:p>
    <w:p>
      <w:pPr>
        <w:sectPr>
          <w:pgSz w:w="11900" w:h="16838" w:orient="portrait"/>
          <w:cols w:equalWidth="0" w:num="1">
            <w:col w:w="10120"/>
          </w:cols>
          <w:pgMar w:left="1440" w:top="1422" w:right="339" w:bottom="1440" w:gutter="0" w:footer="0" w:header="0"/>
        </w:sectPr>
      </w:pPr>
    </w:p>
    <w:bookmarkStart w:id="54" w:name="page55"/>
    <w:bookmarkEnd w:id="54"/>
    <w:p>
      <w:pPr>
        <w:jc w:val="both"/>
        <w:ind w:left="980"/>
        <w:spacing w:after="0" w:line="253" w:lineRule="auto"/>
        <w:rPr>
          <w:sz w:val="20"/>
          <w:szCs w:val="20"/>
          <w:color w:val="auto"/>
        </w:rPr>
      </w:pPr>
      <w:r>
        <w:rPr>
          <w:rFonts w:ascii="Times New Roman" w:cs="Times New Roman" w:eastAsia="Times New Roman" w:hAnsi="Times New Roman"/>
          <w:sz w:val="22"/>
          <w:szCs w:val="22"/>
          <w:color w:val="auto"/>
        </w:rPr>
        <w:t>similar type as the products or services which are sold (or, pursuant to an existing business plan, will be sold) to paying customers of the Company or any affiliate. Notwithstanding the previous sentence, an activity shall not be treated as a Competitive Activity if the geographic marketing area of the relevant products or services does not overlap with the geographic marketing area for the applicable products and services of the Company and its affiliates.</w:t>
      </w:r>
    </w:p>
    <w:p>
      <w:pPr>
        <w:spacing w:after="0" w:line="202" w:lineRule="exact"/>
        <w:rPr>
          <w:sz w:val="20"/>
          <w:szCs w:val="20"/>
          <w:color w:val="auto"/>
        </w:rPr>
      </w:pPr>
    </w:p>
    <w:p>
      <w:pPr>
        <w:jc w:val="both"/>
        <w:ind w:left="980" w:hanging="566"/>
        <w:spacing w:after="0" w:line="248" w:lineRule="auto"/>
        <w:tabs>
          <w:tab w:leader="none" w:pos="98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Interference With Business Relations</w:t>
      </w:r>
      <w:r>
        <w:rPr>
          <w:rFonts w:ascii="Times New Roman" w:cs="Times New Roman" w:eastAsia="Times New Roman" w:hAnsi="Times New Roman"/>
          <w:sz w:val="22"/>
          <w:szCs w:val="22"/>
          <w:color w:val="auto"/>
        </w:rPr>
        <w:t>. For two (2) years following the termination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Executive shall not, without the prior written consent of the Company, knowingly or intentionally, directly or indirectly: (1) recruit, induce or solicit any individual who is or who, within the preceding six (6) months, was a non-clerical employee of the Company (including any of its subsidiaries) for employment or for retention as a consultant or service provider, or hire any such individual; or (2) solicit or induce any client, customer, or prospect of the Company (including any subsidiary of the Company) (x) to cease being, or not to become, a customer of the Company (or any such subsidiary), or (y) to divert any business of such customer or prospect from the Company (or any such subsidiary).</w:t>
      </w:r>
    </w:p>
    <w:p>
      <w:pPr>
        <w:spacing w:after="0" w:line="225" w:lineRule="exact"/>
        <w:rPr>
          <w:rFonts w:ascii="Times New Roman" w:cs="Times New Roman" w:eastAsia="Times New Roman" w:hAnsi="Times New Roman"/>
          <w:sz w:val="22"/>
          <w:szCs w:val="22"/>
          <w:color w:val="auto"/>
        </w:rPr>
      </w:pPr>
    </w:p>
    <w:p>
      <w:pPr>
        <w:jc w:val="both"/>
        <w:ind w:left="320" w:hanging="320"/>
        <w:spacing w:after="0" w:line="253" w:lineRule="auto"/>
        <w:tabs>
          <w:tab w:leader="none" w:pos="31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Reformation</w:t>
      </w:r>
      <w:r>
        <w:rPr>
          <w:rFonts w:ascii="Times New Roman" w:cs="Times New Roman" w:eastAsia="Times New Roman" w:hAnsi="Times New Roman"/>
          <w:sz w:val="22"/>
          <w:szCs w:val="22"/>
          <w:color w:val="auto"/>
        </w:rPr>
        <w:t>. If a court concludes that any time period and/or the geographic area specified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unenforceable, then the time period will be reduced by the number of months, or the geographic area will be reduced by the elimination of the overbroad portion, or both, as the case may be, so that the restrictions may be enforced in the geographic area and for the time to the fullest extent permitted by law.</w:t>
      </w:r>
    </w:p>
    <w:p>
      <w:pPr>
        <w:spacing w:after="0" w:line="202" w:lineRule="exact"/>
        <w:rPr>
          <w:rFonts w:ascii="Times New Roman" w:cs="Times New Roman" w:eastAsia="Times New Roman" w:hAnsi="Times New Roman"/>
          <w:sz w:val="22"/>
          <w:szCs w:val="22"/>
          <w:color w:val="auto"/>
        </w:rPr>
      </w:pPr>
    </w:p>
    <w:p>
      <w:pPr>
        <w:jc w:val="both"/>
        <w:ind w:left="320" w:hanging="320"/>
        <w:spacing w:after="0" w:line="248" w:lineRule="auto"/>
        <w:tabs>
          <w:tab w:leader="none" w:pos="3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Executive acknowledges and agrees that, in view of the nature of the Company’s business,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restrictions contained in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of the Agreement are reasonable and necessary to protect the Company’s legitimate business interests and that any violation of these restrictions would result in irreparable injury to the Company. In the event of a breach or a threatened breach by Executive of any restrictive covenant contained herein, the Company shall be entitled to a temporary restraining order and injunctive relief restraining Executive from the commission of any breach, and to recover the Company’s attorneys’ fees, costs and expenses related to the breach or threatened breach. Nothing contained herein shall be construed as prohibiting the Company from pursuing any other remedies available to it for any breach or threatened breach, including, without limitation, the other remedies specified in this Agreement and/or the recovery of money damages, attorneys' fees, and costs. These covenants and restrictions shall each be construed as independent of any other provisions in the Agreement, and the existence of any claim or cause of action by Executive against the Company, whether predicated on this Agreement or otherwise, shall</w:t>
      </w:r>
    </w:p>
    <w:p>
      <w:pPr>
        <w:sectPr>
          <w:pgSz w:w="11900" w:h="16838" w:orient="portrait"/>
          <w:cols w:equalWidth="0" w:num="1">
            <w:col w:w="10260"/>
          </w:cols>
          <w:pgMar w:left="1300" w:top="1422" w:right="339" w:bottom="1440" w:gutter="0" w:footer="0" w:header="0"/>
        </w:sectPr>
      </w:pPr>
    </w:p>
    <w:bookmarkStart w:id="55" w:name="page56"/>
    <w:bookmarkEnd w:id="55"/>
    <w:p>
      <w:pPr>
        <w:ind w:left="968"/>
        <w:spacing w:after="0"/>
        <w:rPr>
          <w:sz w:val="20"/>
          <w:szCs w:val="20"/>
          <w:color w:val="auto"/>
        </w:rPr>
      </w:pPr>
      <w:r>
        <w:rPr>
          <w:rFonts w:ascii="Times New Roman" w:cs="Times New Roman" w:eastAsia="Times New Roman" w:hAnsi="Times New Roman"/>
          <w:sz w:val="22"/>
          <w:szCs w:val="22"/>
          <w:color w:val="auto"/>
        </w:rPr>
        <w:t>not constitute a defense to the enforcement by the Company of such covenants and restrictions.</w:t>
      </w:r>
    </w:p>
    <w:p>
      <w:pPr>
        <w:spacing w:after="0" w:line="243" w:lineRule="exact"/>
        <w:rPr>
          <w:sz w:val="20"/>
          <w:szCs w:val="20"/>
          <w:color w:val="auto"/>
        </w:rPr>
      </w:pPr>
    </w:p>
    <w:p>
      <w:pPr>
        <w:jc w:val="both"/>
        <w:ind w:left="968" w:hanging="320"/>
        <w:spacing w:after="0" w:line="254" w:lineRule="auto"/>
        <w:tabs>
          <w:tab w:leader="none" w:pos="968"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Should a court determine that any paragraph or sentence, or any portion of a paragraph or sentence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is invalid, unenforceable or void, this determination shall not have the effect of invalidating the remainder of the paragraph, sentence or any other provision of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Further, it is intended that the court should construe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by limiting and reducing it only to the extent necessary to be enforceable under then applicable law, taking into account the intent of the parties.</w:t>
      </w:r>
    </w:p>
    <w:p>
      <w:pPr>
        <w:spacing w:after="0" w:line="200" w:lineRule="exact"/>
        <w:rPr>
          <w:rFonts w:ascii="Times New Roman" w:cs="Times New Roman" w:eastAsia="Times New Roman" w:hAnsi="Times New Roman"/>
          <w:sz w:val="22"/>
          <w:szCs w:val="22"/>
          <w:color w:val="auto"/>
        </w:rPr>
      </w:pPr>
    </w:p>
    <w:p>
      <w:pPr>
        <w:jc w:val="both"/>
        <w:ind w:left="968" w:hanging="320"/>
        <w:spacing w:after="0" w:line="258" w:lineRule="auto"/>
        <w:tabs>
          <w:tab w:leader="none" w:pos="9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Future Employment</w:t>
      </w:r>
      <w:r>
        <w:rPr>
          <w:rFonts w:ascii="Times New Roman" w:cs="Times New Roman" w:eastAsia="Times New Roman" w:hAnsi="Times New Roman"/>
          <w:sz w:val="22"/>
          <w:szCs w:val="22"/>
          <w:color w:val="auto"/>
        </w:rPr>
        <w:t>. If, before the expiration of the period covered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15(e)(iii)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Executive seeks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is offered employment or engagement by any other company, firm, person or entity, Executive shall provide a copy of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to the prospective service recipient before accepting employment with that prospective employer.</w:t>
      </w:r>
    </w:p>
    <w:p>
      <w:pPr>
        <w:spacing w:after="0" w:line="194" w:lineRule="exact"/>
        <w:rPr>
          <w:rFonts w:ascii="Times New Roman" w:cs="Times New Roman" w:eastAsia="Times New Roman" w:hAnsi="Times New Roman"/>
          <w:sz w:val="22"/>
          <w:szCs w:val="22"/>
          <w:color w:val="auto"/>
        </w:rPr>
      </w:pPr>
    </w:p>
    <w:p>
      <w:pPr>
        <w:ind w:left="328" w:hanging="328"/>
        <w:spacing w:after="0" w:line="299" w:lineRule="auto"/>
        <w:tabs>
          <w:tab w:leader="none" w:pos="32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Duty to Mitigate</w:t>
      </w:r>
      <w:r>
        <w:rPr>
          <w:rFonts w:ascii="Times New Roman" w:cs="Times New Roman" w:eastAsia="Times New Roman" w:hAnsi="Times New Roman"/>
          <w:sz w:val="21"/>
          <w:szCs w:val="21"/>
          <w:color w:val="auto"/>
        </w:rPr>
        <w:t>. Except as otherwise specifically provided herein, Executive’s entitlement to payments or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or following the termination of his employment will not be subject to mitigation or a duty to mitigate by Executive.</w:t>
      </w:r>
    </w:p>
    <w:p>
      <w:pPr>
        <w:spacing w:after="0" w:line="154" w:lineRule="exact"/>
        <w:rPr>
          <w:rFonts w:ascii="Times New Roman" w:cs="Times New Roman" w:eastAsia="Times New Roman" w:hAnsi="Times New Roman"/>
          <w:sz w:val="21"/>
          <w:szCs w:val="21"/>
          <w:color w:val="auto"/>
        </w:rPr>
      </w:pPr>
    </w:p>
    <w:p>
      <w:pPr>
        <w:jc w:val="both"/>
        <w:ind w:left="328" w:hanging="328"/>
        <w:spacing w:after="0" w:line="258" w:lineRule="auto"/>
        <w:tabs>
          <w:tab w:leader="none" w:pos="3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Conflicting Agreements</w:t>
      </w:r>
      <w:r>
        <w:rPr>
          <w:rFonts w:ascii="Times New Roman" w:cs="Times New Roman" w:eastAsia="Times New Roman" w:hAnsi="Times New Roman"/>
          <w:sz w:val="22"/>
          <w:szCs w:val="22"/>
          <w:color w:val="auto"/>
        </w:rPr>
        <w:t>. Executive represents and warrants that he is not a party to or otherwise bound by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restriction that could conflict with</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auto"/>
        </w:rPr>
        <w:t xml:space="preserve"> or be violated by</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auto"/>
        </w:rPr>
        <w:t xml:space="preserve"> the performance of his duties to the Company or his obligations under this Agreement. Executive will not use or misappropriate any intellectual property, trade secrets or confidential information belonging to any third party.</w:t>
      </w:r>
    </w:p>
    <w:p>
      <w:pPr>
        <w:spacing w:after="0" w:line="194" w:lineRule="exact"/>
        <w:rPr>
          <w:rFonts w:ascii="Times New Roman" w:cs="Times New Roman" w:eastAsia="Times New Roman" w:hAnsi="Times New Roman"/>
          <w:sz w:val="22"/>
          <w:szCs w:val="22"/>
          <w:color w:val="auto"/>
        </w:rPr>
      </w:pPr>
    </w:p>
    <w:p>
      <w:pPr>
        <w:jc w:val="both"/>
        <w:ind w:left="328" w:hanging="328"/>
        <w:spacing w:after="0" w:line="258" w:lineRule="auto"/>
        <w:tabs>
          <w:tab w:leader="none" w:pos="3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All compensation payable to Executive is subject to reduction to reflect applicable withholding and payroll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other deductions required by law. Executive hereby 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194"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 Assignment; Amendment</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jc w:val="both"/>
        <w:ind w:left="968" w:hanging="320"/>
        <w:spacing w:after="0" w:line="256" w:lineRule="auto"/>
        <w:tabs>
          <w:tab w:leader="none" w:pos="95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including the exhibits, schedules and other documents referred to herein, constitutes the final and entire agreement of the parties with respect to the matters covered hereby and supersedes any prior and/or contemporaneous agreements, discussions, negotiations, representations or understandings (whether written, oral or implied) relating to the subject matter hereof.</w:t>
      </w:r>
    </w:p>
    <w:p>
      <w:pPr>
        <w:spacing w:after="0" w:line="203" w:lineRule="exact"/>
        <w:rPr>
          <w:rFonts w:ascii="Times New Roman" w:cs="Times New Roman" w:eastAsia="Times New Roman" w:hAnsi="Times New Roman"/>
          <w:sz w:val="22"/>
          <w:szCs w:val="22"/>
          <w:color w:val="auto"/>
        </w:rPr>
      </w:pPr>
    </w:p>
    <w:p>
      <w:pPr>
        <w:jc w:val="both"/>
        <w:ind w:left="968" w:hanging="320"/>
        <w:spacing w:after="0" w:line="257" w:lineRule="auto"/>
        <w:tabs>
          <w:tab w:leader="none" w:pos="96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obligations of Executive hereunder are personal and may not be assigned. The Company may assign this Agreement, and its rights and obligations hereunder, to any entity to which the Company transfers substantially all of its</w:t>
      </w:r>
    </w:p>
    <w:p>
      <w:pPr>
        <w:sectPr>
          <w:pgSz w:w="11900" w:h="16838" w:orient="portrait"/>
          <w:cols w:equalWidth="0" w:num="1">
            <w:col w:w="10908"/>
          </w:cols>
          <w:pgMar w:left="652" w:top="1422" w:right="339" w:bottom="1440" w:gutter="0" w:footer="0" w:header="0"/>
        </w:sectPr>
      </w:pPr>
    </w:p>
    <w:bookmarkStart w:id="56" w:name="page57"/>
    <w:bookmarkEnd w:id="56"/>
    <w:p>
      <w:pPr>
        <w:jc w:val="both"/>
        <w:ind w:left="968"/>
        <w:spacing w:after="0" w:line="257" w:lineRule="auto"/>
        <w:rPr>
          <w:sz w:val="20"/>
          <w:szCs w:val="20"/>
          <w:color w:val="auto"/>
        </w:rPr>
      </w:pPr>
      <w:r>
        <w:rPr>
          <w:rFonts w:ascii="Times New Roman" w:cs="Times New Roman" w:eastAsia="Times New Roman" w:hAnsi="Times New Roman"/>
          <w:sz w:val="22"/>
          <w:szCs w:val="22"/>
          <w:color w:val="auto"/>
        </w:rPr>
        <w:t xml:space="preserve">assets (or an affiliate thereof). Notwithstanding any other provision of this Agreement, any such assignment of this Agreement by the Company will not entitle Executive to severance benefits under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or otherwise, whether or not Executive accepts employment with the assignee.</w:t>
      </w:r>
    </w:p>
    <w:p>
      <w:pPr>
        <w:spacing w:after="0" w:line="213" w:lineRule="exact"/>
        <w:rPr>
          <w:sz w:val="20"/>
          <w:szCs w:val="20"/>
          <w:color w:val="auto"/>
        </w:rPr>
      </w:pPr>
    </w:p>
    <w:p>
      <w:pPr>
        <w:ind w:left="968" w:hanging="320"/>
        <w:spacing w:after="0" w:line="271" w:lineRule="auto"/>
        <w:tabs>
          <w:tab w:leader="none" w:pos="95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or modified only by a written instrument signed by a duly authorized officer of the Company and Executive.</w:t>
      </w:r>
    </w:p>
    <w:p>
      <w:pPr>
        <w:spacing w:after="0" w:line="180" w:lineRule="exact"/>
        <w:rPr>
          <w:rFonts w:ascii="Times New Roman" w:cs="Times New Roman" w:eastAsia="Times New Roman" w:hAnsi="Times New Roman"/>
          <w:sz w:val="22"/>
          <w:szCs w:val="22"/>
          <w:color w:val="auto"/>
        </w:rPr>
      </w:pPr>
    </w:p>
    <w:p>
      <w:pPr>
        <w:jc w:val="both"/>
        <w:ind w:left="328" w:hanging="328"/>
        <w:spacing w:after="0" w:line="248" w:lineRule="auto"/>
        <w:tabs>
          <w:tab w:leader="none" w:pos="3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In the event of any dispute under the provisions of this Agreement or otherwise regarding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or compensation (other than a dispute in which the primary relief sought is an injunction or other equitable remedy, such as an action to enforce compliance with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the parties shall be required to have the dispute, controversy or claim settled by arbitration in Princeton Junction, New Jersey in accordance with the National Rules for the Resolution of Employment Disputes then in effect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by one arbitrator mutually agreed upon by the parties (or, if no agreement can be reached within thirty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206"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3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demands or other communications hereunder shall be in writing and shall be deemed to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given if 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pacing w:after="0" w:line="206" w:lineRule="exact"/>
        <w:rPr>
          <w:rFonts w:ascii="Times New Roman" w:cs="Times New Roman" w:eastAsia="Times New Roman" w:hAnsi="Times New Roman"/>
          <w:sz w:val="22"/>
          <w:szCs w:val="22"/>
          <w:color w:val="auto"/>
        </w:rPr>
      </w:pPr>
    </w:p>
    <w:p>
      <w:pPr>
        <w:ind w:left="328" w:hanging="328"/>
        <w:spacing w:after="0" w:line="275" w:lineRule="auto"/>
        <w:tabs>
          <w:tab w:leader="none" w:pos="3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headings of the sections of this Agreement are inserted for convenience only and shall not affect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of this Agreement.</w:t>
      </w:r>
    </w:p>
    <w:p>
      <w:pPr>
        <w:spacing w:after="0" w:line="176" w:lineRule="exact"/>
        <w:rPr>
          <w:rFonts w:ascii="Times New Roman" w:cs="Times New Roman" w:eastAsia="Times New Roman" w:hAnsi="Times New Roman"/>
          <w:sz w:val="22"/>
          <w:szCs w:val="22"/>
          <w:color w:val="auto"/>
        </w:rPr>
      </w:pPr>
    </w:p>
    <w:p>
      <w:pPr>
        <w:ind w:left="328" w:hanging="328"/>
        <w:spacing w:after="0" w:line="287" w:lineRule="auto"/>
        <w:tabs>
          <w:tab w:leader="none" w:pos="32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Jersey</w:t>
      </w:r>
      <w:r>
        <w:rPr>
          <w:rFonts w:ascii="Times New Roman" w:cs="Times New Roman" w:eastAsia="Times New Roman" w:hAnsi="Times New Roman"/>
          <w:sz w:val="22"/>
          <w:szCs w:val="22"/>
          <w:color w:val="494949"/>
        </w:rPr>
        <w:t>,</w:t>
      </w:r>
      <w:r>
        <w:rPr>
          <w:rFonts w:ascii="Times New Roman" w:cs="Times New Roman" w:eastAsia="Times New Roman" w:hAnsi="Times New Roman"/>
          <w:sz w:val="22"/>
          <w:szCs w:val="22"/>
          <w:color w:val="auto"/>
        </w:rPr>
        <w:t xml:space="preserve"> without regard to its choice of law provisions.</w:t>
      </w:r>
    </w:p>
    <w:p>
      <w:pPr>
        <w:sectPr>
          <w:pgSz w:w="11900" w:h="16838" w:orient="portrait"/>
          <w:cols w:equalWidth="0" w:num="1">
            <w:col w:w="10908"/>
          </w:cols>
          <w:pgMar w:left="652" w:top="1422" w:right="339" w:bottom="1440" w:gutter="0" w:footer="0" w:header="0"/>
        </w:sectPr>
      </w:pPr>
    </w:p>
    <w:bookmarkStart w:id="57" w:name="page58"/>
    <w:bookmarkEnd w:id="57"/>
    <w:p>
      <w:pPr>
        <w:spacing w:after="0" w:line="221" w:lineRule="exact"/>
        <w:rPr>
          <w:sz w:val="20"/>
          <w:szCs w:val="20"/>
          <w:color w:val="auto"/>
        </w:rPr>
      </w:pPr>
    </w:p>
    <w:p>
      <w:pPr>
        <w:ind w:left="660" w:hanging="328"/>
        <w:spacing w:after="0" w:line="275" w:lineRule="auto"/>
        <w:tabs>
          <w:tab w:leader="none" w:pos="6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separate counterparts, any one of which need not contain signatures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more than one party, but all of which taken together will constitute one and the same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has been executed and delivered on the date first above written.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_________________________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Hani Hammad</w:t>
      </w:r>
    </w:p>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Manuel N. Stamatakis,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28460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Chairman and Interim President and 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04"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30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2024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2024</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and Interim 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lvl w:ilvl="1">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decimal"/>
      <w:start w:val="1"/>
    </w:lvl>
    <w:lvl w:ilvl="1">
      <w:lvlJc w:val="left"/>
      <w:lvlText w:val="%2."/>
      <w:numFmt w:val="lowerLetter"/>
      <w:start w:val="1"/>
    </w:lvl>
  </w:abstractNum>
  <w:abstractNum w:abstractNumId="11">
    <w:nsid w:val="8EDBDAB"/>
    <w:multiLevelType w:val="hybridMultilevel"/>
    <w:lvl w:ilvl="0">
      <w:lvlJc w:val="left"/>
      <w:lvlText w:val="%1."/>
      <w:numFmt w:val="decimal"/>
      <w:start w:val="6"/>
    </w:lvl>
    <w:lvl w:ilvl="1">
      <w:lvlJc w:val="left"/>
      <w:lvlText w:val="%2."/>
      <w:numFmt w:val="lowerLetter"/>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decimal"/>
      <w:start w:val="1"/>
    </w:lvl>
    <w:lvl w:ilvl="1">
      <w:lvlJc w:val="left"/>
      <w:lvlText w:val="%2."/>
      <w:numFmt w:val="lowerLetter"/>
      <w:start w:val="5"/>
    </w:lvl>
  </w:abstractNum>
  <w:abstractNum w:abstractNumId="14">
    <w:nsid w:val="B03E0C6"/>
    <w:multiLevelType w:val="hybridMultilevel"/>
    <w:lvl w:ilvl="0">
      <w:lvlJc w:val="left"/>
      <w:lvlText w:val="%1."/>
      <w:numFmt w:val="decimal"/>
      <w:start w:val="9"/>
    </w:lvl>
    <w:lvl w:ilvl="1">
      <w:lvlJc w:val="left"/>
      <w:lvlText w:val="%2."/>
      <w:numFmt w:val="lowerLetter"/>
      <w:start w:val="1"/>
    </w:lvl>
  </w:abstractNum>
  <w:abstractNum w:abstractNumId="15">
    <w:nsid w:val="189A769B"/>
    <w:multiLevelType w:val="hybridMultilevel"/>
    <w:lvl w:ilvl="0">
      <w:lvlJc w:val="left"/>
      <w:lvlText w:val="%1."/>
      <w:numFmt w:val="decimal"/>
      <w:start w:val="10"/>
    </w:lvl>
    <w:lvl w:ilvl="1">
      <w:lvlJc w:val="left"/>
      <w:lvlText w:val="%2."/>
      <w:numFmt w:val="lowerLetter"/>
      <w:start w:val="1"/>
    </w:lvl>
  </w:abstractNum>
  <w:abstractNum w:abstractNumId="16">
    <w:nsid w:val="54E49EB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7">
    <w:nsid w:val="71F32454"/>
    <w:multiLevelType w:val="hybridMultilevel"/>
    <w:lvl w:ilvl="0">
      <w:lvlJc w:val="left"/>
      <w:lvlText w:val="%1."/>
      <w:numFmt w:val="lowerRoman"/>
      <w:start w:val="6"/>
    </w:lvl>
  </w:abstractNum>
  <w:abstractNum w:abstractNumId="18">
    <w:nsid w:val="2CA88611"/>
    <w:multiLevelType w:val="hybridMultilevel"/>
    <w:lvl w:ilvl="0">
      <w:lvlJc w:val="left"/>
      <w:lvlText w:val="%1."/>
      <w:numFmt w:val="lowerRoman"/>
      <w:start w:val="7"/>
    </w:lvl>
  </w:abstractNum>
  <w:abstractNum w:abstractNumId="19">
    <w:nsid w:val="836C40E"/>
    <w:multiLevelType w:val="hybridMultilevel"/>
    <w:lvl w:ilvl="0">
      <w:lvlJc w:val="left"/>
      <w:lvlText w:val="%1"/>
      <w:numFmt w:val="decimal"/>
      <w:start w:val="1"/>
    </w:lvl>
    <w:lvl w:ilvl="1">
      <w:lvlJc w:val="left"/>
      <w:lvlText w:val="%2."/>
      <w:numFmt w:val="lowerLetter"/>
      <w:start w:val="2"/>
    </w:lvl>
  </w:abstractNum>
  <w:abstractNum w:abstractNumId="20">
    <w:nsid w:val="2901D82"/>
    <w:multiLevelType w:val="hybridMultilevel"/>
    <w:lvl w:ilvl="0">
      <w:lvlJc w:val="left"/>
      <w:lvlText w:val="%1."/>
      <w:numFmt w:val="decimal"/>
      <w:start w:val="12"/>
    </w:lvl>
    <w:lvl w:ilvl="1">
      <w:lvlJc w:val="left"/>
      <w:lvlText w:val="%2."/>
      <w:numFmt w:val="lowerLetter"/>
      <w:start w:val="1"/>
    </w:lvl>
  </w:abstractNum>
  <w:abstractNum w:abstractNumId="21">
    <w:nsid w:val="3A95F874"/>
    <w:multiLevelType w:val="hybridMultilevel"/>
    <w:lvl w:ilvl="0">
      <w:lvlJc w:val="left"/>
      <w:lvlText w:val="%1"/>
      <w:numFmt w:val="decimal"/>
      <w:start w:val="1"/>
    </w:lvl>
    <w:lvl w:ilvl="1">
      <w:lvlJc w:val="left"/>
      <w:lvlText w:val="%2."/>
      <w:numFmt w:val="lowerLetter"/>
      <w:start w:val="3"/>
    </w:lvl>
  </w:abstractNum>
  <w:abstractNum w:abstractNumId="22">
    <w:nsid w:val="8138641"/>
    <w:multiLevelType w:val="hybridMultilevel"/>
    <w:lvl w:ilvl="0">
      <w:lvlJc w:val="left"/>
      <w:lvlText w:val="%1."/>
      <w:numFmt w:val="decimal"/>
      <w:start w:val="13"/>
    </w:lvl>
    <w:lvl w:ilvl="1">
      <w:lvlJc w:val="left"/>
      <w:lvlText w:val="%2."/>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5">
    <w:nsid w:val="737B8DD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2"/>
    </w:lvl>
  </w:abstractNum>
  <w:abstractNum w:abstractNumId="26">
    <w:nsid w:val="6CEAF087"/>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1"/>
      <w:numFmt w:val="lowerLetter"/>
      <w:start w:val="1"/>
    </w:lvl>
    <w:lvl w:ilvl="1">
      <w:lvlJc w:val="left"/>
      <w:lvlText w:val="%2."/>
      <w:numFmt w:val="lowerLetter"/>
      <w:start w:val="61"/>
    </w:lvl>
  </w:abstractNum>
  <w:abstractNum w:abstractNumId="29">
    <w:nsid w:val="3006C83E"/>
    <w:multiLevelType w:val="hybridMultilevel"/>
    <w:lvl w:ilvl="0">
      <w:lvlJc w:val="left"/>
      <w:lvlText w:val="%1."/>
      <w:numFmt w:val="lowerLetter"/>
      <w:start w:val="6"/>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8"/>
    </w:lvl>
  </w:abstractNum>
  <w:abstractNum w:abstractNumId="31">
    <w:nsid w:val="419AC241"/>
    <w:multiLevelType w:val="hybridMultilevel"/>
    <w:lvl w:ilvl="0">
      <w:lvlJc w:val="left"/>
      <w:lvlText w:val="%1."/>
      <w:numFmt w:val="decimal"/>
      <w:start w:val="16"/>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3"/>
    </w:lvl>
  </w:abstractNum>
  <w:abstractNum w:abstractNumId="33">
    <w:nsid w:val="440BADFC"/>
    <w:multiLevelType w:val="hybridMultilevel"/>
    <w:lvl w:ilvl="0">
      <w:lvlJc w:val="left"/>
      <w:lvlText w:val="%1."/>
      <w:numFmt w:val="decimal"/>
      <w:start w:val="20"/>
    </w:lvl>
    <w:lvl w:ilvl="1">
      <w:lvlJc w:val="left"/>
      <w:lvlText w:val="%2"/>
      <w:numFmt w:val="lowerLetter"/>
      <w:start w:val="1"/>
    </w:lvl>
  </w:abstractNum>
  <w:abstractNum w:abstractNumId="34">
    <w:nsid w:val="5072367"/>
    <w:multiLevelType w:val="hybridMultilevel"/>
    <w:lvl w:ilvl="0">
      <w:lvlJc w:val="left"/>
      <w:lvlText w:val="%1."/>
      <w:numFmt w:val="decimal"/>
      <w:start w:val="24"/>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2" Type="http://schemas.openxmlformats.org/officeDocument/2006/relationships/hyperlink" Target="https://www.sec.gov/ix?doc=/Archives/edgar/data/1436126/000143612624000013/mg-202402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2024-05-03T13:52:42Z</dcterms:created>
  <dcterms:modified xsi:type="dcterms:W3CDTF">2024-05-03T13:52:42Z</dcterms:modified>
</cp:coreProperties>
</file>