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980" w:right="1880" w:hanging="3877"/>
        <w:spacing w:after="0" w:line="516"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right="1880" w:hanging="4525"/>
        <w:spacing w:after="0" w:line="516" w:lineRule="auto"/>
        <w:tabs>
          <w:tab w:leader="none" w:pos="360" w:val="left"/>
        </w:tabs>
        <w:rPr>
          <w:sz w:val="20"/>
          <w:szCs w:val="20"/>
          <w:color w:val="auto"/>
        </w:rPr>
      </w:pPr>
      <w:r>
        <w:rPr>
          <w:rFonts w:ascii="Arial" w:cs="Arial" w:eastAsia="Arial" w:hAnsi="Arial"/>
          <w:sz w:val="18"/>
          <w:szCs w:val="18"/>
          <w:b w:val="1"/>
          <w:bCs w:val="1"/>
          <w:color w:val="auto"/>
        </w:rPr>
        <w:t>o</w:t>
        <w:tab/>
        <w:t>TRANSITION REPORT PURSUANT TO SECTION 13 OR 15(d) OF THE SECURITIES EXCHANGE ACT OF 1934 For the transition period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102870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195 Clarksville Road</w:t>
            </w:r>
          </w:p>
        </w:tc>
        <w:tc>
          <w:tcPr>
            <w:tcW w:w="4540" w:type="dxa"/>
            <w:vAlign w:val="bottom"/>
          </w:tcPr>
          <w:p>
            <w:pPr>
              <w:spacing w:after="0"/>
              <w:rPr>
                <w:sz w:val="24"/>
                <w:szCs w:val="24"/>
                <w:color w:val="auto"/>
              </w:rPr>
            </w:pPr>
          </w:p>
        </w:tc>
      </w:t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Princeton Junction, New Jersey</w:t>
            </w:r>
          </w:p>
        </w:tc>
        <w:tc>
          <w:tcPr>
            <w:tcW w:w="45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1"/>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b w:val="1"/>
                <w:bCs w:val="1"/>
                <w:color w:val="auto"/>
              </w:rPr>
              <w:t>(609) 716-4000</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177800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451" w:gutter="0" w:footer="0" w:header="0"/>
        </w:sectPr>
      </w:pPr>
    </w:p>
    <w:p>
      <w:pPr>
        <w:spacing w:after="0" w:line="127"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7660" w:space="720"/>
            <w:col w:w="3040"/>
          </w:cols>
          <w:pgMar w:left="240" w:top="229" w:right="239" w:bottom="451" w:gutter="0" w:footer="0" w:header="0"/>
          <w:type w:val="continuous"/>
        </w:sectPr>
      </w:pPr>
    </w:p>
    <w:p>
      <w:pPr>
        <w:ind w:left="26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7280" w:space="720"/>
            <w:col w:w="3420"/>
          </w:cols>
          <w:pgMar w:left="240" w:top="229" w:right="239" w:bottom="451"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7240" w:space="720"/>
            <w:col w:w="3460"/>
          </w:cols>
          <w:pgMar w:left="240" w:top="229" w:right="239" w:bottom="451" w:gutter="0" w:footer="0" w:header="0"/>
          <w:type w:val="continuous"/>
        </w:sectPr>
      </w:pPr>
    </w:p>
    <w:p>
      <w:pPr>
        <w:spacing w:after="0" w:line="7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August 2, 2018, the registrant had 28,375,935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451"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22"/>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2018 (unaudited) and December 31, 2017</w:t>
              </w:r>
            </w:hyperlink>
          </w:p>
        </w:tc>
        <w:tc>
          <w:tcPr>
            <w:tcW w:w="208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6"/>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Income for the three and six months ended June 30, 2018 and June 30,</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Statements of Comprehensive Income for the three and six months ended June 30, 2018</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June 30, 2017</w:t>
              </w:r>
            </w:hyperlink>
          </w:p>
        </w:tc>
        <w:tc>
          <w:tcPr>
            <w:tcW w:w="7640" w:type="dxa"/>
            <w:vAlign w:val="bottom"/>
            <w:tcBorders>
              <w:top w:val="single" w:sz="8" w:color="0000EE"/>
            </w:tcBorders>
            <w:gridSpan w:val="10"/>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6"/>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Cash Flows for the six months ended June 30, 2018 and June 30, 2017</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940" w:type="dxa"/>
            <w:vAlign w:val="bottom"/>
            <w:tcBorders>
              <w:top w:val="single" w:sz="8" w:color="0000EE"/>
            </w:tcBorders>
            <w:gridSpan w:val="3"/>
          </w:tcPr>
          <w:p>
            <w:pPr>
              <w:spacing w:after="0"/>
              <w:rPr>
                <w:sz w:val="24"/>
                <w:szCs w:val="24"/>
                <w:color w:val="auto"/>
              </w:rPr>
            </w:pPr>
          </w:p>
        </w:tc>
        <w:tc>
          <w:tcPr>
            <w:tcW w:w="36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ITEM 2.</w:t>
              </w:r>
            </w:hyperlink>
          </w:p>
        </w:tc>
        <w:tc>
          <w:tcPr>
            <w:tcW w:w="500" w:type="dxa"/>
            <w:vAlign w:val="bottom"/>
            <w:gridSpan w:val="2"/>
          </w:tcPr>
          <w:p>
            <w:pPr>
              <w:spacing w:after="0"/>
              <w:rPr>
                <w:sz w:val="24"/>
                <w:szCs w:val="24"/>
                <w:color w:val="auto"/>
              </w:rPr>
            </w:pPr>
          </w:p>
        </w:tc>
        <w:tc>
          <w:tcPr>
            <w:tcW w:w="910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2"/>
              </w:rPr>
            </w:pPr>
            <w:hyperlink w:anchor="page31">
              <w:r>
                <w:rPr>
                  <w:rFonts w:ascii="Arial" w:cs="Arial" w:eastAsia="Arial" w:hAnsi="Arial"/>
                  <w:sz w:val="18"/>
                  <w:szCs w:val="18"/>
                  <w:color w:val="0000EE"/>
                  <w:w w:val="82"/>
                </w:rPr>
                <w:t>ITEM 3.</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4</w:t>
              </w:r>
            </w:hyperlink>
          </w:p>
        </w:tc>
        <w:tc>
          <w:tcPr>
            <w:tcW w:w="580" w:type="dxa"/>
            <w:vAlign w:val="bottom"/>
            <w:gridSpan w:val="3"/>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78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4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PART II—OTHER INFORMATION</w:t>
              </w:r>
            </w:hyperlink>
          </w:p>
        </w:tc>
        <w:tc>
          <w:tcPr>
            <w:tcW w:w="804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1.</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778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910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2.</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474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3.</w:t>
              </w:r>
            </w:hyperlink>
          </w:p>
        </w:tc>
        <w:tc>
          <w:tcPr>
            <w:tcW w:w="500" w:type="dxa"/>
            <w:vAlign w:val="bottom"/>
            <w:gridSpan w:val="2"/>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474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78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4.</w:t>
              </w:r>
            </w:hyperlink>
          </w:p>
        </w:tc>
        <w:tc>
          <w:tcPr>
            <w:tcW w:w="500" w:type="dxa"/>
            <w:vAlign w:val="bottom"/>
            <w:gridSpan w:val="2"/>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540" w:type="dxa"/>
            <w:vAlign w:val="bottom"/>
          </w:tcPr>
          <w:p>
            <w:pPr>
              <w:spacing w:after="0"/>
              <w:rPr>
                <w:sz w:val="24"/>
                <w:szCs w:val="24"/>
                <w:color w:val="auto"/>
              </w:rPr>
            </w:pPr>
          </w:p>
        </w:tc>
        <w:tc>
          <w:tcPr>
            <w:tcW w:w="678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5.</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Other Information</w:t>
              </w:r>
            </w:hyperlink>
          </w:p>
        </w:tc>
        <w:tc>
          <w:tcPr>
            <w:tcW w:w="460" w:type="dxa"/>
            <w:vAlign w:val="bottom"/>
            <w:gridSpan w:val="2"/>
          </w:tcPr>
          <w:p>
            <w:pPr>
              <w:spacing w:after="0"/>
              <w:rPr>
                <w:sz w:val="24"/>
                <w:szCs w:val="24"/>
                <w:color w:val="auto"/>
              </w:rPr>
            </w:pPr>
          </w:p>
        </w:tc>
        <w:tc>
          <w:tcPr>
            <w:tcW w:w="732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6.</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778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gridSpan w:val="4"/>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SIGNATURES</w:t>
              </w:r>
            </w:hyperlink>
          </w:p>
        </w:tc>
        <w:tc>
          <w:tcPr>
            <w:tcW w:w="5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7"/>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2018</w:t>
            </w:r>
          </w:p>
        </w:tc>
        <w:tc>
          <w:tcPr>
            <w:tcW w:w="18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36"/>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27,541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144,200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138,080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18,884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195,008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87,215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87,143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63,739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199,656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203,438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w w:val="94"/>
              </w:rPr>
              <w:t>Other assets</w:t>
            </w:r>
          </w:p>
        </w:tc>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543,989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554,441</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14,627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65,561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150,024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164,520</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8,803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266,135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283,649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Equity</w:t>
            </w:r>
          </w:p>
        </w:tc>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w w:val="92"/>
              </w:rPr>
              <w:t>Common stock, $0.01 par value, 200,000,000 shares authorized, 28,373,535 and 28,294,968 shares issued</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73,624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64,717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277,671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270,619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277,854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270,792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543,989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554,441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333,757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131,084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118,825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264,872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233,828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55,083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46,343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103,228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89,496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75,273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3"/>
              </w:rPr>
              <w:t>Less: net income attributable to non-controlling interests, net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of taxes</w:t>
            </w:r>
          </w:p>
        </w:tc>
        <w:tc>
          <w:tcPr>
            <w:tcW w:w="2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28,346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28,437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28,562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29,334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29,599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29,349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29,754</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2017</w:t>
            </w:r>
          </w:p>
        </w:tc>
      </w:tr>
      <w:tr>
        <w:trPr>
          <w:trHeight w:val="162"/>
        </w:trPr>
        <w:tc>
          <w:tcPr>
            <w:tcW w:w="4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11,408</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Less: comprehensive income attributable to non-controlling</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 attributable to Mistras Group,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4,845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11,399</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2017</w:t>
            </w:r>
          </w:p>
        </w:tc>
      </w:tr>
      <w:tr>
        <w:trPr>
          <w:trHeight w:val="283"/>
        </w:trPr>
        <w:tc>
          <w:tcPr>
            <w:tcW w:w="75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3,916</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17,239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15,549</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308</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3,420</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Bad debt provision for unexpected customer bankruptcy</w:t>
            </w:r>
          </w:p>
        </w:tc>
        <w:tc>
          <w:tcPr>
            <w:tcW w:w="24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adjustments to contingent consideration</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282</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 net of effect of acquisitions</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(8,405)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2,703</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344</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2,268</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(4,749)</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2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(2,613)</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20,095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22,972</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Purchase of property, plant and equipment</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(10,963)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(9,789)</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intangible assets</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24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(4,500)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equipment</w:t>
            </w:r>
          </w:p>
        </w:tc>
        <w:tc>
          <w:tcPr>
            <w:tcW w:w="2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759</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(14,218)</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Repayment of capital lease obligations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borrowings of long-term debt</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3,784</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Repayment of long-term debt</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(1,032)</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revolver</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30,400</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Repayment of revolver</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(33,100)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(19,700)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contingent consideration for business acquisitions</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Purchases of treasury stock</w:t>
            </w:r>
          </w:p>
        </w:tc>
        <w:tc>
          <w:tcPr>
            <w:tcW w:w="24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 paid related to net share settlement of share-based awards</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276</w:t>
            </w:r>
          </w:p>
        </w:tc>
      </w:tr>
      <w:tr>
        <w:trPr>
          <w:trHeight w:val="256"/>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24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(2,726)</w:t>
            </w: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1,602</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change in cash and cash equivalents</w:t>
            </w: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7,630</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27,541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19,154</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17,530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26,784</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cash paid</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2,023</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7,011</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2,463</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investing and financing</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58"/>
        </w:trPr>
        <w:tc>
          <w:tcPr>
            <w:tcW w:w="7540" w:type="dxa"/>
            <w:vAlign w:val="bottom"/>
          </w:tcPr>
          <w:p>
            <w:pPr>
              <w:ind w:left="180"/>
              <w:spacing w:after="0"/>
              <w:rPr>
                <w:sz w:val="20"/>
                <w:szCs w:val="20"/>
                <w:color w:val="auto"/>
              </w:rPr>
            </w:pPr>
            <w:r>
              <w:rPr>
                <w:rFonts w:ascii="Arial" w:cs="Arial" w:eastAsia="Arial" w:hAnsi="Arial"/>
                <w:sz w:val="14"/>
                <w:szCs w:val="14"/>
                <w:color w:val="auto"/>
              </w:rPr>
              <w:t>Equipment acquired through capital lease obligations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2,546</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2,199</w:t>
            </w:r>
          </w:p>
        </w:tc>
      </w:tr>
    </w:tbl>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900"/>
          </w:cols>
          <w:pgMar w:left="240" w:top="121" w:right="759" w:bottom="1440" w:gutter="0" w:footer="0" w:header="0"/>
        </w:sectPr>
      </w:pP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00"/>
          </w:cols>
          <w:pgMar w:left="240" w:top="121" w:right="75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December 31, 2018 and 2017.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(“2017 Annual Report”) for the year ended December 31, 2017, as filed with the Securities and Exchange Commission on March 14,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income, net of tax, is classified separately in the accompanying condensed consolidated statements of income. All significant intercompany accounts and transactions have been eliminated in consolidation.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were no customers that represented 10% of our revenues for the three and six months ended June 30, 2018. One customer, accounted for 12% of our revenues for the three and six months ended June 30, 2017, primarily generated from the Services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Company’s significant accounting policies are disclosed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2017 Annual Report. On an ongoing basis, the Company evaluates its estimates and assumptions, including among other things, those related to revenue recognition, valuations of accounts receivable, long-lived assets, goodwill, deferred tax assets and uncertain tax positions. Since the date of the 2017 Annual Report, there have been no material changes to the Company's significant accounting policies.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December 22, 2017, the United States enacted fundamental changes to federal tax law following the passage of the Tax Cuts and Jobs Act (the “Tax Act”). This was a complex and significant change to the U.S. corporate tax system. The Company was required to account for certain aspects of the Tax Act in our financial statements for the period ended December 31, 2017, including the impact of the Tax Act on existing deferred tax balances and the one-time transition tax on foreign earnings (the “transition tax”). The Company is applying the guidance in Staff Accounting Bulletin ("SAB 118") in accounting for the enactment date effects of the Tax Act. At December 31, 2017, the Company made a provisional estimate of the transition tax as well as existing deferred balances. As discussed below, the Company has not completed its accounting for the tax effects of the Tax Act as of June 30, 2018. Our financial statements for the period ended June 30, 2018 reflect provisions of the Tax Act effective for periods beginning after December 31, 2017, which include the reduced federal corporate income tax rate from 35% to 21%, adjustments made to executive compensation and meals and entertainment rules, and the inclusion of new categories of income, global intangible low-taxed income (“GILTI”) and foreign derived intangible income (“FDII”).</w:t>
      </w:r>
    </w:p>
    <w:p>
      <w:pPr>
        <w:spacing w:after="0" w:line="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effective income tax rate was approximately 29% and 44% for the three months ended June 30, 2018 and 2017, respectively. The decrease in the income tax rate for the three months ended June 30, 2018 is due to lower U.S. tax rates on our domestic income as well as a higher proportion of global income taxed at comparatively lower U.S. tax rates, offset by the impact of the GILTI and executive compensation provisions resulting from the passage of the Tax Act, and the impact of discrete items.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effective income tax rate was approximately 31% and 37% for the six months ended June 30, 2018 and 2017, respectively. The decrease in the income tax rate for the six months ended June 30, 2018 is due to lower U.S. tax rates on our domestic income as well as a higher proportion of global income taxed at comparatively lower U.S. tax rates, offset by the impact of the GILTI and executive compensation provisions resulting from the passage of the Tax Act.</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of June 30, 2018, the amounts previously recorded for the Tax Act for the year ended December 31, 2017 remain provisional related to the transition tax and resulting foreign tax credit, and the effect of the change in the federal corporate income tax rate on the deferred tax assets. During the first quarter of 2018, the Company has adjusted the Tax Act impact to the deferred tax asset for executive compensation, decreasing the deferred tax asset by approximately $0.4 million due to a change in estimate of 2018 compensation. These estimates may be adjusted as the Company continues to gather and evaluate data and guidance to refine the impact of the Tax Act. The amounts recorded in 2018 for the Tax Act related to the calculations of the GILTI, FDII, executive compensation and meals and entertainment are the Company’s best estimates based on the current data and guidance available. The Company is continuing to evaluate the state tax conformity to the Tax Act, including the GILTI provisions. Given the complexity of the new GILTI tax rules, the Company is continuing to evaluate this provision of the Tax Act and the application of ASC 740. Under U.S. GAAP, the Company is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with respect to the new GILTI tax rules will depend, in part, on analyzing our global income to determine whether the Company expects to have future U.S. inclusions in taxable income related to GILTI and, if so, what the impact is expected to be. The Company is continuing to evaluate the effect of the new GILTI tax rules on future U.S. inclusions in taxable income, including the expected impact on our current structure and business. Therefore, although the Company has considered the current effects of GILTI when estimating our annual effective tax rate, we have not made any adjustments related to potential GILTI tax in our deferred taxes and have not made a policy decision regarding whether to record deferred taxes on GILTI.</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080808"/>
        </w:rPr>
        <w:t xml:space="preserve">In August 2015, the Financial Accounting Standards Board ("FASB") issued Accounting Standards Update ("ASU") 2015-14, </w:t>
      </w:r>
      <w:r>
        <w:rPr>
          <w:rFonts w:ascii="Arial" w:cs="Arial" w:eastAsia="Arial" w:hAnsi="Arial"/>
          <w:sz w:val="18"/>
          <w:szCs w:val="18"/>
          <w:i w:val="1"/>
          <w:iCs w:val="1"/>
          <w:color w:val="080808"/>
        </w:rPr>
        <w:t>Revenue from Contracts with</w:t>
      </w:r>
      <w:r>
        <w:rPr>
          <w:rFonts w:ascii="Arial" w:cs="Arial" w:eastAsia="Arial" w:hAnsi="Arial"/>
          <w:sz w:val="18"/>
          <w:szCs w:val="18"/>
          <w:color w:val="080808"/>
        </w:rPr>
        <w:t xml:space="preserve"> </w:t>
      </w:r>
      <w:r>
        <w:rPr>
          <w:rFonts w:ascii="Arial" w:cs="Arial" w:eastAsia="Arial" w:hAnsi="Arial"/>
          <w:sz w:val="18"/>
          <w:szCs w:val="18"/>
          <w:i w:val="1"/>
          <w:iCs w:val="1"/>
          <w:color w:val="080808"/>
        </w:rPr>
        <w:t xml:space="preserve">Customers (Topic 606): Deferral of the Effective Date, </w:t>
      </w:r>
      <w:r>
        <w:rPr>
          <w:rFonts w:ascii="Arial" w:cs="Arial" w:eastAsia="Arial" w:hAnsi="Arial"/>
          <w:sz w:val="18"/>
          <w:szCs w:val="18"/>
          <w:color w:val="080808"/>
        </w:rPr>
        <w:t>which defers the effective date of ASU 2014-09 for all entities by one year. This update is effective for</w:t>
      </w:r>
      <w:r>
        <w:rPr>
          <w:rFonts w:ascii="Arial" w:cs="Arial" w:eastAsia="Arial" w:hAnsi="Arial"/>
          <w:sz w:val="18"/>
          <w:szCs w:val="18"/>
          <w:i w:val="1"/>
          <w:iCs w:val="1"/>
          <w:color w:val="080808"/>
        </w:rPr>
        <w:t xml:space="preserve"> </w:t>
      </w:r>
      <w:r>
        <w:rPr>
          <w:rFonts w:ascii="Arial" w:cs="Arial" w:eastAsia="Arial" w:hAnsi="Arial"/>
          <w:sz w:val="18"/>
          <w:szCs w:val="18"/>
          <w:color w:val="080808"/>
        </w:rPr>
        <w:t>public business entities for annual reporting periods beginning after December 15, 2017, including interim periods within those reporting periods. Earlier application is permitted only as of annual reporting periods beginning after December 15, 2016, including interim reporting periods within that reporting period. ASU 2014-09 became effective for the Company on January 1, 2018. The ASU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The ASU also requires expanded disclosures relating to the nature, amount, timing, and uncertainty of revenue and cash flows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080808"/>
        </w:rPr>
        <w:t>arising from contracts with customers. Additionally, qualitative and quantitative disclosures are required about customer contracts, significant judgments and changes in judgments, and assets recognized from the costs to obtain or fulfill a contract.</w:t>
      </w:r>
    </w:p>
    <w:p>
      <w:pPr>
        <w:spacing w:after="0" w:line="170"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080808"/>
        </w:rPr>
        <w:t>The Company adopted ASU 2014-09 along with the related additional ASU’s on Topic 606 on January 1, 2018, utilizing the cumulative catch-up method. The result of adoption is immaterial to the Company's consolidated financial statements, largely because most of our projects are short-term in nature and billed on a time and material basis. The Company utilized a practical expedient that provides for revenue to be recognized in an amount that corresponds directly with the value to the customer of the entity’s performance completed to date. See Note 2 for the Company's additional required disclosures under Topic 606.</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amendment supersedes previous accounting guidance (</w:t>
      </w:r>
      <w:r>
        <w:rPr>
          <w:rFonts w:ascii="Arial" w:cs="Arial" w:eastAsia="Arial" w:hAnsi="Arial"/>
          <w:sz w:val="16"/>
          <w:szCs w:val="16"/>
          <w:i w:val="1"/>
          <w:iCs w:val="1"/>
          <w:color w:val="auto"/>
        </w:rPr>
        <w:t>Topic 840)</w:t>
      </w:r>
      <w:r>
        <w:rPr>
          <w:rFonts w:ascii="Arial" w:cs="Arial" w:eastAsia="Arial" w:hAnsi="Arial"/>
          <w:sz w:val="16"/>
          <w:szCs w:val="16"/>
          <w:color w:val="auto"/>
        </w:rPr>
        <w:t xml:space="preserve"> and requires all leases, with the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 recognize and measure leases at the beginning of the earliest period presented using a modified retrospective approach. The Company is evaluating the effect that ASU 2016-02 will have on its condensed consolidated financial statements and related disclosures.</w:t>
      </w:r>
    </w:p>
    <w:p>
      <w:pPr>
        <w:spacing w:after="0" w:line="15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This amendment will provide guidance on the presentation and classification of specific cash flow items to improve consistency within the statement of cash flows. ASU 2016-15 is effective for fiscal years, and interim periods within those fiscal years beginning after December 15, 2017, with early adoption permitted. The Company adopted ASU 2016-15 in the first quarter of 2018, which did not have a material impact on the Company's condensed consolidated financial statements and related disclosures.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This amendment eliminates Step Two of the goodwill impairment test. Under the amendments in this update, entities should perform the annual goodwill impairment test by comparing the carrying value of its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early adopted ASU 2017-04 in the third quarter of 2017 for its condensed consolidated financial statements and related disclosures.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This amendment provides guidance concerning which changes to the terms or conditions of a share-based payment require an entity to apply modification accounting. Certain changes to stock awards, notably administrative changes, do not require modification accounting. There are three specific criteria that need to be met in order to prove that modification accounting is not required. ASU 2017-09 is effective for fiscal years, and interim period within those fiscal years, beginning after December 15, 2017, with early adoption permitted. The Company adopted ASU 2017-09 in the first quarter of 2018, which did not have any impact on the Company's condensed consolidated financial statements and related disclosures.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2017, 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 The Company considers the accounting for the Tax Act to be provisional as of June 30, 2018. The Company will complete the accounting for the tax effects of all of the provisions of the Tax Act within the required measurement period not to extend beyond one year from the enactment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majority of our revenue is derived from providing services on a time and material basis and are short-term in nature. The Company accounts for revenue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was adopted on January 1, 2018, using the cumulative catch-up transition method. The adoption of ASC Topic 606 did not impact the Company's condensed consolidated financial statements.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 For contracts with multiple performance obligations, the Company allocates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majority of our revenues are short-term in nature. The Company has many Master Service Agreements (MSA’s) that specify an overall frame work and terms of contract when the Company and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our disaggregated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w w:val="90"/>
              </w:rPr>
              <w:t>Three months ended June 30, 2018</w:t>
            </w:r>
          </w:p>
        </w:tc>
        <w:tc>
          <w:tcPr>
            <w:tcW w:w="34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Services</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3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Products</w:t>
            </w: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Corp/Elim</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105,379</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28,227</w:t>
            </w: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24,474</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w w:val="99"/>
              </w:rPr>
              <w:t>Power generation &amp; Transmission</w:t>
            </w:r>
          </w:p>
        </w:tc>
        <w:tc>
          <w:tcPr>
            <w:tcW w:w="3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12,497</w:t>
            </w: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9,080</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Infrastructure, Research &amp;</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Engineering</w:t>
            </w:r>
          </w:p>
        </w:tc>
        <w:tc>
          <w:tcPr>
            <w:tcW w:w="34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7,727</w:t>
            </w: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r>
      <w:tr>
        <w:trPr>
          <w:trHeight w:val="257"/>
        </w:trPr>
        <w:tc>
          <w:tcPr>
            <w:tcW w:w="274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147,718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41,111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5,386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191,793</w:t>
            </w:r>
          </w:p>
        </w:tc>
      </w:tr>
      <w:tr>
        <w:trPr>
          <w:trHeight w:val="20"/>
        </w:trPr>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w w:val="93"/>
              </w:rPr>
              <w:t>Six months ended June 30, 2018</w:t>
            </w:r>
          </w:p>
        </w:tc>
        <w:tc>
          <w:tcPr>
            <w:tcW w:w="340" w:type="dxa"/>
            <w:vAlign w:val="bottom"/>
          </w:tcPr>
          <w:p>
            <w:pPr>
              <w:spacing w:after="0"/>
              <w:rPr>
                <w:sz w:val="20"/>
                <w:szCs w:val="20"/>
                <w:color w:val="auto"/>
              </w:rPr>
            </w:pPr>
          </w:p>
        </w:tc>
        <w:tc>
          <w:tcPr>
            <w:tcW w:w="1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Services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International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7"/>
              </w:rPr>
              <w:t>Products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Corp/Elim</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&amp; Gas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197,036</w:t>
            </w:r>
          </w:p>
        </w:tc>
        <w:tc>
          <w:tcPr>
            <w:tcW w:w="760" w:type="dxa"/>
            <w:vAlign w:val="bottom"/>
            <w:tcBorders>
              <w:bottom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17,844</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215,817</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Aerospace &amp; Defense</w:t>
            </w:r>
          </w:p>
        </w:tc>
        <w:tc>
          <w:tcPr>
            <w:tcW w:w="3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25,828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28,551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55,815</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28,324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43,131</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5"/>
              </w:rPr>
              <w:t>Power generation &amp; Transmission</w:t>
            </w:r>
          </w:p>
        </w:tc>
        <w:tc>
          <w:tcPr>
            <w:tcW w:w="3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17,038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22,674</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Process Industries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11,545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16,282</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Infrastructure, Research &amp;</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Engineering</w:t>
            </w: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12,926</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12,778</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293,313</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79,567</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11,570</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379,423</w:t>
            </w:r>
          </w:p>
        </w:tc>
      </w:tr>
      <w:tr>
        <w:trPr>
          <w:trHeight w:val="20"/>
        </w:trPr>
        <w:tc>
          <w:tcPr>
            <w:tcW w:w="26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19"/>
        </w:trPr>
        <w:tc>
          <w:tcPr>
            <w:tcW w:w="4300" w:type="dxa"/>
            <w:vAlign w:val="bottom"/>
            <w:gridSpan w:val="4"/>
          </w:tcPr>
          <w:p>
            <w:pPr>
              <w:spacing w:after="0"/>
              <w:rPr>
                <w:sz w:val="20"/>
                <w:szCs w:val="20"/>
                <w:color w:val="auto"/>
              </w:rPr>
            </w:pPr>
            <w:r>
              <w:rPr>
                <w:rFonts w:ascii="Arial" w:cs="Arial" w:eastAsia="Arial" w:hAnsi="Arial"/>
                <w:sz w:val="18"/>
                <w:szCs w:val="18"/>
                <w:color w:val="auto"/>
              </w:rPr>
              <w:t>Revenue per key geographic location was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298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Three months ended June 30, 2018</w:t>
            </w:r>
          </w:p>
        </w:tc>
        <w:tc>
          <w:tcPr>
            <w:tcW w:w="560" w:type="dxa"/>
            <w:vAlign w:val="bottom"/>
          </w:tcPr>
          <w:p>
            <w:pPr>
              <w:spacing w:after="0"/>
              <w:rPr>
                <w:sz w:val="24"/>
                <w:szCs w:val="24"/>
                <w:color w:val="auto"/>
              </w:rPr>
            </w:pPr>
          </w:p>
        </w:tc>
        <w:tc>
          <w:tcPr>
            <w:tcW w:w="16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Services</w:t>
            </w:r>
          </w:p>
        </w:tc>
        <w:tc>
          <w:tcPr>
            <w:tcW w:w="180" w:type="dxa"/>
            <w:vAlign w:val="bottom"/>
          </w:tcPr>
          <w:p>
            <w:pPr>
              <w:spacing w:after="0"/>
              <w:rPr>
                <w:sz w:val="24"/>
                <w:szCs w:val="24"/>
                <w:color w:val="auto"/>
              </w:rPr>
            </w:pPr>
          </w:p>
        </w:tc>
        <w:tc>
          <w:tcPr>
            <w:tcW w:w="13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8"/>
              </w:rPr>
              <w:t>International</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Products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Corp/Elim</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5"/>
              </w:rPr>
              <w:t>122,835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125,125</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 Americas</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22,676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w w:val="93"/>
              </w:rPr>
              <w:t>1,955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w w:val="86"/>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24,166</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37,645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6"/>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39,624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w w:val="93"/>
              </w:rPr>
              <w:t>1,354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4"/>
          </w:tcPr>
          <w:p>
            <w:pPr>
              <w:jc w:val="right"/>
              <w:ind w:right="10"/>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2,878</w:t>
            </w: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5"/>
              </w:rPr>
              <w:t>147,718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41,111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(2,422)</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191,793</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79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w w:val="93"/>
              </w:rPr>
              <w:t>Six months ended June 30, 2018</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Services</w:t>
            </w:r>
          </w:p>
        </w:tc>
        <w:tc>
          <w:tcPr>
            <w:tcW w:w="180" w:type="dxa"/>
            <w:vAlign w:val="bottom"/>
          </w:tcPr>
          <w:p>
            <w:pPr>
              <w:spacing w:after="0"/>
              <w:rPr>
                <w:sz w:val="24"/>
                <w:szCs w:val="24"/>
                <w:color w:val="auto"/>
              </w:rPr>
            </w:pPr>
          </w:p>
        </w:tc>
        <w:tc>
          <w:tcPr>
            <w:tcW w:w="13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8"/>
              </w:rPr>
              <w:t>International</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Products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Corp/Elim</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gridSpan w:val="2"/>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5"/>
              </w:rPr>
              <w:t>246,398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6,040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(1,746)</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251,116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 Americas</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44,459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w w:val="93"/>
              </w:rPr>
              <w:t>3,857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w w:val="86"/>
              </w:rPr>
              <w:t>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47,680</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71,845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73,872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w w:val="93"/>
              </w:rPr>
              <w:t>3,441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4"/>
          </w:tcPr>
          <w:p>
            <w:pPr>
              <w:jc w:val="right"/>
              <w:ind w:right="10"/>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6,755</w:t>
            </w: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5"/>
              </w:rPr>
              <w:t>293,313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79,567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11,570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(5,027)</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379,423</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ectPr>
          <w:pgSz w:w="11900" w:h="16838" w:orient="portrait"/>
          <w:cols w:equalWidth="0" w:num="1">
            <w:col w:w="11420"/>
          </w:cols>
          <w:pgMar w:left="240" w:top="122"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 advances or deposits from our customers before revenue is recognized, resulting in contract liabilities. These assets and liabilities are aggregated on an individual contract basis and reported on the condensed consolidated balance sheet at the end of each reporting period.</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recognized in 2018, that was included in the contract liability balance at the beginning of the year was $3.4 million. Changes in the contract asset and liability balances during the year ended December 31, 2017, were not materially impacted by any other factors. The Company has elected to utilize a practical expedient to expense incremental costs incurred related to obtaining a contract. The Company’s expenses are expected to be amortized over a period less than one year.</w:t>
      </w:r>
    </w:p>
    <w:p>
      <w:pPr>
        <w:spacing w:after="0" w:line="318"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has share-based incentive awards outstanding to its eligible employees and non-employee directors under three equity incentive plans: (i) the 2007 Stock Option Plan (the "2007 Plan"), (ii) the 2009 Long-Term Incentive Plan (the "2009 Plan") and (iii) the 2016 Long-Term Incentive Plan (the "2016 Plan"). No further awards may be granted under the 2007 and 2009 Plans, although awards granted under the 2007 and 2009 Plans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three and six months ended June 30, 2018 and 2017, the Company did not recognize any share-based compensation expense related to stock option awards, as all outstanding stock options awards are fully vested.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unrecognized compensation costs remained related to stock option awards as of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three and six months ended June 30, 2018 and June 30, 2017.</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sets forth a summary of the stock option activity, weighted average exercise prices and options outstanding as of June 30, 2018 and June 30, 2017.</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178"/>
              <w:spacing w:after="0"/>
              <w:rPr>
                <w:sz w:val="20"/>
                <w:szCs w:val="20"/>
                <w:color w:val="auto"/>
              </w:rPr>
            </w:pPr>
            <w:r>
              <w:rPr>
                <w:rFonts w:ascii="Arial" w:cs="Arial" w:eastAsia="Arial" w:hAnsi="Arial"/>
                <w:sz w:val="14"/>
                <w:szCs w:val="14"/>
                <w:b w:val="1"/>
                <w:bCs w:val="1"/>
                <w:color w:val="auto"/>
                <w:w w:val="92"/>
              </w:rPr>
              <w:t>For the six months ended June 30,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2018</w:t>
            </w: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16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6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2,167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Expired or 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2,130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three months ended June 30, 2018 and June 30, 2017, the Company recognized share-based compensation expense related to restricted stock unit awards of $1.2 million for each respective period.</w:t>
      </w:r>
    </w:p>
    <w:p>
      <w:pPr>
        <w:spacing w:after="0" w:line="170"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For the six months ended June 30, 2018 and June 30, 2017, the Company recognized share-based compensation expense related to restricted stock unit awards of $2.0 million and $2.3 million, respectively. As of June 30, 2018, there was $9.1 million of unrecognized compensation costs, net of estimated forfeitures, related to restricted stock unit awards, which are expected to be recognized over a remaining weighted average period of 2.7 years.</w:t>
      </w:r>
    </w:p>
    <w:p>
      <w:pPr>
        <w:sectPr>
          <w:pgSz w:w="11900" w:h="16838" w:orient="portrait"/>
          <w:cols w:equalWidth="0" w:num="1">
            <w:col w:w="11420"/>
          </w:cols>
          <w:pgMar w:left="240" w:top="12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six months of 2018 and 2017, the Company granted approximately 10,000 and 9,000 shares, respectively, of fully-vested common stock to its five non-employee directors, as provided for under the Company's non-employee director compensation plan. These shares had grant date fair values of $0.2 million for each respective period, which was recorded as share-based compensation expense during the six months ended June 30, 2018 and June 30, 2017, respectively.</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During the first six months of 2018 and 2017, approximately 35,000 and 8,000 restricted stock units vested, respectively. The fair value of these units was $0.7 million and 0.2 million for the six months ended June 30, 2018 and June 30, 2017, respectively. Upon vesting, restricted stock units are generally net share-settled to cover the required minimum withholding tax and the remaining amount is converted into an equivalent number of shares of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presented below:</w:t>
      </w:r>
    </w:p>
    <w:p>
      <w:pPr>
        <w:spacing w:after="0" w:line="379"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6"/>
              </w:rPr>
              <w:t>2018</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2017</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Grant-Date</w:t>
            </w:r>
          </w:p>
        </w:tc>
        <w:tc>
          <w:tcPr>
            <w:tcW w:w="9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5"/>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Outstanding at beginning of period: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532</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21.05</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569</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211</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19.20</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Released</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21.44</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Outstanding at end of period:</w:t>
            </w:r>
          </w:p>
        </w:tc>
        <w:tc>
          <w:tcPr>
            <w:tcW w:w="9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684</w:t>
            </w:r>
          </w:p>
        </w:tc>
        <w:tc>
          <w:tcPr>
            <w:tcW w:w="40" w:type="dxa"/>
            <w:vAlign w:val="bottom"/>
            <w:tcBorders>
              <w:top w:val="single" w:sz="8" w:color="auto"/>
              <w:bottom w:val="single" w:sz="8" w:color="auto"/>
            </w:tcBorders>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20.49</w:t>
            </w:r>
          </w:p>
        </w:tc>
        <w:tc>
          <w:tcPr>
            <w:tcW w:w="22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674</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and (3) Revenue. There also is a discretionary portion of the PRSUs based on individual performance,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presented below: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795020</wp:posOffset>
            </wp:positionV>
            <wp:extent cx="4922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For the six months ended June 30,</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Pr>
          <w:p>
            <w:pPr>
              <w:jc w:val="center"/>
              <w:ind w:left="708"/>
              <w:spacing w:after="0" w:line="153" w:lineRule="exact"/>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jc w:val="center"/>
              <w:ind w:left="688"/>
              <w:spacing w:after="0" w:line="149" w:lineRule="exact"/>
              <w:rPr>
                <w:sz w:val="20"/>
                <w:szCs w:val="20"/>
                <w:color w:val="auto"/>
              </w:rPr>
            </w:pPr>
            <w:r>
              <w:rPr>
                <w:rFonts w:ascii="Arial" w:cs="Arial" w:eastAsia="Arial" w:hAnsi="Arial"/>
                <w:sz w:val="14"/>
                <w:szCs w:val="14"/>
                <w:b w:val="1"/>
                <w:bCs w:val="1"/>
                <w:color w:val="auto"/>
                <w:w w:val="99"/>
              </w:rPr>
              <w:t>Grant-Date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Units</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center"/>
              <w:ind w:left="708"/>
              <w:spacing w:after="0"/>
              <w:rPr>
                <w:sz w:val="20"/>
                <w:szCs w:val="20"/>
                <w:color w:val="auto"/>
              </w:rPr>
            </w:pPr>
            <w:r>
              <w:rPr>
                <w:rFonts w:ascii="Arial" w:cs="Arial" w:eastAsia="Arial" w:hAnsi="Arial"/>
                <w:sz w:val="14"/>
                <w:szCs w:val="14"/>
                <w:b w:val="1"/>
                <w:bCs w:val="1"/>
                <w:color w:val="auto"/>
                <w:w w:val="98"/>
              </w:rPr>
              <w:t>Fair Value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jc w:val="center"/>
              <w:ind w:right="23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5"/>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Outstanding at beginning of period:</w:t>
            </w:r>
          </w:p>
        </w:tc>
        <w:tc>
          <w:tcPr>
            <w:tcW w:w="520" w:type="dxa"/>
            <w:vAlign w:val="bottom"/>
          </w:tcPr>
          <w:p>
            <w:pPr>
              <w:jc w:val="right"/>
              <w:spacing w:after="0"/>
              <w:rPr>
                <w:sz w:val="20"/>
                <w:szCs w:val="20"/>
                <w:color w:val="auto"/>
              </w:rPr>
            </w:pPr>
            <w:r>
              <w:rPr>
                <w:rFonts w:ascii="Arial" w:cs="Arial" w:eastAsia="Arial" w:hAnsi="Arial"/>
                <w:sz w:val="18"/>
                <w:szCs w:val="18"/>
                <w:color w:val="auto"/>
              </w:rPr>
              <w:t>278</w:t>
            </w:r>
          </w:p>
        </w:tc>
        <w:tc>
          <w:tcPr>
            <w:tcW w:w="15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17.00</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56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43"/>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Performance condition adjustments</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5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19.67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Released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56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43"/>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5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16.16</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560" w:type="dxa"/>
            <w:vAlign w:val="bottom"/>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18.15</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six months ended June 30, 2018 and June 30, 2017, the Compensation Committee approved the final calculation of the award metrics for calendar year 2017 and the seven-month transition period ending December 31, 2016, respectively. As a result, the calendar year 2017 PRSUs increased by approximately 4,000 units. There was a decrease of approximately 8,000 units for the six months ended June 30, 2018 based on forecasted results for calendar 2018. These adjustments comprise the performance condition adjustments for the six months ended June 30, 2018 noted above.</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seven month transition period PRSUs reduced by approximately 3,000 units after the Compensation Committee approval noted above. There also was a reduction of approximately 57,000 units to the awards granted in calendar 2017 based on forecasted results as of June 30, 2017. These adjustments comprise the performance condition adjustments for the six months ended June 30, 2017 noted above.</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June 30, 2018, the liability related to Discretionary PRSUs was less than $0.1 million and is classified within accrued expenses and other current liabilities on the condensed consolidated balance sheet.</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three months ended June 30, 2018 and June 30, 2017, the Company recognized aggregate share-based compensation expense related to the awards described above of approximately $0.5 million for each respective period.</w:t>
      </w:r>
    </w:p>
    <w:p>
      <w:pPr>
        <w:spacing w:after="0" w:line="8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For the six months ended June 30, 2018 and June 30, 2017, the Company recognized aggregate share-based compensation expense related to the awards described above of approximately $0.6 million and $0.9 million, respectively. At June 30, 2018, there was $3.2 million of total unrecognized compensation costs related to approximately 324,000 non-vested PRSUs, which are expected to be recognized over a remaining weighted average period of 2.4 years.</w:t>
      </w:r>
    </w:p>
    <w:p>
      <w:pPr>
        <w:spacing w:after="0" w:line="278"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200" w:firstLine="8"/>
        <w:spacing w:after="0" w:line="27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 2017</w:t>
            </w:r>
          </w:p>
        </w:tc>
      </w:tr>
      <w:tr>
        <w:trPr>
          <w:trHeight w:val="162"/>
        </w:trPr>
        <w:tc>
          <w:tcPr>
            <w:tcW w:w="4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28,562</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0.14</w:t>
            </w:r>
          </w:p>
        </w:tc>
      </w:tr>
      <w:tr>
        <w:trPr>
          <w:trHeight w:val="284"/>
        </w:trPr>
        <w:tc>
          <w:tcPr>
            <w:tcW w:w="4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8,908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3,909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28,346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28,437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28,325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28,562</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351</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29,754</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0.13</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4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the Company did not complete any acquisitions.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assets and liabilities of one of the businesses acquired in 2017 were included in the Company's condensed consolidated balance sheet based upon its estimated fair value on the date of acquisition as determined in a preliminary purchase price allocation, using available information and making assumptions management believed were reasonable. The Company is still in the process of completing its valuation of the assets acquired. The results of operations for this acquisition have been included in the Services segment's results from the date of acquisition. Goodwill of $36.4 million primarily relates to expected synergies and assembled workforce, and is deductible for tax purposes. Other intangible assets, primarily related to customer relationships and covenants not to compete, were $23.8 million.</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During the six months ended June 30, 2017, the Company completed one acquisition, located in the U.S., that primarily performs chemical and specialty process services, primarily in the aerospace industry. In this acquisition, the Company acquired the assets of the acquiree in exchange for aggregate consideration of $4.5 million in cash and contingent consideration up to $3.5 million to be earned based upon the acquired business achieving specific performance metrics over the initial three years of operations from the acquisition date. The Company accounted for this transaction in accordance with the acquisition method of accounting for business combinations.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the fourth quarter of 2017, the Company began the process of marketing one of its subsidiaries in the Products and Systems segment for sale. The Company determined that the classification of being held for sale has been met as of December 31, 2017. For the three months ended June 30, 2018, this subsidiary represented 0.5% of the Company's consolidated revenues and loss from operations was $0.3 million. For the six months ended June 30, 2018, this subsidiary represented 0.6% of consolidated revenues and loss from operations was $0.2 million. In the aggregate, the assets and liabilities of this subsidiary represents 0.4% and 0.2% of consolidated assets and liabilities, respectively, and are included in their natural classifications on the condensed consolidated balance sheets as of June 30, 2018 and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expense (benefit), net, on the condensed consolidated statements of income and were as follows for the three and six months ended June 30, 2018 and 2017:</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Due diligence, professional fees and other transaction costs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4"/>
              </w:rPr>
              <w:t>Adjustments to fair value of contingent consideration liabilities</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expense (benefit), net</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b w:val="1"/>
          <w:bCs w:val="1"/>
          <w:color w:val="auto"/>
        </w:rPr>
        <w:t>Accounts Receivable,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December 31, 2017</w:t>
            </w:r>
          </w:p>
        </w:tc>
      </w:tr>
      <w:tr>
        <w:trPr>
          <w:trHeight w:val="162"/>
        </w:trPr>
        <w:tc>
          <w:tcPr>
            <w:tcW w:w="79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141,952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(3,872)</w:t>
            </w:r>
          </w:p>
        </w:tc>
      </w:tr>
      <w:tr>
        <w:trPr>
          <w:trHeight w:val="27"/>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138,080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Company had $23.6 million and $14.4 million of unbilled revenues accrued as of June 30, 2018 and December 31, 2017, respectively. Unbilled revenues are generally billed in the subsequent quarter to their revenue recognition.</w:t>
      </w:r>
    </w:p>
    <w:p>
      <w:pPr>
        <w:spacing w:after="0" w:line="200" w:lineRule="exact"/>
        <w:rPr>
          <w:sz w:val="20"/>
          <w:szCs w:val="20"/>
          <w:color w:val="auto"/>
        </w:rPr>
      </w:pPr>
    </w:p>
    <w:p>
      <w:pPr>
        <w:spacing w:after="0" w:line="399"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4"/>
              </w:rPr>
              <w:t>Useful Life</w:t>
            </w:r>
          </w:p>
        </w:tc>
        <w:tc>
          <w:tcPr>
            <w:tcW w:w="320" w:type="dxa"/>
            <w:vAlign w:val="bottom"/>
          </w:tcPr>
          <w:p>
            <w:pPr>
              <w:spacing w:after="0"/>
              <w:rPr>
                <w:sz w:val="14"/>
                <w:szCs w:val="14"/>
                <w:color w:val="auto"/>
              </w:rPr>
            </w:pPr>
          </w:p>
        </w:tc>
        <w:tc>
          <w:tcPr>
            <w:tcW w:w="16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4"/>
                <w:szCs w:val="14"/>
                <w:color w:val="auto"/>
              </w:rPr>
            </w:pPr>
          </w:p>
        </w:tc>
        <w:tc>
          <w:tcPr>
            <w:tcW w:w="16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2"/>
              </w:rPr>
              <w:t>(Years)</w:t>
            </w:r>
          </w:p>
        </w:tc>
        <w:tc>
          <w:tcPr>
            <w:tcW w:w="3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840" w:type="dxa"/>
            <w:vAlign w:val="bottom"/>
          </w:tcPr>
          <w:p>
            <w:pPr>
              <w:jc w:val="center"/>
              <w:ind w:left="1057"/>
              <w:spacing w:after="0"/>
              <w:rPr>
                <w:sz w:val="20"/>
                <w:szCs w:val="20"/>
                <w:color w:val="auto"/>
              </w:rPr>
            </w:pPr>
            <w:r>
              <w:rPr>
                <w:rFonts w:ascii="Arial" w:cs="Arial" w:eastAsia="Arial" w:hAnsi="Arial"/>
                <w:sz w:val="18"/>
                <w:szCs w:val="18"/>
                <w:color w:val="auto"/>
                <w:w w:val="91"/>
              </w:rPr>
              <w:t>30-40</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24,705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2840" w:type="dxa"/>
            <w:vAlign w:val="bottom"/>
            <w:tcBorders>
              <w:bottom w:val="single" w:sz="8" w:color="CCEEFF"/>
            </w:tcBorders>
            <w:shd w:val="clear" w:color="auto" w:fill="CCEEFF"/>
          </w:tcPr>
          <w:p>
            <w:pPr>
              <w:jc w:val="center"/>
              <w:ind w:left="1037"/>
              <w:spacing w:after="0"/>
              <w:rPr>
                <w:sz w:val="20"/>
                <w:szCs w:val="20"/>
                <w:color w:val="auto"/>
              </w:rPr>
            </w:pPr>
            <w:r>
              <w:rPr>
                <w:rFonts w:ascii="Arial" w:cs="Arial" w:eastAsia="Arial" w:hAnsi="Arial"/>
                <w:sz w:val="18"/>
                <w:szCs w:val="18"/>
                <w:color w:val="auto"/>
                <w:w w:val="92"/>
              </w:rPr>
              <w:t>5-8</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14,230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840" w:type="dxa"/>
            <w:vAlign w:val="bottom"/>
          </w:tcPr>
          <w:p>
            <w:pPr>
              <w:jc w:val="center"/>
              <w:ind w:left="1037"/>
              <w:spacing w:after="0"/>
              <w:rPr>
                <w:sz w:val="20"/>
                <w:szCs w:val="20"/>
                <w:color w:val="auto"/>
              </w:rPr>
            </w:pPr>
            <w:r>
              <w:rPr>
                <w:rFonts w:ascii="Arial" w:cs="Arial" w:eastAsia="Arial" w:hAnsi="Arial"/>
                <w:sz w:val="18"/>
                <w:szCs w:val="18"/>
                <w:color w:val="auto"/>
                <w:w w:val="92"/>
              </w:rPr>
              <w:t>5-7</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197,567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191,721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239,800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232,368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(152,585)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(145,225)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87,215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87,143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June 30, 2018 and June 30, 2017 was $6.1 million and $5.6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six months ended June 30, 2018 and June 30, 2017 was $12.2 million and $11.1 million, respectively.</w:t>
      </w:r>
    </w:p>
    <w:p>
      <w:pPr>
        <w:spacing w:after="0" w:line="22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Products and Systems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63"/>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165,801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37,637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203,438</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Goodwill acquired during the period</w:t>
            </w: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163,108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36,548</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199,656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 As of June 30, 2018,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did not identify any changes in circumstances that would indicate the carrying value of goodwill may not be recoverable.</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Company's cumulative goodwill impairment as of June 30, 2018 and December 31, 2017 was $23.1 million, of which $13.2 million related to the Products and Systems segment and $9.9 million related to the International segment.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Impairment</w:t>
            </w:r>
          </w:p>
        </w:tc>
        <w:tc>
          <w:tcPr>
            <w:tcW w:w="16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55,022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17,267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19,523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10,109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152,423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59,171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155,441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63,739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June 30, 2018 and June 30, 2017 was $2.5 million and $2.3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six months ended June 30, 2018 and June 30, 2017 was $5.0 million and $4.4 million, respectively.</w:t>
      </w:r>
    </w:p>
    <w:p>
      <w:pPr>
        <w:spacing w:after="0" w:line="221" w:lineRule="exact"/>
        <w:rPr>
          <w:sz w:val="20"/>
          <w:szCs w:val="20"/>
          <w:color w:val="auto"/>
        </w:rPr>
      </w:pPr>
    </w:p>
    <w:p>
      <w:pPr>
        <w:ind w:left="780" w:hanging="772"/>
        <w:spacing w:after="0"/>
        <w:tabs>
          <w:tab w:leader="none" w:pos="7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June 30, 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72"/>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27,185</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current portion</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Legal settlement accrual</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22,955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65,561</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11.</w:t>
            </w:r>
          </w:p>
        </w:tc>
        <w:tc>
          <w:tcPr>
            <w:tcW w:w="73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 w:type="dxa"/>
            <w:vAlign w:val="bottom"/>
            <w:vMerge w:val="continue"/>
          </w:tcPr>
          <w:p>
            <w:pPr>
              <w:spacing w:after="0"/>
              <w:rPr>
                <w:sz w:val="24"/>
                <w:szCs w:val="24"/>
                <w:color w:val="auto"/>
              </w:rPr>
            </w:pPr>
          </w:p>
        </w:tc>
        <w:tc>
          <w:tcPr>
            <w:tcW w:w="7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90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142,595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156,948</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3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152,249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166,878</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5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150,024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164,520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revolving credit agreement with its banking group ("Credit Agreement") provides the Company with a $250.0 million revolving line of credit, which, under certain circumstances, can be increased to $300.0 million. The Company may</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borrow up to $30.0 million in non-U.S. Dollar currencies and use up to $10.0 million of the credit limit for the issuance of letters of credit. The Credit Agreement has a maturity date of December 7, 2022. As of June 30, 2018, the Company had borrowings of $142.6 million and a total of $5.4 million of letters of credit outstanding under the Credit Agreement.</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2%, or a base rate less a margin of 1.25% to 0.375%, at the option of the Company, based upon the Company’s Funded Debt Leverage Ratio. Funded Debt Leverage Ratio is defined as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2" w:lineRule="exact"/>
        <w:rPr>
          <w:sz w:val="20"/>
          <w:szCs w:val="20"/>
          <w:color w:val="auto"/>
        </w:rPr>
      </w:pPr>
    </w:p>
    <w:p>
      <w:pPr>
        <w:ind w:firstLine="8"/>
        <w:spacing w:after="0" w:line="268"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 (k) non-recurring charges (not to exceed $5.0 million in the four consecutive fiscal quarters immediately preceding the date of determination) for items such as severance, lease termination charges, asset write-offs and litigation settlements paid during the period, all determined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2.75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 and is guaranteed by some of our subsidiaries.</w:t>
      </w:r>
    </w:p>
    <w:p>
      <w:pPr>
        <w:spacing w:after="0" w:line="1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3.5 to 1 and an Interest Coverage Ratio of at least 3.0 to 1. Interest Coverage Ratio is defined as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Company can elect to increase the Funded Debt Leverage Ratio to 3.75 to 1 temporarily for four fiscal quarters immediately following the fiscal quarter in which the Company acquires another business. The Company can make this election twice during the term of the Credit Agreement.</w:t>
      </w:r>
    </w:p>
    <w:p>
      <w:pPr>
        <w:spacing w:after="0" w:line="16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or a pledge of its stock.</w:t>
      </w:r>
    </w:p>
    <w:p>
      <w:pPr>
        <w:spacing w:after="0" w:line="16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was in compliance with the terms of the Credit Agreement as of June 30, 2018, and will continuously monitor its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certain of its acquisitions, the Company issued subordinated notes payable to the sellers. The maturity of the notes that remain outstanding are three years from the date of acquisition and bear interest at the prime rate for the Bank of Canada, currently 3.45% as of June 30, 2018. Interest expense is recorded in the condensed consolidated statements of income.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other debt includes local bank financing provided at the local subsidiary levels used to support working capital requirements and fund capital expenditures. At June 30, 2018, there was approximately $9.5 million outstanding, payable at various times from 2018 to 2029. Monthly payments range from $1 thousand to $18 thousand. Interest rates range from 0.5% to 6.2%.</w:t>
      </w:r>
    </w:p>
    <w:p>
      <w:pPr>
        <w:spacing w:after="0" w:line="177"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00" w:lineRule="exact"/>
        <w:rPr>
          <w:sz w:val="20"/>
          <w:szCs w:val="20"/>
          <w:color w:val="auto"/>
        </w:rPr>
      </w:pP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00" w:type="dxa"/>
            <w:vAlign w:val="bottom"/>
            <w:tcBorders>
              <w:bottom w:val="single" w:sz="8" w:color="auto"/>
            </w:tcBorders>
          </w:tcPr>
          <w:p>
            <w:pPr>
              <w:spacing w:after="0"/>
              <w:rPr>
                <w:sz w:val="16"/>
                <w:szCs w:val="16"/>
                <w:color w:val="auto"/>
              </w:rPr>
            </w:pPr>
          </w:p>
        </w:tc>
      </w:tr>
      <w:tr>
        <w:trPr>
          <w:trHeight w:val="264"/>
        </w:trPr>
        <w:tc>
          <w:tcPr>
            <w:tcW w:w="64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w w:val="96"/>
              </w:rPr>
              <w:t>2017</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3,094</w:t>
            </w:r>
          </w:p>
        </w:tc>
      </w:tr>
      <w:tr>
        <w:trPr>
          <w:trHeight w:val="27"/>
        </w:trPr>
        <w:tc>
          <w:tcPr>
            <w:tcW w:w="6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Payments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
        </w:trPr>
        <w:tc>
          <w:tcPr>
            <w:tcW w:w="6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liability</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Revaluation</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7"/>
        </w:trPr>
        <w:tc>
          <w:tcPr>
            <w:tcW w:w="6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57"/>
        </w:trPr>
        <w:tc>
          <w:tcPr>
            <w:tcW w:w="64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4,445</w:t>
            </w:r>
          </w:p>
        </w:tc>
      </w:tr>
      <w:tr>
        <w:trPr>
          <w:trHeight w:val="20"/>
        </w:trPr>
        <w:tc>
          <w:tcPr>
            <w:tcW w:w="6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80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359"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settled a consolidated purported class and collective action that resulted from the consolidation of two cases originally filed in California state court in April 2015. In connection with the settlement, the Company recorded a pre-tax charge of $6.3 million during the three months ended June 30, 2016 and paid the settlement in February 2017.</w:t>
      </w:r>
    </w:p>
    <w:p>
      <w:pPr>
        <w:spacing w:after="0" w:line="18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 xml:space="preserve">The Company was a defendant in the lawsuit </w:t>
      </w:r>
      <w:r>
        <w:rPr>
          <w:rFonts w:ascii="Arial" w:cs="Arial" w:eastAsia="Arial" w:hAnsi="Arial"/>
          <w:sz w:val="18"/>
          <w:szCs w:val="18"/>
          <w:i w:val="1"/>
          <w:iCs w:val="1"/>
          <w:color w:val="auto"/>
        </w:rPr>
        <w:t>AGL Services Company v. Mistras Group, Inc.,</w:t>
      </w:r>
      <w:r>
        <w:rPr>
          <w:rFonts w:ascii="Arial" w:cs="Arial" w:eastAsia="Arial" w:hAnsi="Arial"/>
          <w:sz w:val="18"/>
          <w:szCs w:val="18"/>
          <w:color w:val="auto"/>
        </w:rPr>
        <w:t xml:space="preserve"> in U.S. District Court for the Northern District of Georgia, filed November 2016. The case involved radiography work performed by the Company in 2012</w:t>
      </w:r>
    </w:p>
    <w:p>
      <w:pPr>
        <w:sectPr>
          <w:pgSz w:w="11900" w:h="16838" w:orient="portrait"/>
          <w:cols w:equalWidth="0" w:num="1">
            <w:col w:w="11400"/>
          </w:cols>
          <w:pgMar w:left="240" w:top="121"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21" w:right="25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the construction of a pipeline project in the U.S. At a trial concluded on October 26, 2017, the jury awarded the plaintiff its damages plus interest, which was fully covered and paid by insurance.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subsidiary in France has been involved in a dispute with a former owner of a business purchased by the Company’s French subsidiary. The former owner received a judgment in his favor in the amount of $0.4 million for payment of the contingent consideration portion of the purchase price for the business. The Company recorded an accrual for this judgment during 2016. The Company's subsidiary appealed the judgment and the entire judgment was overturned on appeal. The appeal process was completed in July 2018 in the Company's favor, and accordingly, the Company reversed the accrual as of June 30, 2018.</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Company was a defendant in a lawsuit, </w:t>
      </w:r>
      <w:r>
        <w:rPr>
          <w:rFonts w:ascii="Arial" w:cs="Arial" w:eastAsia="Arial" w:hAnsi="Arial"/>
          <w:sz w:val="18"/>
          <w:szCs w:val="18"/>
          <w:i w:val="1"/>
          <w:iCs w:val="1"/>
          <w:color w:val="auto"/>
        </w:rPr>
        <w:t>Triumph Aerostructures, LLC d/b/a Triumph Aerostructures-Vought Aircraft Division v. Mistras Group, Inc</w:t>
      </w:r>
      <w:r>
        <w:rPr>
          <w:rFonts w:ascii="Arial" w:cs="Arial" w:eastAsia="Arial" w:hAnsi="Arial"/>
          <w:sz w:val="18"/>
          <w:szCs w:val="18"/>
          <w:color w:val="auto"/>
        </w:rPr>
        <w:t>., pending in Texas State district court, 193rd Judicial District, Dallas County, Texas, filed September 2016. The plaintiff alleged that in 2014 Mistras delivered a defective Ultrasonic inspection system and alleged damages of approximately $2.3 million, the amount it paid for the system. In January 2018, the Company agreed to settle this matter for a payment of $1.6 million and the return of the underlying ultrasonic inspection components. A charge for $1.6 million was recorded in 2017 and payment was made in February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At this time, the Company is unable to determine whether it has any liability in connection with this matter and if so, the amount or range of any such liability, and accordingly, has not established any accruals for this matter. The Company has not received any further communication from the EPA on this matter since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Potential Contingencies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may experience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ERISA. Presently, the Company is uncertain when or whether its subsidiary will incur withdrawal liability and is currently evaluating the materiality of a potential withdrawal liability under various scenarios.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June 30, 2018, total potential acquisition-related contingent consideration ranged from zero to approximately $6.7 million and would be payable upon the achievement of specific performance metrics by certain of the acquired companies over the next 2.0 years of operations. See Note 5 -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condensed consolidated financial statements for further discussion of the Company’s acquisitions.</w:t>
      </w:r>
    </w:p>
    <w:p>
      <w:pPr>
        <w:spacing w:after="0" w:line="183"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1" w:right="29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40" w:hanging="484"/>
        <w:spacing w:after="0" w:line="286" w:lineRule="auto"/>
        <w:tabs>
          <w:tab w:leader="none" w:pos="897"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This segment provides asset protection solutions predominantly in North America, with the largest concentration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followed by Canada, consisting primarily of NDT and inspection and engineering services that are used to evaluate the structural integrity and reliability of critical energy, commercial aerospace components, industrial and public infrastructure.</w:t>
      </w:r>
    </w:p>
    <w:p>
      <w:pPr>
        <w:spacing w:after="0" w:line="165" w:lineRule="exact"/>
        <w:rPr>
          <w:rFonts w:ascii="Arial" w:cs="Arial" w:eastAsia="Arial" w:hAnsi="Arial"/>
          <w:sz w:val="17"/>
          <w:szCs w:val="17"/>
          <w:i w:val="1"/>
          <w:iCs w:val="1"/>
          <w:color w:val="auto"/>
        </w:rPr>
      </w:pPr>
    </w:p>
    <w:p>
      <w:pPr>
        <w:ind w:left="1140" w:right="100" w:hanging="484"/>
        <w:spacing w:after="0" w:line="264" w:lineRule="auto"/>
        <w:tabs>
          <w:tab w:leader="none" w:pos="89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color w:val="auto"/>
        </w:rPr>
      </w:pPr>
    </w:p>
    <w:p>
      <w:pPr>
        <w:ind w:left="1140" w:right="380" w:hanging="484"/>
        <w:spacing w:after="0" w:line="277" w:lineRule="auto"/>
        <w:tabs>
          <w:tab w:leader="none" w:pos="89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Selected consolidated financial information by segment for the periods shown was as follows (intercompany transactions are eliminated in Corporate and eliminations):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293,313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260,372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41,111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33,904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79,567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68,160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(5,432)</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191,793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170,439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379,423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333,757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65,703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12,689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23,396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19,288</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55,083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103,228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89,496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19,513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2,843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(12,763)</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ind w:left="880"/>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4"/>
          </w:tcPr>
          <w:p>
            <w:pPr>
              <w:ind w:left="14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2017</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5,468</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1,888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3,732</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7,884</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15,549</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95"/>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46,864</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12,428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13,899</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2,261</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59,171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63,739</w:t>
            </w:r>
          </w:p>
        </w:tc>
        <w:tc>
          <w:tcPr>
            <w:tcW w:w="20" w:type="dxa"/>
            <w:vAlign w:val="bottom"/>
          </w:tcPr>
          <w:p>
            <w:pPr>
              <w:spacing w:after="0"/>
              <w:rPr>
                <w:sz w:val="22"/>
                <w:szCs w:val="22"/>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1"/>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368,912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377,585</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148,928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150,779</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12,733</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13,480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13,344</w:t>
            </w: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543,989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554,441</w:t>
            </w:r>
          </w:p>
        </w:tc>
        <w:tc>
          <w:tcPr>
            <w:tcW w:w="20" w:type="dxa"/>
            <w:vAlign w:val="bottom"/>
          </w:tcPr>
          <w:p>
            <w:pPr>
              <w:spacing w:after="0"/>
              <w:rPr>
                <w:sz w:val="22"/>
                <w:szCs w:val="22"/>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and six months ended June 30, 2018 and 2017, respectively,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230,560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24,166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17,895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47,680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33,368</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61,366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6,755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8,463</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191,793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170,439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379,423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333,757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4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Repurchase of Common Stock</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Board of Directors approved a $50 million stock repurchase plan in 2015. As part of this plan, on August 17, 2016, the Company entered into an agreement with its then CEO, Dr. Sotirios Vahaviolos, to purchase up to 1 million of his shares, commencing in October 2016. Pursuant to the agreement, in general, the Company purchased from Dr. Vahaviolos up to $2 million of shares each month, at a 2% discount to the average daily closing price of the Company's common stock for the preceding month. From the inception of the plan through December 31, 2017, the Company purchased 1,000,000 shares from Dr. Vahaviolos at an average price of $21.92 per share for an aggregate cost of approximately $21.9 million and approximately 146,000 shares in the open market at an average price of $20.48 per share, for an aggregate cost of approximately $3.0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retired all its repurchased shares during the fourth quarter of 2017 and they are not included in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issued and outstanding as of June 30, 2018 and December 31, 2017. There were no repurchases of common stock during the six months ended June 30,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approximately $25.1 million remained available to repurchase shares under the stock repurchase plan.</w:t>
      </w:r>
    </w:p>
    <w:p>
      <w:pPr>
        <w:spacing w:after="0" w:line="20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Management’s Discussion and Analysis (“MD&amp;A”) includes a narrative explanation and analysis of our results of operations and financial condition for the three and six months ended June 30, 2018 and June 30, 2017. The MD&amp;A should be read together with our condensed consolidated financial statements and related notes included in Item 1 in this Quarterly Report on Form 10-Q and our audited consolidated financial statements and related notes included in our Annual Report on Form 10-K for the year ended December 31, 2017, filed March 14, 2018 (“2017 Annual Report”). Unless otherwise specified or the context otherwise requires, “Mistras,” “the Company,” “we,” “us” and “our” refer to Mistras Group, Inc. and its consolidated subsidiaries. The MD&amp;A includes disclosure in the following areas:</w:t>
      </w:r>
    </w:p>
    <w:p>
      <w:pPr>
        <w:spacing w:after="0" w:line="220"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2017 Annual Report as well as those discussed in this Quarterly Report on Form 10-Q and in our other filings with the Securities and Exchange Commission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offer our customers “one source for asset protection solutions”® and are a leading global provider of technology-enabled asset protection solutions used to evaluate the structural integrity and reliability of critical energy, commercial aerospace and defense, industrial and public infrastructure. We combine industry-leading products and technologies, expertise in mechanical</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integrity (MI), Non-Destructive Testing (NDT), Destructive Testing (DT), mechanical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comprehensive “OneSource” portfolio of customized solutions, utilizing a proven systematic method that creates a closed-loop lifecycle for addressing continuous asset protection and improvement, helps us to deliver value to our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225" w:lineRule="exact"/>
        <w:rPr>
          <w:sz w:val="20"/>
          <w:szCs w:val="20"/>
          <w:color w:val="auto"/>
        </w:rPr>
      </w:pPr>
    </w:p>
    <w:p>
      <w:pPr>
        <w:ind w:left="740" w:right="420" w:hanging="246"/>
        <w:spacing w:after="0" w:line="264" w:lineRule="auto"/>
        <w:tabs>
          <w:tab w:leader="none" w:pos="7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and inspection, mechanical and engineering services that are used to evaluate the structural integrity and reliability of critical energy, commercial aerospace components, industrial and public infrastructure.</w:t>
      </w:r>
    </w:p>
    <w:p>
      <w:pPr>
        <w:spacing w:after="0" w:line="181" w:lineRule="exact"/>
        <w:rPr>
          <w:rFonts w:ascii="Arial" w:cs="Arial" w:eastAsia="Arial" w:hAnsi="Arial"/>
          <w:sz w:val="18"/>
          <w:szCs w:val="18"/>
          <w:i w:val="1"/>
          <w:iCs w:val="1"/>
          <w:color w:val="auto"/>
        </w:rPr>
      </w:pPr>
    </w:p>
    <w:p>
      <w:pPr>
        <w:ind w:left="740" w:right="100" w:hanging="246"/>
        <w:spacing w:after="0" w:line="308" w:lineRule="auto"/>
        <w:tabs>
          <w:tab w:leader="none" w:pos="74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spacing w:after="0" w:line="146" w:lineRule="exact"/>
        <w:rPr>
          <w:rFonts w:ascii="Arial" w:cs="Arial" w:eastAsia="Arial" w:hAnsi="Arial"/>
          <w:sz w:val="17"/>
          <w:szCs w:val="17"/>
          <w:i w:val="1"/>
          <w:iCs w:val="1"/>
          <w:color w:val="auto"/>
        </w:rPr>
      </w:pPr>
    </w:p>
    <w:p>
      <w:pPr>
        <w:ind w:left="740" w:right="40" w:hanging="246"/>
        <w:spacing w:after="0" w:line="277" w:lineRule="auto"/>
        <w:tabs>
          <w:tab w:leader="none" w:pos="7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2220"/>
        <w:spacing w:after="0" w:line="288" w:lineRule="auto"/>
        <w:rPr>
          <w:sz w:val="20"/>
          <w:szCs w:val="20"/>
          <w:color w:val="auto"/>
        </w:rPr>
      </w:pPr>
      <w:r>
        <w:rPr>
          <w:rFonts w:ascii="Arial" w:cs="Arial" w:eastAsia="Arial" w:hAnsi="Arial"/>
          <w:sz w:val="16"/>
          <w:szCs w:val="16"/>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growing network of state-of-the-art, in-house laboratories.</w:t>
      </w:r>
    </w:p>
    <w:p>
      <w:pPr>
        <w:ind w:right="60"/>
        <w:spacing w:after="0" w:line="290" w:lineRule="auto"/>
        <w:rPr>
          <w:sz w:val="20"/>
          <w:szCs w:val="20"/>
          <w:color w:val="auto"/>
        </w:rPr>
      </w:pPr>
      <w:r>
        <w:rPr>
          <w:rFonts w:ascii="Arial" w:cs="Arial" w:eastAsia="Arial" w:hAnsi="Arial"/>
          <w:sz w:val="16"/>
          <w:szCs w:val="16"/>
          <w:color w:val="auto"/>
        </w:rPr>
        <w:t>These solutions typically include NDT and inspection services, and can also include a wide range of mechanical services, including engineering assessments, heat tracing, pre-inspection insulation stripping, inspections, coating applications, re-insulation,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oil and gas (downstream, midstream, upstream and petrochemical), commercial aerospace and defense, power generation (natural gas, fossil, nuclear, alternative, renewable, and transmission and distribution), public infrastructure, chemicals, transportation, primary metals and metalworking and research and engineering institutions.</w:t>
      </w:r>
    </w:p>
    <w:p>
      <w:pPr>
        <w:spacing w:after="0" w:line="16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that we believe will enhance our advantages over our competition.</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Demand for outsourced asset protection solutions has generally increased over the last ten years, creating demand from which our entire industry has benefited. We believe continued growth can be realized in all of our target markets. During the first half of 2017, market conditions were soft, driven by lower oil prices which caused many of the Company’s oil and gas customers to curtail spending for our services and products. However, during the second half of 2017, market conditions strengthened and continued to improve in the first half of 2018, with oil and gas customer spending patterns rebounding from low prior year levels described above. These improved conditions led to a catch-up from the pent-up demand of deferred work during the Spring of 2018 as well as a healthier level of market activity for projects and turnarounds. We expect that the present range for petroleum prices to persist for the foreseeable future and result in relatively stable oil and gas customer spend for inspection services throughout the remainder of the year. In addition, demand for our services in the aerospace industry are strong and we are focused on expanding our capabilities to service this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and six months ended June 30, 2018 and June 30, 2017 were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45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10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10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4"/>
          </w:tcPr>
          <w:p>
            <w:pPr>
              <w:jc w:val="right"/>
              <w:ind w:right="109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4"/>
          </w:tcPr>
          <w:p>
            <w:pPr>
              <w:jc w:val="right"/>
              <w:ind w:right="1111"/>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191,793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170,439</w:t>
            </w:r>
          </w:p>
        </w:tc>
        <w:tc>
          <w:tcPr>
            <w:tcW w:w="120" w:type="dxa"/>
            <w:vAlign w:val="bottom"/>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379,423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333,757</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Pr>
          <w:p>
            <w:pPr>
              <w:spacing w:after="0"/>
              <w:rPr>
                <w:sz w:val="21"/>
                <w:szCs w:val="21"/>
                <w:color w:val="auto"/>
              </w:rPr>
            </w:pP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55,083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46,343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103,228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89,496</w:t>
            </w:r>
          </w:p>
        </w:tc>
      </w:tr>
      <w:tr>
        <w:trPr>
          <w:trHeight w:val="27"/>
        </w:trPr>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44,779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41,340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86,526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81,243</w:t>
            </w:r>
          </w:p>
        </w:tc>
      </w:tr>
      <w:tr>
        <w:trPr>
          <w:trHeight w:val="27"/>
        </w:trPr>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Pr>
          <w:p>
            <w:pPr>
              <w:spacing w:after="0"/>
              <w:rPr>
                <w:sz w:val="21"/>
                <w:szCs w:val="21"/>
                <w:color w:val="auto"/>
              </w:rPr>
            </w:pP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10,304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5,003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16,702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8,253</w:t>
            </w:r>
          </w:p>
        </w:tc>
      </w:tr>
      <w:tr>
        <w:trPr>
          <w:trHeight w:val="27"/>
        </w:trPr>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2,033</w:t>
            </w:r>
          </w:p>
        </w:tc>
      </w:tr>
      <w:tr>
        <w:trPr>
          <w:trHeight w:val="27"/>
        </w:trPr>
        <w:tc>
          <w:tcPr>
            <w:tcW w:w="10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6,220</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4,096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2,304</w:t>
            </w:r>
          </w:p>
        </w:tc>
      </w:tr>
      <w:tr>
        <w:trPr>
          <w:trHeight w:val="27"/>
        </w:trPr>
        <w:tc>
          <w:tcPr>
            <w:tcW w:w="10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8,920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3,916</w:t>
            </w:r>
          </w:p>
        </w:tc>
      </w:tr>
      <w:tr>
        <w:trPr>
          <w:trHeight w:val="229"/>
        </w:trPr>
        <w:tc>
          <w:tcPr>
            <w:tcW w:w="4500" w:type="dxa"/>
            <w:vAlign w:val="bottom"/>
            <w:gridSpan w:val="2"/>
          </w:tcPr>
          <w:p>
            <w:pPr>
              <w:ind w:left="180"/>
              <w:spacing w:after="0"/>
              <w:rPr>
                <w:sz w:val="20"/>
                <w:szCs w:val="20"/>
                <w:color w:val="auto"/>
              </w:rPr>
            </w:pPr>
            <w:r>
              <w:rPr>
                <w:rFonts w:ascii="Arial" w:cs="Arial" w:eastAsia="Arial" w:hAnsi="Arial"/>
                <w:sz w:val="18"/>
                <w:szCs w:val="18"/>
                <w:color w:val="auto"/>
                <w:w w:val="95"/>
              </w:rPr>
              <w:t>Less: net income attributable to non-controlling interests,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net of taxes</w:t>
            </w:r>
          </w:p>
        </w:tc>
        <w:tc>
          <w:tcPr>
            <w:tcW w:w="26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7</w:t>
            </w:r>
          </w:p>
        </w:tc>
      </w:tr>
      <w:tr>
        <w:trPr>
          <w:trHeight w:val="27"/>
        </w:trPr>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45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8,908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3,909</w:t>
            </w:r>
          </w:p>
        </w:tc>
      </w:tr>
      <w:tr>
        <w:trPr>
          <w:trHeight w:val="20"/>
        </w:trPr>
        <w:tc>
          <w:tcPr>
            <w:tcW w:w="10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this MD&amp;A under the heading "Income (loss) from Operations", the non-GAAP financial performance measure "Income before special items” is used for each of our three segments, the Corporate segment and the "Total Company", with tables reconciling the measure to a financial measure under GAAP. This non-GAAP measure excludes from the GAAP measure "Income from Operations" (a) transaction expenses related to acquisitions, such as professional fees and due diligence costs, (b) the net changes in the fair value of acquisition-related contingent consideration liabilities, (c) impairment charges, (d) reorganization and other related costs, which includes items such as severance and asset and lease termination costs and (e) other special items. These adjustments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investors and other users of our financial statements benefit from the presentation of "Income before special items" for each of our three segments, the Corporate segment and the Total Company in evaluating our performance. Income before special items excludes the identified adjustments, which provides additional tools to compare our core business operating performance on a consistent basis and measure underlying trends and results in our business. Income before special items is not used to determine incentive compensation for executives or employees, nor is it a replacement for GAAP and /or comparable to other companies non-GAAP financial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Revenues for the three months ended June 30, 2018 were $191.8 million, an increase of $21.4 million, or 13%, compared with the three months ended June 30, 2017. Revenues for the six months ended June 30, 2018 were $379.4 million, an increase of $45.7 million, or 14%, compared with the six months ended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and six months ended June 30, 2018 and June 30, 2017 were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10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10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 in thousands)</w:t>
            </w:r>
          </w:p>
        </w:tc>
        <w:tc>
          <w:tcPr>
            <w:tcW w:w="260" w:type="dxa"/>
            <w:vAlign w:val="bottom"/>
          </w:tcPr>
          <w:p>
            <w:pPr>
              <w:spacing w:after="0"/>
              <w:rPr>
                <w:sz w:val="21"/>
                <w:szCs w:val="21"/>
                <w:color w:val="auto"/>
              </w:rPr>
            </w:pPr>
          </w:p>
        </w:tc>
        <w:tc>
          <w:tcPr>
            <w:tcW w:w="3080" w:type="dxa"/>
            <w:vAlign w:val="bottom"/>
            <w:gridSpan w:val="4"/>
          </w:tcPr>
          <w:p>
            <w:pPr>
              <w:jc w:val="right"/>
              <w:ind w:right="1073"/>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1020" w:type="dxa"/>
            <w:vAlign w:val="bottom"/>
            <w:tcBorders>
              <w:right w:val="single" w:sz="8" w:color="CCEEFF"/>
            </w:tcBorders>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1020" w:type="dxa"/>
            <w:vAlign w:val="bottom"/>
          </w:tcPr>
          <w:p>
            <w:pPr>
              <w:spacing w:after="0"/>
              <w:rPr>
                <w:sz w:val="21"/>
                <w:szCs w:val="21"/>
                <w:color w:val="auto"/>
              </w:rPr>
            </w:pPr>
          </w:p>
        </w:tc>
        <w:tc>
          <w:tcPr>
            <w:tcW w:w="2640" w:type="dxa"/>
            <w:vAlign w:val="bottom"/>
          </w:tcPr>
          <w:p>
            <w:pPr>
              <w:ind w:left="120"/>
              <w:spacing w:after="0"/>
              <w:rPr>
                <w:sz w:val="20"/>
                <w:szCs w:val="20"/>
                <w:color w:val="auto"/>
              </w:rPr>
            </w:pPr>
            <w:r>
              <w:rPr>
                <w:rFonts w:ascii="Arial" w:cs="Arial" w:eastAsia="Arial" w:hAnsi="Arial"/>
                <w:sz w:val="18"/>
                <w:szCs w:val="18"/>
                <w:color w:val="auto"/>
              </w:rPr>
              <w:t>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147,718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134,043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293,313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260,372</w:t>
            </w: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20" w:type="dxa"/>
            <w:vAlign w:val="bottom"/>
            <w:tcBorders>
              <w:right w:val="single" w:sz="8" w:color="CCEEFF"/>
            </w:tcBorders>
          </w:tcPr>
          <w:p>
            <w:pPr>
              <w:spacing w:after="0"/>
              <w:rPr>
                <w:sz w:val="21"/>
                <w:szCs w:val="21"/>
                <w:color w:val="auto"/>
              </w:rPr>
            </w:pPr>
          </w:p>
        </w:tc>
        <w:tc>
          <w:tcPr>
            <w:tcW w:w="2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68,160</w:t>
            </w:r>
          </w:p>
        </w:tc>
      </w:tr>
      <w:tr>
        <w:trPr>
          <w:trHeight w:val="243"/>
        </w:trPr>
        <w:tc>
          <w:tcPr>
            <w:tcW w:w="1020" w:type="dxa"/>
            <w:vAlign w:val="bottom"/>
          </w:tcPr>
          <w:p>
            <w:pPr>
              <w:spacing w:after="0"/>
              <w:rPr>
                <w:sz w:val="21"/>
                <w:szCs w:val="21"/>
                <w:color w:val="auto"/>
              </w:rPr>
            </w:pPr>
          </w:p>
        </w:tc>
        <w:tc>
          <w:tcPr>
            <w:tcW w:w="2640" w:type="dxa"/>
            <w:vAlign w:val="bottom"/>
          </w:tcPr>
          <w:p>
            <w:pPr>
              <w:ind w:left="120"/>
              <w:spacing w:after="0"/>
              <w:rPr>
                <w:sz w:val="20"/>
                <w:szCs w:val="20"/>
                <w:color w:val="auto"/>
              </w:rPr>
            </w:pPr>
            <w:r>
              <w:rPr>
                <w:rFonts w:ascii="Arial" w:cs="Arial" w:eastAsia="Arial" w:hAnsi="Arial"/>
                <w:sz w:val="18"/>
                <w:szCs w:val="18"/>
                <w:color w:val="auto"/>
              </w:rPr>
              <w:t>Products and Systems</w:t>
            </w:r>
          </w:p>
        </w:tc>
        <w:tc>
          <w:tcPr>
            <w:tcW w:w="26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11,570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10,657</w:t>
            </w: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1020" w:type="dxa"/>
            <w:vAlign w:val="bottom"/>
            <w:tcBorders>
              <w:right w:val="single" w:sz="8" w:color="CCEEFF"/>
            </w:tcBorders>
          </w:tcPr>
          <w:p>
            <w:pPr>
              <w:spacing w:after="0"/>
              <w:rPr>
                <w:sz w:val="23"/>
                <w:szCs w:val="23"/>
                <w:color w:val="auto"/>
              </w:rPr>
            </w:pPr>
          </w:p>
        </w:tc>
        <w:tc>
          <w:tcPr>
            <w:tcW w:w="2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r>
      <w:tr>
        <w:trPr>
          <w:trHeight w:val="237"/>
        </w:trPr>
        <w:tc>
          <w:tcPr>
            <w:tcW w:w="1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191,793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170,439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379,423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333,757</w:t>
            </w:r>
          </w:p>
        </w:tc>
      </w:tr>
      <w:tr>
        <w:trPr>
          <w:trHeight w:val="27"/>
        </w:trPr>
        <w:tc>
          <w:tcPr>
            <w:tcW w:w="1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the three months ended June 30, 2018, total revenues increased 13% due to a combination of mid-single digit acquisition growth, mid-single digit organic growth and low-single digit favorable impact of foreign exchange rates. Services segment revenues increased 10%, driven by high-single digit acquisition growth and low-single digit organic growth. International segment revenues increased 21%, driven by double digit organic growth and mid-single digit favorable impact of foreign exchange rates. Products and Systems segment revenues increased by 6% driven by higher sales volume.</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Oil and gas customer revenues comprised approximately 55% and 57% of total revenues for the three months ended June 30, 2018 and 2017, respectively. Aerospace and defense customer revenues comprised approximately 15% and 13% of total revenues for the three months ended June 30, 2018 and 2017, respectively. The Company’s top ten customers comprised approximately 35% of total revenues for the three months ended June 30, 2018, as compared to 40% for the three months ended June 30, 2017. One customer, BP plc., accounted for approximately 12% of total revenues for the three months ended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25"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In the six months ended June 30, 2018, total revenues increased 14% due to a combination of mid-single digit acquisition growth, mid-single digit organic growth and low-single digit favorable impact of foreign exchange rates. Services segment revenues increased 13%, driven by high-single digit acquisition growth and mid-single digit organic growth. International segment revenues increased 17%, driven by high-single digit organic growth and a double digit favorable impact of foreign exchange rates. Products and Systems segment revenues increased by 9% driven by higher sales volume.</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Oil and gas customer revenues comprised approximately 57% and 58% of total revenues for the six months ended June 30, 2018 and 2017, respectively. Aerospace and defense customer revenues comprised approximately 15% and 13% of total revenues for the six months ended June 30, 2018 and 2017, respectively. The Company’s top ten customers comprised approximately 37% of total revenues for the six months ended June 30, 2018, as compared to 41% for the six months ended June 30, 2017. One customer, BP plc., accounted for approximately 12% of total revenues for the six months ended June 30, 2017.</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Gross profit increased by $8.7 million, or 19%, in the three months ended June 30, 2018, on a sales increase of 13%. Gross profit increased by $13.7 million, or 15%, in the six months ended June 30, 2018, on a sales increase of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six months ended June 30, 2018 and June 30, 2017 was as follows: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114"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45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10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10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 in thousands)</w:t>
            </w:r>
          </w:p>
        </w:tc>
        <w:tc>
          <w:tcPr>
            <w:tcW w:w="260" w:type="dxa"/>
            <w:vAlign w:val="bottom"/>
          </w:tcPr>
          <w:p>
            <w:pPr>
              <w:spacing w:after="0"/>
              <w:rPr>
                <w:sz w:val="21"/>
                <w:szCs w:val="21"/>
                <w:color w:val="auto"/>
              </w:rPr>
            </w:pPr>
          </w:p>
        </w:tc>
        <w:tc>
          <w:tcPr>
            <w:tcW w:w="3140" w:type="dxa"/>
            <w:vAlign w:val="bottom"/>
            <w:gridSpan w:val="4"/>
          </w:tcPr>
          <w:p>
            <w:pPr>
              <w:jc w:val="right"/>
              <w:ind w:right="1112"/>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40,127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35,490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74,837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65,703</w:t>
            </w:r>
          </w:p>
        </w:tc>
      </w:tr>
      <w:tr>
        <w:trPr>
          <w:trHeight w:val="27"/>
        </w:trPr>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3"/>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12,689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8,828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23,396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19,288</w:t>
            </w:r>
          </w:p>
        </w:tc>
      </w:tr>
      <w:tr>
        <w:trPr>
          <w:trHeight w:val="27"/>
        </w:trPr>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260" w:type="dxa"/>
            <w:vAlign w:val="bottom"/>
          </w:tcPr>
          <w:p>
            <w:pPr>
              <w:spacing w:after="0"/>
              <w:rPr>
                <w:sz w:val="21"/>
                <w:szCs w:val="21"/>
                <w:color w:val="auto"/>
              </w:rPr>
            </w:pP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5,103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4,560</w:t>
            </w:r>
          </w:p>
        </w:tc>
      </w:tr>
      <w:tr>
        <w:trPr>
          <w:trHeight w:val="27"/>
        </w:trPr>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43"/>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Corporate and eliminations</w:t>
            </w:r>
          </w:p>
        </w:tc>
        <w:tc>
          <w:tcPr>
            <w:tcW w:w="260" w:type="dxa"/>
            <w:vAlign w:val="bottom"/>
          </w:tcPr>
          <w:p>
            <w:pPr>
              <w:spacing w:after="0"/>
              <w:rPr>
                <w:sz w:val="21"/>
                <w:szCs w:val="21"/>
                <w:color w:val="auto"/>
              </w:rPr>
            </w:pP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(55)</w:t>
            </w:r>
          </w:p>
        </w:tc>
      </w:tr>
      <w:tr>
        <w:trPr>
          <w:trHeight w:val="27"/>
        </w:trPr>
        <w:tc>
          <w:tcPr>
            <w:tcW w:w="10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55,083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46,343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103,228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89,496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50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total revenue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28.7%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Gross profit margin was 28.7% and 27.2% for the three month periods ended June 30, 2018 and 2017, respectively. Services segment gross profit margins had a year-on-year increase of 70 basis points to 27.2% in the three months ended June 30, 2018, which reflected increased sales volume and an improved sales mix. International segment gross margins had a year-on-year increase of 490 basis points to 30.9% in the three months ended June 30, 2018. This increase was primarily driven by higher utilization of technical labor and overhead as well as a more favorable sales mix. Products and Systems segment gross margin had a year-on-year increase of 260 basis points to 41.1% in the three months ended June 30, 2018. This increase was primarily driven by a more favorable sales mix.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Gross profit margin was 27.2% and 26.8% for the six month periods ended June 30, 2018 and 2017, respectively. Services segment gross profit margins had a year-on-year increase of 30 basis points to 25.5% in the six months ended June 30, 2018, which reflected increased sales volume. International segment gross margins had a year-on-year increase of 110 basis points to 29.4% in the six months ended June 30, 2018. This increase was primarily driven by higher utilization of technical labor and overhead. Products and Systems segment gross margin had a year-on-year increase of 130 basis points to 44.1% in the six months ended June 30, 2018. This increase was primarily driven by a more favorable sales mix.</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shows a reconciliation of the income from operations to income before special items for each of the Company's three segments and for the Company in total: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center"/>
              <w:ind w:right="131"/>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6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4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 in thousands)</w:t>
            </w:r>
          </w:p>
        </w:tc>
        <w:tc>
          <w:tcPr>
            <w:tcW w:w="240" w:type="dxa"/>
            <w:vAlign w:val="bottom"/>
          </w:tcPr>
          <w:p>
            <w:pPr>
              <w:spacing w:after="0"/>
              <w:rPr>
                <w:sz w:val="21"/>
                <w:szCs w:val="21"/>
                <w:color w:val="auto"/>
              </w:rPr>
            </w:pPr>
          </w:p>
        </w:tc>
        <w:tc>
          <w:tcPr>
            <w:tcW w:w="3020" w:type="dxa"/>
            <w:vAlign w:val="bottom"/>
            <w:gridSpan w:val="4"/>
          </w:tcPr>
          <w:p>
            <w:pPr>
              <w:jc w:val="right"/>
              <w:ind w:right="1031"/>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Income from operations (GAAP)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16,328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12,132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28,603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19,513</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Reorganization and other related costs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453</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37"/>
        </w:trPr>
        <w:tc>
          <w:tcPr>
            <w:tcW w:w="466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27,613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21,244</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Income (loss) from operations (GAAP)</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2,843</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Reorganization and other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special items (non-GAAP)</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 (GAAP)</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Reorganization and other related costs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special items (non-GAAP)</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 (GAAP)</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(12,763)</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special items (non-GAAP)</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(12,681)</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Total Company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 (GAAP)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16,702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8,253</w:t>
            </w: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2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1,200</w:t>
            </w: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Reorganization and other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special items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9,641</w:t>
            </w: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June 30, 2018, income from operations (GAAP) increased $5.3 million, or 106%, compared with the three months ended June 30, 2017, while income before special items (non-GAAP) increased $4.8 million, or 83%. As a percentage of revenues, income before special items increased by 220 basis points to 5.5% in the three months ended June 30, 2018 from 3.3% in the three months ended June 30, 2017.</w:t>
      </w:r>
    </w:p>
    <w:p>
      <w:pPr>
        <w:spacing w:after="0" w:line="2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Operating expenses, as a percentage of revenue, decreased to 23% for the three months ended June 30, 2018 from 24% for the three months ended June 30, 2017. Operating expenses increased $3.4 million during the three months ended June 30, 2018, driven primarily by additional sales volume, operating expenses pertaining to Services segment acquisitions of approximately $1.9 million and management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six months ended June 30, 2018, income from operations (GAAP) increased $8.4 million, or 102%, compared with the six months ended June 30, 2017, while income before special items (non-GAAP) increased $6.3 million, or 65%. As 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percentage of revenues, income before special items increased by 130 basis points to 4.2% in the six months ended June 30, 2018 from 2.9% in the six months ended June 30, 2017.</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Operating expenses, as a percentage of revenue, decreased to 23% for the six months ended June 30, 2018 from 24% for the six months ended June 30, 2017. Operating expenses increased $5.3 million during the six months ended June 30, 2018, driven primarily by increased sales volume, additional operating expenses pertaining to Services segment acquisitions of approximately $4.4 million and management initiatives.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Interest expense was approximately $1.9 million and $1.0 million for the three months ended June 30, 2018 and 2017, respectively. Interest expense was approximately $3.7 million and $2.0 million for the six months ended June 30, 2018 and 2017, respectively. The increases were due to borrowings on the Company's revolving line of credit attributable primarily to acquisitions completed during 2017, and to a lesser extent, from an increase in the base borrowing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Company’s effective income tax rate was approximately 29% and 44% for the three months ended June 30, 2018 and 2017, respectively. The Company's effective income tax rate was approximately 31% and 37% for the six months ended June 30, 2018 and 2017. The decrease in the income tax rate for these respective periods is due to lower US tax rates on our domestic income as well as a higher proportion of global income taxed at comparatively lower US tax rates, partially offset by the impact of the GILTI and executive compensation provisions resulting from the passage of the Tax Act.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2017</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20,095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22,972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1,602</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7,630</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six months ended June 30, 2018, cash provided by operating activities was $20.1 million, representing a year-on-year decrease of $2.9 million, or 13%. The decrease was primarily attributable to movements in working capital, including the timing of collections on accounts receivable, offset by the increase in net income for these respective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six months ended June 30, 2018, cash used in investing activities was $10.3 million, compared with $14.2 million in 2017. During the first six months of 2018, we did not have any outflows related to acquisitions, compared with $4.5 million in the comparable six month period. Capital expenditures were $11.2 million for the first half of 2018, compared with $10.5 million in the comparable 2017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by financing activities was $19.3 million for the six months ended June 30, 2018. The Company paid down $14.0 million, net, on its Credit Agreement as well as $3.1 million payments of debt and capital lease obligations. For the comparable period in 2017, net cash used by financing activities was $2.7 million. The Company borrowed $10.7 million, net, on its Credit Agreement, to purchase $12.0 million of treasury stock and $4.5 million to fund an acquisition.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 net decrease of $0.6 million in the first six months of 2018, compared to a $1.6 million increase for the first six months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The terms of our Credit Agreement have not changed from those set forth in Part II, Item 7 of our 2017 Annual Report under the Section “Liquidity and Capital Resources”, under the heading “Cash Balance and Credit Facility Borrowings,” and in Note 11 -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condensed consolidated financial statements in this Quarterly Report, under the heading “Senior Credit Facility.”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2018, we had cash and cash equivalents totaling $17.5 million and available borrowing capacity of $102.0 million under our Credit Agreement with borrowings of $142.6 million and $5.4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were in compliance with the terms of the Credit Agreement as of June 30, 2018 and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contractual obligations and outstanding indebtedness as disclosed in the 2017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six months ended June 30, 2018,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2017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have been no significant changes to the Company’s quantitative and qualitative disclosures about market risk as discussed in Part II, Item 7A “Quantitative and Qualitative Disclosures About Market Risk,” included in the 2017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2018,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Act is recorded, processed, summarized and reported within the time periods specified in SEC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June 30, 2018 that has materially affected, or is reasonably likely to materially affect, such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See Note 13 -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this Quarterly Report for a description of our legal proceedings. There have been no material developments with regard to any matters disclosed under Part I, Item 3 "Legal Proceedings" in our 2017 Annual Report, except as disclosed in such Note 13.</w:t>
      </w:r>
    </w:p>
    <w:p>
      <w:pPr>
        <w:spacing w:after="0" w:line="1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to the other information set forth in this Quarterly Report, you should carefully consider the risk factors discussed under the “Risk Factors” section included in our 2017 Annual Report. There have been no material changes to the risk factors previously disclosed in the 2017 Annual Report.</w:t>
      </w:r>
    </w:p>
    <w:p>
      <w:pPr>
        <w:spacing w:after="0" w:line="3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70" w:lineRule="exact"/>
        <w:rPr>
          <w:sz w:val="20"/>
          <w:szCs w:val="20"/>
          <w:color w:val="auto"/>
        </w:rPr>
      </w:pPr>
    </w:p>
    <w:p>
      <w:pPr>
        <w:ind w:left="660" w:right="8800" w:hanging="652"/>
        <w:spacing w:after="0" w:line="501" w:lineRule="auto"/>
        <w:tabs>
          <w:tab w:leader="none" w:pos="267"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 There were no shares of stock acquired during the quarter pursuant to our publicly announced share repurchase plan.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760" w:type="dxa"/>
            <w:vAlign w:val="bottom"/>
            <w:gridSpan w:val="2"/>
            <w:vMerge w:val="restart"/>
          </w:tcPr>
          <w:p>
            <w:pPr>
              <w:jc w:val="center"/>
              <w:ind w:left="37"/>
              <w:spacing w:after="0"/>
              <w:rPr>
                <w:sz w:val="20"/>
                <w:szCs w:val="20"/>
                <w:color w:val="auto"/>
              </w:rPr>
            </w:pPr>
            <w:r>
              <w:rPr>
                <w:rFonts w:ascii="Arial" w:cs="Arial" w:eastAsia="Arial" w:hAnsi="Arial"/>
                <w:sz w:val="14"/>
                <w:szCs w:val="14"/>
                <w:b w:val="1"/>
                <w:bCs w:val="1"/>
                <w:color w:val="auto"/>
                <w:w w:val="93"/>
              </w:rPr>
              <w:t>Total Number of Shares (or</w:t>
            </w:r>
          </w:p>
        </w:tc>
        <w:tc>
          <w:tcPr>
            <w:tcW w:w="220" w:type="dxa"/>
            <w:vAlign w:val="bottom"/>
          </w:tcPr>
          <w:p>
            <w:pPr>
              <w:spacing w:after="0"/>
              <w:rPr>
                <w:sz w:val="14"/>
                <w:szCs w:val="14"/>
                <w:color w:val="auto"/>
              </w:rPr>
            </w:pPr>
          </w:p>
        </w:tc>
        <w:tc>
          <w:tcPr>
            <w:tcW w:w="18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8"/>
              </w:rPr>
              <w:t>Average Price Paid per</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 Shares</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2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200" w:type="dxa"/>
            <w:vAlign w:val="bottom"/>
          </w:tcPr>
          <w:p>
            <w:pPr>
              <w:spacing w:after="0"/>
              <w:rPr>
                <w:sz w:val="12"/>
                <w:szCs w:val="12"/>
                <w:color w:val="auto"/>
              </w:rPr>
            </w:pPr>
          </w:p>
        </w:tc>
        <w:tc>
          <w:tcPr>
            <w:tcW w:w="22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that May Yet Be Purchased Under</w:t>
            </w:r>
          </w:p>
        </w:tc>
        <w:tc>
          <w:tcPr>
            <w:tcW w:w="0" w:type="dxa"/>
            <w:vAlign w:val="bottom"/>
          </w:tcPr>
          <w:p>
            <w:pPr>
              <w:spacing w:after="0"/>
              <w:rPr>
                <w:sz w:val="1"/>
                <w:szCs w:val="1"/>
                <w:color w:val="auto"/>
              </w:rPr>
            </w:pPr>
          </w:p>
        </w:tc>
      </w:tr>
      <w:tr>
        <w:trPr>
          <w:trHeight w:val="192"/>
        </w:trPr>
        <w:tc>
          <w:tcPr>
            <w:tcW w:w="1700" w:type="dxa"/>
            <w:vAlign w:val="bottom"/>
            <w:vMerge w:val="continue"/>
          </w:tcPr>
          <w:p>
            <w:pPr>
              <w:spacing w:after="0"/>
              <w:rPr>
                <w:sz w:val="16"/>
                <w:szCs w:val="16"/>
                <w:color w:val="auto"/>
              </w:rPr>
            </w:pPr>
          </w:p>
        </w:tc>
        <w:tc>
          <w:tcPr>
            <w:tcW w:w="2760" w:type="dxa"/>
            <w:vAlign w:val="bottom"/>
            <w:gridSpan w:val="2"/>
          </w:tcPr>
          <w:p>
            <w:pPr>
              <w:jc w:val="center"/>
              <w:ind w:left="37"/>
              <w:spacing w:after="0"/>
              <w:rPr>
                <w:sz w:val="20"/>
                <w:szCs w:val="20"/>
                <w:color w:val="auto"/>
              </w:rPr>
            </w:pPr>
            <w:r>
              <w:rPr>
                <w:rFonts w:ascii="Arial" w:cs="Arial" w:eastAsia="Arial" w:hAnsi="Arial"/>
                <w:sz w:val="14"/>
                <w:szCs w:val="14"/>
                <w:b w:val="1"/>
                <w:bCs w:val="1"/>
                <w:color w:val="auto"/>
                <w:w w:val="90"/>
              </w:rPr>
              <w:t>Units) Purchased</w:t>
            </w:r>
          </w:p>
        </w:tc>
        <w:tc>
          <w:tcPr>
            <w:tcW w:w="220" w:type="dxa"/>
            <w:vAlign w:val="bottom"/>
          </w:tcPr>
          <w:p>
            <w:pPr>
              <w:spacing w:after="0"/>
              <w:rPr>
                <w:sz w:val="16"/>
                <w:szCs w:val="16"/>
                <w:color w:val="auto"/>
              </w:rPr>
            </w:pPr>
          </w:p>
        </w:tc>
        <w:tc>
          <w:tcPr>
            <w:tcW w:w="1860" w:type="dxa"/>
            <w:vAlign w:val="bottom"/>
          </w:tcPr>
          <w:p>
            <w:pPr>
              <w:jc w:val="right"/>
              <w:ind w:right="497"/>
              <w:spacing w:after="0"/>
              <w:rPr>
                <w:sz w:val="20"/>
                <w:szCs w:val="20"/>
                <w:color w:val="auto"/>
              </w:rPr>
            </w:pPr>
            <w:r>
              <w:rPr>
                <w:rFonts w:ascii="Arial" w:cs="Arial" w:eastAsia="Arial" w:hAnsi="Arial"/>
                <w:sz w:val="14"/>
                <w:szCs w:val="14"/>
                <w:b w:val="1"/>
                <w:bCs w:val="1"/>
                <w:color w:val="auto"/>
              </w:rPr>
              <w:t>Share (or Unit)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200" w:type="dxa"/>
            <w:vAlign w:val="bottom"/>
          </w:tcPr>
          <w:p>
            <w:pPr>
              <w:spacing w:after="0"/>
              <w:rPr>
                <w:sz w:val="16"/>
                <w:szCs w:val="16"/>
                <w:color w:val="auto"/>
              </w:rPr>
            </w:pPr>
          </w:p>
        </w:tc>
        <w:tc>
          <w:tcPr>
            <w:tcW w:w="22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 xml:space="preserve">the Plans or Programs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1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30, 2018</w:t>
            </w:r>
          </w:p>
        </w:tc>
        <w:tc>
          <w:tcPr>
            <w:tcW w:w="26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19.63</w:t>
            </w:r>
          </w:p>
        </w:tc>
        <w:tc>
          <w:tcPr>
            <w:tcW w:w="2380" w:type="dxa"/>
            <w:vAlign w:val="bottom"/>
            <w:tcBorders>
              <w:top w:val="single" w:sz="8" w:color="auto"/>
              <w:bottom w:val="single" w:sz="8" w:color="CCEEFF"/>
            </w:tcBorders>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May 31, 2018</w:t>
            </w:r>
          </w:p>
        </w:tc>
        <w:tc>
          <w:tcPr>
            <w:tcW w:w="2640" w:type="dxa"/>
            <w:vAlign w:val="bottom"/>
          </w:tcPr>
          <w:p>
            <w:pPr>
              <w:jc w:val="right"/>
              <w:ind w:right="37"/>
              <w:spacing w:after="0"/>
              <w:rPr>
                <w:sz w:val="20"/>
                <w:szCs w:val="20"/>
                <w:color w:val="auto"/>
              </w:rPr>
            </w:pPr>
            <w:r>
              <w:rPr>
                <w:rFonts w:ascii="Arial" w:cs="Arial" w:eastAsia="Arial" w:hAnsi="Arial"/>
                <w:sz w:val="18"/>
                <w:szCs w:val="18"/>
                <w:color w:val="auto"/>
              </w:rPr>
              <w:t>23,301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57"/>
              <w:spacing w:after="0"/>
              <w:rPr>
                <w:sz w:val="20"/>
                <w:szCs w:val="20"/>
                <w:color w:val="auto"/>
              </w:rPr>
            </w:pPr>
            <w:r>
              <w:rPr>
                <w:rFonts w:ascii="Arial" w:cs="Arial" w:eastAsia="Arial" w:hAnsi="Arial"/>
                <w:sz w:val="18"/>
                <w:szCs w:val="18"/>
                <w:color w:val="auto"/>
              </w:rPr>
              <w:t>19.25</w:t>
            </w:r>
          </w:p>
        </w:tc>
        <w:tc>
          <w:tcPr>
            <w:tcW w:w="2380" w:type="dxa"/>
            <w:vAlign w:val="bottom"/>
          </w:tcPr>
          <w:p>
            <w:pPr>
              <w:ind w:left="20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7"/>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26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19.28</w:t>
            </w:r>
          </w:p>
        </w:tc>
        <w:tc>
          <w:tcPr>
            <w:tcW w:w="238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7"/>
        </w:trPr>
        <w:tc>
          <w:tcPr>
            <w:tcW w:w="17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8"/>
        <w:spacing w:after="0" w:line="277"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On October 7, 2015, the Company announced that its Board of Directors approved a share repurchase plan, which authorizes the expenditure of up to $50.0 million for the purchase of the Company's common stock.</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466"/>
        </w:trPr>
        <w:tc>
          <w:tcPr>
            <w:tcW w:w="10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588"/>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10240" w:type="dxa"/>
            <w:vAlign w:val="bottom"/>
            <w:gridSpan w:val="3"/>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tcPr>
          <w:p>
            <w:pPr>
              <w:spacing w:after="0" w:line="20" w:lineRule="exact"/>
              <w:rPr>
                <w:sz w:val="1"/>
                <w:szCs w:val="1"/>
                <w:color w:val="auto"/>
              </w:rPr>
            </w:pPr>
          </w:p>
        </w:tc>
      </w:tr>
      <w:tr>
        <w:trPr>
          <w:trHeight w:val="520"/>
        </w:trPr>
        <w:tc>
          <w:tcPr>
            <w:tcW w:w="360" w:type="dxa"/>
            <w:vAlign w:val="bottom"/>
            <w:gridSpan w:val="2"/>
          </w:tcPr>
          <w:p>
            <w:pPr>
              <w:ind w:left="40"/>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74"/>
        </w:trPr>
        <w:tc>
          <w:tcPr>
            <w:tcW w:w="360" w:type="dxa"/>
            <w:vAlign w:val="bottom"/>
            <w:gridSpan w:val="2"/>
          </w:tcPr>
          <w:p>
            <w:pPr>
              <w:ind w:left="40"/>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Schema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91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right"/>
              <w:ind w:right="552"/>
              <w:spacing w:after="0"/>
              <w:rPr>
                <w:sz w:val="20"/>
                <w:szCs w:val="20"/>
                <w:color w:val="auto"/>
              </w:rPr>
            </w:pPr>
            <w:r>
              <w:rPr>
                <w:rFonts w:ascii="Arial" w:cs="Arial" w:eastAsia="Arial" w:hAnsi="Arial"/>
                <w:sz w:val="18"/>
                <w:szCs w:val="18"/>
                <w:color w:val="auto"/>
              </w:rPr>
              <w:t>32</w:t>
            </w:r>
          </w:p>
        </w:tc>
        <w:tc>
          <w:tcPr>
            <w:tcW w:w="27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240" w:top="122" w:right="7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Dennis Bertolotti</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17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Edward J. Prajzner</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June 30, 2018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2018</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7"/>
    </w:lvl>
  </w:abstractNum>
  <w:abstractNum w:abstractNumId="7">
    <w:nsid w:val="7FDCC233"/>
    <w:multiLevelType w:val="hybridMultilevel"/>
    <w:lvl w:ilvl="0">
      <w:lvlJc w:val="left"/>
      <w:lvlText w:val="%1."/>
      <w:numFmt w:val="decimal"/>
      <w:start w:val="8"/>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decimal"/>
      <w:start w:val="10"/>
    </w:lvl>
  </w:abstractNum>
  <w:abstractNum w:abstractNumId="10">
    <w:nsid w:val="6B68079A"/>
    <w:multiLevelType w:val="hybridMultilevel"/>
    <w:lvl w:ilvl="0">
      <w:lvlJc w:val="left"/>
      <w:lvlText w:val="(%1)"/>
      <w:numFmt w:val="lowerLetter"/>
      <w:start w:val="5"/>
    </w:lvl>
  </w:abstractNum>
  <w:abstractNum w:abstractNumId="11">
    <w:nsid w:val="4E6AFB66"/>
    <w:multiLevelType w:val="hybridMultilevel"/>
    <w:lvl w:ilvl="0">
      <w:lvlJc w:val="left"/>
      <w:lvlText w:val="%1."/>
      <w:numFmt w:val="decimal"/>
      <w:start w:val="12"/>
    </w:lvl>
  </w:abstractNum>
  <w:abstractNum w:abstractNumId="12">
    <w:nsid w:val="25E45D32"/>
    <w:multiLevelType w:val="hybridMultilevel"/>
    <w:lvl w:ilvl="0">
      <w:lvlJc w:val="left"/>
      <w:lvlText w:val="%1."/>
      <w:numFmt w:val="decimal"/>
      <w:start w:val="13"/>
    </w:lvl>
  </w:abstractNum>
  <w:abstractNum w:abstractNumId="13">
    <w:nsid w:val="519B500D"/>
    <w:multiLevelType w:val="hybridMultilevel"/>
    <w:lvl w:ilvl="0">
      <w:lvlJc w:val="left"/>
      <w:lvlText w:val="%1."/>
      <w:numFmt w:val="decimal"/>
      <w:start w:val="14"/>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2019-12-28T20:31:10Z</dcterms:created>
  <dcterms:modified xsi:type="dcterms:W3CDTF">2019-12-28T20:31:10Z</dcterms:modified>
</cp:coreProperties>
</file>