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 w:lineRule="exact"/>
        <w:rPr>
          <w:sz w:val="24"/>
          <w:szCs w:val="24"/>
          <w:color w:val="auto"/>
        </w:rPr>
      </w:pPr>
    </w:p>
    <w:p>
      <w:pPr>
        <w:ind w:left="620" w:right="300" w:hanging="612"/>
        <w:spacing w:after="0" w:line="237" w:lineRule="auto"/>
        <w:tabs>
          <w:tab w:leader="none" w:pos="6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For the quarterly period ended November 30, 2010</w:t>
      </w:r>
    </w:p>
    <w:p>
      <w:pPr>
        <w:spacing w:after="0" w:line="225" w:lineRule="exact"/>
        <w:rPr>
          <w:sz w:val="24"/>
          <w:szCs w:val="24"/>
          <w:color w:val="auto"/>
        </w:rPr>
      </w:pPr>
    </w:p>
    <w:p>
      <w:pPr>
        <w:ind w:left="59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20" w:right="280" w:hanging="612"/>
        <w:spacing w:after="0" w:line="256" w:lineRule="auto"/>
        <w:tabs>
          <w:tab w:leader="none" w:pos="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25" w:right="239" w:bottom="1440" w:gutter="0" w:footer="0" w:header="0"/>
        </w:sectPr>
      </w:pPr>
    </w:p>
    <w:p>
      <w:pPr>
        <w:spacing w:after="0" w:line="172" w:lineRule="exact"/>
        <w:rPr>
          <w:sz w:val="24"/>
          <w:szCs w:val="24"/>
          <w:color w:val="auto"/>
        </w:rPr>
      </w:pPr>
    </w:p>
    <w:p>
      <w:pPr>
        <w:ind w:left="62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2580" w:space="720"/>
            <w:col w:w="8120"/>
          </w:cols>
          <w:pgMar w:left="240" w:top="225" w:right="239" w:bottom="144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252730</wp:posOffset>
            </wp:positionV>
            <wp:extent cx="147066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tbl>
      <w:tblPr>
        <w:tblLayout w:type="fixed"/>
        <w:tblInd w:w="1160" w:type="dxa"/>
        <w:tblCellMar>
          <w:top w:w="0" w:type="dxa"/>
          <w:left w:w="0" w:type="dxa"/>
          <w:bottom w:w="0" w:type="dxa"/>
          <w:right w:w="0" w:type="dxa"/>
        </w:tblCellMar>
      </w:tblPr>
      <w:tr>
        <w:trPr>
          <w:trHeight w:val="529"/>
        </w:trPr>
        <w:tc>
          <w:tcPr>
            <w:tcW w:w="6740" w:type="dxa"/>
            <w:vAlign w:val="bottom"/>
            <w:gridSpan w:val="3"/>
          </w:tcPr>
          <w:p>
            <w:pPr>
              <w:jc w:val="center"/>
              <w:ind w:left="2257"/>
              <w:spacing w:after="0"/>
              <w:rPr>
                <w:sz w:val="20"/>
                <w:szCs w:val="20"/>
                <w:color w:val="auto"/>
              </w:rPr>
            </w:pPr>
            <w:r>
              <w:rPr>
                <w:rFonts w:ascii="Arial" w:cs="Arial" w:eastAsia="Arial" w:hAnsi="Arial"/>
                <w:sz w:val="43"/>
                <w:szCs w:val="43"/>
                <w:b w:val="1"/>
                <w:bCs w:val="1"/>
                <w:color w:val="auto"/>
                <w:w w:val="93"/>
              </w:rPr>
              <w:t>Mistras Group, Inc.</w:t>
            </w:r>
          </w:p>
        </w:tc>
        <w:tc>
          <w:tcPr>
            <w:tcW w:w="1620" w:type="dxa"/>
            <w:vAlign w:val="bottom"/>
          </w:tcPr>
          <w:p>
            <w:pPr>
              <w:spacing w:after="0"/>
              <w:rPr>
                <w:sz w:val="24"/>
                <w:szCs w:val="24"/>
                <w:color w:val="auto"/>
              </w:rPr>
            </w:pPr>
          </w:p>
        </w:tc>
      </w:tr>
      <w:tr>
        <w:trPr>
          <w:trHeight w:val="230"/>
        </w:trPr>
        <w:tc>
          <w:tcPr>
            <w:tcW w:w="6740" w:type="dxa"/>
            <w:vAlign w:val="bottom"/>
            <w:gridSpan w:val="3"/>
          </w:tcPr>
          <w:p>
            <w:pPr>
              <w:jc w:val="center"/>
              <w:ind w:left="2277"/>
              <w:spacing w:after="0"/>
              <w:rPr>
                <w:sz w:val="20"/>
                <w:szCs w:val="20"/>
                <w:color w:val="auto"/>
              </w:rPr>
            </w:pPr>
            <w:r>
              <w:rPr>
                <w:rFonts w:ascii="Arial" w:cs="Arial" w:eastAsia="Arial" w:hAnsi="Arial"/>
                <w:sz w:val="18"/>
                <w:szCs w:val="18"/>
                <w:color w:val="auto"/>
                <w:w w:val="90"/>
              </w:rPr>
              <w:t>(Exact name of registrant as specified in its charter)</w:t>
            </w:r>
          </w:p>
        </w:tc>
        <w:tc>
          <w:tcPr>
            <w:tcW w:w="1620" w:type="dxa"/>
            <w:vAlign w:val="bottom"/>
          </w:tcPr>
          <w:p>
            <w:pPr>
              <w:spacing w:after="0"/>
              <w:rPr>
                <w:sz w:val="20"/>
                <w:szCs w:val="20"/>
                <w:color w:val="auto"/>
              </w:rPr>
            </w:pPr>
          </w:p>
        </w:tc>
      </w:tr>
      <w:tr>
        <w:trPr>
          <w:trHeight w:val="334"/>
        </w:trPr>
        <w:tc>
          <w:tcPr>
            <w:tcW w:w="3400" w:type="dxa"/>
            <w:vAlign w:val="bottom"/>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50"/>
        </w:trPr>
        <w:tc>
          <w:tcPr>
            <w:tcW w:w="6740" w:type="dxa"/>
            <w:vAlign w:val="bottom"/>
            <w:gridSpan w:val="3"/>
          </w:tcPr>
          <w:p>
            <w:pPr>
              <w:jc w:val="center"/>
              <w:ind w:right="3900"/>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16"/>
        </w:trPr>
        <w:tc>
          <w:tcPr>
            <w:tcW w:w="6740" w:type="dxa"/>
            <w:vAlign w:val="bottom"/>
            <w:gridSpan w:val="3"/>
          </w:tcPr>
          <w:p>
            <w:pPr>
              <w:jc w:val="center"/>
              <w:ind w:right="3900"/>
              <w:spacing w:after="0"/>
              <w:rPr>
                <w:sz w:val="20"/>
                <w:szCs w:val="20"/>
                <w:color w:val="auto"/>
              </w:rPr>
            </w:pPr>
            <w:r>
              <w:rPr>
                <w:rFonts w:ascii="Arial" w:cs="Arial" w:eastAsia="Arial" w:hAnsi="Arial"/>
                <w:sz w:val="18"/>
                <w:szCs w:val="18"/>
                <w:color w:val="auto"/>
                <w:w w:val="92"/>
              </w:rPr>
              <w:t>(State or other jurisdiction of</w:t>
            </w:r>
          </w:p>
        </w:tc>
        <w:tc>
          <w:tcPr>
            <w:tcW w:w="1620" w:type="dxa"/>
            <w:vAlign w:val="bottom"/>
          </w:tcPr>
          <w:p>
            <w:pPr>
              <w:jc w:val="center"/>
              <w:ind w:left="190"/>
              <w:spacing w:after="0"/>
              <w:rPr>
                <w:sz w:val="20"/>
                <w:szCs w:val="20"/>
                <w:color w:val="auto"/>
              </w:rPr>
            </w:pPr>
            <w:r>
              <w:rPr>
                <w:rFonts w:ascii="Arial" w:cs="Arial" w:eastAsia="Arial" w:hAnsi="Arial"/>
                <w:sz w:val="18"/>
                <w:szCs w:val="18"/>
                <w:color w:val="auto"/>
                <w:w w:val="92"/>
              </w:rPr>
              <w:t>(I.R.S. Employer</w:t>
            </w:r>
          </w:p>
        </w:tc>
      </w:tr>
      <w:tr>
        <w:trPr>
          <w:trHeight w:val="230"/>
        </w:trPr>
        <w:tc>
          <w:tcPr>
            <w:tcW w:w="6740" w:type="dxa"/>
            <w:vAlign w:val="bottom"/>
            <w:gridSpan w:val="3"/>
          </w:tcPr>
          <w:p>
            <w:pPr>
              <w:jc w:val="center"/>
              <w:ind w:right="3900"/>
              <w:spacing w:after="0"/>
              <w:rPr>
                <w:sz w:val="20"/>
                <w:szCs w:val="20"/>
                <w:color w:val="auto"/>
              </w:rPr>
            </w:pPr>
            <w:r>
              <w:rPr>
                <w:rFonts w:ascii="Arial" w:cs="Arial" w:eastAsia="Arial" w:hAnsi="Arial"/>
                <w:sz w:val="18"/>
                <w:szCs w:val="18"/>
                <w:color w:val="auto"/>
                <w:w w:val="92"/>
              </w:rPr>
              <w:t>incorporation or organization)</w:t>
            </w:r>
          </w:p>
        </w:tc>
        <w:tc>
          <w:tcPr>
            <w:tcW w:w="1620" w:type="dxa"/>
            <w:vAlign w:val="bottom"/>
          </w:tcPr>
          <w:p>
            <w:pPr>
              <w:jc w:val="center"/>
              <w:ind w:left="1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740" w:type="dxa"/>
            <w:vAlign w:val="bottom"/>
            <w:gridSpan w:val="3"/>
          </w:tcPr>
          <w:p>
            <w:pPr>
              <w:jc w:val="center"/>
              <w:ind w:right="3900"/>
              <w:spacing w:after="0"/>
              <w:rPr>
                <w:sz w:val="20"/>
                <w:szCs w:val="20"/>
                <w:color w:val="auto"/>
              </w:rPr>
            </w:pPr>
            <w:r>
              <w:rPr>
                <w:rFonts w:ascii="Arial" w:cs="Arial" w:eastAsia="Arial" w:hAnsi="Arial"/>
                <w:sz w:val="18"/>
                <w:szCs w:val="18"/>
                <w:b w:val="1"/>
                <w:bCs w:val="1"/>
                <w:color w:val="auto"/>
                <w:w w:val="91"/>
              </w:rPr>
              <w:t>195 Clarksville Road</w:t>
            </w:r>
          </w:p>
        </w:tc>
        <w:tc>
          <w:tcPr>
            <w:tcW w:w="1620" w:type="dxa"/>
            <w:vAlign w:val="bottom"/>
          </w:tcPr>
          <w:p>
            <w:pPr>
              <w:spacing w:after="0"/>
              <w:rPr>
                <w:sz w:val="24"/>
                <w:szCs w:val="24"/>
                <w:color w:val="auto"/>
              </w:rPr>
            </w:pPr>
          </w:p>
        </w:tc>
      </w:tr>
      <w:tr>
        <w:trPr>
          <w:trHeight w:val="220"/>
        </w:trPr>
        <w:tc>
          <w:tcPr>
            <w:tcW w:w="6740" w:type="dxa"/>
            <w:vAlign w:val="bottom"/>
            <w:gridSpan w:val="3"/>
          </w:tcPr>
          <w:p>
            <w:pPr>
              <w:jc w:val="center"/>
              <w:ind w:right="3900"/>
              <w:spacing w:after="0"/>
              <w:rPr>
                <w:sz w:val="20"/>
                <w:szCs w:val="20"/>
                <w:color w:val="auto"/>
              </w:rPr>
            </w:pPr>
            <w:r>
              <w:rPr>
                <w:rFonts w:ascii="Arial" w:cs="Arial" w:eastAsia="Arial" w:hAnsi="Arial"/>
                <w:sz w:val="18"/>
                <w:szCs w:val="18"/>
                <w:b w:val="1"/>
                <w:bCs w:val="1"/>
                <w:color w:val="auto"/>
                <w:w w:val="89"/>
              </w:rPr>
              <w:t>Princeton Junction, New Jersey</w:t>
            </w:r>
          </w:p>
        </w:tc>
        <w:tc>
          <w:tcPr>
            <w:tcW w:w="162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30"/>
        </w:trPr>
        <w:tc>
          <w:tcPr>
            <w:tcW w:w="6740" w:type="dxa"/>
            <w:vAlign w:val="bottom"/>
            <w:gridSpan w:val="3"/>
          </w:tcPr>
          <w:p>
            <w:pPr>
              <w:jc w:val="center"/>
              <w:ind w:right="390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jc w:val="center"/>
              <w:ind w:left="210"/>
              <w:spacing w:after="0"/>
              <w:rPr>
                <w:sz w:val="20"/>
                <w:szCs w:val="20"/>
                <w:color w:val="auto"/>
              </w:rPr>
            </w:pPr>
            <w:r>
              <w:rPr>
                <w:rFonts w:ascii="Arial" w:cs="Arial" w:eastAsia="Arial" w:hAnsi="Arial"/>
                <w:sz w:val="18"/>
                <w:szCs w:val="18"/>
                <w:color w:val="auto"/>
                <w:w w:val="94"/>
              </w:rPr>
              <w:t>(Zip Code)</w:t>
            </w:r>
          </w:p>
        </w:tc>
      </w:tr>
      <w:tr>
        <w:trPr>
          <w:trHeight w:val="418"/>
        </w:trPr>
        <w:tc>
          <w:tcPr>
            <w:tcW w:w="5700" w:type="dxa"/>
            <w:vAlign w:val="bottom"/>
            <w:gridSpan w:val="2"/>
          </w:tcPr>
          <w:p>
            <w:pPr>
              <w:jc w:val="center"/>
              <w:ind w:left="3317"/>
              <w:spacing w:after="0"/>
              <w:rPr>
                <w:sz w:val="20"/>
                <w:szCs w:val="20"/>
                <w:color w:val="auto"/>
              </w:rPr>
            </w:pPr>
            <w:r>
              <w:rPr>
                <w:rFonts w:ascii="Arial" w:cs="Arial" w:eastAsia="Arial" w:hAnsi="Arial"/>
                <w:sz w:val="18"/>
                <w:szCs w:val="18"/>
                <w:b w:val="1"/>
                <w:bCs w:val="1"/>
                <w:color w:val="auto"/>
                <w:w w:val="90"/>
              </w:rPr>
              <w:t>(609) 716-4000</w:t>
            </w: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0"/>
        </w:trPr>
        <w:tc>
          <w:tcPr>
            <w:tcW w:w="6740" w:type="dxa"/>
            <w:vAlign w:val="bottom"/>
            <w:gridSpan w:val="3"/>
          </w:tcPr>
          <w:p>
            <w:pPr>
              <w:jc w:val="center"/>
              <w:ind w:left="2257"/>
              <w:spacing w:after="0"/>
              <w:rPr>
                <w:sz w:val="20"/>
                <w:szCs w:val="20"/>
                <w:color w:val="auto"/>
              </w:rPr>
            </w:pPr>
            <w:r>
              <w:rPr>
                <w:rFonts w:ascii="Arial" w:cs="Arial" w:eastAsia="Arial" w:hAnsi="Arial"/>
                <w:sz w:val="18"/>
                <w:szCs w:val="18"/>
                <w:color w:val="auto"/>
                <w:w w:val="90"/>
              </w:rPr>
              <w:t>(Registrant’s telephone number, including area code)</w:t>
            </w:r>
          </w:p>
        </w:tc>
        <w:tc>
          <w:tcPr>
            <w:tcW w:w="1620" w:type="dxa"/>
            <w:vAlign w:val="bottom"/>
          </w:tcPr>
          <w:p>
            <w:pPr>
              <w:spacing w:after="0"/>
              <w:rPr>
                <w:sz w:val="20"/>
                <w:szCs w:val="20"/>
                <w:color w:val="auto"/>
              </w:rPr>
            </w:pPr>
          </w:p>
        </w:tc>
      </w:tr>
      <w:tr>
        <w:trPr>
          <w:trHeight w:val="334"/>
        </w:trPr>
        <w:tc>
          <w:tcPr>
            <w:tcW w:w="3400" w:type="dxa"/>
            <w:vAlign w:val="bottom"/>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4351020</wp:posOffset>
            </wp:positionH>
            <wp:positionV relativeFrom="paragraph">
              <wp:posOffset>-1832610</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-1832610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4" w:lineRule="exact"/>
        <w:rPr>
          <w:sz w:val="24"/>
          <w:szCs w:val="24"/>
          <w:color w:val="auto"/>
        </w:rPr>
      </w:pPr>
    </w:p>
    <w:p>
      <w:pPr>
        <w:jc w:val="both"/>
        <w:ind w:firstLine="648"/>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400"/>
        <w:spacing w:after="0"/>
        <w:tabs>
          <w:tab w:leader="none" w:pos="1104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7"/>
          <w:szCs w:val="17"/>
          <w:color w:val="auto"/>
        </w:rPr>
        <w:t>o No</w:t>
      </w:r>
    </w:p>
    <w:p>
      <w:pPr>
        <w:spacing w:after="0" w:line="238" w:lineRule="exact"/>
        <w:rPr>
          <w:sz w:val="24"/>
          <w:szCs w:val="24"/>
          <w:color w:val="auto"/>
        </w:rPr>
      </w:pPr>
    </w:p>
    <w:p>
      <w:pPr>
        <w:jc w:val="both"/>
        <w:ind w:firstLine="648"/>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400"/>
        <w:spacing w:after="0"/>
        <w:tabs>
          <w:tab w:leader="none" w:pos="11040" w:val="left"/>
        </w:tabs>
        <w:rPr>
          <w:sz w:val="20"/>
          <w:szCs w:val="20"/>
          <w:color w:val="auto"/>
        </w:rPr>
      </w:pPr>
      <w:r>
        <w:rPr>
          <w:rFonts w:ascii="Arial" w:cs="Arial" w:eastAsia="Arial" w:hAnsi="Arial"/>
          <w:sz w:val="18"/>
          <w:szCs w:val="18"/>
          <w:color w:val="auto"/>
        </w:rPr>
        <w:t>o Yes</w:t>
      </w:r>
      <w:r>
        <w:rPr>
          <w:sz w:val="20"/>
          <w:szCs w:val="20"/>
          <w:color w:val="auto"/>
        </w:rPr>
        <w:tab/>
      </w:r>
      <w:r>
        <w:rPr>
          <w:rFonts w:ascii="Arial" w:cs="Arial" w:eastAsia="Arial" w:hAnsi="Arial"/>
          <w:sz w:val="17"/>
          <w:szCs w:val="17"/>
          <w:color w:val="auto"/>
        </w:rPr>
        <w:t>o No</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25" w:right="239" w:bottom="1440" w:gutter="0" w:footer="0" w:header="0"/>
          <w:type w:val="continuous"/>
        </w:sectPr>
      </w:pPr>
    </w:p>
    <w:p>
      <w:pPr>
        <w:spacing w:after="0" w:line="249"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Non-accelerated filer x</w:t>
      </w:r>
    </w:p>
    <w:p>
      <w:pPr>
        <w:spacing w:after="0" w:line="9"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16" w:lineRule="exact"/>
        <w:rPr>
          <w:sz w:val="24"/>
          <w:szCs w:val="24"/>
          <w:color w:val="auto"/>
        </w:rPr>
      </w:pPr>
    </w:p>
    <w:p>
      <w:pPr>
        <w:sectPr>
          <w:pgSz w:w="11900" w:h="16838" w:orient="portrait"/>
          <w:cols w:equalWidth="0" w:num="2">
            <w:col w:w="6380" w:space="720"/>
            <w:col w:w="4320"/>
          </w:cols>
          <w:pgMar w:left="240" w:top="225" w:right="239" w:bottom="1440" w:gutter="0" w:footer="0" w:header="0"/>
          <w:type w:val="continuous"/>
        </w:sectPr>
      </w:pPr>
    </w:p>
    <w:p>
      <w:pPr>
        <w:spacing w:after="0" w:line="3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jc w:val="right"/>
        <w:spacing w:after="0"/>
        <w:tabs>
          <w:tab w:leader="none" w:pos="340" w:val="left"/>
        </w:tabs>
        <w:rPr>
          <w:sz w:val="20"/>
          <w:szCs w:val="20"/>
          <w:color w:val="auto"/>
        </w:rPr>
      </w:pPr>
      <w:r>
        <w:rPr>
          <w:rFonts w:ascii="Arial" w:cs="Arial" w:eastAsia="Arial" w:hAnsi="Arial"/>
          <w:sz w:val="18"/>
          <w:szCs w:val="18"/>
          <w:color w:val="auto"/>
        </w:rPr>
        <w:t>o Yes</w:t>
      </w:r>
      <w:r>
        <w:rPr>
          <w:sz w:val="20"/>
          <w:szCs w:val="20"/>
          <w:color w:val="auto"/>
        </w:rPr>
        <w:tab/>
      </w:r>
      <w:r>
        <w:rPr>
          <w:rFonts w:ascii="Arial" w:cs="Arial" w:eastAsia="Arial" w:hAnsi="Arial"/>
          <w:sz w:val="17"/>
          <w:szCs w:val="17"/>
          <w:color w:val="auto"/>
        </w:rPr>
        <w:t>x No</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January 7, 2010, the registrant had 26,664,855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120" w:type="dxa"/>
            <w:vAlign w:val="bottom"/>
            <w:gridSpan w:val="9"/>
          </w:tcPr>
          <w:p>
            <w:pPr>
              <w:jc w:val="center"/>
              <w:ind w:right="3940"/>
              <w:spacing w:after="0"/>
              <w:rPr>
                <w:sz w:val="20"/>
                <w:szCs w:val="20"/>
                <w:color w:val="auto"/>
              </w:rPr>
            </w:pPr>
            <w:r>
              <w:rPr>
                <w:rFonts w:ascii="Arial" w:cs="Arial" w:eastAsia="Arial" w:hAnsi="Arial"/>
                <w:sz w:val="18"/>
                <w:szCs w:val="18"/>
                <w:color w:val="auto"/>
                <w:w w:val="95"/>
              </w:rPr>
              <w:t>TABLE OF CONTENTS</w:t>
            </w:r>
          </w:p>
        </w:tc>
        <w:tc>
          <w:tcPr>
            <w:tcW w:w="680" w:type="dxa"/>
            <w:vAlign w:val="bottom"/>
          </w:tcPr>
          <w:p>
            <w:pPr>
              <w:spacing w:after="0"/>
              <w:rPr>
                <w:sz w:val="20"/>
                <w:szCs w:val="20"/>
                <w:color w:val="auto"/>
              </w:rPr>
            </w:pPr>
          </w:p>
        </w:tc>
      </w:tr>
      <w:tr>
        <w:trPr>
          <w:trHeight w:val="466"/>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PAGE</w:t>
            </w:r>
          </w:p>
        </w:tc>
      </w:tr>
      <w:tr>
        <w:trPr>
          <w:trHeight w:val="392"/>
        </w:trPr>
        <w:tc>
          <w:tcPr>
            <w:tcW w:w="1074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680" w:type="dxa"/>
            <w:vAlign w:val="bottom"/>
          </w:tcPr>
          <w:p>
            <w:pPr>
              <w:spacing w:after="0"/>
              <w:rPr>
                <w:sz w:val="24"/>
                <w:szCs w:val="24"/>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138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4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Balance Sheets as of November 30, 2010 and May 31, 2010</w:t>
              </w:r>
            </w:hyperlink>
          </w:p>
        </w:tc>
        <w:tc>
          <w:tcPr>
            <w:tcW w:w="232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Operations for the three and six months ended November 30, 2010 and 2009</w:t>
              </w:r>
            </w:hyperlink>
          </w:p>
        </w:tc>
        <w:tc>
          <w:tcPr>
            <w:tcW w:w="10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40" w:type="dxa"/>
            <w:vAlign w:val="bottom"/>
            <w:gridSpan w:val="18"/>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Consolidated Statements of Stockholders’ Equity for the six months ended November 30, 2010 and 2009</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60" w:type="dxa"/>
            <w:vAlign w:val="bottom"/>
            <w:tcBorders>
              <w:top w:val="single" w:sz="8" w:color="0000EE"/>
            </w:tcBorders>
            <w:gridSpan w:val="17"/>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Unaudited Consolidated Statements of Cash Flows for the six months ended November 30, 2010 and 2009</w:t>
              </w:r>
            </w:hyperlink>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80" w:type="dxa"/>
            <w:vAlign w:val="bottom"/>
            <w:tcBorders>
              <w:top w:val="single" w:sz="8" w:color="0000EE"/>
            </w:tcBorders>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Consolidated Financial Statements</w:t>
              </w:r>
            </w:hyperlink>
          </w:p>
        </w:tc>
        <w:tc>
          <w:tcPr>
            <w:tcW w:w="76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640" w:type="dxa"/>
            <w:vAlign w:val="bottom"/>
            <w:gridSpan w:val="4"/>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2.</w:t>
              </w:r>
            </w:hyperlink>
          </w:p>
        </w:tc>
        <w:tc>
          <w:tcPr>
            <w:tcW w:w="740" w:type="dxa"/>
            <w:vAlign w:val="bottom"/>
            <w:gridSpan w:val="2"/>
          </w:tcPr>
          <w:p>
            <w:pPr>
              <w:spacing w:after="0"/>
              <w:rPr>
                <w:sz w:val="24"/>
                <w:szCs w:val="24"/>
                <w:color w:val="auto"/>
              </w:rPr>
            </w:pPr>
          </w:p>
        </w:tc>
        <w:tc>
          <w:tcPr>
            <w:tcW w:w="844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920" w:type="dxa"/>
            <w:vAlign w:val="bottom"/>
          </w:tcPr>
          <w:p>
            <w:pPr>
              <w:spacing w:after="0"/>
              <w:rPr>
                <w:sz w:val="24"/>
                <w:szCs w:val="24"/>
                <w:color w:val="auto"/>
              </w:rPr>
            </w:pPr>
          </w:p>
        </w:tc>
        <w:tc>
          <w:tcPr>
            <w:tcW w:w="6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ITEM 3.</w:t>
              </w:r>
            </w:hyperlink>
          </w:p>
        </w:tc>
        <w:tc>
          <w:tcPr>
            <w:tcW w:w="740" w:type="dxa"/>
            <w:vAlign w:val="bottom"/>
            <w:gridSpan w:val="2"/>
          </w:tcPr>
          <w:p>
            <w:pPr>
              <w:spacing w:after="0"/>
              <w:rPr>
                <w:sz w:val="24"/>
                <w:szCs w:val="24"/>
                <w:color w:val="auto"/>
              </w:rPr>
            </w:pPr>
          </w:p>
        </w:tc>
        <w:tc>
          <w:tcPr>
            <w:tcW w:w="4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198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920" w:type="dxa"/>
            <w:vAlign w:val="bottom"/>
          </w:tcPr>
          <w:p>
            <w:pPr>
              <w:spacing w:after="0"/>
              <w:rPr>
                <w:sz w:val="24"/>
                <w:szCs w:val="24"/>
                <w:color w:val="auto"/>
              </w:rPr>
            </w:pPr>
          </w:p>
        </w:tc>
        <w:tc>
          <w:tcPr>
            <w:tcW w:w="64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4.</w:t>
              </w:r>
            </w:hyperlink>
          </w:p>
        </w:tc>
        <w:tc>
          <w:tcPr>
            <w:tcW w:w="740" w:type="dxa"/>
            <w:vAlign w:val="bottom"/>
            <w:gridSpan w:val="2"/>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Controls and Procedures</w:t>
              </w:r>
            </w:hyperlink>
          </w:p>
        </w:tc>
        <w:tc>
          <w:tcPr>
            <w:tcW w:w="666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68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PART II—OTHER INFORMATION</w:t>
              </w:r>
            </w:hyperlink>
          </w:p>
        </w:tc>
        <w:tc>
          <w:tcPr>
            <w:tcW w:w="8060" w:type="dxa"/>
            <w:vAlign w:val="bottom"/>
            <w:gridSpan w:val="17"/>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920" w:type="dxa"/>
            <w:vAlign w:val="bottom"/>
          </w:tcPr>
          <w:p>
            <w:pPr>
              <w:spacing w:after="0"/>
              <w:rPr>
                <w:sz w:val="24"/>
                <w:szCs w:val="24"/>
                <w:color w:val="auto"/>
              </w:rPr>
            </w:pPr>
          </w:p>
        </w:tc>
        <w:tc>
          <w:tcPr>
            <w:tcW w:w="64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ITEM 1.</w:t>
              </w:r>
            </w:hyperlink>
          </w:p>
        </w:tc>
        <w:tc>
          <w:tcPr>
            <w:tcW w:w="740" w:type="dxa"/>
            <w:vAlign w:val="bottom"/>
            <w:gridSpan w:val="2"/>
          </w:tcPr>
          <w:p>
            <w:pPr>
              <w:spacing w:after="0"/>
              <w:rPr>
                <w:sz w:val="24"/>
                <w:szCs w:val="24"/>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710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920" w:type="dxa"/>
            <w:vAlign w:val="bottom"/>
          </w:tcPr>
          <w:p>
            <w:pPr>
              <w:spacing w:after="0"/>
              <w:rPr>
                <w:sz w:val="24"/>
                <w:szCs w:val="24"/>
                <w:color w:val="auto"/>
              </w:rPr>
            </w:pPr>
          </w:p>
        </w:tc>
        <w:tc>
          <w:tcPr>
            <w:tcW w:w="1380" w:type="dxa"/>
            <w:vAlign w:val="bottom"/>
            <w:gridSpan w:val="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1.A.</w:t>
              </w:r>
            </w:hyperlink>
          </w:p>
        </w:tc>
        <w:tc>
          <w:tcPr>
            <w:tcW w:w="844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64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ITEM 2.</w:t>
              </w:r>
            </w:hyperlink>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Unregistered Sales of Equity Securities and Use of Proceeds</w:t>
              </w:r>
            </w:hyperlink>
          </w:p>
        </w:tc>
        <w:tc>
          <w:tcPr>
            <w:tcW w:w="408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920" w:type="dxa"/>
            <w:vAlign w:val="bottom"/>
          </w:tcPr>
          <w:p>
            <w:pPr>
              <w:spacing w:after="0"/>
              <w:rPr>
                <w:sz w:val="24"/>
                <w:szCs w:val="24"/>
                <w:color w:val="auto"/>
              </w:rPr>
            </w:pPr>
          </w:p>
        </w:tc>
        <w:tc>
          <w:tcPr>
            <w:tcW w:w="640" w:type="dxa"/>
            <w:vAlign w:val="bottom"/>
            <w:gridSpan w:val="4"/>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ITEM 3.</w:t>
              </w:r>
            </w:hyperlink>
          </w:p>
        </w:tc>
        <w:tc>
          <w:tcPr>
            <w:tcW w:w="740" w:type="dxa"/>
            <w:vAlign w:val="bottom"/>
            <w:gridSpan w:val="2"/>
          </w:tcPr>
          <w:p>
            <w:pPr>
              <w:spacing w:after="0"/>
              <w:rPr>
                <w:sz w:val="24"/>
                <w:szCs w:val="24"/>
                <w:color w:val="auto"/>
              </w:rPr>
            </w:pPr>
          </w:p>
        </w:tc>
        <w:tc>
          <w:tcPr>
            <w:tcW w:w="844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920" w:type="dxa"/>
            <w:vAlign w:val="bottom"/>
          </w:tcPr>
          <w:p>
            <w:pPr>
              <w:spacing w:after="0"/>
              <w:rPr>
                <w:sz w:val="24"/>
                <w:szCs w:val="24"/>
                <w:color w:val="auto"/>
              </w:rPr>
            </w:pPr>
          </w:p>
        </w:tc>
        <w:tc>
          <w:tcPr>
            <w:tcW w:w="6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ITEM 5.</w:t>
              </w:r>
            </w:hyperlink>
          </w:p>
        </w:tc>
        <w:tc>
          <w:tcPr>
            <w:tcW w:w="740" w:type="dxa"/>
            <w:vAlign w:val="bottom"/>
            <w:gridSpan w:val="2"/>
          </w:tcPr>
          <w:p>
            <w:pPr>
              <w:spacing w:after="0"/>
              <w:rPr>
                <w:sz w:val="24"/>
                <w:szCs w:val="24"/>
                <w:color w:val="auto"/>
              </w:rPr>
            </w:pP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Other Information</w:t>
              </w:r>
            </w:hyperlink>
          </w:p>
        </w:tc>
        <w:tc>
          <w:tcPr>
            <w:tcW w:w="1000" w:type="dxa"/>
            <w:vAlign w:val="bottom"/>
            <w:tcBorders>
              <w:top w:val="single" w:sz="8" w:color="0000EE"/>
            </w:tcBorders>
            <w:gridSpan w:val="4"/>
          </w:tcPr>
          <w:p>
            <w:pPr>
              <w:spacing w:after="0"/>
              <w:rPr>
                <w:sz w:val="24"/>
                <w:szCs w:val="24"/>
                <w:color w:val="auto"/>
              </w:rPr>
            </w:pPr>
          </w:p>
        </w:tc>
        <w:tc>
          <w:tcPr>
            <w:tcW w:w="612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920" w:type="dxa"/>
            <w:vAlign w:val="bottom"/>
          </w:tcPr>
          <w:p>
            <w:pPr>
              <w:spacing w:after="0"/>
              <w:rPr>
                <w:sz w:val="24"/>
                <w:szCs w:val="24"/>
                <w:color w:val="auto"/>
              </w:rPr>
            </w:pPr>
          </w:p>
        </w:tc>
        <w:tc>
          <w:tcPr>
            <w:tcW w:w="1380" w:type="dxa"/>
            <w:vAlign w:val="bottom"/>
            <w:gridSpan w:val="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6.</w:t>
              </w:r>
            </w:hyperlink>
          </w:p>
        </w:tc>
        <w:tc>
          <w:tcPr>
            <w:tcW w:w="844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2300" w:type="dxa"/>
            <w:vAlign w:val="bottom"/>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2300" w:type="dxa"/>
            <w:vAlign w:val="bottom"/>
            <w:gridSpan w:val="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 INDEX</w:t>
              </w:r>
            </w:hyperlink>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601"/>
        </w:trPr>
        <w:tc>
          <w:tcPr>
            <w:tcW w:w="9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20" w:type="dxa"/>
            <w:vAlign w:val="bottom"/>
            <w:gridSpan w:val="9"/>
          </w:tcPr>
          <w:p>
            <w:pPr>
              <w:jc w:val="center"/>
              <w:ind w:right="3940"/>
              <w:spacing w:after="0"/>
              <w:rPr>
                <w:sz w:val="20"/>
                <w:szCs w:val="20"/>
                <w:color w:val="auto"/>
              </w:rPr>
            </w:pPr>
            <w:r>
              <w:rPr>
                <w:rFonts w:ascii="Arial" w:cs="Arial" w:eastAsia="Arial" w:hAnsi="Arial"/>
                <w:sz w:val="18"/>
                <w:szCs w:val="18"/>
                <w:color w:val="auto"/>
              </w:rPr>
              <w:t>-i-</w:t>
            </w:r>
          </w:p>
        </w:tc>
        <w:tc>
          <w:tcPr>
            <w:tcW w:w="680" w:type="dxa"/>
            <w:vAlign w:val="bottom"/>
          </w:tcPr>
          <w:p>
            <w:pPr>
              <w:spacing w:after="0"/>
              <w:rPr>
                <w:sz w:val="24"/>
                <w:szCs w:val="24"/>
                <w:color w:val="auto"/>
              </w:rPr>
            </w:pPr>
          </w:p>
        </w:tc>
      </w:tr>
      <w:tr>
        <w:trPr>
          <w:trHeight w:val="118"/>
        </w:trPr>
        <w:tc>
          <w:tcPr>
            <w:tcW w:w="9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7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rPr>
              <w:t>PART I—FINANCIAL INFORMATION</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700" w:type="dxa"/>
            <w:vAlign w:val="bottom"/>
          </w:tcPr>
          <w:p>
            <w:pPr>
              <w:ind w:left="40"/>
              <w:spacing w:after="0"/>
              <w:rPr>
                <w:sz w:val="20"/>
                <w:szCs w:val="20"/>
                <w:color w:val="auto"/>
              </w:rPr>
            </w:pPr>
            <w:r>
              <w:rPr>
                <w:rFonts w:ascii="Arial" w:cs="Arial" w:eastAsia="Arial" w:hAnsi="Arial"/>
                <w:sz w:val="18"/>
                <w:szCs w:val="18"/>
                <w:b w:val="1"/>
                <w:bCs w:val="1"/>
                <w:color w:val="auto"/>
                <w:w w:val="93"/>
              </w:rPr>
              <w:t>Financial Statements (unaudited)</w:t>
            </w:r>
          </w:p>
        </w:tc>
        <w:tc>
          <w:tcPr>
            <w:tcW w:w="2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7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Mistras Group, Inc. and Subsidiaries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72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88"/>
              </w:rPr>
              <w:t>Unaudited Consolidated Balance Sheets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7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8"/>
              </w:rPr>
              <w:t>(in thousands, except share data)</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November 30, 2010</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May 31,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2700" w:type="dxa"/>
            <w:vAlign w:val="bottom"/>
            <w:shd w:val="clear" w:color="auto" w:fill="EAF9E8"/>
          </w:tcPr>
          <w:p>
            <w:pPr>
              <w:spacing w:after="0"/>
              <w:rPr>
                <w:sz w:val="18"/>
                <w:szCs w:val="18"/>
                <w:color w:val="auto"/>
              </w:rPr>
            </w:pPr>
          </w:p>
        </w:tc>
        <w:tc>
          <w:tcPr>
            <w:tcW w:w="2600" w:type="dxa"/>
            <w:vAlign w:val="bottom"/>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18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Current Assets</w:t>
            </w:r>
          </w:p>
        </w:tc>
        <w:tc>
          <w:tcPr>
            <w:tcW w:w="2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Cash and cash equivalents</w:t>
            </w:r>
          </w:p>
        </w:tc>
        <w:tc>
          <w:tcPr>
            <w:tcW w:w="3720" w:type="dxa"/>
            <w:vAlign w:val="bottom"/>
            <w:gridSpan w:val="2"/>
            <w:shd w:val="clear" w:color="auto" w:fill="EAF9E8"/>
          </w:tcPr>
          <w:p>
            <w:pPr>
              <w:jc w:val="right"/>
              <w:ind w:right="9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6,769</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63,354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54,721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2"/>
              </w:rPr>
              <w:t>Inventories, net</w:t>
            </w:r>
          </w:p>
        </w:tc>
        <w:tc>
          <w:tcPr>
            <w:tcW w:w="2700" w:type="dxa"/>
            <w:vAlign w:val="bottom"/>
            <w:shd w:val="clear" w:color="auto" w:fill="EAF9E8"/>
          </w:tcPr>
          <w:p>
            <w:pPr>
              <w:spacing w:after="0"/>
              <w:rPr>
                <w:sz w:val="18"/>
                <w:szCs w:val="18"/>
                <w:color w:val="auto"/>
              </w:rPr>
            </w:pP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10,181</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2,287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5,791</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shd w:val="clear" w:color="auto" w:fill="EAF9E8"/>
          </w:tcPr>
          <w:p>
            <w:pPr>
              <w:spacing w:after="0"/>
              <w:rPr>
                <w:sz w:val="2"/>
                <w:szCs w:val="2"/>
                <w:color w:val="auto"/>
              </w:rPr>
            </w:pPr>
          </w:p>
        </w:tc>
        <w:tc>
          <w:tcPr>
            <w:tcW w:w="2700" w:type="dxa"/>
            <w:vAlign w:val="bottom"/>
            <w:shd w:val="clear" w:color="auto" w:fill="EAF9E8"/>
          </w:tcPr>
          <w:p>
            <w:pPr>
              <w:spacing w:after="0"/>
              <w:rPr>
                <w:sz w:val="2"/>
                <w:szCs w:val="2"/>
                <w:color w:val="auto"/>
              </w:rPr>
            </w:pPr>
          </w:p>
        </w:tc>
        <w:tc>
          <w:tcPr>
            <w:tcW w:w="2600" w:type="dxa"/>
            <w:vAlign w:val="bottom"/>
            <w:shd w:val="clear" w:color="auto" w:fill="EAF9E8"/>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320"/>
              <w:spacing w:after="0"/>
              <w:rPr>
                <w:sz w:val="20"/>
                <w:szCs w:val="20"/>
                <w:color w:val="auto"/>
              </w:rPr>
            </w:pPr>
            <w:r>
              <w:rPr>
                <w:rFonts w:ascii="Arial" w:cs="Arial" w:eastAsia="Arial" w:hAnsi="Arial"/>
                <w:sz w:val="18"/>
                <w:szCs w:val="18"/>
                <w:color w:val="auto"/>
              </w:rPr>
              <w:t>Total current assets</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88,382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86,975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Property, plant and equipment, net</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46,396</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39,981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20,290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16,088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EAF9E8"/>
          </w:tcPr>
          <w:p>
            <w:pPr>
              <w:spacing w:after="0"/>
              <w:rPr>
                <w:sz w:val="20"/>
                <w:szCs w:val="20"/>
                <w:color w:val="auto"/>
              </w:rPr>
            </w:pPr>
            <w:r>
              <w:rPr>
                <w:rFonts w:ascii="Arial" w:cs="Arial" w:eastAsia="Arial" w:hAnsi="Arial"/>
                <w:sz w:val="18"/>
                <w:szCs w:val="18"/>
                <w:color w:val="auto"/>
              </w:rPr>
              <w:t>Goodwill</w:t>
            </w:r>
          </w:p>
        </w:tc>
        <w:tc>
          <w:tcPr>
            <w:tcW w:w="2700" w:type="dxa"/>
            <w:vAlign w:val="bottom"/>
            <w:shd w:val="clear" w:color="auto" w:fill="EAF9E8"/>
          </w:tcPr>
          <w:p>
            <w:pPr>
              <w:spacing w:after="0"/>
              <w:rPr>
                <w:sz w:val="18"/>
                <w:szCs w:val="18"/>
                <w:color w:val="auto"/>
              </w:rPr>
            </w:pP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51,586</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Other assets</w:t>
            </w:r>
          </w:p>
        </w:tc>
        <w:tc>
          <w:tcPr>
            <w:tcW w:w="2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assets</w:t>
            </w:r>
          </w:p>
        </w:tc>
        <w:tc>
          <w:tcPr>
            <w:tcW w:w="2700" w:type="dxa"/>
            <w:vAlign w:val="bottom"/>
            <w:shd w:val="clear" w:color="auto" w:fill="EAF9E8"/>
          </w:tcPr>
          <w:p>
            <w:pPr>
              <w:spacing w:after="0"/>
              <w:rPr>
                <w:sz w:val="22"/>
                <w:szCs w:val="22"/>
                <w:color w:val="auto"/>
              </w:rPr>
            </w:pPr>
          </w:p>
        </w:tc>
        <w:tc>
          <w:tcPr>
            <w:tcW w:w="3720" w:type="dxa"/>
            <w:vAlign w:val="bottom"/>
            <w:gridSpan w:val="2"/>
            <w:shd w:val="clear" w:color="auto" w:fill="EAF9E8"/>
          </w:tcPr>
          <w:p>
            <w:pPr>
              <w:jc w:val="right"/>
              <w:ind w:right="9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207,108</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188,632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EAF9E8"/>
            </w:tcBorders>
            <w:gridSpan w:val="3"/>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4"/>
            <w:shd w:val="clear" w:color="auto" w:fill="EAF9E8"/>
          </w:tcPr>
          <w:p>
            <w:pPr>
              <w:spacing w:after="0"/>
              <w:rPr>
                <w:sz w:val="20"/>
                <w:szCs w:val="20"/>
                <w:color w:val="auto"/>
              </w:rPr>
            </w:pPr>
            <w:r>
              <w:rPr>
                <w:rFonts w:ascii="Arial" w:cs="Arial" w:eastAsia="Arial" w:hAnsi="Arial"/>
                <w:sz w:val="18"/>
                <w:szCs w:val="18"/>
                <w:b w:val="1"/>
                <w:bCs w:val="1"/>
                <w:color w:val="auto"/>
              </w:rPr>
              <w:t>LIABILITIES, PREFERRED STOCK AND EQUITY</w:t>
            </w:r>
          </w:p>
        </w:tc>
        <w:tc>
          <w:tcPr>
            <w:tcW w:w="10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7"/>
              </w:rPr>
              <w:t>Current liabilities</w:t>
            </w:r>
          </w:p>
        </w:tc>
        <w:tc>
          <w:tcPr>
            <w:tcW w:w="2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Current portion of long-term debt</w:t>
            </w:r>
          </w:p>
        </w:tc>
        <w:tc>
          <w:tcPr>
            <w:tcW w:w="3720" w:type="dxa"/>
            <w:vAlign w:val="bottom"/>
            <w:gridSpan w:val="2"/>
            <w:shd w:val="clear" w:color="auto" w:fill="EAF9E8"/>
          </w:tcPr>
          <w:p>
            <w:pPr>
              <w:jc w:val="right"/>
              <w:ind w:right="9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5,563</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5,854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Accounts payable</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4,594</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22,585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Income taxes payable</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3,504</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shd w:val="clear" w:color="auto" w:fill="EAF9E8"/>
          </w:tcPr>
          <w:p>
            <w:pPr>
              <w:spacing w:after="0"/>
              <w:rPr>
                <w:sz w:val="2"/>
                <w:szCs w:val="2"/>
                <w:color w:val="auto"/>
              </w:rPr>
            </w:pPr>
          </w:p>
        </w:tc>
        <w:tc>
          <w:tcPr>
            <w:tcW w:w="2700" w:type="dxa"/>
            <w:vAlign w:val="bottom"/>
            <w:shd w:val="clear" w:color="auto" w:fill="EAF9E8"/>
          </w:tcPr>
          <w:p>
            <w:pPr>
              <w:spacing w:after="0"/>
              <w:rPr>
                <w:sz w:val="2"/>
                <w:szCs w:val="2"/>
                <w:color w:val="auto"/>
              </w:rPr>
            </w:pPr>
          </w:p>
        </w:tc>
        <w:tc>
          <w:tcPr>
            <w:tcW w:w="2600" w:type="dxa"/>
            <w:vAlign w:val="bottom"/>
            <w:shd w:val="clear" w:color="auto" w:fill="EAF9E8"/>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42,100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39,684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Long-term debt, net of current portion</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12,269</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w w:val="92"/>
              </w:rPr>
              <w:t>Obligations under capital leases, net of current portion</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9,477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Deferred income taxes</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2,325</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636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liabilities</w:t>
            </w:r>
          </w:p>
        </w:tc>
        <w:tc>
          <w:tcPr>
            <w:tcW w:w="260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66,807</w:t>
            </w:r>
          </w:p>
        </w:tc>
        <w:tc>
          <w:tcPr>
            <w:tcW w:w="14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Borders>
              <w:top w:val="single" w:sz="8" w:color="EAF9E8"/>
            </w:tcBorders>
            <w:gridSpan w:val="2"/>
          </w:tcPr>
          <w:p>
            <w:pPr>
              <w:spacing w:after="0"/>
              <w:rPr>
                <w:sz w:val="18"/>
                <w:szCs w:val="18"/>
                <w:color w:val="auto"/>
              </w:rPr>
            </w:pPr>
          </w:p>
        </w:tc>
        <w:tc>
          <w:tcPr>
            <w:tcW w:w="2600" w:type="dxa"/>
            <w:vAlign w:val="bottom"/>
            <w:tcBorders>
              <w:top w:val="single" w:sz="8" w:color="EAF9E8"/>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Commitments and contingencies</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Preferred stock, 10,000,000 shares authorized</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EAF9E8"/>
          </w:tcPr>
          <w:p>
            <w:pPr>
              <w:spacing w:after="0"/>
              <w:rPr>
                <w:sz w:val="20"/>
                <w:szCs w:val="20"/>
                <w:color w:val="auto"/>
              </w:rPr>
            </w:pPr>
            <w:r>
              <w:rPr>
                <w:rFonts w:ascii="Arial" w:cs="Arial" w:eastAsia="Arial" w:hAnsi="Arial"/>
                <w:sz w:val="18"/>
                <w:szCs w:val="18"/>
                <w:color w:val="auto"/>
              </w:rPr>
              <w:t>Equity</w:t>
            </w:r>
          </w:p>
        </w:tc>
        <w:tc>
          <w:tcPr>
            <w:tcW w:w="2700" w:type="dxa"/>
            <w:vAlign w:val="bottom"/>
            <w:shd w:val="clear" w:color="auto" w:fill="EAF9E8"/>
          </w:tcPr>
          <w:p>
            <w:pPr>
              <w:spacing w:after="0"/>
              <w:rPr>
                <w:sz w:val="18"/>
                <w:szCs w:val="18"/>
                <w:color w:val="auto"/>
              </w:rPr>
            </w:pP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Common stock, $0.01 par value, 200,000,000 shares authorized, 26,664,855 and</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4"/>
          </w:tcPr>
          <w:p>
            <w:pPr>
              <w:ind w:left="320"/>
              <w:spacing w:after="0"/>
              <w:rPr>
                <w:sz w:val="20"/>
                <w:szCs w:val="20"/>
                <w:color w:val="auto"/>
              </w:rPr>
            </w:pPr>
            <w:r>
              <w:rPr>
                <w:rFonts w:ascii="Arial" w:cs="Arial" w:eastAsia="Arial" w:hAnsi="Arial"/>
                <w:sz w:val="18"/>
                <w:szCs w:val="18"/>
                <w:color w:val="auto"/>
              </w:rPr>
              <w:t>26,663,528 shares issued and outstanding as of November 30, 2010 and May 31,</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2"/>
          </w:tcPr>
          <w:p>
            <w:pPr>
              <w:ind w:left="320"/>
              <w:spacing w:after="0"/>
              <w:rPr>
                <w:sz w:val="20"/>
                <w:szCs w:val="20"/>
                <w:color w:val="auto"/>
              </w:rPr>
            </w:pPr>
            <w:r>
              <w:rPr>
                <w:rFonts w:ascii="Arial" w:cs="Arial" w:eastAsia="Arial" w:hAnsi="Arial"/>
                <w:sz w:val="18"/>
                <w:szCs w:val="18"/>
                <w:color w:val="auto"/>
              </w:rPr>
              <w:t>2010, respectively</w:t>
            </w:r>
          </w:p>
        </w:tc>
        <w:tc>
          <w:tcPr>
            <w:tcW w:w="2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Additional paid-in capital</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163,830</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(23,178)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(30,448)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Accumulated other comprehensive loss</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(1,021)</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shd w:val="clear" w:color="auto" w:fill="EAF9E8"/>
          </w:tcPr>
          <w:p>
            <w:pPr>
              <w:spacing w:after="0"/>
              <w:rPr>
                <w:sz w:val="2"/>
                <w:szCs w:val="2"/>
                <w:color w:val="auto"/>
              </w:rPr>
            </w:pPr>
          </w:p>
        </w:tc>
        <w:tc>
          <w:tcPr>
            <w:tcW w:w="2700" w:type="dxa"/>
            <w:vAlign w:val="bottom"/>
            <w:shd w:val="clear" w:color="auto" w:fill="EAF9E8"/>
          </w:tcPr>
          <w:p>
            <w:pPr>
              <w:spacing w:after="0"/>
              <w:rPr>
                <w:sz w:val="2"/>
                <w:szCs w:val="2"/>
                <w:color w:val="auto"/>
              </w:rPr>
            </w:pPr>
          </w:p>
        </w:tc>
        <w:tc>
          <w:tcPr>
            <w:tcW w:w="2600" w:type="dxa"/>
            <w:vAlign w:val="bottom"/>
            <w:shd w:val="clear" w:color="auto" w:fill="EAF9E8"/>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Total Mistras Group, Inc. stockholders’ equity</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139,898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130,286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Noncontrolling interest</w:t>
            </w:r>
          </w:p>
        </w:tc>
        <w:tc>
          <w:tcPr>
            <w:tcW w:w="260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shd w:val="clear" w:color="auto" w:fill="EAF9E8"/>
          </w:tcPr>
          <w:p>
            <w:pPr>
              <w:spacing w:after="0"/>
              <w:rPr>
                <w:sz w:val="2"/>
                <w:szCs w:val="2"/>
                <w:color w:val="auto"/>
              </w:rPr>
            </w:pPr>
          </w:p>
        </w:tc>
        <w:tc>
          <w:tcPr>
            <w:tcW w:w="2700" w:type="dxa"/>
            <w:vAlign w:val="bottom"/>
            <w:shd w:val="clear" w:color="auto" w:fill="EAF9E8"/>
          </w:tcPr>
          <w:p>
            <w:pPr>
              <w:spacing w:after="0"/>
              <w:rPr>
                <w:sz w:val="2"/>
                <w:szCs w:val="2"/>
                <w:color w:val="auto"/>
              </w:rPr>
            </w:pPr>
          </w:p>
        </w:tc>
        <w:tc>
          <w:tcPr>
            <w:tcW w:w="2600" w:type="dxa"/>
            <w:vAlign w:val="bottom"/>
            <w:shd w:val="clear" w:color="auto" w:fill="EAF9E8"/>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8"/>
                <w:szCs w:val="18"/>
                <w:color w:val="auto"/>
              </w:rPr>
              <w:t>Total equity</w:t>
            </w:r>
          </w:p>
        </w:tc>
        <w:tc>
          <w:tcPr>
            <w:tcW w:w="2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140,301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130,554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liabilities, preferred stock and equity</w:t>
            </w:r>
          </w:p>
        </w:tc>
        <w:tc>
          <w:tcPr>
            <w:tcW w:w="3720" w:type="dxa"/>
            <w:vAlign w:val="bottom"/>
            <w:gridSpan w:val="2"/>
            <w:shd w:val="clear" w:color="auto" w:fill="EAF9E8"/>
          </w:tcPr>
          <w:p>
            <w:pPr>
              <w:jc w:val="right"/>
              <w:ind w:right="9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207,108</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188,632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EAF9E8"/>
            </w:tcBorders>
            <w:shd w:val="clear" w:color="auto" w:fill="EAF9E8"/>
          </w:tcPr>
          <w:p>
            <w:pPr>
              <w:spacing w:after="0" w:line="20" w:lineRule="exact"/>
              <w:rPr>
                <w:sz w:val="1"/>
                <w:szCs w:val="1"/>
                <w:color w:val="auto"/>
              </w:rPr>
            </w:pPr>
          </w:p>
        </w:tc>
        <w:tc>
          <w:tcPr>
            <w:tcW w:w="2700" w:type="dxa"/>
            <w:vAlign w:val="bottom"/>
            <w:tcBorders>
              <w:top w:val="single" w:sz="8" w:color="EAF9E8"/>
            </w:tcBorders>
            <w:shd w:val="clear" w:color="auto" w:fill="EAF9E8"/>
          </w:tcPr>
          <w:p>
            <w:pPr>
              <w:spacing w:after="0" w:line="20" w:lineRule="exact"/>
              <w:rPr>
                <w:sz w:val="1"/>
                <w:szCs w:val="1"/>
                <w:color w:val="auto"/>
              </w:rPr>
            </w:pPr>
          </w:p>
        </w:tc>
        <w:tc>
          <w:tcPr>
            <w:tcW w:w="2600" w:type="dxa"/>
            <w:vAlign w:val="bottom"/>
            <w:tcBorders>
              <w:top w:val="single" w:sz="8" w:color="EAF9E8"/>
            </w:tcBorders>
            <w:shd w:val="clear" w:color="auto" w:fill="EAF9E8"/>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Six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November 30,</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November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82,953</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66,862</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144,205</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118,518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Products</w:t>
            </w:r>
          </w:p>
        </w:tc>
        <w:tc>
          <w:tcPr>
            <w:tcW w:w="960" w:type="dxa"/>
            <w:vAlign w:val="bottom"/>
            <w:tcBorders>
              <w:bottom w:val="single" w:sz="8" w:color="auto"/>
            </w:tcBorders>
            <w:shd w:val="clear" w:color="auto" w:fill="EAF9E8"/>
          </w:tcPr>
          <w:p>
            <w:pPr>
              <w:spacing w:after="0"/>
              <w:rPr>
                <w:sz w:val="19"/>
                <w:szCs w:val="19"/>
                <w:color w:val="auto"/>
              </w:rPr>
            </w:pPr>
          </w:p>
        </w:tc>
        <w:tc>
          <w:tcPr>
            <w:tcW w:w="5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5,884</w:t>
            </w:r>
          </w:p>
        </w:tc>
        <w:tc>
          <w:tcPr>
            <w:tcW w:w="34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auto"/>
            </w:tcBorders>
            <w:shd w:val="clear" w:color="auto" w:fill="EAF9E8"/>
          </w:tcPr>
          <w:p>
            <w:pPr>
              <w:spacing w:after="0"/>
              <w:rPr>
                <w:sz w:val="19"/>
                <w:szCs w:val="19"/>
                <w:color w:val="auto"/>
              </w:rPr>
            </w:pPr>
          </w:p>
        </w:tc>
        <w:tc>
          <w:tcPr>
            <w:tcW w:w="5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5,037</w:t>
            </w:r>
          </w:p>
        </w:tc>
        <w:tc>
          <w:tcPr>
            <w:tcW w:w="18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13,042</w:t>
            </w:r>
          </w:p>
        </w:tc>
        <w:tc>
          <w:tcPr>
            <w:tcW w:w="18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520" w:type="dxa"/>
            <w:vAlign w:val="bottom"/>
            <w:tcBorders>
              <w:bottom w:val="single" w:sz="8" w:color="auto"/>
            </w:tcBorders>
            <w:shd w:val="clear" w:color="auto" w:fill="EAF9E8"/>
          </w:tcPr>
          <w:p>
            <w:pPr>
              <w:spacing w:after="0"/>
              <w:rPr>
                <w:sz w:val="19"/>
                <w:szCs w:val="19"/>
                <w:color w:val="auto"/>
              </w:rPr>
            </w:pPr>
          </w:p>
        </w:tc>
        <w:tc>
          <w:tcPr>
            <w:tcW w:w="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9,470</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96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88,837</w:t>
            </w:r>
          </w:p>
        </w:tc>
        <w:tc>
          <w:tcPr>
            <w:tcW w:w="9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71,899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157,247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Cost of Revenues:</w:t>
            </w:r>
          </w:p>
        </w:tc>
        <w:tc>
          <w:tcPr>
            <w:tcW w:w="960" w:type="dxa"/>
            <w:vAlign w:val="bottom"/>
            <w:tcBorders>
              <w:top w:val="single" w:sz="8" w:color="auto"/>
            </w:tcBorders>
            <w:shd w:val="clear" w:color="auto" w:fill="EAF9E8"/>
          </w:tcPr>
          <w:p>
            <w:pPr>
              <w:spacing w:after="0"/>
              <w:rPr>
                <w:sz w:val="18"/>
                <w:szCs w:val="18"/>
                <w:color w:val="auto"/>
              </w:rPr>
            </w:pPr>
          </w:p>
        </w:tc>
        <w:tc>
          <w:tcPr>
            <w:tcW w:w="54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520" w:type="dxa"/>
            <w:vAlign w:val="bottom"/>
            <w:tcBorders>
              <w:top w:val="single" w:sz="8" w:color="auto"/>
            </w:tcBorders>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Cost of services</w:t>
            </w:r>
          </w:p>
        </w:tc>
        <w:tc>
          <w:tcPr>
            <w:tcW w:w="9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55,667</w:t>
            </w:r>
          </w:p>
        </w:tc>
        <w:tc>
          <w:tcPr>
            <w:tcW w:w="9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44,506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97,058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Cost of goods sold</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2,067</w:t>
            </w:r>
          </w:p>
        </w:tc>
        <w:tc>
          <w:tcPr>
            <w:tcW w:w="3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1,742</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5,344</w:t>
            </w: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Depreciation of services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3,136</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5,945</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Depreciation of products</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159</w:t>
            </w:r>
          </w:p>
        </w:tc>
        <w:tc>
          <w:tcPr>
            <w:tcW w:w="3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7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314</w:t>
            </w: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shd w:val="clear" w:color="auto" w:fill="EAF9E8"/>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b w:val="1"/>
                <w:bCs w:val="1"/>
                <w:color w:val="auto"/>
              </w:rPr>
              <w:t>Total cost of revenues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61,029</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48,883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108,661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87,822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27,808</w:t>
            </w:r>
          </w:p>
        </w:tc>
        <w:tc>
          <w:tcPr>
            <w:tcW w:w="3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7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90"/>
              </w:rPr>
              <w:t>23,016</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48,586</w:t>
            </w: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40,166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15,615</w:t>
            </w:r>
          </w:p>
        </w:tc>
        <w:tc>
          <w:tcPr>
            <w:tcW w:w="9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13,686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31,094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Research and engineering</w:t>
            </w:r>
          </w:p>
        </w:tc>
        <w:tc>
          <w:tcPr>
            <w:tcW w:w="9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569</w:t>
            </w:r>
          </w:p>
        </w:tc>
        <w:tc>
          <w:tcPr>
            <w:tcW w:w="980" w:type="dxa"/>
            <w:vAlign w:val="bottom"/>
            <w:shd w:val="clear" w:color="auto" w:fill="EAF9E8"/>
          </w:tcPr>
          <w:p>
            <w:pPr>
              <w:spacing w:after="0"/>
              <w:rPr>
                <w:sz w:val="18"/>
                <w:szCs w:val="18"/>
                <w:color w:val="auto"/>
              </w:rPr>
            </w:pPr>
          </w:p>
        </w:tc>
        <w:tc>
          <w:tcPr>
            <w:tcW w:w="7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449</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1,124</w:t>
            </w: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1,326</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2,504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Legal reserve</w:t>
            </w:r>
          </w:p>
        </w:tc>
        <w:tc>
          <w:tcPr>
            <w:tcW w:w="960" w:type="dxa"/>
            <w:vAlign w:val="bottom"/>
            <w:shd w:val="clear" w:color="auto" w:fill="EAF9E8"/>
          </w:tcPr>
          <w:p>
            <w:pPr>
              <w:spacing w:after="0"/>
              <w:rPr>
                <w:sz w:val="19"/>
                <w:szCs w:val="19"/>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w:t>
            </w:r>
          </w:p>
        </w:tc>
        <w:tc>
          <w:tcPr>
            <w:tcW w:w="3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7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EAF9E8"/>
          </w:tcPr>
          <w:p>
            <w:pPr>
              <w:spacing w:after="0"/>
              <w:rPr>
                <w:sz w:val="19"/>
                <w:szCs w:val="19"/>
                <w:color w:val="auto"/>
              </w:rPr>
            </w:pPr>
          </w:p>
        </w:tc>
        <w:tc>
          <w:tcPr>
            <w:tcW w:w="52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EAF9E8"/>
            </w:tcBorders>
          </w:tcPr>
          <w:p>
            <w:pPr>
              <w:ind w:left="160"/>
              <w:spacing w:after="0"/>
              <w:rPr>
                <w:sz w:val="20"/>
                <w:szCs w:val="20"/>
                <w:color w:val="auto"/>
              </w:rPr>
            </w:pPr>
            <w:r>
              <w:rPr>
                <w:rFonts w:ascii="Arial" w:cs="Arial" w:eastAsia="Arial" w:hAnsi="Arial"/>
                <w:sz w:val="18"/>
                <w:szCs w:val="18"/>
                <w:color w:val="auto"/>
              </w:rPr>
              <w:t>Income from operations</w:t>
            </w: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10,197</w:t>
            </w:r>
          </w:p>
        </w:tc>
        <w:tc>
          <w:tcPr>
            <w:tcW w:w="340" w:type="dxa"/>
            <w:vAlign w:val="bottom"/>
            <w:tcBorders>
              <w:top w:val="single" w:sz="8" w:color="EAF9E8"/>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7,667</w:t>
            </w:r>
          </w:p>
        </w:tc>
        <w:tc>
          <w:tcPr>
            <w:tcW w:w="18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13,513</w:t>
            </w: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10,453</w:t>
            </w: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Other expenses</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671</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1,361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Loss on extinguishment of long-term debt</w:t>
            </w:r>
          </w:p>
        </w:tc>
        <w:tc>
          <w:tcPr>
            <w:tcW w:w="960" w:type="dxa"/>
            <w:vAlign w:val="bottom"/>
            <w:shd w:val="clear" w:color="auto" w:fill="EAF9E8"/>
          </w:tcPr>
          <w:p>
            <w:pPr>
              <w:spacing w:after="0"/>
              <w:rPr>
                <w:sz w:val="19"/>
                <w:szCs w:val="19"/>
                <w:color w:val="auto"/>
              </w:rPr>
            </w:pP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spacing w:after="0"/>
              <w:rPr>
                <w:sz w:val="19"/>
                <w:szCs w:val="19"/>
                <w:color w:val="auto"/>
              </w:rPr>
            </w:pPr>
          </w:p>
        </w:tc>
        <w:tc>
          <w:tcPr>
            <w:tcW w:w="7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52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Borders>
              <w:top w:val="single" w:sz="8" w:color="EAF9E8"/>
            </w:tcBorders>
          </w:tcPr>
          <w:p>
            <w:pPr>
              <w:ind w:left="160"/>
              <w:spacing w:after="0" w:line="201" w:lineRule="exact"/>
              <w:rPr>
                <w:sz w:val="20"/>
                <w:szCs w:val="20"/>
                <w:color w:val="auto"/>
              </w:rPr>
            </w:pPr>
            <w:r>
              <w:rPr>
                <w:rFonts w:ascii="Arial" w:cs="Arial" w:eastAsia="Arial" w:hAnsi="Arial"/>
                <w:sz w:val="18"/>
                <w:szCs w:val="18"/>
                <w:color w:val="auto"/>
              </w:rPr>
              <w:t>Income before provision for income taxes and</w:t>
            </w:r>
          </w:p>
        </w:tc>
        <w:tc>
          <w:tcPr>
            <w:tcW w:w="9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40" w:type="dxa"/>
            <w:vAlign w:val="bottom"/>
            <w:tcBorders>
              <w:top w:val="single" w:sz="8" w:color="EAF9E8"/>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noncontrolling interest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9,526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6,432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12,152</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shd w:val="clear" w:color="auto" w:fill="EAF9E8"/>
          </w:tcPr>
          <w:p>
            <w:pPr>
              <w:spacing w:after="0"/>
              <w:rPr>
                <w:sz w:val="19"/>
                <w:szCs w:val="19"/>
                <w:color w:val="auto"/>
              </w:rPr>
            </w:pPr>
          </w:p>
        </w:tc>
        <w:tc>
          <w:tcPr>
            <w:tcW w:w="5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3,818</w:t>
            </w:r>
          </w:p>
        </w:tc>
        <w:tc>
          <w:tcPr>
            <w:tcW w:w="34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auto"/>
            </w:tcBorders>
            <w:shd w:val="clear" w:color="auto" w:fill="EAF9E8"/>
          </w:tcPr>
          <w:p>
            <w:pPr>
              <w:spacing w:after="0"/>
              <w:rPr>
                <w:sz w:val="19"/>
                <w:szCs w:val="19"/>
                <w:color w:val="auto"/>
              </w:rPr>
            </w:pPr>
          </w:p>
        </w:tc>
        <w:tc>
          <w:tcPr>
            <w:tcW w:w="5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2,875</w:t>
            </w:r>
          </w:p>
        </w:tc>
        <w:tc>
          <w:tcPr>
            <w:tcW w:w="18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4,872</w:t>
            </w:r>
          </w:p>
        </w:tc>
        <w:tc>
          <w:tcPr>
            <w:tcW w:w="18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520" w:type="dxa"/>
            <w:vAlign w:val="bottom"/>
            <w:tcBorders>
              <w:bottom w:val="single" w:sz="8" w:color="auto"/>
            </w:tcBorders>
            <w:shd w:val="clear" w:color="auto" w:fill="EAF9E8"/>
          </w:tcPr>
          <w:p>
            <w:pPr>
              <w:spacing w:after="0"/>
              <w:rPr>
                <w:sz w:val="19"/>
                <w:szCs w:val="19"/>
                <w:color w:val="auto"/>
              </w:rPr>
            </w:pPr>
          </w:p>
        </w:tc>
        <w:tc>
          <w:tcPr>
            <w:tcW w:w="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5,708</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7,280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Net (income) loss attributable to noncontrolling</w:t>
            </w:r>
          </w:p>
        </w:tc>
        <w:tc>
          <w:tcPr>
            <w:tcW w:w="960" w:type="dxa"/>
            <w:vAlign w:val="bottom"/>
            <w:shd w:val="clear" w:color="auto" w:fill="EAF9E8"/>
          </w:tcPr>
          <w:p>
            <w:pPr>
              <w:spacing w:after="0"/>
              <w:rPr>
                <w:sz w:val="17"/>
                <w:szCs w:val="17"/>
                <w:color w:val="auto"/>
              </w:rPr>
            </w:pPr>
          </w:p>
        </w:tc>
        <w:tc>
          <w:tcPr>
            <w:tcW w:w="5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5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52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interests, net of taxes</w:t>
            </w:r>
          </w:p>
        </w:tc>
        <w:tc>
          <w:tcPr>
            <w:tcW w:w="960" w:type="dxa"/>
            <w:vAlign w:val="bottom"/>
            <w:shd w:val="clear" w:color="auto" w:fill="EAF9E8"/>
          </w:tcPr>
          <w:p>
            <w:pPr>
              <w:spacing w:after="0"/>
              <w:rPr>
                <w:sz w:val="20"/>
                <w:szCs w:val="20"/>
                <w:color w:val="auto"/>
              </w:rPr>
            </w:pPr>
          </w:p>
        </w:tc>
        <w:tc>
          <w:tcPr>
            <w:tcW w:w="8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(30)</w:t>
            </w:r>
          </w:p>
        </w:tc>
        <w:tc>
          <w:tcPr>
            <w:tcW w:w="980" w:type="dxa"/>
            <w:vAlign w:val="bottom"/>
            <w:shd w:val="clear" w:color="auto" w:fill="EAF9E8"/>
          </w:tcPr>
          <w:p>
            <w:pPr>
              <w:spacing w:after="0"/>
              <w:rPr>
                <w:sz w:val="20"/>
                <w:szCs w:val="20"/>
                <w:color w:val="auto"/>
              </w:rPr>
            </w:pPr>
          </w:p>
        </w:tc>
        <w:tc>
          <w:tcPr>
            <w:tcW w:w="7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EAF9E8"/>
          </w:tcPr>
          <w:p>
            <w:pPr>
              <w:spacing w:after="0"/>
              <w:rPr>
                <w:sz w:val="20"/>
                <w:szCs w:val="20"/>
                <w:color w:val="auto"/>
              </w:rPr>
            </w:pPr>
          </w:p>
        </w:tc>
        <w:tc>
          <w:tcPr>
            <w:tcW w:w="52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EAF9E8"/>
            </w:tcBorders>
          </w:tcPr>
          <w:p>
            <w:pPr>
              <w:ind w:left="160"/>
              <w:spacing w:after="0"/>
              <w:rPr>
                <w:sz w:val="20"/>
                <w:szCs w:val="20"/>
                <w:color w:val="auto"/>
              </w:rPr>
            </w:pPr>
            <w:r>
              <w:rPr>
                <w:rFonts w:ascii="Arial" w:cs="Arial" w:eastAsia="Arial" w:hAnsi="Arial"/>
                <w:sz w:val="18"/>
                <w:szCs w:val="18"/>
                <w:color w:val="auto"/>
              </w:rPr>
              <w:t>Net income attributable to Mistras Group, Inc.</w:t>
            </w: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5,678</w:t>
            </w:r>
          </w:p>
        </w:tc>
        <w:tc>
          <w:tcPr>
            <w:tcW w:w="340" w:type="dxa"/>
            <w:vAlign w:val="bottom"/>
            <w:tcBorders>
              <w:top w:val="single" w:sz="8" w:color="EAF9E8"/>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3,562</w:t>
            </w:r>
          </w:p>
        </w:tc>
        <w:tc>
          <w:tcPr>
            <w:tcW w:w="18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7,270</w:t>
            </w: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Accretion of preferred stock</w:t>
            </w:r>
          </w:p>
        </w:tc>
        <w:tc>
          <w:tcPr>
            <w:tcW w:w="960" w:type="dxa"/>
            <w:vAlign w:val="bottom"/>
            <w:tcBorders>
              <w:bottom w:val="single" w:sz="8" w:color="auto"/>
            </w:tcBorders>
            <w:shd w:val="clear" w:color="auto" w:fill="EAF9E8"/>
          </w:tcPr>
          <w:p>
            <w:pPr>
              <w:spacing w:after="0"/>
              <w:rPr>
                <w:sz w:val="19"/>
                <w:szCs w:val="19"/>
                <w:color w:val="auto"/>
              </w:rPr>
            </w:pPr>
          </w:p>
        </w:tc>
        <w:tc>
          <w:tcPr>
            <w:tcW w:w="5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auto"/>
            </w:tcBorders>
            <w:shd w:val="clear" w:color="auto" w:fill="EAF9E8"/>
          </w:tcPr>
          <w:p>
            <w:pPr>
              <w:spacing w:after="0"/>
              <w:rPr>
                <w:sz w:val="19"/>
                <w:szCs w:val="19"/>
                <w:color w:val="auto"/>
              </w:rPr>
            </w:pPr>
          </w:p>
        </w:tc>
        <w:tc>
          <w:tcPr>
            <w:tcW w:w="5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6,499</w:t>
            </w:r>
          </w:p>
        </w:tc>
        <w:tc>
          <w:tcPr>
            <w:tcW w:w="18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520" w:type="dxa"/>
            <w:vAlign w:val="bottom"/>
            <w:tcBorders>
              <w:bottom w:val="single" w:sz="8" w:color="auto"/>
            </w:tcBorders>
            <w:shd w:val="clear" w:color="auto" w:fill="EAF9E8"/>
          </w:tcPr>
          <w:p>
            <w:pPr>
              <w:spacing w:after="0"/>
              <w:rPr>
                <w:sz w:val="19"/>
                <w:szCs w:val="19"/>
                <w:color w:val="auto"/>
              </w:rPr>
            </w:pPr>
          </w:p>
        </w:tc>
        <w:tc>
          <w:tcPr>
            <w:tcW w:w="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6,499</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Net income attributable to common shareholders</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5,678</w:t>
            </w:r>
          </w:p>
        </w:tc>
        <w:tc>
          <w:tcPr>
            <w:tcW w:w="34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10,061</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7,270</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Earnings per common share (See Note 4):</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0.21</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0.48</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0.27</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EAF9E8"/>
          </w:tcPr>
          <w:p>
            <w:pPr>
              <w:jc w:val="right"/>
              <w:ind w:right="80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0.21</w:t>
            </w:r>
          </w:p>
        </w:tc>
        <w:tc>
          <w:tcPr>
            <w:tcW w:w="980" w:type="dxa"/>
            <w:vAlign w:val="bottom"/>
            <w:shd w:val="clear" w:color="auto" w:fill="EAF9E8"/>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0.14</w:t>
            </w:r>
          </w:p>
        </w:tc>
        <w:tc>
          <w:tcPr>
            <w:tcW w:w="4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0.27</w:t>
            </w:r>
          </w:p>
        </w:tc>
        <w:tc>
          <w:tcPr>
            <w:tcW w:w="6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94"/>
              </w:rPr>
              <w:t>26,665</w:t>
            </w:r>
          </w:p>
        </w:tc>
        <w:tc>
          <w:tcPr>
            <w:tcW w:w="980" w:type="dxa"/>
            <w:vAlign w:val="bottom"/>
            <w:shd w:val="clear" w:color="auto" w:fill="EAF9E8"/>
          </w:tcPr>
          <w:p>
            <w:pPr>
              <w:spacing w:after="0"/>
              <w:rPr>
                <w:sz w:val="18"/>
                <w:szCs w:val="18"/>
                <w:color w:val="auto"/>
              </w:rPr>
            </w:pPr>
          </w:p>
        </w:tc>
        <w:tc>
          <w:tcPr>
            <w:tcW w:w="7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90"/>
              </w:rPr>
              <w:t>20,987</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26,664</w:t>
            </w: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16,971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26,816</w:t>
            </w:r>
          </w:p>
        </w:tc>
        <w:tc>
          <w:tcPr>
            <w:tcW w:w="98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24,993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26,795</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22,980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Mistras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earnings</w:t>
            </w:r>
          </w:p>
        </w:tc>
        <w:tc>
          <w:tcPr>
            <w:tcW w:w="1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other</w:t>
            </w:r>
          </w:p>
        </w:tc>
        <w:tc>
          <w:tcPr>
            <w:tcW w:w="8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Group, Inc.</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0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Stockholders’</w:t>
            </w:r>
          </w:p>
        </w:tc>
        <w:tc>
          <w:tcPr>
            <w:tcW w:w="8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1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88"/>
              <w:spacing w:after="0" w:line="149"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deficit)</w:t>
            </w:r>
          </w:p>
        </w:tc>
        <w:tc>
          <w:tcPr>
            <w:tcW w:w="100" w:type="dxa"/>
            <w:vAlign w:val="bottom"/>
          </w:tcPr>
          <w:p>
            <w:pPr>
              <w:spacing w:after="0"/>
              <w:rPr>
                <w:sz w:val="13"/>
                <w:szCs w:val="13"/>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78"/>
              </w:rPr>
              <w:t>loss</w:t>
            </w:r>
          </w:p>
        </w:tc>
        <w:tc>
          <w:tcPr>
            <w:tcW w:w="80" w:type="dxa"/>
            <w:vAlign w:val="bottom"/>
          </w:tcPr>
          <w:p>
            <w:pPr>
              <w:spacing w:after="0"/>
              <w:rPr>
                <w:sz w:val="13"/>
                <w:szCs w:val="13"/>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40" w:type="dxa"/>
            <w:vAlign w:val="bottom"/>
            <w:shd w:val="clear" w:color="auto" w:fill="EAF9E8"/>
          </w:tcPr>
          <w:p>
            <w:pPr>
              <w:spacing w:after="0" w:line="126" w:lineRule="exact"/>
              <w:rPr>
                <w:sz w:val="20"/>
                <w:szCs w:val="20"/>
                <w:color w:val="auto"/>
              </w:rPr>
            </w:pPr>
            <w:r>
              <w:rPr>
                <w:rFonts w:ascii="Arial" w:cs="Arial" w:eastAsia="Arial" w:hAnsi="Arial"/>
                <w:sz w:val="14"/>
                <w:szCs w:val="14"/>
                <w:b w:val="1"/>
                <w:bCs w:val="1"/>
                <w:color w:val="auto"/>
              </w:rPr>
              <w:t>Six months ended November 30,</w:t>
            </w:r>
          </w:p>
        </w:tc>
        <w:tc>
          <w:tcPr>
            <w:tcW w:w="78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70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90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80" w:type="dxa"/>
            <w:vAlign w:val="bottom"/>
            <w:shd w:val="clear" w:color="auto" w:fill="EAF9E8"/>
          </w:tcPr>
          <w:p>
            <w:pPr>
              <w:spacing w:after="0"/>
              <w:rPr>
                <w:sz w:val="10"/>
                <w:szCs w:val="10"/>
                <w:color w:val="auto"/>
              </w:rPr>
            </w:pPr>
          </w:p>
        </w:tc>
        <w:tc>
          <w:tcPr>
            <w:tcW w:w="960" w:type="dxa"/>
            <w:vAlign w:val="bottom"/>
            <w:shd w:val="clear" w:color="auto" w:fill="EAF9E8"/>
          </w:tcPr>
          <w:p>
            <w:pPr>
              <w:spacing w:after="0"/>
              <w:rPr>
                <w:sz w:val="10"/>
                <w:szCs w:val="10"/>
                <w:color w:val="auto"/>
              </w:rPr>
            </w:pPr>
          </w:p>
        </w:tc>
        <w:tc>
          <w:tcPr>
            <w:tcW w:w="20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940" w:type="dxa"/>
            <w:vAlign w:val="bottom"/>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80" w:type="dxa"/>
            <w:vAlign w:val="bottom"/>
            <w:shd w:val="clear" w:color="auto" w:fill="EAF9E8"/>
          </w:tcPr>
          <w:p>
            <w:pPr>
              <w:spacing w:after="0"/>
              <w:rPr>
                <w:sz w:val="10"/>
                <w:szCs w:val="10"/>
                <w:color w:val="auto"/>
              </w:rPr>
            </w:pPr>
          </w:p>
        </w:tc>
        <w:tc>
          <w:tcPr>
            <w:tcW w:w="96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80" w:type="dxa"/>
            <w:vAlign w:val="bottom"/>
            <w:shd w:val="clear" w:color="auto" w:fill="EAF9E8"/>
          </w:tcPr>
          <w:p>
            <w:pPr>
              <w:spacing w:after="0"/>
              <w:rPr>
                <w:sz w:val="10"/>
                <w:szCs w:val="10"/>
                <w:color w:val="auto"/>
              </w:rPr>
            </w:pPr>
          </w:p>
        </w:tc>
        <w:tc>
          <w:tcPr>
            <w:tcW w:w="180" w:type="dxa"/>
            <w:vAlign w:val="bottom"/>
            <w:shd w:val="clear" w:color="auto" w:fill="EAF9E8"/>
          </w:tcPr>
          <w:p>
            <w:pPr>
              <w:spacing w:after="0"/>
              <w:rPr>
                <w:sz w:val="10"/>
                <w:szCs w:val="10"/>
                <w:color w:val="auto"/>
              </w:rPr>
            </w:pPr>
          </w:p>
        </w:tc>
        <w:tc>
          <w:tcPr>
            <w:tcW w:w="8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80" w:type="dxa"/>
            <w:vAlign w:val="bottom"/>
            <w:shd w:val="clear" w:color="auto" w:fill="EAF9E8"/>
          </w:tcPr>
          <w:p>
            <w:pPr>
              <w:spacing w:after="0"/>
              <w:rPr>
                <w:sz w:val="10"/>
                <w:szCs w:val="10"/>
                <w:color w:val="auto"/>
              </w:rPr>
            </w:pPr>
          </w:p>
        </w:tc>
        <w:tc>
          <w:tcPr>
            <w:tcW w:w="78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shd w:val="clear" w:color="auto" w:fill="EAF9E8"/>
          </w:tcPr>
          <w:p>
            <w:pPr>
              <w:ind w:left="160"/>
              <w:spacing w:after="0"/>
              <w:rPr>
                <w:sz w:val="20"/>
                <w:szCs w:val="20"/>
                <w:color w:val="auto"/>
              </w:rPr>
            </w:pPr>
            <w:r>
              <w:rPr>
                <w:rFonts w:ascii="Arial" w:cs="Arial" w:eastAsia="Arial" w:hAnsi="Arial"/>
                <w:sz w:val="14"/>
                <w:szCs w:val="14"/>
                <w:b w:val="1"/>
                <w:bCs w:val="1"/>
                <w:color w:val="auto"/>
              </w:rPr>
              <w:t>2009:</w:t>
            </w:r>
          </w:p>
        </w:tc>
        <w:tc>
          <w:tcPr>
            <w:tcW w:w="7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7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96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4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96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88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7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at May 31, 2009</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(47,376)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(1,583)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(47,912)</w:t>
            </w:r>
          </w:p>
        </w:tc>
        <w:tc>
          <w:tcPr>
            <w:tcW w:w="2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245</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(47,667)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4,377</w:t>
            </w:r>
          </w:p>
        </w:tc>
        <w:tc>
          <w:tcPr>
            <w:tcW w:w="10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4,377</w:t>
            </w:r>
          </w:p>
        </w:tc>
        <w:tc>
          <w:tcPr>
            <w:tcW w:w="8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18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4,416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line="130" w:lineRule="exact"/>
              <w:rPr>
                <w:sz w:val="20"/>
                <w:szCs w:val="20"/>
                <w:color w:val="auto"/>
              </w:rPr>
            </w:pPr>
            <w:r>
              <w:rPr>
                <w:rFonts w:ascii="Arial" w:cs="Arial" w:eastAsia="Arial" w:hAnsi="Arial"/>
                <w:sz w:val="14"/>
                <w:szCs w:val="14"/>
                <w:color w:val="auto"/>
              </w:rPr>
              <w:t>Other Comprehensive Income, net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tcPr>
          <w:p>
            <w:pPr>
              <w:ind w:left="160"/>
              <w:spacing w:after="0"/>
              <w:rPr>
                <w:sz w:val="20"/>
                <w:szCs w:val="20"/>
                <w:color w:val="auto"/>
              </w:rPr>
            </w:pPr>
            <w:r>
              <w:rPr>
                <w:rFonts w:ascii="Arial" w:cs="Arial" w:eastAsia="Arial" w:hAnsi="Arial"/>
                <w:sz w:val="14"/>
                <w:szCs w:val="14"/>
                <w:color w:val="auto"/>
              </w:rPr>
              <w:t>tax:</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EAF9E8"/>
          </w:tcPr>
          <w:p>
            <w:pPr>
              <w:ind w:left="160"/>
              <w:spacing w:after="0" w:line="130" w:lineRule="exact"/>
              <w:rPr>
                <w:sz w:val="20"/>
                <w:szCs w:val="20"/>
                <w:color w:val="auto"/>
              </w:rPr>
            </w:pPr>
            <w:r>
              <w:rPr>
                <w:rFonts w:ascii="Arial" w:cs="Arial" w:eastAsia="Arial" w:hAnsi="Arial"/>
                <w:sz w:val="14"/>
                <w:szCs w:val="14"/>
                <w:color w:val="auto"/>
              </w:rPr>
              <w:t>Foreign currency translation</w:t>
            </w:r>
          </w:p>
        </w:tc>
        <w:tc>
          <w:tcPr>
            <w:tcW w:w="7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96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9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9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EAF9E8"/>
          </w:tcPr>
          <w:p>
            <w:pPr>
              <w:ind w:left="320"/>
              <w:spacing w:after="0"/>
              <w:rPr>
                <w:sz w:val="20"/>
                <w:szCs w:val="20"/>
                <w:color w:val="auto"/>
              </w:rPr>
            </w:pPr>
            <w:r>
              <w:rPr>
                <w:rFonts w:ascii="Arial" w:cs="Arial" w:eastAsia="Arial" w:hAnsi="Arial"/>
                <w:sz w:val="14"/>
                <w:szCs w:val="14"/>
                <w:color w:val="auto"/>
              </w:rPr>
              <w:t>adjustment</w:t>
            </w: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4"/>
                <w:szCs w:val="14"/>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4"/>
                <w:szCs w:val="14"/>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1,218</w:t>
            </w:r>
          </w:p>
        </w:tc>
        <w:tc>
          <w:tcPr>
            <w:tcW w:w="80" w:type="dxa"/>
            <w:vAlign w:val="bottom"/>
            <w:shd w:val="clear" w:color="auto" w:fill="EAF9E8"/>
          </w:tcPr>
          <w:p>
            <w:pPr>
              <w:spacing w:after="0"/>
              <w:rPr>
                <w:sz w:val="14"/>
                <w:szCs w:val="14"/>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1,218</w:t>
            </w:r>
          </w:p>
        </w:tc>
        <w:tc>
          <w:tcPr>
            <w:tcW w:w="8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4"/>
                <w:szCs w:val="1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40" w:type="dxa"/>
            <w:vAlign w:val="bottom"/>
            <w:shd w:val="clear" w:color="auto" w:fill="EAF9E8"/>
          </w:tcPr>
          <w:p>
            <w:pPr>
              <w:spacing w:after="0"/>
              <w:rPr>
                <w:sz w:val="2"/>
                <w:szCs w:val="2"/>
                <w:color w:val="auto"/>
              </w:rPr>
            </w:pPr>
          </w:p>
        </w:tc>
        <w:tc>
          <w:tcPr>
            <w:tcW w:w="7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7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9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96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9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Comprehensive income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5,595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1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Accretion of preferred stock</w:t>
            </w: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6,499</w:t>
            </w:r>
          </w:p>
        </w:tc>
        <w:tc>
          <w:tcPr>
            <w:tcW w:w="10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6,499</w:t>
            </w:r>
          </w:p>
        </w:tc>
        <w:tc>
          <w:tcPr>
            <w:tcW w:w="8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6,499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line="130" w:lineRule="exact"/>
              <w:rPr>
                <w:sz w:val="20"/>
                <w:szCs w:val="20"/>
                <w:color w:val="auto"/>
              </w:rPr>
            </w:pPr>
            <w:r>
              <w:rPr>
                <w:rFonts w:ascii="Arial" w:cs="Arial" w:eastAsia="Arial" w:hAnsi="Arial"/>
                <w:sz w:val="14"/>
                <w:szCs w:val="14"/>
                <w:color w:val="auto"/>
              </w:rPr>
              <w:t>Issuance of common stock upon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160"/>
              <w:spacing w:after="0" w:line="149" w:lineRule="exact"/>
              <w:rPr>
                <w:sz w:val="20"/>
                <w:szCs w:val="20"/>
                <w:color w:val="auto"/>
              </w:rPr>
            </w:pPr>
            <w:r>
              <w:rPr>
                <w:rFonts w:ascii="Arial" w:cs="Arial" w:eastAsia="Arial" w:hAnsi="Arial"/>
                <w:sz w:val="14"/>
                <w:szCs w:val="14"/>
                <w:color w:val="auto"/>
              </w:rPr>
              <w:t>conversion of class A &amp; B preferred</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tcPr>
          <w:p>
            <w:pPr>
              <w:ind w:left="160"/>
              <w:spacing w:after="0"/>
              <w:rPr>
                <w:sz w:val="20"/>
                <w:szCs w:val="20"/>
                <w:color w:val="auto"/>
              </w:rPr>
            </w:pPr>
            <w:r>
              <w:rPr>
                <w:rFonts w:ascii="Arial" w:cs="Arial" w:eastAsia="Arial" w:hAnsi="Arial"/>
                <w:sz w:val="14"/>
                <w:szCs w:val="14"/>
                <w:color w:val="auto"/>
              </w:rPr>
              <w:t>stock</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6,759</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68</w:t>
            </w:r>
          </w:p>
        </w:tc>
        <w:tc>
          <w:tcPr>
            <w:tcW w:w="14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20,789</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20,857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20,857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Reversal of stock accretion upon</w:t>
            </w:r>
          </w:p>
        </w:tc>
        <w:tc>
          <w:tcPr>
            <w:tcW w:w="7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96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9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9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conversion of preferred stock to</w:t>
            </w:r>
          </w:p>
        </w:tc>
        <w:tc>
          <w:tcPr>
            <w:tcW w:w="7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EAF9E8"/>
          </w:tcPr>
          <w:p>
            <w:pPr>
              <w:ind w:left="160"/>
              <w:spacing w:after="0" w:line="149" w:lineRule="exact"/>
              <w:rPr>
                <w:sz w:val="20"/>
                <w:szCs w:val="20"/>
                <w:color w:val="auto"/>
              </w:rPr>
            </w:pPr>
            <w:r>
              <w:rPr>
                <w:rFonts w:ascii="Arial" w:cs="Arial" w:eastAsia="Arial" w:hAnsi="Arial"/>
                <w:sz w:val="14"/>
                <w:szCs w:val="14"/>
                <w:color w:val="auto"/>
              </w:rPr>
              <w:t>common stock, net of accretion</w:t>
            </w:r>
          </w:p>
        </w:tc>
        <w:tc>
          <w:tcPr>
            <w:tcW w:w="7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EAF9E8"/>
          </w:tcPr>
          <w:p>
            <w:pPr>
              <w:ind w:left="160"/>
              <w:spacing w:after="0"/>
              <w:rPr>
                <w:sz w:val="20"/>
                <w:szCs w:val="20"/>
                <w:color w:val="auto"/>
              </w:rPr>
            </w:pPr>
            <w:r>
              <w:rPr>
                <w:rFonts w:ascii="Arial" w:cs="Arial" w:eastAsia="Arial" w:hAnsi="Arial"/>
                <w:sz w:val="14"/>
                <w:szCs w:val="14"/>
                <w:color w:val="auto"/>
              </w:rPr>
              <w:t>adjustment</w:t>
            </w: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4"/>
                <w:szCs w:val="14"/>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63,627</w:t>
            </w:r>
          </w:p>
        </w:tc>
        <w:tc>
          <w:tcPr>
            <w:tcW w:w="80" w:type="dxa"/>
            <w:vAlign w:val="bottom"/>
            <w:shd w:val="clear" w:color="auto" w:fill="EAF9E8"/>
          </w:tcPr>
          <w:p>
            <w:pPr>
              <w:spacing w:after="0"/>
              <w:rPr>
                <w:sz w:val="14"/>
                <w:szCs w:val="14"/>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4"/>
                <w:szCs w:val="14"/>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63,627</w:t>
            </w:r>
          </w:p>
        </w:tc>
        <w:tc>
          <w:tcPr>
            <w:tcW w:w="8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4"/>
                <w:szCs w:val="14"/>
                <w:color w:val="auto"/>
              </w:rPr>
            </w:pP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63,627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line="130" w:lineRule="exact"/>
              <w:rPr>
                <w:sz w:val="20"/>
                <w:szCs w:val="20"/>
                <w:color w:val="auto"/>
              </w:rPr>
            </w:pPr>
            <w:r>
              <w:rPr>
                <w:rFonts w:ascii="Arial" w:cs="Arial" w:eastAsia="Arial" w:hAnsi="Arial"/>
                <w:sz w:val="14"/>
                <w:szCs w:val="14"/>
                <w:color w:val="auto"/>
              </w:rPr>
              <w:t>Issuance of common stock from initial</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tcPr>
          <w:p>
            <w:pPr>
              <w:ind w:left="160"/>
              <w:spacing w:after="0"/>
              <w:rPr>
                <w:sz w:val="20"/>
                <w:szCs w:val="20"/>
                <w:color w:val="auto"/>
              </w:rPr>
            </w:pPr>
            <w:r>
              <w:rPr>
                <w:rFonts w:ascii="Arial" w:cs="Arial" w:eastAsia="Arial" w:hAnsi="Arial"/>
                <w:sz w:val="14"/>
                <w:szCs w:val="14"/>
                <w:color w:val="auto"/>
              </w:rPr>
              <w:t>public offering, net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6,700</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67</w:t>
            </w:r>
          </w:p>
        </w:tc>
        <w:tc>
          <w:tcPr>
            <w:tcW w:w="14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74,091</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74,158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74,158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Stock compensation</w:t>
            </w: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1,033</w:t>
            </w:r>
          </w:p>
        </w:tc>
        <w:tc>
          <w:tcPr>
            <w:tcW w:w="8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1,033</w:t>
            </w:r>
          </w:p>
        </w:tc>
        <w:tc>
          <w:tcPr>
            <w:tcW w:w="8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Borders>
              <w:bottom w:val="single" w:sz="8" w:color="EAF9E8"/>
            </w:tcBorders>
            <w:shd w:val="clear" w:color="auto" w:fill="EAF9E8"/>
          </w:tcPr>
          <w:p>
            <w:pPr>
              <w:spacing w:after="0"/>
              <w:rPr>
                <w:sz w:val="13"/>
                <w:szCs w:val="13"/>
                <w:color w:val="auto"/>
              </w:rPr>
            </w:pPr>
          </w:p>
        </w:tc>
        <w:tc>
          <w:tcPr>
            <w:tcW w:w="780" w:type="dxa"/>
            <w:vAlign w:val="bottom"/>
            <w:tcBorders>
              <w:bottom w:val="single" w:sz="8" w:color="auto"/>
            </w:tcBorders>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auto"/>
            </w:tcBorders>
            <w:shd w:val="clear" w:color="auto" w:fill="EAF9E8"/>
          </w:tcPr>
          <w:p>
            <w:pPr>
              <w:spacing w:after="0"/>
              <w:rPr>
                <w:sz w:val="13"/>
                <w:szCs w:val="13"/>
                <w:color w:val="auto"/>
              </w:rPr>
            </w:pPr>
          </w:p>
        </w:tc>
        <w:tc>
          <w:tcPr>
            <w:tcW w:w="700" w:type="dxa"/>
            <w:vAlign w:val="bottom"/>
            <w:tcBorders>
              <w:bottom w:val="single" w:sz="8" w:color="auto"/>
            </w:tcBorders>
            <w:shd w:val="clear" w:color="auto" w:fill="EAF9E8"/>
          </w:tcPr>
          <w:p>
            <w:pPr>
              <w:spacing w:after="0"/>
              <w:rPr>
                <w:sz w:val="13"/>
                <w:szCs w:val="13"/>
                <w:color w:val="auto"/>
              </w:rPr>
            </w:pPr>
          </w:p>
        </w:tc>
        <w:tc>
          <w:tcPr>
            <w:tcW w:w="100" w:type="dxa"/>
            <w:vAlign w:val="bottom"/>
            <w:tcBorders>
              <w:bottom w:val="single" w:sz="8" w:color="EAF9E8"/>
            </w:tcBorders>
            <w:shd w:val="clear" w:color="auto" w:fill="EAF9E8"/>
          </w:tcPr>
          <w:p>
            <w:pPr>
              <w:spacing w:after="0"/>
              <w:rPr>
                <w:sz w:val="13"/>
                <w:szCs w:val="13"/>
                <w:color w:val="auto"/>
              </w:rPr>
            </w:pPr>
          </w:p>
        </w:tc>
        <w:tc>
          <w:tcPr>
            <w:tcW w:w="140" w:type="dxa"/>
            <w:vAlign w:val="bottom"/>
            <w:tcBorders>
              <w:bottom w:val="single" w:sz="8" w:color="auto"/>
            </w:tcBorders>
            <w:shd w:val="clear" w:color="auto" w:fill="EAF9E8"/>
          </w:tcPr>
          <w:p>
            <w:pPr>
              <w:spacing w:after="0"/>
              <w:rPr>
                <w:sz w:val="13"/>
                <w:szCs w:val="13"/>
                <w:color w:val="auto"/>
              </w:rPr>
            </w:pPr>
          </w:p>
        </w:tc>
        <w:tc>
          <w:tcPr>
            <w:tcW w:w="900" w:type="dxa"/>
            <w:vAlign w:val="bottom"/>
            <w:tcBorders>
              <w:bottom w:val="single" w:sz="8" w:color="auto"/>
            </w:tcBorders>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shd w:val="clear" w:color="auto" w:fill="EAF9E8"/>
          </w:tcPr>
          <w:p>
            <w:pPr>
              <w:spacing w:after="0"/>
              <w:rPr>
                <w:sz w:val="13"/>
                <w:szCs w:val="13"/>
                <w:color w:val="auto"/>
              </w:rPr>
            </w:pPr>
          </w:p>
        </w:tc>
        <w:tc>
          <w:tcPr>
            <w:tcW w:w="960" w:type="dxa"/>
            <w:vAlign w:val="bottom"/>
            <w:tcBorders>
              <w:bottom w:val="single" w:sz="8" w:color="auto"/>
            </w:tcBorders>
            <w:shd w:val="clear" w:color="auto" w:fill="EAF9E8"/>
          </w:tcPr>
          <w:p>
            <w:pPr>
              <w:spacing w:after="0"/>
              <w:rPr>
                <w:sz w:val="13"/>
                <w:szCs w:val="13"/>
                <w:color w:val="auto"/>
              </w:rPr>
            </w:pPr>
          </w:p>
        </w:tc>
        <w:tc>
          <w:tcPr>
            <w:tcW w:w="200" w:type="dxa"/>
            <w:vAlign w:val="bottom"/>
            <w:tcBorders>
              <w:bottom w:val="single" w:sz="8" w:color="EAF9E8"/>
            </w:tcBorders>
            <w:shd w:val="clear" w:color="auto" w:fill="EAF9E8"/>
          </w:tcPr>
          <w:p>
            <w:pPr>
              <w:spacing w:after="0"/>
              <w:rPr>
                <w:sz w:val="13"/>
                <w:szCs w:val="13"/>
                <w:color w:val="auto"/>
              </w:rPr>
            </w:pPr>
          </w:p>
        </w:tc>
        <w:tc>
          <w:tcPr>
            <w:tcW w:w="100" w:type="dxa"/>
            <w:vAlign w:val="bottom"/>
            <w:tcBorders>
              <w:bottom w:val="single" w:sz="8" w:color="auto"/>
            </w:tcBorders>
            <w:shd w:val="clear" w:color="auto" w:fill="EAF9E8"/>
          </w:tcPr>
          <w:p>
            <w:pPr>
              <w:spacing w:after="0"/>
              <w:rPr>
                <w:sz w:val="13"/>
                <w:szCs w:val="13"/>
                <w:color w:val="auto"/>
              </w:rPr>
            </w:pPr>
          </w:p>
        </w:tc>
        <w:tc>
          <w:tcPr>
            <w:tcW w:w="940" w:type="dxa"/>
            <w:vAlign w:val="bottom"/>
            <w:tcBorders>
              <w:bottom w:val="single" w:sz="8" w:color="auto"/>
            </w:tcBorders>
            <w:shd w:val="clear" w:color="auto" w:fill="EAF9E8"/>
          </w:tcPr>
          <w:p>
            <w:pPr>
              <w:spacing w:after="0"/>
              <w:rPr>
                <w:sz w:val="13"/>
                <w:szCs w:val="13"/>
                <w:color w:val="auto"/>
              </w:rPr>
            </w:pPr>
          </w:p>
        </w:tc>
        <w:tc>
          <w:tcPr>
            <w:tcW w:w="22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auto"/>
            </w:tcBorders>
            <w:shd w:val="clear" w:color="auto" w:fill="EAF9E8"/>
          </w:tcPr>
          <w:p>
            <w:pPr>
              <w:spacing w:after="0"/>
              <w:rPr>
                <w:sz w:val="13"/>
                <w:szCs w:val="13"/>
                <w:color w:val="auto"/>
              </w:rPr>
            </w:pPr>
          </w:p>
        </w:tc>
        <w:tc>
          <w:tcPr>
            <w:tcW w:w="960" w:type="dxa"/>
            <w:vAlign w:val="bottom"/>
            <w:tcBorders>
              <w:bottom w:val="single" w:sz="8" w:color="auto"/>
            </w:tcBorders>
            <w:shd w:val="clear" w:color="auto" w:fill="EAF9E8"/>
          </w:tcPr>
          <w:p>
            <w:pPr>
              <w:spacing w:after="0"/>
              <w:rPr>
                <w:sz w:val="13"/>
                <w:szCs w:val="13"/>
                <w:color w:val="auto"/>
              </w:rPr>
            </w:pPr>
          </w:p>
        </w:tc>
        <w:tc>
          <w:tcPr>
            <w:tcW w:w="140" w:type="dxa"/>
            <w:vAlign w:val="bottom"/>
            <w:tcBorders>
              <w:bottom w:val="single" w:sz="8" w:color="EAF9E8"/>
            </w:tcBorders>
            <w:shd w:val="clear" w:color="auto" w:fill="EAF9E8"/>
          </w:tcPr>
          <w:p>
            <w:pPr>
              <w:spacing w:after="0"/>
              <w:rPr>
                <w:sz w:val="13"/>
                <w:szCs w:val="13"/>
                <w:color w:val="auto"/>
              </w:rPr>
            </w:pPr>
          </w:p>
        </w:tc>
        <w:tc>
          <w:tcPr>
            <w:tcW w:w="80" w:type="dxa"/>
            <w:vAlign w:val="bottom"/>
            <w:tcBorders>
              <w:bottom w:val="single" w:sz="8" w:color="EAF9E8"/>
            </w:tcBorders>
            <w:shd w:val="clear" w:color="auto" w:fill="EAF9E8"/>
          </w:tcPr>
          <w:p>
            <w:pPr>
              <w:spacing w:after="0"/>
              <w:rPr>
                <w:sz w:val="13"/>
                <w:szCs w:val="13"/>
                <w:color w:val="auto"/>
              </w:rPr>
            </w:pPr>
          </w:p>
        </w:tc>
        <w:tc>
          <w:tcPr>
            <w:tcW w:w="180" w:type="dxa"/>
            <w:vAlign w:val="bottom"/>
            <w:tcBorders>
              <w:bottom w:val="single" w:sz="8" w:color="auto"/>
            </w:tcBorders>
            <w:shd w:val="clear" w:color="auto" w:fill="EAF9E8"/>
          </w:tcPr>
          <w:p>
            <w:pPr>
              <w:spacing w:after="0"/>
              <w:rPr>
                <w:sz w:val="13"/>
                <w:szCs w:val="13"/>
                <w:color w:val="auto"/>
              </w:rPr>
            </w:pPr>
          </w:p>
        </w:tc>
        <w:tc>
          <w:tcPr>
            <w:tcW w:w="880" w:type="dxa"/>
            <w:vAlign w:val="bottom"/>
            <w:tcBorders>
              <w:bottom w:val="single" w:sz="8" w:color="auto"/>
            </w:tcBorders>
            <w:shd w:val="clear" w:color="auto" w:fill="EAF9E8"/>
          </w:tcPr>
          <w:p>
            <w:pPr>
              <w:spacing w:after="0"/>
              <w:rPr>
                <w:sz w:val="13"/>
                <w:szCs w:val="13"/>
                <w:color w:val="auto"/>
              </w:rPr>
            </w:pPr>
          </w:p>
        </w:tc>
        <w:tc>
          <w:tcPr>
            <w:tcW w:w="100" w:type="dxa"/>
            <w:vAlign w:val="bottom"/>
            <w:tcBorders>
              <w:bottom w:val="single" w:sz="8" w:color="EAF9E8"/>
            </w:tcBorders>
            <w:shd w:val="clear" w:color="auto" w:fill="EAF9E8"/>
          </w:tcPr>
          <w:p>
            <w:pPr>
              <w:spacing w:after="0"/>
              <w:rPr>
                <w:sz w:val="13"/>
                <w:szCs w:val="13"/>
                <w:color w:val="auto"/>
              </w:rPr>
            </w:pPr>
          </w:p>
        </w:tc>
        <w:tc>
          <w:tcPr>
            <w:tcW w:w="180" w:type="dxa"/>
            <w:vAlign w:val="bottom"/>
            <w:tcBorders>
              <w:bottom w:val="single" w:sz="8" w:color="auto"/>
            </w:tcBorders>
            <w:shd w:val="clear" w:color="auto" w:fill="EAF9E8"/>
          </w:tcPr>
          <w:p>
            <w:pPr>
              <w:spacing w:after="0"/>
              <w:rPr>
                <w:sz w:val="13"/>
                <w:szCs w:val="13"/>
                <w:color w:val="auto"/>
              </w:rPr>
            </w:pPr>
          </w:p>
        </w:tc>
        <w:tc>
          <w:tcPr>
            <w:tcW w:w="780" w:type="dxa"/>
            <w:vAlign w:val="bottom"/>
            <w:tcBorders>
              <w:bottom w:val="single" w:sz="8" w:color="auto"/>
            </w:tcBorders>
            <w:shd w:val="clear" w:color="auto" w:fill="EAF9E8"/>
          </w:tcPr>
          <w:p>
            <w:pPr>
              <w:spacing w:after="0"/>
              <w:rPr>
                <w:sz w:val="13"/>
                <w:szCs w:val="13"/>
                <w:color w:val="auto"/>
              </w:rPr>
            </w:pPr>
          </w:p>
        </w:tc>
        <w:tc>
          <w:tcPr>
            <w:tcW w:w="120" w:type="dxa"/>
            <w:vAlign w:val="bottom"/>
            <w:tcBorders>
              <w:bottom w:val="single" w:sz="8" w:color="EAF9E8"/>
            </w:tcBorders>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Balance at November 30, 2009</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26,459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265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160,457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(36,507)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(365)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123,850</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284</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124,134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40" w:type="dxa"/>
            <w:vAlign w:val="bottom"/>
          </w:tcPr>
          <w:p>
            <w:pPr>
              <w:spacing w:after="0" w:line="126" w:lineRule="exact"/>
              <w:rPr>
                <w:sz w:val="20"/>
                <w:szCs w:val="20"/>
                <w:color w:val="auto"/>
              </w:rPr>
            </w:pPr>
            <w:r>
              <w:rPr>
                <w:rFonts w:ascii="Arial" w:cs="Arial" w:eastAsia="Arial" w:hAnsi="Arial"/>
                <w:sz w:val="14"/>
                <w:szCs w:val="14"/>
                <w:b w:val="1"/>
                <w:bCs w:val="1"/>
                <w:color w:val="auto"/>
              </w:rPr>
              <w:t>Six months ended November 30,</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gridSpan w:val="2"/>
          </w:tcPr>
          <w:p>
            <w:pPr>
              <w:ind w:left="180"/>
              <w:spacing w:after="0"/>
              <w:rPr>
                <w:sz w:val="20"/>
                <w:szCs w:val="20"/>
                <w:color w:val="auto"/>
              </w:rPr>
            </w:pPr>
            <w:r>
              <w:rPr>
                <w:rFonts w:ascii="Arial" w:cs="Arial" w:eastAsia="Arial" w:hAnsi="Arial"/>
                <w:sz w:val="14"/>
                <w:szCs w:val="14"/>
                <w:b w:val="1"/>
                <w:bCs w:val="1"/>
                <w:color w:val="auto"/>
              </w:rPr>
              <w:t>2010:</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Balance at May 31, 2010</w:t>
            </w: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26,664</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267</w:t>
            </w:r>
          </w:p>
        </w:tc>
        <w:tc>
          <w:tcPr>
            <w:tcW w:w="1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162,054</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(30,448)</w:t>
            </w: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(1,587)</w:t>
            </w:r>
          </w:p>
        </w:tc>
        <w:tc>
          <w:tcPr>
            <w:tcW w:w="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130,286</w:t>
            </w:r>
          </w:p>
        </w:tc>
        <w:tc>
          <w:tcPr>
            <w:tcW w:w="260" w:type="dxa"/>
            <w:vAlign w:val="bottom"/>
            <w:gridSpan w:val="2"/>
            <w:shd w:val="clear" w:color="auto" w:fill="EAF9E8"/>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268</w:t>
            </w:r>
          </w:p>
        </w:tc>
        <w:tc>
          <w:tcPr>
            <w:tcW w:w="180" w:type="dxa"/>
            <w:vAlign w:val="bottom"/>
            <w:shd w:val="clear" w:color="auto" w:fill="EAF9E8"/>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130,554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7,270</w:t>
            </w:r>
          </w:p>
        </w:tc>
        <w:tc>
          <w:tcPr>
            <w:tcW w:w="10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7,270</w:t>
            </w:r>
          </w:p>
        </w:tc>
        <w:tc>
          <w:tcPr>
            <w:tcW w:w="8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18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7,280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line="130" w:lineRule="exact"/>
              <w:rPr>
                <w:sz w:val="20"/>
                <w:szCs w:val="20"/>
                <w:color w:val="auto"/>
              </w:rPr>
            </w:pPr>
            <w:r>
              <w:rPr>
                <w:rFonts w:ascii="Arial" w:cs="Arial" w:eastAsia="Arial" w:hAnsi="Arial"/>
                <w:sz w:val="14"/>
                <w:szCs w:val="14"/>
                <w:color w:val="auto"/>
              </w:rPr>
              <w:t>Other Comprehensive Income, net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tcPr>
          <w:p>
            <w:pPr>
              <w:ind w:left="160"/>
              <w:spacing w:after="0"/>
              <w:rPr>
                <w:sz w:val="20"/>
                <w:szCs w:val="20"/>
                <w:color w:val="auto"/>
              </w:rPr>
            </w:pPr>
            <w:r>
              <w:rPr>
                <w:rFonts w:ascii="Arial" w:cs="Arial" w:eastAsia="Arial" w:hAnsi="Arial"/>
                <w:sz w:val="14"/>
                <w:szCs w:val="14"/>
                <w:color w:val="auto"/>
              </w:rPr>
              <w:t>tax:</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EAF9E8"/>
          </w:tcPr>
          <w:p>
            <w:pPr>
              <w:ind w:left="160"/>
              <w:spacing w:after="0" w:line="130" w:lineRule="exact"/>
              <w:rPr>
                <w:sz w:val="20"/>
                <w:szCs w:val="20"/>
                <w:color w:val="auto"/>
              </w:rPr>
            </w:pPr>
            <w:r>
              <w:rPr>
                <w:rFonts w:ascii="Arial" w:cs="Arial" w:eastAsia="Arial" w:hAnsi="Arial"/>
                <w:sz w:val="14"/>
                <w:szCs w:val="14"/>
                <w:color w:val="auto"/>
              </w:rPr>
              <w:t>Foreign currency translation</w:t>
            </w:r>
          </w:p>
        </w:tc>
        <w:tc>
          <w:tcPr>
            <w:tcW w:w="7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96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9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9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tcBorders>
              <w:bottom w:val="single" w:sz="8" w:color="EAF9E8"/>
            </w:tcBorders>
            <w:shd w:val="clear" w:color="auto" w:fill="EAF9E8"/>
          </w:tcPr>
          <w:p>
            <w:pPr>
              <w:ind w:left="320"/>
              <w:spacing w:after="0"/>
              <w:rPr>
                <w:sz w:val="20"/>
                <w:szCs w:val="20"/>
                <w:color w:val="auto"/>
              </w:rPr>
            </w:pPr>
            <w:r>
              <w:rPr>
                <w:rFonts w:ascii="Arial" w:cs="Arial" w:eastAsia="Arial" w:hAnsi="Arial"/>
                <w:sz w:val="14"/>
                <w:szCs w:val="14"/>
                <w:color w:val="auto"/>
              </w:rPr>
              <w:t>adjustment</w:t>
            </w:r>
          </w:p>
        </w:tc>
        <w:tc>
          <w:tcPr>
            <w:tcW w:w="900" w:type="dxa"/>
            <w:vAlign w:val="bottom"/>
            <w:tcBorders>
              <w:bottom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AF9E8"/>
            </w:tcBorders>
            <w:shd w:val="clear" w:color="auto" w:fill="EAF9E8"/>
          </w:tcPr>
          <w:p>
            <w:pPr>
              <w:spacing w:after="0"/>
              <w:rPr>
                <w:sz w:val="15"/>
                <w:szCs w:val="15"/>
                <w:color w:val="auto"/>
              </w:rPr>
            </w:pPr>
          </w:p>
        </w:tc>
        <w:tc>
          <w:tcPr>
            <w:tcW w:w="8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AF9E8"/>
            </w:tcBorders>
            <w:shd w:val="clear" w:color="auto" w:fill="EAF9E8"/>
          </w:tcPr>
          <w:p>
            <w:pPr>
              <w:spacing w:after="0"/>
              <w:rPr>
                <w:sz w:val="15"/>
                <w:szCs w:val="15"/>
                <w:color w:val="auto"/>
              </w:rPr>
            </w:pPr>
          </w:p>
        </w:tc>
        <w:tc>
          <w:tcPr>
            <w:tcW w:w="1020" w:type="dxa"/>
            <w:vAlign w:val="bottom"/>
            <w:tcBorders>
              <w:bottom w:val="single" w:sz="8" w:color="EAF9E8"/>
            </w:tcBorders>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AF9E8"/>
            </w:tcBorders>
            <w:shd w:val="clear" w:color="auto" w:fill="EAF9E8"/>
          </w:tcPr>
          <w:p>
            <w:pPr>
              <w:spacing w:after="0"/>
              <w:rPr>
                <w:sz w:val="15"/>
                <w:szCs w:val="15"/>
                <w:color w:val="auto"/>
              </w:rPr>
            </w:pPr>
          </w:p>
        </w:tc>
        <w:tc>
          <w:tcPr>
            <w:tcW w:w="11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AF9E8"/>
            </w:tcBorders>
            <w:shd w:val="clear" w:color="auto" w:fill="EAF9E8"/>
          </w:tcPr>
          <w:p>
            <w:pPr>
              <w:spacing w:after="0"/>
              <w:rPr>
                <w:sz w:val="15"/>
                <w:szCs w:val="15"/>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566</w:t>
            </w:r>
          </w:p>
        </w:tc>
        <w:tc>
          <w:tcPr>
            <w:tcW w:w="220" w:type="dxa"/>
            <w:vAlign w:val="bottom"/>
            <w:tcBorders>
              <w:bottom w:val="single" w:sz="8" w:color="EAF9E8"/>
            </w:tcBorders>
            <w:shd w:val="clear" w:color="auto" w:fill="EAF9E8"/>
          </w:tcPr>
          <w:p>
            <w:pPr>
              <w:spacing w:after="0"/>
              <w:rPr>
                <w:sz w:val="15"/>
                <w:szCs w:val="15"/>
                <w:color w:val="auto"/>
              </w:rPr>
            </w:pPr>
          </w:p>
        </w:tc>
        <w:tc>
          <w:tcPr>
            <w:tcW w:w="80" w:type="dxa"/>
            <w:vAlign w:val="bottom"/>
            <w:tcBorders>
              <w:bottom w:val="single" w:sz="8" w:color="auto"/>
            </w:tcBorders>
            <w:shd w:val="clear" w:color="auto" w:fill="EAF9E8"/>
          </w:tcPr>
          <w:p>
            <w:pPr>
              <w:spacing w:after="0"/>
              <w:rPr>
                <w:sz w:val="15"/>
                <w:szCs w:val="15"/>
                <w:color w:val="auto"/>
              </w:rPr>
            </w:pPr>
          </w:p>
        </w:tc>
        <w:tc>
          <w:tcPr>
            <w:tcW w:w="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566</w:t>
            </w:r>
          </w:p>
        </w:tc>
        <w:tc>
          <w:tcPr>
            <w:tcW w:w="140" w:type="dxa"/>
            <w:vAlign w:val="bottom"/>
            <w:tcBorders>
              <w:bottom w:val="single" w:sz="8" w:color="EAF9E8"/>
            </w:tcBorders>
            <w:shd w:val="clear" w:color="auto" w:fill="EAF9E8"/>
          </w:tcPr>
          <w:p>
            <w:pPr>
              <w:spacing w:after="0"/>
              <w:rPr>
                <w:sz w:val="15"/>
                <w:szCs w:val="15"/>
                <w:color w:val="auto"/>
              </w:rPr>
            </w:pPr>
          </w:p>
        </w:tc>
        <w:tc>
          <w:tcPr>
            <w:tcW w:w="80" w:type="dxa"/>
            <w:vAlign w:val="bottom"/>
            <w:tcBorders>
              <w:bottom w:val="single" w:sz="8" w:color="EAF9E8"/>
            </w:tcBorders>
            <w:shd w:val="clear" w:color="auto" w:fill="EAF9E8"/>
          </w:tcPr>
          <w:p>
            <w:pPr>
              <w:spacing w:after="0"/>
              <w:rPr>
                <w:sz w:val="15"/>
                <w:szCs w:val="15"/>
                <w:color w:val="auto"/>
              </w:rPr>
            </w:pPr>
          </w:p>
        </w:tc>
        <w:tc>
          <w:tcPr>
            <w:tcW w:w="180" w:type="dxa"/>
            <w:vAlign w:val="bottom"/>
            <w:tcBorders>
              <w:bottom w:val="single" w:sz="8" w:color="auto"/>
            </w:tcBorders>
            <w:shd w:val="clear" w:color="auto" w:fill="EAF9E8"/>
          </w:tcPr>
          <w:p>
            <w:pPr>
              <w:spacing w:after="0"/>
              <w:rPr>
                <w:sz w:val="15"/>
                <w:szCs w:val="15"/>
                <w:color w:val="auto"/>
              </w:rPr>
            </w:pPr>
          </w:p>
        </w:tc>
        <w:tc>
          <w:tcPr>
            <w:tcW w:w="8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EAF9E8"/>
            </w:tcBorders>
            <w:shd w:val="clear" w:color="auto" w:fill="EAF9E8"/>
          </w:tcPr>
          <w:p>
            <w:pPr>
              <w:spacing w:after="0"/>
              <w:rPr>
                <w:sz w:val="15"/>
                <w:szCs w:val="15"/>
                <w:color w:val="auto"/>
              </w:rPr>
            </w:pPr>
          </w:p>
        </w:tc>
        <w:tc>
          <w:tcPr>
            <w:tcW w:w="180" w:type="dxa"/>
            <w:vAlign w:val="bottom"/>
            <w:tcBorders>
              <w:bottom w:val="single" w:sz="8" w:color="auto"/>
            </w:tcBorders>
            <w:shd w:val="clear" w:color="auto" w:fill="EAF9E8"/>
          </w:tcPr>
          <w:p>
            <w:pPr>
              <w:spacing w:after="0"/>
              <w:rPr>
                <w:sz w:val="15"/>
                <w:szCs w:val="15"/>
                <w:color w:val="auto"/>
              </w:rPr>
            </w:pPr>
          </w:p>
        </w:tc>
        <w:tc>
          <w:tcPr>
            <w:tcW w:w="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574</w:t>
            </w:r>
          </w:p>
        </w:tc>
        <w:tc>
          <w:tcPr>
            <w:tcW w:w="120" w:type="dxa"/>
            <w:vAlign w:val="bottom"/>
            <w:tcBorders>
              <w:bottom w:val="single" w:sz="8" w:color="EAF9E8"/>
            </w:tcBorders>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Comprehensive income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7,836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w:t>
            </w:r>
          </w:p>
        </w:tc>
        <w:tc>
          <w:tcPr>
            <w:tcW w:w="1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Issuance of common stock</w:t>
            </w: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Stock compensation</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1,776</w:t>
            </w:r>
          </w:p>
        </w:tc>
        <w:tc>
          <w:tcPr>
            <w:tcW w:w="8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1,776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Noncontrolling interest in subsidiaries</w:t>
            </w: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160" w:type="dxa"/>
            <w:vAlign w:val="bottom"/>
            <w:gridSpan w:val="2"/>
            <w:shd w:val="clear" w:color="auto" w:fill="EAF9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117</w:t>
            </w:r>
          </w:p>
        </w:tc>
        <w:tc>
          <w:tcPr>
            <w:tcW w:w="180" w:type="dxa"/>
            <w:vAlign w:val="bottom"/>
            <w:shd w:val="clear" w:color="auto" w:fill="EAF9E8"/>
          </w:tcPr>
          <w:p>
            <w:pPr>
              <w:spacing w:after="0"/>
              <w:rPr>
                <w:sz w:val="12"/>
                <w:szCs w:val="12"/>
                <w:color w:val="auto"/>
              </w:rPr>
            </w:pPr>
          </w:p>
        </w:tc>
        <w:tc>
          <w:tcPr>
            <w:tcW w:w="90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56"/>
        </w:trPr>
        <w:tc>
          <w:tcPr>
            <w:tcW w:w="2460" w:type="dxa"/>
            <w:vAlign w:val="bottom"/>
            <w:gridSpan w:val="2"/>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40" w:type="dxa"/>
            <w:vAlign w:val="bottom"/>
            <w:shd w:val="clear" w:color="auto" w:fill="EAF9E8"/>
          </w:tcPr>
          <w:p>
            <w:pPr>
              <w:spacing w:after="0"/>
              <w:rPr>
                <w:sz w:val="20"/>
                <w:szCs w:val="20"/>
                <w:color w:val="auto"/>
              </w:rPr>
            </w:pPr>
            <w:r>
              <w:rPr>
                <w:rFonts w:ascii="Arial" w:cs="Arial" w:eastAsia="Arial" w:hAnsi="Arial"/>
                <w:sz w:val="14"/>
                <w:szCs w:val="14"/>
                <w:b w:val="1"/>
                <w:bCs w:val="1"/>
                <w:color w:val="auto"/>
              </w:rPr>
              <w:t>Balance at November 30, 2010</w:t>
            </w: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26,665</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267</w:t>
            </w: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163,830</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(23,178)</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(1,021)</w:t>
            </w:r>
          </w:p>
        </w:tc>
        <w:tc>
          <w:tcPr>
            <w:tcW w:w="8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139,898</w:t>
            </w:r>
          </w:p>
        </w:tc>
        <w:tc>
          <w:tcPr>
            <w:tcW w:w="260" w:type="dxa"/>
            <w:vAlign w:val="bottom"/>
            <w:gridSpan w:val="2"/>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403</w:t>
            </w:r>
          </w:p>
        </w:tc>
        <w:tc>
          <w:tcPr>
            <w:tcW w:w="18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140,301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EAF9E8"/>
            </w:tcBorders>
            <w:shd w:val="clear" w:color="auto" w:fill="EAF9E8"/>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4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Six months ended November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income attributable to common shareholders</w:t>
            </w:r>
          </w:p>
        </w:tc>
        <w:tc>
          <w:tcPr>
            <w:tcW w:w="1020" w:type="dxa"/>
            <w:vAlign w:val="bottom"/>
          </w:tcPr>
          <w:p>
            <w:pPr>
              <w:jc w:val="right"/>
              <w:ind w:right="861"/>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7,270</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2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8,763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income taxes</w:t>
            </w:r>
          </w:p>
        </w:tc>
        <w:tc>
          <w:tcPr>
            <w:tcW w:w="102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10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extinguishment of long-term debt</w:t>
            </w:r>
          </w:p>
        </w:tc>
        <w:tc>
          <w:tcPr>
            <w:tcW w:w="102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Gain on sale of assets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102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Stock compensation expense</w:t>
            </w:r>
          </w:p>
        </w:tc>
        <w:tc>
          <w:tcPr>
            <w:tcW w:w="10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1,776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rate swap</w:t>
            </w:r>
          </w:p>
        </w:tc>
        <w:tc>
          <w:tcPr>
            <w:tcW w:w="102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Foreign currency gain</w:t>
            </w:r>
          </w:p>
        </w:tc>
        <w:tc>
          <w:tcPr>
            <w:tcW w:w="102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Accounts receivable</w:t>
            </w:r>
          </w:p>
        </w:tc>
        <w:tc>
          <w:tcPr>
            <w:tcW w:w="102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(8,207)</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(1,345)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980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shd w:val="clear" w:color="auto" w:fill="EAF9E8"/>
          </w:tcPr>
          <w:p>
            <w:pPr>
              <w:spacing w:after="0"/>
              <w:rPr>
                <w:sz w:val="19"/>
                <w:szCs w:val="19"/>
                <w:color w:val="auto"/>
              </w:rPr>
            </w:pP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2,589</w:t>
            </w:r>
          </w:p>
        </w:tc>
        <w:tc>
          <w:tcPr>
            <w:tcW w:w="16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AF9E8"/>
            </w:tcBorders>
          </w:tcPr>
          <w:p>
            <w:pPr>
              <w:ind w:left="32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11,095</w:t>
            </w:r>
          </w:p>
        </w:tc>
        <w:tc>
          <w:tcPr>
            <w:tcW w:w="200" w:type="dxa"/>
            <w:vAlign w:val="bottom"/>
            <w:tcBorders>
              <w:top w:val="single" w:sz="8" w:color="EAF9E8"/>
            </w:tcBorders>
          </w:tcPr>
          <w:p>
            <w:pPr>
              <w:spacing w:after="0"/>
              <w:rPr>
                <w:sz w:val="19"/>
                <w:szCs w:val="19"/>
                <w:color w:val="auto"/>
              </w:rPr>
            </w:pPr>
          </w:p>
        </w:tc>
        <w:tc>
          <w:tcPr>
            <w:tcW w:w="160" w:type="dxa"/>
            <w:vAlign w:val="bottom"/>
            <w:tcBorders>
              <w:top w:val="single" w:sz="8" w:color="EAF9E8"/>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8,620</w:t>
            </w:r>
          </w:p>
        </w:tc>
        <w:tc>
          <w:tcPr>
            <w:tcW w:w="100" w:type="dxa"/>
            <w:vAlign w:val="bottom"/>
            <w:tcBorders>
              <w:top w:val="single" w:sz="8" w:color="EAF9E8"/>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0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(3,721)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Purchase of intangible assets</w:t>
            </w:r>
          </w:p>
        </w:tc>
        <w:tc>
          <w:tcPr>
            <w:tcW w:w="102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Acquisition of businesses, net of cash acquired</w:t>
            </w:r>
          </w:p>
        </w:tc>
        <w:tc>
          <w:tcPr>
            <w:tcW w:w="10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(16,856)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Proceeds from sale of equipment</w:t>
            </w:r>
          </w:p>
        </w:tc>
        <w:tc>
          <w:tcPr>
            <w:tcW w:w="1020" w:type="dxa"/>
            <w:vAlign w:val="bottom"/>
            <w:tcBorders>
              <w:bottom w:val="single" w:sz="8" w:color="auto"/>
            </w:tcBorders>
            <w:shd w:val="clear" w:color="auto" w:fill="EAF9E8"/>
          </w:tcPr>
          <w:p>
            <w:pPr>
              <w:spacing w:after="0"/>
              <w:rPr>
                <w:sz w:val="19"/>
                <w:szCs w:val="19"/>
                <w:color w:val="auto"/>
              </w:rPr>
            </w:pPr>
          </w:p>
        </w:tc>
        <w:tc>
          <w:tcPr>
            <w:tcW w:w="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34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(20,766)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Borders>
              <w:top w:val="single" w:sz="8" w:color="auto"/>
            </w:tcBorders>
            <w:shd w:val="clear" w:color="auto" w:fill="EAF9E8"/>
          </w:tcPr>
          <w:p>
            <w:pPr>
              <w:spacing w:after="0"/>
              <w:rPr>
                <w:sz w:val="18"/>
                <w:szCs w:val="18"/>
                <w:color w:val="auto"/>
              </w:rPr>
            </w:pPr>
          </w:p>
        </w:tc>
        <w:tc>
          <w:tcPr>
            <w:tcW w:w="58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Repayment of capital lease obligations</w:t>
            </w:r>
          </w:p>
        </w:tc>
        <w:tc>
          <w:tcPr>
            <w:tcW w:w="10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(2,984)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Repayments of long-term debt</w:t>
            </w:r>
          </w:p>
        </w:tc>
        <w:tc>
          <w:tcPr>
            <w:tcW w:w="102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(3,418)</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(64,702)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borrowings (repayments) from revolver</w:t>
            </w:r>
          </w:p>
        </w:tc>
        <w:tc>
          <w:tcPr>
            <w:tcW w:w="10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6,600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Proceeds from borrowings of long-term debt</w:t>
            </w:r>
          </w:p>
        </w:tc>
        <w:tc>
          <w:tcPr>
            <w:tcW w:w="102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Debt issuance costs</w:t>
            </w:r>
          </w:p>
        </w:tc>
        <w:tc>
          <w:tcPr>
            <w:tcW w:w="10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Net proceeds from issuance of common stock</w:t>
            </w:r>
          </w:p>
        </w:tc>
        <w:tc>
          <w:tcPr>
            <w:tcW w:w="102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74,147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shd w:val="clear" w:color="auto" w:fill="EAF9E8"/>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15,319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2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shd w:val="clear" w:color="auto" w:fill="EAF9E8"/>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Net change in cash and cash equivalents</w:t>
            </w:r>
          </w:p>
        </w:tc>
        <w:tc>
          <w:tcPr>
            <w:tcW w:w="10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(9,268)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and cash equivalents</w:t>
            </w:r>
          </w:p>
        </w:tc>
        <w:tc>
          <w:tcPr>
            <w:tcW w:w="102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Beginning of period</w:t>
            </w:r>
          </w:p>
        </w:tc>
        <w:tc>
          <w:tcPr>
            <w:tcW w:w="10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16,037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End of period</w:t>
            </w:r>
          </w:p>
        </w:tc>
        <w:tc>
          <w:tcPr>
            <w:tcW w:w="1020" w:type="dxa"/>
            <w:vAlign w:val="bottom"/>
            <w:shd w:val="clear" w:color="auto" w:fill="EAF9E8"/>
          </w:tcPr>
          <w:p>
            <w:pPr>
              <w:jc w:val="right"/>
              <w:ind w:right="861"/>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6,769</w:t>
            </w:r>
          </w:p>
        </w:tc>
        <w:tc>
          <w:tcPr>
            <w:tcW w:w="5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top w:val="single" w:sz="8" w:color="EAF9E8"/>
            </w:tcBorders>
          </w:tcPr>
          <w:p>
            <w:pPr>
              <w:spacing w:after="0"/>
              <w:rPr>
                <w:sz w:val="20"/>
                <w:szCs w:val="20"/>
                <w:color w:val="auto"/>
              </w:rPr>
            </w:pPr>
            <w:r>
              <w:rPr>
                <w:rFonts w:ascii="Arial" w:cs="Arial" w:eastAsia="Arial" w:hAnsi="Arial"/>
                <w:sz w:val="18"/>
                <w:szCs w:val="18"/>
                <w:b w:val="1"/>
                <w:bCs w:val="1"/>
                <w:color w:val="auto"/>
              </w:rPr>
              <w:t>Supplemental disclosure of cash paid</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Interest</w:t>
            </w:r>
          </w:p>
        </w:tc>
        <w:tc>
          <w:tcPr>
            <w:tcW w:w="1020" w:type="dxa"/>
            <w:vAlign w:val="bottom"/>
            <w:shd w:val="clear" w:color="auto" w:fill="EAF9E8"/>
          </w:tcPr>
          <w:p>
            <w:pPr>
              <w:jc w:val="right"/>
              <w:ind w:right="861"/>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1,496</w:t>
            </w:r>
          </w:p>
        </w:tc>
        <w:tc>
          <w:tcPr>
            <w:tcW w:w="5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Income taxes</w:t>
            </w:r>
          </w:p>
        </w:tc>
        <w:tc>
          <w:tcPr>
            <w:tcW w:w="1020" w:type="dxa"/>
            <w:vAlign w:val="bottom"/>
          </w:tcPr>
          <w:p>
            <w:pPr>
              <w:jc w:val="right"/>
              <w:ind w:right="861"/>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4,617</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Noncash investing and financing</w:t>
            </w:r>
          </w:p>
        </w:tc>
        <w:tc>
          <w:tcPr>
            <w:tcW w:w="102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Equipment acquired through capital lease obligations</w:t>
            </w:r>
          </w:p>
        </w:tc>
        <w:tc>
          <w:tcPr>
            <w:tcW w:w="1020" w:type="dxa"/>
            <w:vAlign w:val="bottom"/>
          </w:tcPr>
          <w:p>
            <w:pPr>
              <w:jc w:val="right"/>
              <w:ind w:right="861"/>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2,731</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AF9E8"/>
          </w:tcPr>
          <w:p>
            <w:pPr>
              <w:spacing w:after="0"/>
              <w:rPr>
                <w:sz w:val="20"/>
                <w:szCs w:val="20"/>
                <w:color w:val="auto"/>
              </w:rPr>
            </w:pPr>
            <w:r>
              <w:rPr>
                <w:rFonts w:ascii="Arial" w:cs="Arial" w:eastAsia="Arial" w:hAnsi="Arial"/>
                <w:sz w:val="18"/>
                <w:szCs w:val="18"/>
                <w:color w:val="auto"/>
              </w:rPr>
              <w:t>Issuance of notes payable and other debt obligations primarily related to acquisitions</w:t>
            </w:r>
          </w:p>
        </w:tc>
        <w:tc>
          <w:tcPr>
            <w:tcW w:w="1020" w:type="dxa"/>
            <w:vAlign w:val="bottom"/>
            <w:shd w:val="clear" w:color="auto" w:fill="EAF9E8"/>
          </w:tcPr>
          <w:p>
            <w:pPr>
              <w:jc w:val="right"/>
              <w:ind w:right="861"/>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1,637</w:t>
            </w:r>
          </w:p>
        </w:tc>
        <w:tc>
          <w:tcPr>
            <w:tcW w:w="5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4"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&amp;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Mistras Group, Inc. and subsidiaries (the “Company”) is a leading “one source” global provider of technology-enabled asset protection solutions used to evaluate the structural integrity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 nd avoid catastrophic disasters. Given the role the Company services play in ensuring the safe and efficient operation of infrastructure, the Company has historically provided a majority of its services to its customers on a regular, recurring basis. The Company serves a global customer base of companies with asset-intensive infrastructure, including companies in the oil and gas, fossil and nuclear power, alternative and renewable energy, public infrastructure, chemicals, aerospace and defense, transportation, primary metals and metalworking, pharmaceuticals and food processing industry.</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(“GAAP”) for interim financial information. Accordingly, they do not include all of the information and footnotes required by GAAP for complete financial statements. In the opinion of management, all adjustments (consisting of normal recurring accruals) considered necessary for a fair presentation have been included. Operating results for the three and six months ended November 30, 2010 are not necessarily indicative of the results that may be expected for the year ending May 31, 2011. The balance sheet at May 31, 2010 has been derived from the audited financial statements at that date but does not include all of the information and footnotes required by GAAP for co mplete financial statements. You should read these unaudited consolidated financial statements together with the historical consolidated financial statements of the Company as filed with the Securities and Exchange Commission.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consolidated financial statements include the accounts of Mistras Group, Inc. and its wholly or majority-owned subsidiaries: Quality Service Laboratories, Inc., Cismis Springfield Corp., Mistras Group, S.A. (formerly Euro Physical Acoustics, S.A.) and its majority-owned subsidiary, IPS S.A.R.L. (“IPS”), Nippon Physical Acoustics Ltd., Physical Acoustics South America, Diapac Company, Mistras Canada, Inc. and Physical Acoustics Ltd. and its wholly or majority-owned subsidiaries, Physical Acoustics India Private Ltd., Physical Acoustics B.V. and Envirocoustics A.B.E.E. (“Envac”). Where the Company’s ownership interest is less than 100%, the noncontrolling interests are reported in stockholders’ equity in the accompanying consolidated balance sheets. The noncontrolling interest in net i ncome, net of tax, is classified separately in the accompanying consolidated statements of operations.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significant intercompany accounts and transactions have been eliminated in consolidation. All foreign subsidiaries’ reporting year ends are April 30, while Mistras Group, Inc. and the domestic subsidiaries year ends are May 31. The effect of this difference in timing of reporting foreign operations on the consolidated results of operations and consolidated financial position is not significant.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amounts previously reported in prior periods have been reclassified to conform to the current year presentation. Such reclassifications did not have a material effect on the Company’s financial condition or results of operations as previously reported.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4"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 policies for the various sources of revenues are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predominantly derives revenues by providing its services on a time and material basis and recognizes revenues when services are rendered. At the end of any reporting period, there may be earned but unbilled revenues that are accrued. Payments received in advance of revenue recognition are reflected as deferred revenues.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the sale of perpetual licenses are recognized upon the delivery and acceptance of the software. Revenues from term licenses are recognized ratably over the period of the license. Revenues from maintenance, unspecified upgrades and technical support are recognized ratably over the period such items are delivered. For multiple-element arrangement software contracts that include non-software elements, and where the software is essential to the functionality of the non-software elements (collectively referred to as software multiple-element arrangements), the Company applies the rules as noted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from product sales are recognized when risk of loss and title passes to the customer, which is generally upon product delivery. The exceptions to this accounting treatment would be for multiple-element arrangements (described below) or those situations where specialized installation or customer acceptance is required. Payments received in advance of revenue recognition are reflected as deferred revenues.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 of completion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portion of the Company’s revenues are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 indirect labor, supplies, tools, repairs, and all costs associated with operation of equipment. The cost estimation process is based upon the professional knowledge and experience of the Company’s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our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Multiple-element arrangements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occasionally enters into transactions that represent multiple-element arrangements, which may include any combination of services, software, and hardware. Under current FASB guidance, the Company utilizes vendor-specific objective evidence to determine whether the multiple elements can be separated into more than one unit of accounting. A multiple-element arrangement is separated into more than one unit of accounting if: (1) the delivered item has value on a standalone basis; and (2) there is objective and reliable evidence of the fair value of the undelivered items if the delivery or performance of the undelivered items is probable and in the control of the Company.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these criteria are not met, then revenues are deferred until such criteria are met or until the period(s) over which the last undelivered element is delivered. If there is objective and reliable evidence of fair value for all units of accounting in an arrangement, the arrangement consideration is allocated to the separate units of accounting based on each unit’s relative fair value. Effective June 1, 2011, the Company will adopt updated guidance from the FASB that will require the allocation of revenue in multiple-element arrangements to separate units of accounting based on an element’s estimated selling price if vendor-specific or other first party evidence is not available.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unaudited consolidated financial statements have been prepared in conformity with GAAP, which requires management to make estimates and assumptions about future events that affect the reported amounts of assets and liabilities, disclosure of contingent assets and liabilities at the date of the financial statements, and the reported amounts of revenues and expenses during the reporting period. Actual results could differ from these estimates. The more significant estimates include valuation of goodwill and intangible assets, useful lives of long-lived assets, allowances for doubtful accounts, inventory valuation, reserves for self-insured workers compensation and health benefits and provision for income taxes.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reflects only the exercise of options to acquire common stock to the extent that the options’ exercise prices are less than the average market price of common shares during the period and the pro forma vesting of restricted stock units.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represents the excess of the purchase price over the fair market value of net assets of the acquired business at the date of acquisition. The Company tests for impairment annually, in its fiscal fourth quarter, using a two-step process. The first step identifies potential impairment by comparing the fair value of the Company’s reporting units to its carrying value. If the fair value is less than the carrying value, the second step measures the amount of impairment, if any. The impairment loss is the amount by which the carrying amount of goodwill exceeds the implied fair value of that goodwill. The most recent annual test for impairment performed for fiscal 2010 did not identify any instances of impairment and there were no events through November 30, 2010 that warranted a reconsideration of our impairment test results.&lt; /font&gt;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recorded at cost. Intangible assets with finite lives are amortized on a straight-line basis over their estimated useful lives.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the risk of nonperformance of the financial institutions.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primarily to large companies, extends reasonably short collection terms, performs credit evaluations and does not require collateral. The Company maintains reserves for potential credit losses.</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 has one major customer with multiple business units that accounted for 15% and 19% of revenues for the three months ended November 30, 2010 and 2009, respectively, and 16% and 20% of total revenues for the six months ended November 30, 2010 and 2009, respectively. Accounts receivable from this customer was approximately 10% of total accounts receivable, net as of November 30, 2010 and May 31, 2010, respectively.</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measures the cost of employee services received in exchange for an award of equity instruments based upon the grant-date fair value of the award. The Company uses the “straight-line” attribution method for allocating compensation costs and recognizes the fair value of each equity award on a straight-line basis over the vesting period of the related awards.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uses the Black-Scholes option-pricing model to estimate the fair value of the stock option awards as of the grant date. The Black-Scholes model, by its design, is highly complex and dependent upon key data inputs estimated by management. The primary data inputs with the greatest degree of judgment are the expected term of stock-based awards and the estimated volatility of the Company’s common stock price. The Black-Scholes model is sensitive to changes in these two variables. Since the Company’s initial public offering (“IPO”), the expected term of the Company’s stock options is generally determined using the mid-point between the vesting period and the end of the contractual term. Expected stock price volatility is typically based on the daily historical trading data for a period equal to the expected term. Because the Company’s historical trading data only dates back to October 8, 2009, the first trading date after its IPO, the Company has estimated expected volatility using an analysis of the stock price volatility of comparable peer companies. Prior to the Company’s IPO, the exercise price equaled the estimated fair market value of the Company’s common stock, as determined by its board of directors. Since the Company’s IPO, the exercise price of stock option grants is determined using the closing market price of the Company’s common stock on the date of grant.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2009, the FASB issued guidance on revenue recognition related to multiple-element arrangements. The new guidance requires companies to allocate revenue in multiple-element arrangements based on an element’s estimated selling price if vendor-specific or other first party evidence of value is not available. This guidance is effective prospectively for revenue arrangements entered into or materially modified in fiscal years beginning on or after June 15, 2010. Early adoption is permitted retrospectively from the beginning of an entity’s fiscal year. The Company does not expect a significant impact on the financial statements of the Company when the guidance is adopted in fiscal 2012.</w:t>
      </w:r>
    </w:p>
    <w:p>
      <w:pPr>
        <w:spacing w:after="0" w:line="184"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2009, the Company completed its initial public offering of 10,000,000 shares of common stock at a price of $12.50 per share. The Company sold 6,700,000 shares. The Company received net proceeds of approximately $74.0 million from the offering. The Company used approximately $68.0 million of the net proceeds to repay the outstanding principal balance of the term loan ($25.0 million), outstanding balance of the revolver ($41.4 million) and accrued interest thereon ($0.1 million), as well as approximately $1.5 million to pay costs and expenses related to the offering. The remaining proceeds (approximately $6.0 million) were used for acquisitions and working capital purposes.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on common stock will be paid when, and if declared by the board of directors. Each holder of common stock is entitled to vote on all matters and is entitled to one vote for each share held.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its IPO in October 2009, the Company completed several private placements of its Class A and Class B preferred stock. These preferred shares included various redemption and conversion features and were reported outside the equity section and adjusted to fair value, which represented their redemption value at each reporting date. All of the preferred shares outstanding as of the offering converted to common stock and all accretion recorded through the redemption price formula were credited to additional paid-in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2009, the Company’s board of directors and shareholders adopted and approved the 2009 Long-Term Incentive Plan (the “2009 Plan”), which became effective upon the closing of the IPO. Awards may be in the form of stock options, restricted stock units and other forms of stock-based incentives, including stock appreciation rights and deferred stock rights. The term of each incentive and non-qualified stock option is ten years. Vesting generally occurs over a period of four years, the expense for which is recorded on a straight-line basis over the requisite service period. The 2009 Plan allows for the grant of awards of up to approximately 2,286,000 shares. Prior to the Company’s IPO in October 2009, the Company had two stock option plans: (i) the 1995 Incentive Stock Option and Restricted Stock Purchase Plan (the “1995 Plan”), and (ii) the 2007 Stock Option Plan (the “2007 Plan”). No additional awards may be granted from these two plans.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November 30, 2010, there were a total of approximately 2,895,000 stock options and approximately 218,000 unvested restricted stock units outstanding under the 2009 Plan, the 1995 Plan, and the 2007 Plan. Under the 2009 Plan there were 1,997,000 shares available for future grants.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Company’s stock option awards was estimated at the date of grant using the Black-Scholes option-pricing model with the following range of assumptions: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For the six months ended November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7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AF9E8"/>
          </w:tcPr>
          <w:p>
            <w:pPr>
              <w:spacing w:after="0"/>
              <w:rPr>
                <w:sz w:val="20"/>
                <w:szCs w:val="20"/>
                <w:color w:val="auto"/>
              </w:rPr>
            </w:pPr>
            <w:r>
              <w:rPr>
                <w:rFonts w:ascii="Arial" w:cs="Arial" w:eastAsia="Arial" w:hAnsi="Arial"/>
                <w:sz w:val="18"/>
                <w:szCs w:val="18"/>
                <w:color w:val="auto"/>
              </w:rPr>
              <w:t>Dividend yield</w:t>
            </w:r>
          </w:p>
        </w:tc>
        <w:tc>
          <w:tcPr>
            <w:tcW w:w="11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0.0%</w:t>
            </w:r>
          </w:p>
        </w:tc>
        <w:tc>
          <w:tcPr>
            <w:tcW w:w="172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Expected volatility</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1720" w:type="dxa"/>
            <w:vAlign w:val="bottom"/>
            <w:gridSpan w:val="3"/>
          </w:tcPr>
          <w:p>
            <w:pPr>
              <w:jc w:val="right"/>
              <w:ind w:right="3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AF9E8"/>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rPr>
              <w:t>2.6%</w:t>
            </w:r>
          </w:p>
        </w:tc>
        <w:tc>
          <w:tcPr>
            <w:tcW w:w="172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Expected term (years)</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6.3</w:t>
            </w:r>
          </w:p>
        </w:tc>
        <w:tc>
          <w:tcPr>
            <w:tcW w:w="1720" w:type="dxa"/>
            <w:vAlign w:val="bottom"/>
            <w:gridSpan w:val="3"/>
          </w:tcPr>
          <w:p>
            <w:pPr>
              <w:jc w:val="right"/>
              <w:ind w:right="440"/>
              <w:spacing w:after="0"/>
              <w:rPr>
                <w:sz w:val="20"/>
                <w:szCs w:val="20"/>
                <w:color w:val="auto"/>
              </w:rPr>
            </w:pPr>
            <w:r>
              <w:rPr>
                <w:rFonts w:ascii="Arial" w:cs="Arial" w:eastAsia="Arial" w:hAnsi="Arial"/>
                <w:sz w:val="18"/>
                <w:szCs w:val="18"/>
                <w:color w:val="auto"/>
              </w:rPr>
              <w:t>4.0-6.3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recognized stock-based compensation expense related to stock option awards of approximately $0.9 million, and $0.8 million for the three months ended November 30, 2010, and 2009, respectively. For the six months ended November 30, 2010 and 2009, the Company recognized stock-based compensation expense related to stock option awards of $1.6 million and $1.0 million, respectively. As of November 30, 2010, there was approximately $8.4 million of unrecognized compensation costs, net of estimated forfeitures, related to stock option awards which are expected to be recognized over a remaining weighted average period of 2.7 years. There were no stock option exercises during the three and six month periods ended November 30, 2010 and 2009.</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also recognized approximately $0.1 million and $0.2 million in stock-based compensation expense related to restricted stock unit awards during the three and six month periods ended November 30, 2010. There was no such expense incurred during the three and six month periods ended November 30, 2009. As of November 30, 2010, there was approximately $2.0 million of unrecognized compensation costs, net of estimated forfeitures, related to restricted stock unit awards, which are expected to be recognized over a remaining weighted average period of 3.7 years.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Three months ended November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7"/>
          </w:tcPr>
          <w:p>
            <w:pPr>
              <w:ind w:left="60"/>
              <w:spacing w:after="0"/>
              <w:rPr>
                <w:sz w:val="20"/>
                <w:szCs w:val="20"/>
                <w:color w:val="auto"/>
              </w:rPr>
            </w:pPr>
            <w:r>
              <w:rPr>
                <w:rFonts w:ascii="Arial" w:cs="Arial" w:eastAsia="Arial" w:hAnsi="Arial"/>
                <w:sz w:val="18"/>
                <w:szCs w:val="18"/>
                <w:b w:val="1"/>
                <w:bCs w:val="1"/>
                <w:color w:val="auto"/>
                <w:w w:val="94"/>
              </w:rPr>
              <w:t>Six months ended November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AF9E8"/>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360" w:type="dxa"/>
            <w:vAlign w:val="bottom"/>
            <w:tcBorders>
              <w:left w:val="single" w:sz="8" w:color="EAF9E8"/>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income attributable to common shareholders</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5,678</w:t>
            </w:r>
          </w:p>
        </w:tc>
        <w:tc>
          <w:tcPr>
            <w:tcW w:w="600" w:type="dxa"/>
            <w:vAlign w:val="bottom"/>
            <w:tcBorders>
              <w:left w:val="single" w:sz="8" w:color="EAF9E8"/>
            </w:tcBorders>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10,061</w:t>
            </w:r>
          </w:p>
        </w:tc>
        <w:tc>
          <w:tcPr>
            <w:tcW w:w="240" w:type="dxa"/>
            <w:vAlign w:val="bottom"/>
            <w:shd w:val="clear" w:color="auto" w:fill="EAF9E8"/>
          </w:tcPr>
          <w:p>
            <w:pPr>
              <w:jc w:val="right"/>
              <w:ind w:right="82"/>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7,270</w:t>
            </w:r>
          </w:p>
        </w:tc>
        <w:tc>
          <w:tcPr>
            <w:tcW w:w="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26,665</w:t>
            </w:r>
          </w:p>
        </w:tc>
        <w:tc>
          <w:tcPr>
            <w:tcW w:w="360" w:type="dxa"/>
            <w:vAlign w:val="bottom"/>
            <w:tcBorders>
              <w:left w:val="single" w:sz="8" w:color="EAF9E8"/>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20,987</w:t>
            </w:r>
          </w:p>
        </w:tc>
        <w:tc>
          <w:tcPr>
            <w:tcW w:w="24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26,664</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16,971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60" w:type="dxa"/>
            <w:vAlign w:val="bottom"/>
            <w:tcBorders>
              <w:left w:val="single" w:sz="8" w:color="EAF9E8"/>
            </w:tcBorders>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0.48</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0.27</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360" w:type="dxa"/>
            <w:vAlign w:val="bottom"/>
            <w:tcBorders>
              <w:left w:val="single" w:sz="8" w:color="EAF9E8"/>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360" w:type="dxa"/>
            <w:vAlign w:val="bottom"/>
            <w:tcBorders>
              <w:left w:val="single" w:sz="8" w:color="EAF9E8"/>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Net income attributable to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5,678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3,562</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7,270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360" w:type="dxa"/>
            <w:vAlign w:val="bottom"/>
            <w:tcBorders>
              <w:left w:val="single" w:sz="8" w:color="EAF9E8"/>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26,665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20,987</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26,664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Dilutive effect of stock options outstanding</w:t>
            </w: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w:t>
            </w:r>
          </w:p>
        </w:tc>
        <w:tc>
          <w:tcPr>
            <w:tcW w:w="360" w:type="dxa"/>
            <w:vAlign w:val="bottom"/>
            <w:tcBorders>
              <w:left w:val="single" w:sz="8" w:color="EAF9E8"/>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1,302</w:t>
            </w:r>
          </w:p>
        </w:tc>
        <w:tc>
          <w:tcPr>
            <w:tcW w:w="24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Dilutive effect of restricted stock units outstanding</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Dilutive effect of conversion of preferred shares</w:t>
            </w: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EAF9E8"/>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2,704</w:t>
            </w:r>
          </w:p>
        </w:tc>
        <w:tc>
          <w:tcPr>
            <w:tcW w:w="24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60" w:type="dxa"/>
            <w:vAlign w:val="bottom"/>
            <w:tcBorders>
              <w:left w:val="single" w:sz="8" w:color="EAF9E8"/>
            </w:tcBorders>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Total shares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26,816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24,993</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26,795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700" w:type="dxa"/>
            <w:vAlign w:val="bottom"/>
            <w:shd w:val="clear" w:color="auto" w:fill="EAF9E8"/>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0.21</w:t>
            </w:r>
          </w:p>
        </w:tc>
        <w:tc>
          <w:tcPr>
            <w:tcW w:w="600" w:type="dxa"/>
            <w:vAlign w:val="bottom"/>
            <w:tcBorders>
              <w:left w:val="single" w:sz="8" w:color="EAF9E8"/>
            </w:tcBorders>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EAF9E8"/>
          </w:tcPr>
          <w:p>
            <w:pPr>
              <w:jc w:val="right"/>
              <w:ind w:right="82"/>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0.27</w:t>
            </w:r>
          </w:p>
        </w:tc>
        <w:tc>
          <w:tcPr>
            <w:tcW w:w="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left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earnings per share are computed by dividing net income by the weighted-average number of share outstanding during the period. Diluted earnings per share are computed by dividing net income by the sum of (1) the weighted-average number of shares outstanding during the period, and (2) the dilutive effect of assumed equity award conversions using the treasury stock method. For the three and six month periods ended November 30, 2010, there was no difference in the amount of net income (numerator) used in the computation of basic and diluted earnings per share. For the three and six month periods ended November 30, 2009, the amount of net income (numerator) used in the computation of diluted earnings per share did not include preferred stock accretion as such accretion provided an anti-dilutive effect.</w:t>
      </w:r>
    </w:p>
    <w:p>
      <w:pPr>
        <w:spacing w:after="0" w:line="189"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Assets and liabilities of the acquired businesses were included in the Consolidated Balance Sheet as of November 30, 2010 based on their estimated fair value on the date of acquisition as determined in a purchase price allocation, using available information and making assumptions management believes are reasonable. Results of operations for the period from acquisition date are reported in each respective operating segment’s statement of operations.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made three acquisitions during the six months ended November 30, 2010 for strategic market expansion. Two of the acquisitions were asset purchases that met the definition of a “business” as defined by the Financial Accounting Standards Board (“FASB”) Accounting Standards Codification (“ASC”) 805-10-20. In the third acquisition, we acquired 80% of the common stock of the acquiree. The remaining 20% of the acquiree’s common stock is recorded as noncontrolling interest in stockholders’ equity. The holders of the remaining 20% interest can require the Company to purchase the noncontrolling interest at any time for a price based upon EBITDA. Such price was approximately $17 thousand as of November 30, 2010.</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Revenues included in the Consolidated Statement of Operations for the three and six month periods ended November 30, 2010 from these acquisitions for the period subsequent to the closing of each respective transaction was approximately $4.3 million and $5.4 million, respectively. On a pro forma basis from the beginning of fiscal 2011, revenues from these acquisitions would have been approximately $5.2 million and $9.6 million for the three and six month periods ended November 30, 2010. Operating income or other financial measures for these acquisitions both from the date of closing of each respective transaction and on a pro forma basis is impractical to estimate due to the integration of these entities post-acquisition.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purchase price allocation for all acquisitions during the six months ended November 30, 2010 and 2009, respectively:</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1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Six months ended November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AF9E8"/>
          </w:tcPr>
          <w:p>
            <w:pPr>
              <w:spacing w:after="0"/>
              <w:rPr>
                <w:sz w:val="20"/>
                <w:szCs w:val="20"/>
                <w:color w:val="auto"/>
              </w:rPr>
            </w:pPr>
            <w:r>
              <w:rPr>
                <w:rFonts w:ascii="Arial" w:cs="Arial" w:eastAsia="Arial" w:hAnsi="Arial"/>
                <w:sz w:val="18"/>
                <w:szCs w:val="18"/>
                <w:color w:val="auto"/>
              </w:rPr>
              <w:t>Number of entities</w:t>
            </w:r>
          </w:p>
        </w:tc>
        <w:tc>
          <w:tcPr>
            <w:tcW w:w="18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Cash paid</w:t>
            </w:r>
          </w:p>
        </w:tc>
        <w:tc>
          <w:tcPr>
            <w:tcW w:w="2960" w:type="dxa"/>
            <w:vAlign w:val="bottom"/>
            <w:gridSpan w:val="2"/>
            <w:shd w:val="clear" w:color="auto" w:fill="EAF9E8"/>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16,801</w:t>
            </w:r>
          </w:p>
        </w:tc>
        <w:tc>
          <w:tcPr>
            <w:tcW w:w="2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0"/>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14,350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Subordinated notes issued</w:t>
            </w: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Debt assumed</w:t>
            </w:r>
          </w:p>
        </w:tc>
        <w:tc>
          <w:tcPr>
            <w:tcW w:w="18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1,100</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6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EAF9E8"/>
          </w:tcPr>
          <w:p>
            <w:pPr>
              <w:spacing w:after="0"/>
              <w:rPr>
                <w:sz w:val="18"/>
                <w:szCs w:val="18"/>
                <w:color w:val="auto"/>
              </w:rPr>
            </w:pPr>
          </w:p>
        </w:tc>
        <w:tc>
          <w:tcPr>
            <w:tcW w:w="1880" w:type="dxa"/>
            <w:vAlign w:val="bottom"/>
            <w:shd w:val="clear" w:color="auto" w:fill="EAF9E8"/>
          </w:tcPr>
          <w:p>
            <w:pPr>
              <w:spacing w:after="0"/>
              <w:rPr>
                <w:sz w:val="18"/>
                <w:szCs w:val="18"/>
                <w:color w:val="auto"/>
              </w:rPr>
            </w:pPr>
          </w:p>
        </w:tc>
        <w:tc>
          <w:tcPr>
            <w:tcW w:w="1080" w:type="dxa"/>
            <w:vAlign w:val="bottom"/>
            <w:tcBorders>
              <w:top w:val="single" w:sz="8" w:color="auto"/>
            </w:tcBorders>
            <w:shd w:val="clear" w:color="auto" w:fill="EAF9E8"/>
          </w:tcPr>
          <w:p>
            <w:pPr>
              <w:spacing w:after="0"/>
              <w:rPr>
                <w:sz w:val="18"/>
                <w:szCs w:val="18"/>
                <w:color w:val="auto"/>
              </w:rPr>
            </w:pPr>
          </w:p>
        </w:tc>
        <w:tc>
          <w:tcPr>
            <w:tcW w:w="58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tcBorders>
              <w:top w:val="single" w:sz="8" w:color="auto"/>
            </w:tcBorders>
            <w:shd w:val="clear" w:color="auto" w:fill="EAF9E8"/>
          </w:tcPr>
          <w:p>
            <w:pPr>
              <w:spacing w:after="0"/>
              <w:rPr>
                <w:sz w:val="18"/>
                <w:szCs w:val="18"/>
                <w:color w:val="auto"/>
              </w:rPr>
            </w:pPr>
          </w:p>
        </w:tc>
        <w:tc>
          <w:tcPr>
            <w:tcW w:w="5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Purchase price</w:t>
            </w:r>
          </w:p>
        </w:tc>
        <w:tc>
          <w:tcPr>
            <w:tcW w:w="296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19,538</w:t>
            </w:r>
          </w:p>
        </w:tc>
        <w:tc>
          <w:tcPr>
            <w:tcW w:w="220" w:type="dxa"/>
            <w:vAlign w:val="bottom"/>
          </w:tcPr>
          <w:p>
            <w:pPr>
              <w:spacing w:after="0"/>
              <w:rPr>
                <w:sz w:val="18"/>
                <w:szCs w:val="18"/>
                <w:color w:val="auto"/>
              </w:rPr>
            </w:pPr>
          </w:p>
        </w:tc>
        <w:tc>
          <w:tcPr>
            <w:tcW w:w="12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AF9E8"/>
          </w:tcPr>
          <w:p>
            <w:pPr>
              <w:spacing w:after="0"/>
              <w:rPr>
                <w:sz w:val="18"/>
                <w:szCs w:val="18"/>
                <w:color w:val="auto"/>
              </w:rPr>
            </w:pPr>
          </w:p>
        </w:tc>
        <w:tc>
          <w:tcPr>
            <w:tcW w:w="18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Current assets acquired</w:t>
            </w: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Property, plant and equipment</w:t>
            </w:r>
          </w:p>
        </w:tc>
        <w:tc>
          <w:tcPr>
            <w:tcW w:w="18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6,196</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5,124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Deferred tax asset</w:t>
            </w: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Intangibles, primarily customer lists</w:t>
            </w:r>
          </w:p>
        </w:tc>
        <w:tc>
          <w:tcPr>
            <w:tcW w:w="18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6,265</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8,239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Less: noncontrolling interest</w:t>
            </w:r>
          </w:p>
        </w:tc>
        <w:tc>
          <w:tcPr>
            <w:tcW w:w="18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8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6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Borders>
              <w:top w:val="single" w:sz="8" w:color="EAF9E8"/>
            </w:tcBorders>
          </w:tcPr>
          <w:p>
            <w:pPr>
              <w:spacing w:after="0"/>
              <w:rPr>
                <w:sz w:val="18"/>
                <w:szCs w:val="18"/>
                <w:color w:val="auto"/>
              </w:rPr>
            </w:pPr>
          </w:p>
        </w:tc>
        <w:tc>
          <w:tcPr>
            <w:tcW w:w="1880" w:type="dxa"/>
            <w:vAlign w:val="bottom"/>
            <w:tcBorders>
              <w:top w:val="single" w:sz="8" w:color="EAF9E8"/>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00" w:type="dxa"/>
            <w:vAlign w:val="bottom"/>
            <w:shd w:val="clear" w:color="auto" w:fill="EAF9E8"/>
          </w:tcPr>
          <w:p>
            <w:pPr>
              <w:spacing w:after="0"/>
              <w:rPr>
                <w:sz w:val="20"/>
                <w:szCs w:val="20"/>
                <w:color w:val="auto"/>
              </w:rPr>
            </w:pPr>
            <w:r>
              <w:rPr>
                <w:rFonts w:ascii="Arial" w:cs="Arial" w:eastAsia="Arial" w:hAnsi="Arial"/>
                <w:sz w:val="18"/>
                <w:szCs w:val="18"/>
                <w:color w:val="auto"/>
              </w:rPr>
              <w:t>Net assets acquired</w:t>
            </w:r>
          </w:p>
        </w:tc>
        <w:tc>
          <w:tcPr>
            <w:tcW w:w="2960" w:type="dxa"/>
            <w:vAlign w:val="bottom"/>
            <w:gridSpan w:val="2"/>
            <w:shd w:val="clear" w:color="auto" w:fill="EAF9E8"/>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19,538</w:t>
            </w:r>
          </w:p>
        </w:tc>
        <w:tc>
          <w:tcPr>
            <w:tcW w:w="22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1000"/>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20,436</w:t>
            </w: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EAF9E8"/>
            </w:tcBorders>
            <w:shd w:val="clear" w:color="auto" w:fill="EAF9E8"/>
          </w:tcPr>
          <w:p>
            <w:pPr>
              <w:spacing w:after="0" w:line="20" w:lineRule="exact"/>
              <w:rPr>
                <w:sz w:val="1"/>
                <w:szCs w:val="1"/>
                <w:color w:val="auto"/>
              </w:rPr>
            </w:pPr>
          </w:p>
        </w:tc>
        <w:tc>
          <w:tcPr>
            <w:tcW w:w="1880" w:type="dxa"/>
            <w:vAlign w:val="bottom"/>
            <w:tcBorders>
              <w:top w:val="single" w:sz="8" w:color="EAF9E8"/>
            </w:tcBorders>
            <w:shd w:val="clear" w:color="auto" w:fill="EAF9E8"/>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amortization period of intangible assets acquired ranges from one to seven years. Goodwill of approximately $7.1 million resulting from these acquisitions arises largely from the synergies expected from combining the operations of the acquisitions with our existing services operations, as well as from the benefits derived from the assembled workforce of the acquired companies. The goodwill recognized is expected to be deductible for tax purposes.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gridSpan w:val="2"/>
          </w:tcPr>
          <w:p>
            <w:pPr>
              <w:spacing w:after="0"/>
              <w:rPr>
                <w:sz w:val="20"/>
                <w:szCs w:val="20"/>
                <w:color w:val="auto"/>
              </w:rPr>
            </w:pPr>
            <w:r>
              <w:rPr>
                <w:rFonts w:ascii="Arial" w:cs="Arial" w:eastAsia="Arial" w:hAnsi="Arial"/>
                <w:sz w:val="18"/>
                <w:szCs w:val="18"/>
                <w:b w:val="1"/>
                <w:bCs w:val="1"/>
                <w:color w:val="auto"/>
              </w:rPr>
              <w:t>6.</w:t>
            </w:r>
          </w:p>
        </w:tc>
        <w:tc>
          <w:tcPr>
            <w:tcW w:w="4100" w:type="dxa"/>
            <w:vAlign w:val="bottom"/>
          </w:tcPr>
          <w:p>
            <w:pPr>
              <w:ind w:left="100"/>
              <w:spacing w:after="0"/>
              <w:rPr>
                <w:sz w:val="20"/>
                <w:szCs w:val="20"/>
                <w:color w:val="auto"/>
              </w:rPr>
            </w:pPr>
            <w:r>
              <w:rPr>
                <w:rFonts w:ascii="Arial" w:cs="Arial" w:eastAsia="Arial" w:hAnsi="Arial"/>
                <w:sz w:val="18"/>
                <w:szCs w:val="18"/>
                <w:b w:val="1"/>
                <w:bCs w:val="1"/>
                <w:color w:val="auto"/>
              </w:rPr>
              <w:t>Property, plant and equipment, net</w:t>
            </w: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300" w:type="dxa"/>
            <w:vAlign w:val="bottom"/>
            <w:gridSpan w:val="3"/>
          </w:tcPr>
          <w:p>
            <w:pPr>
              <w:jc w:val="center"/>
              <w:ind w:right="560"/>
              <w:spacing w:after="0"/>
              <w:rPr>
                <w:sz w:val="20"/>
                <w:szCs w:val="20"/>
                <w:color w:val="auto"/>
              </w:rPr>
            </w:pPr>
            <w:r>
              <w:rPr>
                <w:rFonts w:ascii="Arial" w:cs="Arial" w:eastAsia="Arial" w:hAnsi="Arial"/>
                <w:sz w:val="18"/>
                <w:szCs w:val="18"/>
                <w:color w:val="auto"/>
                <w:w w:val="96"/>
              </w:rPr>
              <w:t>Useful Life</w:t>
            </w:r>
          </w:p>
        </w:tc>
        <w:tc>
          <w:tcPr>
            <w:tcW w:w="19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6"/>
              </w:rPr>
              <w:t>November 30, 2010</w:t>
            </w:r>
          </w:p>
        </w:tc>
        <w:tc>
          <w:tcPr>
            <w:tcW w:w="2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May 31, 2010</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(Years)</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EAF9E8"/>
          </w:tcPr>
          <w:p>
            <w:pPr>
              <w:spacing w:after="0"/>
              <w:rPr>
                <w:sz w:val="20"/>
                <w:szCs w:val="20"/>
                <w:color w:val="auto"/>
              </w:rPr>
            </w:pPr>
            <w:r>
              <w:rPr>
                <w:rFonts w:ascii="Arial" w:cs="Arial" w:eastAsia="Arial" w:hAnsi="Arial"/>
                <w:sz w:val="18"/>
                <w:szCs w:val="18"/>
                <w:color w:val="auto"/>
              </w:rPr>
              <w:t>Land</w:t>
            </w:r>
          </w:p>
        </w:tc>
        <w:tc>
          <w:tcPr>
            <w:tcW w:w="4100" w:type="dxa"/>
            <w:vAlign w:val="bottom"/>
            <w:shd w:val="clear" w:color="auto" w:fill="EAF9E8"/>
          </w:tcPr>
          <w:p>
            <w:pPr>
              <w:spacing w:after="0"/>
              <w:rPr>
                <w:sz w:val="18"/>
                <w:szCs w:val="18"/>
                <w:color w:val="auto"/>
              </w:rPr>
            </w:pPr>
          </w:p>
        </w:tc>
        <w:tc>
          <w:tcPr>
            <w:tcW w:w="230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2,195</w:t>
            </w:r>
          </w:p>
        </w:tc>
        <w:tc>
          <w:tcPr>
            <w:tcW w:w="200" w:type="dxa"/>
            <w:vAlign w:val="bottom"/>
            <w:shd w:val="clear" w:color="auto" w:fill="EAF9E8"/>
          </w:tcPr>
          <w:p>
            <w:pPr>
              <w:spacing w:after="0"/>
              <w:rPr>
                <w:sz w:val="18"/>
                <w:szCs w:val="18"/>
                <w:color w:val="auto"/>
              </w:rPr>
            </w:pP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11,393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10,240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Office furniture and equipment</w:t>
            </w:r>
          </w:p>
        </w:tc>
        <w:tc>
          <w:tcPr>
            <w:tcW w:w="17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5-8</w:t>
            </w: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3,815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76,748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68,238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4100" w:type="dxa"/>
            <w:vAlign w:val="bottom"/>
            <w:shd w:val="clear" w:color="auto" w:fill="EAF9E8"/>
          </w:tcPr>
          <w:p>
            <w:pPr>
              <w:spacing w:after="0"/>
              <w:rPr>
                <w:sz w:val="18"/>
                <w:szCs w:val="18"/>
                <w:color w:val="auto"/>
              </w:rPr>
            </w:pPr>
          </w:p>
        </w:tc>
        <w:tc>
          <w:tcPr>
            <w:tcW w:w="17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94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18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94,151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81,261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Accumulated depreciation and amortization</w:t>
            </w:r>
          </w:p>
        </w:tc>
        <w:tc>
          <w:tcPr>
            <w:tcW w:w="17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1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(47,755)</w:t>
            </w:r>
          </w:p>
        </w:tc>
        <w:tc>
          <w:tcPr>
            <w:tcW w:w="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(41,280)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EAF9E8"/>
          </w:tcPr>
          <w:p>
            <w:pPr>
              <w:spacing w:after="0"/>
              <w:rPr>
                <w:sz w:val="2"/>
                <w:szCs w:val="2"/>
                <w:color w:val="auto"/>
              </w:rPr>
            </w:pPr>
          </w:p>
        </w:tc>
        <w:tc>
          <w:tcPr>
            <w:tcW w:w="4100" w:type="dxa"/>
            <w:vAlign w:val="bottom"/>
            <w:shd w:val="clear" w:color="auto" w:fill="EAF9E8"/>
          </w:tcPr>
          <w:p>
            <w:pPr>
              <w:spacing w:after="0"/>
              <w:rPr>
                <w:sz w:val="2"/>
                <w:szCs w:val="2"/>
                <w:color w:val="auto"/>
              </w:rPr>
            </w:pPr>
          </w:p>
        </w:tc>
        <w:tc>
          <w:tcPr>
            <w:tcW w:w="172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46,396</w:t>
            </w:r>
          </w:p>
        </w:tc>
        <w:tc>
          <w:tcPr>
            <w:tcW w:w="20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39,981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for the three months ended November 30, 2010 and 2009 was approximately $3.4 million and $2.6 million, respectively. Depreciation expense for the six months ended November 30, 2010 and 2009 was approximately $6.4 million and $5.1 million, respectively.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Allowance for Doubtful Accounts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 allowance for doubtful accounts is provided against accounts receivable for amounts management believes may be uncollectible. Changes in the allowance for doubtful accounts are represented by the following:</w:t>
      </w:r>
    </w:p>
    <w:p>
      <w:pPr>
        <w:sectPr>
          <w:pgSz w:w="11900" w:h="16838" w:orient="portrait"/>
          <w:cols w:equalWidth="0" w:num="1">
            <w:col w:w="11420"/>
          </w:cols>
          <w:pgMar w:left="240" w:top="486" w:right="239" w:bottom="1440" w:gutter="0" w:footer="0" w:header="0"/>
        </w:sectPr>
      </w:pPr>
    </w:p>
    <w:p>
      <w:pPr>
        <w:spacing w:after="0" w:line="17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May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-121920</wp:posOffset>
            </wp:positionV>
            <wp:extent cx="506857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Provision for doubtful accounts</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Write-offs,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Foreign exchange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22860</wp:posOffset>
            </wp:positionV>
            <wp:extent cx="506857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1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November 30, 2010</w:t>
      </w:r>
    </w:p>
    <w:p>
      <w:pPr>
        <w:spacing w:after="0" w:line="287"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069" w:hanging="1069"/>
        <w:spacing w:after="0"/>
        <w:tabs>
          <w:tab w:leader="none" w:pos="1069" w:val="left"/>
        </w:tabs>
        <w:numPr>
          <w:ilvl w:val="0"/>
          <w:numId w:val="10"/>
        </w:numPr>
        <w:rPr>
          <w:rFonts w:ascii="Arial" w:cs="Arial" w:eastAsia="Arial" w:hAnsi="Arial"/>
          <w:sz w:val="16"/>
          <w:szCs w:val="16"/>
          <w:color w:val="auto"/>
        </w:rPr>
      </w:pPr>
      <w:r>
        <w:rPr>
          <w:rFonts w:ascii="Arial" w:cs="Arial" w:eastAsia="Arial" w:hAnsi="Arial"/>
          <w:sz w:val="16"/>
          <w:szCs w:val="16"/>
          <w:color w:val="auto"/>
        </w:rPr>
        <w:t>(1,661)</w:t>
      </w:r>
    </w:p>
    <w:p>
      <w:pPr>
        <w:spacing w:after="0" w:line="46" w:lineRule="exact"/>
        <w:rPr>
          <w:rFonts w:ascii="Arial" w:cs="Arial" w:eastAsia="Arial" w:hAnsi="Arial"/>
          <w:sz w:val="16"/>
          <w:szCs w:val="16"/>
          <w:color w:val="auto"/>
        </w:rPr>
      </w:pPr>
    </w:p>
    <w:p>
      <w:pPr>
        <w:ind w:left="1189"/>
        <w:spacing w:after="0"/>
        <w:rPr>
          <w:rFonts w:ascii="Arial" w:cs="Arial" w:eastAsia="Arial" w:hAnsi="Arial"/>
          <w:sz w:val="16"/>
          <w:szCs w:val="16"/>
          <w:color w:val="auto"/>
        </w:rPr>
      </w:pPr>
      <w:r>
        <w:rPr>
          <w:rFonts w:ascii="Arial" w:cs="Arial" w:eastAsia="Arial" w:hAnsi="Arial"/>
          <w:sz w:val="17"/>
          <w:szCs w:val="17"/>
          <w:color w:val="auto"/>
        </w:rPr>
        <w:t>(368)</w:t>
      </w:r>
    </w:p>
    <w:p>
      <w:pPr>
        <w:spacing w:after="0" w:line="20" w:lineRule="exact"/>
        <w:rPr>
          <w:rFonts w:ascii="Arial" w:cs="Arial" w:eastAsia="Arial" w:hAnsi="Arial"/>
          <w:sz w:val="16"/>
          <w:szCs w:val="16"/>
          <w:color w:val="auto"/>
        </w:rPr>
      </w:pPr>
    </w:p>
    <w:p>
      <w:pPr>
        <w:ind w:left="1349"/>
        <w:spacing w:after="0"/>
        <w:rPr>
          <w:rFonts w:ascii="Arial" w:cs="Arial" w:eastAsia="Arial" w:hAnsi="Arial"/>
          <w:sz w:val="16"/>
          <w:szCs w:val="16"/>
          <w:color w:val="auto"/>
        </w:rPr>
      </w:pPr>
      <w:r>
        <w:rPr>
          <w:rFonts w:ascii="Arial" w:cs="Arial" w:eastAsia="Arial" w:hAnsi="Arial"/>
          <w:sz w:val="18"/>
          <w:szCs w:val="18"/>
          <w:color w:val="auto"/>
        </w:rPr>
        <w:t>77</w:t>
      </w:r>
    </w:p>
    <w:p>
      <w:pPr>
        <w:spacing w:after="0" w:line="9" w:lineRule="exact"/>
        <w:rPr>
          <w:rFonts w:ascii="Arial" w:cs="Arial" w:eastAsia="Arial" w:hAnsi="Arial"/>
          <w:sz w:val="16"/>
          <w:szCs w:val="16"/>
          <w:color w:val="auto"/>
        </w:rPr>
      </w:pPr>
    </w:p>
    <w:p>
      <w:pPr>
        <w:ind w:left="1289"/>
        <w:spacing w:after="0"/>
        <w:rPr>
          <w:rFonts w:ascii="Arial" w:cs="Arial" w:eastAsia="Arial" w:hAnsi="Arial"/>
          <w:sz w:val="16"/>
          <w:szCs w:val="16"/>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969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69010" cy="17145"/>
                    </a:xfrm>
                    <a:prstGeom prst="rect">
                      <a:avLst/>
                    </a:prstGeom>
                    <a:noFill/>
                  </pic:spPr>
                </pic:pic>
              </a:graphicData>
            </a:graphic>
          </wp:anchor>
        </w:drawing>
      </w:r>
    </w:p>
    <w:p>
      <w:pPr>
        <w:spacing w:after="0" w:line="241" w:lineRule="exact"/>
        <w:rPr>
          <w:sz w:val="20"/>
          <w:szCs w:val="20"/>
          <w:color w:val="auto"/>
        </w:rPr>
      </w:pPr>
    </w:p>
    <w:p>
      <w:pPr>
        <w:ind w:left="1069" w:hanging="1069"/>
        <w:spacing w:after="0"/>
        <w:tabs>
          <w:tab w:leader="none" w:pos="10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(1,964)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9690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90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9690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705" w:lineRule="exact"/>
        <w:rPr>
          <w:sz w:val="20"/>
          <w:szCs w:val="20"/>
          <w:color w:val="auto"/>
        </w:rPr>
      </w:pPr>
    </w:p>
    <w:p>
      <w:pPr>
        <w:sectPr>
          <w:pgSz w:w="11900" w:h="16838" w:orient="portrait"/>
          <w:cols w:equalWidth="0" w:num="2">
            <w:col w:w="7391" w:space="720"/>
            <w:col w:w="3309"/>
          </w:cols>
          <w:pgMar w:left="240" w:top="486" w:right="2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November 30, 2010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May 31,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2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2,774</w:t>
            </w:r>
          </w:p>
        </w:tc>
        <w:tc>
          <w:tcPr>
            <w:tcW w:w="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8"/>
                <w:szCs w:val="18"/>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2,886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EAF9E8"/>
          </w:tcPr>
          <w:p>
            <w:pPr>
              <w:spacing w:after="0"/>
              <w:rPr>
                <w:sz w:val="18"/>
                <w:szCs w:val="18"/>
                <w:color w:val="auto"/>
              </w:rPr>
            </w:pPr>
          </w:p>
        </w:tc>
        <w:tc>
          <w:tcPr>
            <w:tcW w:w="2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2,761</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Supplies</w:t>
            </w:r>
          </w:p>
        </w:tc>
        <w:tc>
          <w:tcPr>
            <w:tcW w:w="220" w:type="dxa"/>
            <w:vAlign w:val="bottom"/>
          </w:tcPr>
          <w:p>
            <w:pPr>
              <w:spacing w:after="0"/>
              <w:rPr>
                <w:sz w:val="18"/>
                <w:szCs w:val="18"/>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1,760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shd w:val="clear" w:color="auto" w:fill="EAF9E8"/>
          </w:tcPr>
          <w:p>
            <w:pPr>
              <w:spacing w:after="0"/>
              <w:rPr>
                <w:sz w:val="20"/>
                <w:szCs w:val="20"/>
                <w:color w:val="auto"/>
              </w:rPr>
            </w:pP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2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10,181</w:t>
            </w:r>
          </w:p>
        </w:tc>
        <w:tc>
          <w:tcPr>
            <w:tcW w:w="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net of reserves for slow-moving and obsolete inventory of approximately $0.8 million and $0.9 million as of November 30, 2010 and May 31, 2010,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gridSpan w:val="2"/>
          </w:tcPr>
          <w:p>
            <w:pPr>
              <w:spacing w:after="0"/>
              <w:rPr>
                <w:sz w:val="20"/>
                <w:szCs w:val="20"/>
                <w:color w:val="auto"/>
              </w:rPr>
            </w:pPr>
            <w:r>
              <w:rPr>
                <w:rFonts w:ascii="Arial" w:cs="Arial" w:eastAsia="Arial" w:hAnsi="Arial"/>
                <w:sz w:val="18"/>
                <w:szCs w:val="18"/>
                <w:b w:val="1"/>
                <w:bCs w:val="1"/>
                <w:color w:val="auto"/>
              </w:rPr>
              <w:t>9.</w:t>
            </w:r>
          </w:p>
        </w:tc>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40" w:type="dxa"/>
            <w:vAlign w:val="bottom"/>
            <w:gridSpan w:val="3"/>
          </w:tcPr>
          <w:p>
            <w:pPr>
              <w:spacing w:after="0"/>
              <w:rPr>
                <w:sz w:val="20"/>
                <w:szCs w:val="20"/>
                <w:color w:val="auto"/>
              </w:rPr>
            </w:pPr>
            <w:r>
              <w:rPr>
                <w:rFonts w:ascii="Arial" w:cs="Arial" w:eastAsia="Arial" w:hAnsi="Arial"/>
                <w:sz w:val="18"/>
                <w:szCs w:val="18"/>
                <w:color w:val="auto"/>
                <w:w w:val="95"/>
              </w:rPr>
              <w:t>Accrued expenses and other current liabilities consist of the following:</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November 30, 2010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May 31,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Accrued salaries, wages and related employee benefits</w:t>
            </w:r>
          </w:p>
        </w:tc>
        <w:tc>
          <w:tcPr>
            <w:tcW w:w="15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9,753</w:t>
            </w:r>
          </w:p>
        </w:tc>
        <w:tc>
          <w:tcPr>
            <w:tcW w:w="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accrued expenses</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3,652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Accrued worker compensation and health benefits</w:t>
            </w:r>
          </w:p>
        </w:tc>
        <w:tc>
          <w:tcPr>
            <w:tcW w:w="13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8,011</w:t>
            </w:r>
          </w:p>
        </w:tc>
        <w:tc>
          <w:tcPr>
            <w:tcW w:w="1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Deferred revenues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1,169</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486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960" w:type="dxa"/>
            <w:vAlign w:val="bottom"/>
            <w:tcBorders>
              <w:top w:val="single" w:sz="8" w:color="auto"/>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18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Total</w:t>
            </w:r>
          </w:p>
        </w:tc>
        <w:tc>
          <w:tcPr>
            <w:tcW w:w="48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22,585</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20,090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300" w:type="dxa"/>
            <w:vAlign w:val="bottom"/>
            <w:vMerge w:val="restart"/>
          </w:tcPr>
          <w:p>
            <w:pPr>
              <w:jc w:val="right"/>
              <w:ind w:right="69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8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gridSpan w:val="2"/>
          </w:tcPr>
          <w:p>
            <w:pPr>
              <w:spacing w:after="0"/>
              <w:rPr>
                <w:sz w:val="20"/>
                <w:szCs w:val="20"/>
                <w:color w:val="auto"/>
              </w:rPr>
            </w:pPr>
            <w:r>
              <w:rPr>
                <w:rFonts w:ascii="Arial" w:cs="Arial" w:eastAsia="Arial" w:hAnsi="Arial"/>
                <w:sz w:val="18"/>
                <w:szCs w:val="18"/>
                <w:b w:val="1"/>
                <w:bCs w:val="1"/>
                <w:color w:val="auto"/>
              </w:rPr>
              <w:t>10.</w:t>
            </w:r>
          </w:p>
        </w:tc>
        <w:tc>
          <w:tcPr>
            <w:tcW w:w="6140" w:type="dxa"/>
            <w:vAlign w:val="bottom"/>
          </w:tcPr>
          <w:p>
            <w:pPr>
              <w:ind w:left="80"/>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40" w:type="dxa"/>
            <w:vAlign w:val="bottom"/>
            <w:gridSpan w:val="3"/>
          </w:tcPr>
          <w:p>
            <w:pPr>
              <w:spacing w:after="0"/>
              <w:rPr>
                <w:sz w:val="20"/>
                <w:szCs w:val="20"/>
                <w:color w:val="auto"/>
              </w:rPr>
            </w:pPr>
            <w:r>
              <w:rPr>
                <w:rFonts w:ascii="Arial" w:cs="Arial" w:eastAsia="Arial" w:hAnsi="Arial"/>
                <w:sz w:val="18"/>
                <w:szCs w:val="18"/>
                <w:color w:val="auto"/>
              </w:rPr>
              <w:t>Long-term debt consists of the following:</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jc w:val="right"/>
              <w:ind w:right="790"/>
              <w:spacing w:after="0"/>
              <w:rPr>
                <w:sz w:val="20"/>
                <w:szCs w:val="20"/>
                <w:color w:val="auto"/>
              </w:rPr>
            </w:pPr>
            <w:r>
              <w:rPr>
                <w:rFonts w:ascii="Arial" w:cs="Arial" w:eastAsia="Arial" w:hAnsi="Arial"/>
                <w:sz w:val="18"/>
                <w:szCs w:val="18"/>
                <w:b w:val="1"/>
                <w:bCs w:val="1"/>
                <w:color w:val="auto"/>
              </w:rPr>
              <w:t>As of</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As of</w:t>
            </w:r>
          </w:p>
        </w:tc>
      </w:tr>
      <w:tr>
        <w:trPr>
          <w:trHeight w:val="241"/>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November 30, 2010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May 31, 2010</w:t>
            </w: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Senior credit facility:</w:t>
            </w:r>
          </w:p>
        </w:tc>
        <w:tc>
          <w:tcPr>
            <w:tcW w:w="220" w:type="dxa"/>
            <w:vAlign w:val="bottom"/>
            <w:tcBorders>
              <w:top w:val="single" w:sz="8" w:color="auto"/>
            </w:tcBorders>
            <w:shd w:val="clear" w:color="auto" w:fill="EAF9E8"/>
          </w:tcPr>
          <w:p>
            <w:pPr>
              <w:spacing w:after="0"/>
              <w:rPr>
                <w:sz w:val="18"/>
                <w:szCs w:val="18"/>
                <w:color w:val="auto"/>
              </w:rPr>
            </w:pPr>
          </w:p>
        </w:tc>
        <w:tc>
          <w:tcPr>
            <w:tcW w:w="196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18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Revolver</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6,600</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Notes payable - acquisitions</w:t>
            </w:r>
          </w:p>
        </w:tc>
        <w:tc>
          <w:tcPr>
            <w:tcW w:w="220" w:type="dxa"/>
            <w:vAlign w:val="bottom"/>
            <w:shd w:val="clear" w:color="auto" w:fill="EAF9E8"/>
          </w:tcPr>
          <w:p>
            <w:pPr>
              <w:spacing w:after="0"/>
              <w:rPr>
                <w:sz w:val="18"/>
                <w:szCs w:val="18"/>
                <w:color w:val="auto"/>
              </w:rPr>
            </w:pPr>
          </w:p>
        </w:tc>
        <w:tc>
          <w:tcPr>
            <w:tcW w:w="1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10,354</w:t>
            </w:r>
          </w:p>
        </w:tc>
        <w:tc>
          <w:tcPr>
            <w:tcW w:w="3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11,023</w:t>
            </w: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Other</w:t>
            </w:r>
          </w:p>
        </w:tc>
        <w:tc>
          <w:tcPr>
            <w:tcW w:w="6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878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r>
      <w:tr>
        <w:trPr>
          <w:trHeight w:val="216"/>
        </w:trPr>
        <w:tc>
          <w:tcPr>
            <w:tcW w:w="20" w:type="dxa"/>
            <w:vAlign w:val="bottom"/>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61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96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18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17,832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11,994</w:t>
            </w:r>
          </w:p>
        </w:tc>
      </w:tr>
      <w:tr>
        <w:trPr>
          <w:trHeight w:val="223"/>
        </w:trPr>
        <w:tc>
          <w:tcPr>
            <w:tcW w:w="20" w:type="dxa"/>
            <w:vAlign w:val="bottom"/>
          </w:tcPr>
          <w:p>
            <w:pPr>
              <w:spacing w:after="0"/>
              <w:rPr>
                <w:sz w:val="19"/>
                <w:szCs w:val="19"/>
                <w:color w:val="auto"/>
              </w:rPr>
            </w:pPr>
          </w:p>
        </w:tc>
        <w:tc>
          <w:tcPr>
            <w:tcW w:w="6620" w:type="dxa"/>
            <w:vAlign w:val="bottom"/>
            <w:tcBorders>
              <w:bottom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Less: Current maturities</w:t>
            </w:r>
          </w:p>
        </w:tc>
        <w:tc>
          <w:tcPr>
            <w:tcW w:w="220" w:type="dxa"/>
            <w:vAlign w:val="bottom"/>
            <w:tcBorders>
              <w:bottom w:val="single" w:sz="8" w:color="auto"/>
            </w:tcBorders>
            <w:shd w:val="clear" w:color="auto" w:fill="EAF9E8"/>
          </w:tcPr>
          <w:p>
            <w:pPr>
              <w:spacing w:after="0"/>
              <w:rPr>
                <w:sz w:val="19"/>
                <w:szCs w:val="19"/>
                <w:color w:val="auto"/>
              </w:rPr>
            </w:pPr>
          </w:p>
        </w:tc>
        <w:tc>
          <w:tcPr>
            <w:tcW w:w="1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5,563</w:t>
            </w:r>
          </w:p>
        </w:tc>
        <w:tc>
          <w:tcPr>
            <w:tcW w:w="34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18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6,303</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Long-term debt, net of current maturities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12,269</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5,691</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2009, the Company entered into its current credit agreement with Bank of America, N.A., JPMorgan Chase Bank, N.A., TD Bank, N.A. and Capital One, N.A., which provided for a $25.0 million term loan and a $55.0 million secured revolving credit facility. As of November 30, 2010, the Company had $6.6 million of outstanding borrowings under the revolving credit facility. In October 2009, the term loan was repaid with the net proceeds from our IPO. Borrowings made under the revolving credit facility are payable in July 2012.</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2009, the Company signed an amendment to its current credit agreement that, among other things, adjusted certain affirmative and negative covenants including delivery of financial statements, the minimum consolidated debt service coverage ratio, the procedures for obtaining lender approval for acquisitions and the removal of the minimum EBITDA requirement.</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Under the amended agreement, borrowings under the credit agreement bear interest at the LIBOR or base rate, at the Company’s option, plus an applicable LIBOR margin ranging from 1.75% to 3.25%, or base rate margin ranging from -0.50% to 0.50%, and a market disruption increase of between 0% and 1.0%, if the lenders determine its applicable. As of November 30, 2010, the interest rate on our revolving credit facility borrowings was 2.75%.</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credit agreement also contains financial and other covenants limiting our ability to, among other things, create liens, make investments and certain capital expenditures, incur more indebtedness, merge or consolidate, acquire other companies, make dispositions of property, pay dividends and make distributions to stockholders, enter into a new line of business, enter into transactions with affiliates and enter into burdensome agreements. The agreement’s financial covenants require us to maintain a minimum debt service coverage ratio, and a funded debt leverage ratio, all as defined in the credit agreement. There is a provision in the credit facility that requires us to repay 25% of the immediately preceding fiscal year’s “free cash flow” if our ratio of “funded debt” to EBITDA, as defined in the c redit agreement, is greater than a specified amount on or before October 1 each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2010, we were in compliance with the terms of the credit agreement.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six months ended November 30, 2009, the Company capitalized approximately $0.5 million of costs related to the new credit agreement and expensed approximately $0.2 million of deferred financing costs related to its former credit facility. In connection with the repayment and extinguishment of the term loan portion of the new facility in October 2009, the Company expensed approximately $0.2 million of financing costs incurred during the six months ended November 30, 2009. The unamortized balance of these costs is included in net intangible assets in the Consolidated Balance Sheet. The accelerated amounts expensed are classified as loss on extinguishment of debt in the Consolidated Statement of Operations.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its acquisitions through November 30, 2010, the Company issued subordinated notes payable to the sellers. These notes generally mature three years from the date of acquisition with interest rates ranging from 0% to 7%. The Company has discounted these obligations to reflect a 3.5% to 10.0% imputed interest rate. Unamortized discount on these notes totaled approximately $0.2 million and $0.3 million as of November 30, 2010 and May 31, 2010, respectively. Amortization is recorded as interest expense in the Consolidated Statement of Operations.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2010, the Company hedged a portion of the variable rate interest payments on debt using an interest rate swap contract to convert variable payments into fixed payments. The Company did not apply hedge accounting to its interest rate swap contracts. Changes in the fair value of this instrument were reported as a component of interest expense. The Company had an interest rate swap that matured in November 2010 that had a notional amount of $8.0 million. The following outlines the significant terms of the contract and the fair value of the contract at November 30, 2010 and May 31, 2010,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As of</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Notional</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interest</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interest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November 30,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r>
      <w:tr>
        <w:trPr>
          <w:trHeight w:val="237"/>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Contract date</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Term</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rate</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rate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May 31, 2010</w:t>
            </w:r>
          </w:p>
        </w:tc>
        <w:tc>
          <w:tcPr>
            <w:tcW w:w="100" w:type="dxa"/>
            <w:vAlign w:val="bottom"/>
          </w:tcPr>
          <w:p>
            <w:pPr>
              <w:spacing w:after="0"/>
              <w:rPr>
                <w:sz w:val="20"/>
                <w:szCs w:val="20"/>
                <w:color w:val="auto"/>
              </w:rPr>
            </w:pPr>
          </w:p>
        </w:tc>
      </w:tr>
      <w:tr>
        <w:trPr>
          <w:trHeight w:val="216"/>
        </w:trPr>
        <w:tc>
          <w:tcPr>
            <w:tcW w:w="20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November 20, 2006</w:t>
            </w: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4 years</w:t>
            </w:r>
          </w:p>
        </w:tc>
        <w:tc>
          <w:tcPr>
            <w:tcW w:w="3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8,000</w:t>
            </w:r>
          </w:p>
        </w:tc>
        <w:tc>
          <w:tcPr>
            <w:tcW w:w="220" w:type="dxa"/>
            <w:vAlign w:val="bottom"/>
            <w:shd w:val="clear" w:color="auto" w:fill="EAF9E8"/>
          </w:tcPr>
          <w:p>
            <w:pPr>
              <w:spacing w:after="0"/>
              <w:rPr>
                <w:sz w:val="18"/>
                <w:szCs w:val="18"/>
                <w:color w:val="auto"/>
              </w:rPr>
            </w:pPr>
          </w:p>
        </w:tc>
        <w:tc>
          <w:tcPr>
            <w:tcW w:w="11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LIBOR</w:t>
            </w:r>
          </w:p>
        </w:tc>
        <w:tc>
          <w:tcPr>
            <w:tcW w:w="126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5.17%</w:t>
            </w:r>
          </w:p>
        </w:tc>
        <w:tc>
          <w:tcPr>
            <w:tcW w:w="4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AF9E8"/>
          </w:tcPr>
          <w:p>
            <w:pPr>
              <w:ind w:left="13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(210)</w:t>
            </w:r>
          </w:p>
        </w:tc>
      </w:tr>
      <w:tr>
        <w:trPr>
          <w:trHeight w:val="27"/>
        </w:trPr>
        <w:tc>
          <w:tcPr>
            <w:tcW w:w="208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16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8,000</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r>
      <w:tr>
        <w:trPr>
          <w:trHeight w:val="21"/>
        </w:trPr>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classifies its interest rate swaps at fair value in the following categories: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—Inputs other than quoted market prices in active markets that are observable for the asset or liability, either directly or indirectly,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quoted 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the Company’s interest rate swap liability was determined using quoted prices in an active market and was classified as a Level 1 liability within the fair value hierarchy.</w:t>
      </w:r>
    </w:p>
    <w:p>
      <w:pPr>
        <w:spacing w:after="0" w:line="166"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subject to periodic lawsuits, investigations and claims that arise in the ordinary course of business. Although the Company cannot predict with certainty the ultimate resolution of lawsuits, investigations and claims asserted against it, the Company does not believe that any currently pending legal proceeding to which the Company is a party will have a material adverse effect on its business, results of operations, cash flows or financial condition, except as disclosed below. The costs of defense and amounts that may be recovered in such matters may be covered by insurance.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is a defendant in two related purported class action lawsuits in California, based upon alleged violations of California labor and employment law. The first case, </w:t>
      </w:r>
      <w:r>
        <w:rPr>
          <w:rFonts w:ascii="Arial" w:cs="Arial" w:eastAsia="Arial" w:hAnsi="Arial"/>
          <w:sz w:val="17"/>
          <w:szCs w:val="17"/>
          <w:i w:val="1"/>
          <w:iCs w:val="1"/>
          <w:color w:val="auto"/>
        </w:rPr>
        <w:t>Quiroz v. Mistras Group, Inc., et al</w:t>
      </w:r>
      <w:r>
        <w:rPr>
          <w:rFonts w:ascii="Arial" w:cs="Arial" w:eastAsia="Arial" w:hAnsi="Arial"/>
          <w:sz w:val="17"/>
          <w:szCs w:val="17"/>
          <w:color w:val="auto"/>
        </w:rPr>
        <w:t>, U.S. District Court, Central District of California (Case No. CV09-7146 PSG), was originally filed in California State court in September 2009, and was removed to Federal Court. This matter was a purported class action case on behalf of existing and former California employees of the Company and its subsidiaries for violation of various labor and employment laws, primarily for failure to pay wages timely and for having defective wage statements, as well as other claims, and is seeking penalties under the California Private Attorneys General Act. In March 2010, the plaint iff’s request to certify the case as a class action suit was denied.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second case is </w:t>
      </w:r>
      <w:r>
        <w:rPr>
          <w:rFonts w:ascii="Arial" w:cs="Arial" w:eastAsia="Arial" w:hAnsi="Arial"/>
          <w:sz w:val="18"/>
          <w:szCs w:val="18"/>
          <w:i w:val="1"/>
          <w:iCs w:val="1"/>
          <w:color w:val="auto"/>
        </w:rPr>
        <w:t>Ballard v. Mistras Group, Inc., et al</w:t>
      </w:r>
      <w:r>
        <w:rPr>
          <w:rFonts w:ascii="Arial" w:cs="Arial" w:eastAsia="Arial" w:hAnsi="Arial"/>
          <w:sz w:val="18"/>
          <w:szCs w:val="18"/>
          <w:color w:val="auto"/>
        </w:rPr>
        <w:t xml:space="preserve">, U.S. District Court, Central District of California (Case No. 2:10-cv-03186 (PSG)), filed in late March 2010 in California State Court and removed to Federal court. This matter is also a purported class action case, based on substantially identical claims as the </w:t>
      </w:r>
      <w:r>
        <w:rPr>
          <w:rFonts w:ascii="Arial" w:cs="Arial" w:eastAsia="Arial" w:hAnsi="Arial"/>
          <w:sz w:val="18"/>
          <w:szCs w:val="18"/>
          <w:i w:val="1"/>
          <w:iCs w:val="1"/>
          <w:color w:val="auto"/>
        </w:rPr>
        <w:t>Quiroz</w:t>
      </w:r>
      <w:r>
        <w:rPr>
          <w:rFonts w:ascii="Arial" w:cs="Arial" w:eastAsia="Arial" w:hAnsi="Arial"/>
          <w:sz w:val="18"/>
          <w:szCs w:val="18"/>
          <w:color w:val="auto"/>
        </w:rPr>
        <w:t xml:space="preserve"> case, and was filed by the same attorney representing the plaintiff in the </w:t>
      </w:r>
      <w:r>
        <w:rPr>
          <w:rFonts w:ascii="Arial" w:cs="Arial" w:eastAsia="Arial" w:hAnsi="Arial"/>
          <w:sz w:val="18"/>
          <w:szCs w:val="18"/>
          <w:i w:val="1"/>
          <w:iCs w:val="1"/>
          <w:color w:val="auto"/>
        </w:rPr>
        <w:t>Quiroz</w:t>
      </w:r>
      <w:r>
        <w:rPr>
          <w:rFonts w:ascii="Arial" w:cs="Arial" w:eastAsia="Arial" w:hAnsi="Arial"/>
          <w:sz w:val="18"/>
          <w:szCs w:val="18"/>
          <w:color w:val="auto"/>
        </w:rPr>
        <w:t xml:space="preserve"> case, approximately two weeks after class action certification was denied in </w:t>
      </w:r>
      <w:r>
        <w:rPr>
          <w:rFonts w:ascii="Arial" w:cs="Arial" w:eastAsia="Arial" w:hAnsi="Arial"/>
          <w:sz w:val="18"/>
          <w:szCs w:val="18"/>
          <w:i w:val="1"/>
          <w:iCs w:val="1"/>
          <w:color w:val="auto"/>
        </w:rPr>
        <w:t>Quiroz</w:t>
      </w:r>
      <w:r>
        <w:rPr>
          <w:rFonts w:ascii="Arial" w:cs="Arial" w:eastAsia="Arial" w:hAnsi="Arial"/>
          <w:sz w:val="18"/>
          <w:szCs w:val="18"/>
          <w:color w:val="auto"/>
        </w:rPr>
        <w: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September 2010, the Company participated in non-binding mediation for the </w:t>
      </w:r>
      <w:r>
        <w:rPr>
          <w:rFonts w:ascii="Arial" w:cs="Arial" w:eastAsia="Arial" w:hAnsi="Arial"/>
          <w:sz w:val="18"/>
          <w:szCs w:val="18"/>
          <w:i w:val="1"/>
          <w:iCs w:val="1"/>
          <w:color w:val="auto"/>
        </w:rPr>
        <w:t>Quiroz</w:t>
      </w:r>
      <w:r>
        <w:rPr>
          <w:rFonts w:ascii="Arial" w:cs="Arial" w:eastAsia="Arial" w:hAnsi="Arial"/>
          <w:sz w:val="18"/>
          <w:szCs w:val="18"/>
          <w:color w:val="auto"/>
        </w:rPr>
        <w:t xml:space="preserve"> and </w:t>
      </w:r>
      <w:r>
        <w:rPr>
          <w:rFonts w:ascii="Arial" w:cs="Arial" w:eastAsia="Arial" w:hAnsi="Arial"/>
          <w:sz w:val="18"/>
          <w:szCs w:val="18"/>
          <w:i w:val="1"/>
          <w:iCs w:val="1"/>
          <w:color w:val="auto"/>
        </w:rPr>
        <w:t>Ballard</w:t>
      </w:r>
      <w:r>
        <w:rPr>
          <w:rFonts w:ascii="Arial" w:cs="Arial" w:eastAsia="Arial" w:hAnsi="Arial"/>
          <w:sz w:val="18"/>
          <w:szCs w:val="18"/>
          <w:color w:val="auto"/>
        </w:rPr>
        <w:t xml:space="preserve"> cases together, and the Company and the Plaintiffs subsequently reached a tentative settlement, subject to court approval. Based on this tentative settlement, the Company increased its reserve to approximately $0.3 million in connection with the </w:t>
      </w:r>
      <w:r>
        <w:rPr>
          <w:rFonts w:ascii="Arial" w:cs="Arial" w:eastAsia="Arial" w:hAnsi="Arial"/>
          <w:sz w:val="18"/>
          <w:szCs w:val="18"/>
          <w:i w:val="1"/>
          <w:iCs w:val="1"/>
          <w:color w:val="auto"/>
        </w:rPr>
        <w:t>Quiroz</w:t>
      </w:r>
      <w:r>
        <w:rPr>
          <w:rFonts w:ascii="Arial" w:cs="Arial" w:eastAsia="Arial" w:hAnsi="Arial"/>
          <w:sz w:val="18"/>
          <w:szCs w:val="18"/>
          <w:color w:val="auto"/>
        </w:rPr>
        <w:t xml:space="preserve"> and </w:t>
      </w:r>
      <w:r>
        <w:rPr>
          <w:rFonts w:ascii="Arial" w:cs="Arial" w:eastAsia="Arial" w:hAnsi="Arial"/>
          <w:sz w:val="18"/>
          <w:szCs w:val="18"/>
          <w:i w:val="1"/>
          <w:iCs w:val="1"/>
          <w:color w:val="auto"/>
        </w:rPr>
        <w:t>Ballard</w:t>
      </w:r>
      <w:r>
        <w:rPr>
          <w:rFonts w:ascii="Arial" w:cs="Arial" w:eastAsia="Arial" w:hAnsi="Arial"/>
          <w:sz w:val="18"/>
          <w:szCs w:val="18"/>
          <w:color w:val="auto"/>
        </w:rPr>
        <w:t xml:space="preserve"> cases, which represents its estimate of the Company’s total potential liability related to these cases, net of insurance reimbursements.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2010, we entered into an agreement for the construction of a new facility that will consolidate our facilities in the Houston, Texas metro area. This facility will serve as our Gulf Region headquarters and is expected to be completed by the end of the first quarter of fiscal 2012. Total construction costs per the agreement are approximately $3.3 million.</w:t>
      </w:r>
    </w:p>
    <w:p>
      <w:pPr>
        <w:spacing w:after="0" w:line="177"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2010, the Company acquired the assets of an asset protection business to continue its strategic efforts in market expansion. The Company’s cash outlay with regards to this acquisition was approximately $1.5 million. The Company is in the process of completing the preliminary purchase price allocation. This acquisition was not individually significant and no pro forma information has been included.</w:t>
      </w:r>
    </w:p>
    <w:p>
      <w:pPr>
        <w:spacing w:after="0" w:line="177"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segments 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Services</w:t>
      </w:r>
      <w:r>
        <w:rPr>
          <w:rFonts w:ascii="Arial" w:cs="Arial" w:eastAsia="Arial" w:hAnsi="Arial"/>
          <w:sz w:val="17"/>
          <w:szCs w:val="17"/>
          <w:color w:val="auto"/>
        </w:rPr>
        <w:t>. This segment provides asset protection solutions in North and Central America with the largest concentration in the United States.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Products and Systems</w:t>
      </w:r>
      <w:r>
        <w:rPr>
          <w:rFonts w:ascii="Arial" w:cs="Arial" w:eastAsia="Arial" w:hAnsi="Arial"/>
          <w:sz w:val="18"/>
          <w:szCs w:val="18"/>
          <w:color w:val="auto"/>
        </w:rPr>
        <w:t>. 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International</w:t>
      </w:r>
      <w:r>
        <w:rPr>
          <w:rFonts w:ascii="Arial" w:cs="Arial" w:eastAsia="Arial" w:hAnsi="Arial"/>
          <w:sz w:val="16"/>
          <w:szCs w:val="16"/>
          <w:color w:val="auto"/>
        </w:rPr>
        <w:t>. This segment offers services, products and systems similar to those of our other segments to global markets, principally in Europe, the</w:t>
      </w:r>
      <w:r>
        <w:rPr>
          <w:rFonts w:ascii="Arial" w:cs="Arial" w:eastAsia="Arial" w:hAnsi="Arial"/>
          <w:sz w:val="16"/>
          <w:szCs w:val="16"/>
          <w:i w:val="1"/>
          <w:iCs w:val="1"/>
          <w:color w:val="auto"/>
        </w:rPr>
        <w:t xml:space="preserve"> </w:t>
      </w:r>
      <w:r>
        <w:rPr>
          <w:rFonts w:ascii="Arial" w:cs="Arial" w:eastAsia="Arial" w:hAnsi="Arial"/>
          <w:sz w:val="16"/>
          <w:szCs w:val="16"/>
          <w:color w:val="auto"/>
        </w:rPr>
        <w:t>Middle East, Africa, Asia and South America, but not to customers in China and South Korea, which are served by our Products and Systems segment.</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Allocations for general corporate services, including accounting, audit, and contract management,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corporate and eliminations.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stock-based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by operating segment include intercompany transactions, which are eliminated in corporate and eliminations.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Selected consolidated financial information by segment for the periods shown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spacing w:after="0"/>
              <w:rPr>
                <w:sz w:val="20"/>
                <w:szCs w:val="20"/>
                <w:color w:val="auto"/>
              </w:rPr>
            </w:pPr>
          </w:p>
        </w:tc>
        <w:tc>
          <w:tcPr>
            <w:tcW w:w="344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 November 30,</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5"/>
              </w:rPr>
              <w:t>Six months ended November 30,</w:t>
            </w:r>
          </w:p>
        </w:tc>
      </w:tr>
      <w:tr>
        <w:trPr>
          <w:trHeight w:val="223"/>
        </w:trPr>
        <w:tc>
          <w:tcPr>
            <w:tcW w:w="34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2010</w:t>
            </w:r>
          </w:p>
        </w:tc>
        <w:tc>
          <w:tcPr>
            <w:tcW w:w="6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2009</w:t>
            </w:r>
          </w:p>
        </w:tc>
        <w:tc>
          <w:tcPr>
            <w:tcW w:w="58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60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w w:val="72"/>
              </w:rPr>
              <w:t>thousands)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74"/>
              </w:rPr>
              <w:t>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w:t>
            </w:r>
          </w:p>
        </w:tc>
        <w:tc>
          <w:tcPr>
            <w:tcW w:w="122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220" w:type="dxa"/>
            <w:vAlign w:val="bottom"/>
          </w:tcPr>
          <w:p>
            <w:pPr>
              <w:jc w:val="right"/>
              <w:ind w:right="105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76,108</w:t>
            </w:r>
          </w:p>
        </w:tc>
        <w:tc>
          <w:tcPr>
            <w:tcW w:w="200" w:type="dxa"/>
            <w:vAlign w:val="bottom"/>
          </w:tcPr>
          <w:p>
            <w:pPr>
              <w:spacing w:after="0"/>
              <w:rPr>
                <w:sz w:val="18"/>
                <w:szCs w:val="18"/>
                <w:color w:val="auto"/>
              </w:rPr>
            </w:pPr>
          </w:p>
        </w:tc>
        <w:tc>
          <w:tcPr>
            <w:tcW w:w="140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60,938</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131,390</w:t>
            </w:r>
          </w:p>
        </w:tc>
        <w:tc>
          <w:tcPr>
            <w:tcW w:w="620" w:type="dxa"/>
            <w:vAlign w:val="bottom"/>
            <w:gridSpan w:val="2"/>
          </w:tcPr>
          <w:p>
            <w:pPr>
              <w:jc w:val="center"/>
              <w:ind w:right="2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106,640</w:t>
            </w:r>
          </w:p>
        </w:tc>
      </w:tr>
      <w:tr>
        <w:trPr>
          <w:trHeight w:val="216"/>
        </w:trPr>
        <w:tc>
          <w:tcPr>
            <w:tcW w:w="34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Products and Systems</w:t>
            </w:r>
          </w:p>
        </w:tc>
        <w:tc>
          <w:tcPr>
            <w:tcW w:w="12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5,228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4,744</w:t>
            </w:r>
          </w:p>
        </w:tc>
        <w:tc>
          <w:tcPr>
            <w:tcW w:w="1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10,538</w:t>
            </w:r>
          </w:p>
        </w:tc>
        <w:tc>
          <w:tcPr>
            <w:tcW w:w="14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8,369</w:t>
            </w: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7,479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18,390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15,230</w:t>
            </w:r>
          </w:p>
        </w:tc>
      </w:tr>
      <w:tr>
        <w:trPr>
          <w:trHeight w:val="216"/>
        </w:trPr>
        <w:tc>
          <w:tcPr>
            <w:tcW w:w="34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Corporate and eliminations</w:t>
            </w:r>
          </w:p>
        </w:tc>
        <w:tc>
          <w:tcPr>
            <w:tcW w:w="122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(1,849)</w:t>
            </w: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(1,262)</w:t>
            </w:r>
          </w:p>
        </w:tc>
        <w:tc>
          <w:tcPr>
            <w:tcW w:w="1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(3,071)</w:t>
            </w:r>
          </w:p>
        </w:tc>
        <w:tc>
          <w:tcPr>
            <w:tcW w:w="14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(2,251)</w:t>
            </w:r>
          </w:p>
        </w:tc>
      </w:tr>
      <w:tr>
        <w:trPr>
          <w:trHeight w:val="27"/>
        </w:trPr>
        <w:tc>
          <w:tcPr>
            <w:tcW w:w="3440" w:type="dxa"/>
            <w:vAlign w:val="bottom"/>
            <w:shd w:val="clear" w:color="auto" w:fill="EAF9E8"/>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3440" w:type="dxa"/>
            <w:vAlign w:val="bottom"/>
          </w:tcPr>
          <w:p>
            <w:pPr>
              <w:spacing w:after="0"/>
              <w:rPr>
                <w:sz w:val="18"/>
                <w:szCs w:val="18"/>
                <w:color w:val="auto"/>
              </w:rPr>
            </w:pPr>
          </w:p>
        </w:tc>
        <w:tc>
          <w:tcPr>
            <w:tcW w:w="1220" w:type="dxa"/>
            <w:vAlign w:val="bottom"/>
          </w:tcPr>
          <w:p>
            <w:pPr>
              <w:jc w:val="right"/>
              <w:ind w:right="105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88,837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71,899</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157,247</w:t>
            </w:r>
          </w:p>
        </w:tc>
        <w:tc>
          <w:tcPr>
            <w:tcW w:w="620" w:type="dxa"/>
            <w:vAlign w:val="bottom"/>
            <w:gridSpan w:val="2"/>
          </w:tcPr>
          <w:p>
            <w:pPr>
              <w:jc w:val="center"/>
              <w:ind w:right="2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127,988</w:t>
            </w:r>
          </w:p>
        </w:tc>
      </w:tr>
      <w:tr>
        <w:trPr>
          <w:trHeight w:val="21"/>
        </w:trPr>
        <w:tc>
          <w:tcPr>
            <w:tcW w:w="34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Services segment had sales to other operating segments of $0.3 million and $0.6 million for the three and six months ended November 30, 2010, respectively. For the three and six months ended November 30, 2009, the Services segment sales to other operating segments were de minimis for each respective period.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Products and Systems segment had sales to other operating segments of $1.3 million and $1.0 million for the three months ended November 30, 2010 and 2009, respectively. For the six months ended November 30, 2010 and 2009, the Products and Systems segment sales to other operating segments totaled $2.1 million and $1.9 million,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International segment had sales to other operating segments of $0.3 million and $0.5 million for the three and six month periods ended November 30, 2010, respectively. For the three and six month periods ended November 30, 2009, the International segment sales to other operating segments were de minimus for each respective period.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spacing w:after="0"/>
              <w:rPr>
                <w:sz w:val="20"/>
                <w:szCs w:val="20"/>
                <w:color w:val="auto"/>
              </w:rPr>
            </w:pPr>
          </w:p>
        </w:tc>
        <w:tc>
          <w:tcPr>
            <w:tcW w:w="34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November 30,</w:t>
            </w: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Six months ended November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440" w:type="dxa"/>
            <w:vAlign w:val="bottom"/>
          </w:tcPr>
          <w:p>
            <w:pPr>
              <w:spacing w:after="0"/>
              <w:rPr>
                <w:sz w:val="19"/>
                <w:szCs w:val="19"/>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2010</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2009</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60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w w:val="72"/>
              </w:rPr>
              <w:t>thousands)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b w:val="1"/>
                <w:bCs w:val="1"/>
                <w:color w:val="auto"/>
              </w:rPr>
              <w:t>(in</w:t>
            </w:r>
          </w:p>
        </w:tc>
        <w:tc>
          <w:tcPr>
            <w:tcW w:w="1400" w:type="dxa"/>
            <w:vAlign w:val="bottom"/>
            <w:gridSpan w:val="3"/>
          </w:tcPr>
          <w:p>
            <w:pPr>
              <w:jc w:val="center"/>
              <w:ind w:right="590"/>
              <w:spacing w:after="0"/>
              <w:rPr>
                <w:sz w:val="20"/>
                <w:szCs w:val="20"/>
                <w:color w:val="auto"/>
              </w:rPr>
            </w:pPr>
            <w:r>
              <w:rPr>
                <w:rFonts w:ascii="Arial" w:cs="Arial" w:eastAsia="Arial" w:hAnsi="Arial"/>
                <w:sz w:val="18"/>
                <w:szCs w:val="18"/>
                <w:b w:val="1"/>
                <w:bCs w:val="1"/>
                <w:color w:val="auto"/>
                <w:w w:val="74"/>
              </w:rPr>
              <w:t>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122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220" w:type="dxa"/>
            <w:vAlign w:val="bottom"/>
          </w:tcPr>
          <w:p>
            <w:pPr>
              <w:jc w:val="right"/>
              <w:ind w:right="105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21,753</w:t>
            </w:r>
          </w:p>
        </w:tc>
        <w:tc>
          <w:tcPr>
            <w:tcW w:w="200" w:type="dxa"/>
            <w:vAlign w:val="bottom"/>
          </w:tcPr>
          <w:p>
            <w:pPr>
              <w:spacing w:after="0"/>
              <w:rPr>
                <w:sz w:val="18"/>
                <w:szCs w:val="18"/>
                <w:color w:val="auto"/>
              </w:rPr>
            </w:pPr>
          </w:p>
        </w:tc>
        <w:tc>
          <w:tcPr>
            <w:tcW w:w="140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17,405</w:t>
            </w:r>
          </w:p>
        </w:tc>
        <w:tc>
          <w:tcPr>
            <w:tcW w:w="12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w w:val="94"/>
              </w:rPr>
              <w:t>36,754</w:t>
            </w:r>
          </w:p>
        </w:tc>
        <w:tc>
          <w:tcPr>
            <w:tcW w:w="1200" w:type="dxa"/>
            <w:vAlign w:val="bottom"/>
            <w:gridSpan w:val="2"/>
          </w:tcPr>
          <w:p>
            <w:pPr>
              <w:jc w:val="center"/>
              <w:ind w:right="75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29,933</w:t>
            </w:r>
          </w:p>
        </w:tc>
      </w:tr>
      <w:tr>
        <w:trPr>
          <w:trHeight w:val="216"/>
        </w:trPr>
        <w:tc>
          <w:tcPr>
            <w:tcW w:w="34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Products and Systems</w:t>
            </w:r>
          </w:p>
        </w:tc>
        <w:tc>
          <w:tcPr>
            <w:tcW w:w="12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2,821</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2,818</w:t>
            </w:r>
          </w:p>
        </w:tc>
        <w:tc>
          <w:tcPr>
            <w:tcW w:w="16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5,390</w:t>
            </w: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4,506</w:t>
            </w: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2,944</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rPr>
              <w:t>6,531</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5,990</w:t>
            </w:r>
          </w:p>
        </w:tc>
      </w:tr>
      <w:tr>
        <w:trPr>
          <w:trHeight w:val="216"/>
        </w:trPr>
        <w:tc>
          <w:tcPr>
            <w:tcW w:w="34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Corporate and eliminations</w:t>
            </w:r>
          </w:p>
        </w:tc>
        <w:tc>
          <w:tcPr>
            <w:tcW w:w="122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(263)</w:t>
            </w:r>
          </w:p>
        </w:tc>
      </w:tr>
      <w:tr>
        <w:trPr>
          <w:trHeight w:val="27"/>
        </w:trPr>
        <w:tc>
          <w:tcPr>
            <w:tcW w:w="3440" w:type="dxa"/>
            <w:vAlign w:val="bottom"/>
            <w:shd w:val="clear" w:color="auto" w:fill="EAF9E8"/>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3440" w:type="dxa"/>
            <w:vAlign w:val="bottom"/>
          </w:tcPr>
          <w:p>
            <w:pPr>
              <w:spacing w:after="0"/>
              <w:rPr>
                <w:sz w:val="18"/>
                <w:szCs w:val="18"/>
                <w:color w:val="auto"/>
              </w:rPr>
            </w:pPr>
          </w:p>
        </w:tc>
        <w:tc>
          <w:tcPr>
            <w:tcW w:w="1220" w:type="dxa"/>
            <w:vAlign w:val="bottom"/>
          </w:tcPr>
          <w:p>
            <w:pPr>
              <w:jc w:val="right"/>
              <w:ind w:right="105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27,808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23,016</w:t>
            </w:r>
          </w:p>
        </w:tc>
        <w:tc>
          <w:tcPr>
            <w:tcW w:w="12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w w:val="94"/>
              </w:rPr>
              <w:t>48,586</w:t>
            </w:r>
          </w:p>
        </w:tc>
        <w:tc>
          <w:tcPr>
            <w:tcW w:w="1200" w:type="dxa"/>
            <w:vAlign w:val="bottom"/>
            <w:gridSpan w:val="2"/>
          </w:tcPr>
          <w:p>
            <w:pPr>
              <w:jc w:val="center"/>
              <w:ind w:right="75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40,166</w:t>
            </w:r>
          </w:p>
        </w:tc>
      </w:tr>
      <w:tr>
        <w:trPr>
          <w:trHeight w:val="21"/>
        </w:trPr>
        <w:tc>
          <w:tcPr>
            <w:tcW w:w="34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spacing w:after="0"/>
              <w:rPr>
                <w:sz w:val="20"/>
                <w:szCs w:val="20"/>
                <w:color w:val="auto"/>
              </w:rPr>
            </w:pPr>
          </w:p>
        </w:tc>
        <w:tc>
          <w:tcPr>
            <w:tcW w:w="34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rPr>
              <w:t>Three months ended November 30,</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Six months ended November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440" w:type="dxa"/>
            <w:vAlign w:val="bottom"/>
          </w:tcPr>
          <w:p>
            <w:pPr>
              <w:spacing w:after="0"/>
              <w:rPr>
                <w:sz w:val="19"/>
                <w:szCs w:val="19"/>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2010</w:t>
            </w:r>
          </w:p>
        </w:tc>
        <w:tc>
          <w:tcPr>
            <w:tcW w:w="6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2009</w:t>
            </w: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62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w w:val="72"/>
              </w:rPr>
              <w:t>thousands)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b w:val="1"/>
                <w:bCs w:val="1"/>
                <w:color w:val="auto"/>
              </w:rPr>
              <w:t>(in</w:t>
            </w:r>
          </w:p>
        </w:tc>
        <w:tc>
          <w:tcPr>
            <w:tcW w:w="1400" w:type="dxa"/>
            <w:vAlign w:val="bottom"/>
            <w:gridSpan w:val="3"/>
          </w:tcPr>
          <w:p>
            <w:pPr>
              <w:jc w:val="center"/>
              <w:ind w:right="590"/>
              <w:spacing w:after="0"/>
              <w:rPr>
                <w:sz w:val="20"/>
                <w:szCs w:val="20"/>
                <w:color w:val="auto"/>
              </w:rPr>
            </w:pPr>
            <w:r>
              <w:rPr>
                <w:rFonts w:ascii="Arial" w:cs="Arial" w:eastAsia="Arial" w:hAnsi="Arial"/>
                <w:sz w:val="18"/>
                <w:szCs w:val="18"/>
                <w:b w:val="1"/>
                <w:bCs w:val="1"/>
                <w:color w:val="auto"/>
                <w:w w:val="74"/>
              </w:rPr>
              <w:t>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122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220" w:type="dxa"/>
            <w:vAlign w:val="bottom"/>
          </w:tcPr>
          <w:p>
            <w:pPr>
              <w:jc w:val="right"/>
              <w:ind w:right="105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10,249</w:t>
            </w:r>
          </w:p>
        </w:tc>
        <w:tc>
          <w:tcPr>
            <w:tcW w:w="146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7,625</w:t>
            </w:r>
          </w:p>
        </w:tc>
        <w:tc>
          <w:tcPr>
            <w:tcW w:w="12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w w:val="94"/>
              </w:rPr>
              <w:t>14,097</w:t>
            </w:r>
          </w:p>
        </w:tc>
        <w:tc>
          <w:tcPr>
            <w:tcW w:w="1200" w:type="dxa"/>
            <w:vAlign w:val="bottom"/>
            <w:gridSpan w:val="2"/>
          </w:tcPr>
          <w:p>
            <w:pPr>
              <w:jc w:val="center"/>
              <w:ind w:right="75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10,857</w:t>
            </w:r>
          </w:p>
        </w:tc>
      </w:tr>
      <w:tr>
        <w:trPr>
          <w:trHeight w:val="216"/>
        </w:trPr>
        <w:tc>
          <w:tcPr>
            <w:tcW w:w="34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Products and Systems</w:t>
            </w:r>
          </w:p>
        </w:tc>
        <w:tc>
          <w:tcPr>
            <w:tcW w:w="122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976</w:t>
            </w:r>
          </w:p>
        </w:tc>
        <w:tc>
          <w:tcPr>
            <w:tcW w:w="18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1,767</w:t>
            </w: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1,041</w:t>
            </w: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8"/>
                <w:szCs w:val="18"/>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1,082</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808</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rPr>
              <w:t>2,110</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2,070</w:t>
            </w:r>
          </w:p>
        </w:tc>
      </w:tr>
      <w:tr>
        <w:trPr>
          <w:trHeight w:val="216"/>
        </w:trPr>
        <w:tc>
          <w:tcPr>
            <w:tcW w:w="34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Corporate and eliminations</w:t>
            </w:r>
          </w:p>
        </w:tc>
        <w:tc>
          <w:tcPr>
            <w:tcW w:w="122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(2,110)</w:t>
            </w:r>
          </w:p>
        </w:tc>
        <w:tc>
          <w:tcPr>
            <w:tcW w:w="18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(1,877)</w:t>
            </w:r>
          </w:p>
        </w:tc>
        <w:tc>
          <w:tcPr>
            <w:tcW w:w="16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(4,461)</w:t>
            </w:r>
          </w:p>
        </w:tc>
        <w:tc>
          <w:tcPr>
            <w:tcW w:w="14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6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8"/>
              </w:rPr>
              <w:t>(3,515)</w:t>
            </w:r>
          </w:p>
        </w:tc>
      </w:tr>
      <w:tr>
        <w:trPr>
          <w:trHeight w:val="27"/>
        </w:trPr>
        <w:tc>
          <w:tcPr>
            <w:tcW w:w="3440" w:type="dxa"/>
            <w:vAlign w:val="bottom"/>
            <w:shd w:val="clear" w:color="auto" w:fill="EAF9E8"/>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3440" w:type="dxa"/>
            <w:vAlign w:val="bottom"/>
          </w:tcPr>
          <w:p>
            <w:pPr>
              <w:spacing w:after="0"/>
              <w:rPr>
                <w:sz w:val="18"/>
                <w:szCs w:val="18"/>
                <w:color w:val="auto"/>
              </w:rPr>
            </w:pPr>
          </w:p>
        </w:tc>
        <w:tc>
          <w:tcPr>
            <w:tcW w:w="1220" w:type="dxa"/>
            <w:vAlign w:val="bottom"/>
          </w:tcPr>
          <w:p>
            <w:pPr>
              <w:jc w:val="right"/>
              <w:ind w:right="105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7,667</w:t>
            </w:r>
          </w:p>
        </w:tc>
        <w:tc>
          <w:tcPr>
            <w:tcW w:w="12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w w:val="94"/>
              </w:rPr>
              <w:t>13,513</w:t>
            </w:r>
          </w:p>
        </w:tc>
        <w:tc>
          <w:tcPr>
            <w:tcW w:w="1200" w:type="dxa"/>
            <w:vAlign w:val="bottom"/>
            <w:gridSpan w:val="2"/>
          </w:tcPr>
          <w:p>
            <w:pPr>
              <w:jc w:val="center"/>
              <w:ind w:right="75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10,453</w:t>
            </w:r>
          </w:p>
        </w:tc>
      </w:tr>
      <w:tr>
        <w:trPr>
          <w:trHeight w:val="21"/>
        </w:trPr>
        <w:tc>
          <w:tcPr>
            <w:tcW w:w="34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4"/>
        </w:trPr>
        <w:tc>
          <w:tcPr>
            <w:tcW w:w="3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950"/>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5"/>
        </w:trPr>
        <w:tc>
          <w:tcPr>
            <w:tcW w:w="34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gridSpan w:val="11"/>
          </w:tcPr>
          <w:p>
            <w:pPr>
              <w:spacing w:after="0"/>
              <w:rPr>
                <w:sz w:val="20"/>
                <w:szCs w:val="20"/>
                <w:color w:val="auto"/>
              </w:rPr>
            </w:pPr>
            <w:r>
              <w:rPr>
                <w:rFonts w:ascii="Arial" w:cs="Arial" w:eastAsia="Arial" w:hAnsi="Arial"/>
                <w:sz w:val="18"/>
                <w:szCs w:val="18"/>
                <w:color w:val="auto"/>
                <w:w w:val="93"/>
              </w:rPr>
              <w:t>Operating income by operating segment includes intercompany transactions, which are eliminated in corporate and eliminations.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440" w:type="dxa"/>
            <w:vAlign w:val="bottom"/>
          </w:tcPr>
          <w:p>
            <w:pPr>
              <w:spacing w:after="0"/>
              <w:rPr>
                <w:sz w:val="24"/>
                <w:szCs w:val="24"/>
                <w:color w:val="auto"/>
              </w:rPr>
            </w:pPr>
          </w:p>
        </w:tc>
        <w:tc>
          <w:tcPr>
            <w:tcW w:w="34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November 30,</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gridSpan w:val="6"/>
          </w:tcPr>
          <w:p>
            <w:pPr>
              <w:ind w:left="200"/>
              <w:spacing w:after="0"/>
              <w:rPr>
                <w:sz w:val="20"/>
                <w:szCs w:val="20"/>
                <w:color w:val="auto"/>
              </w:rPr>
            </w:pPr>
            <w:r>
              <w:rPr>
                <w:rFonts w:ascii="Arial" w:cs="Arial" w:eastAsia="Arial" w:hAnsi="Arial"/>
                <w:sz w:val="18"/>
                <w:szCs w:val="18"/>
                <w:b w:val="1"/>
                <w:bCs w:val="1"/>
                <w:color w:val="auto"/>
              </w:rPr>
              <w:t>Six months ended November 30,</w:t>
            </w:r>
          </w:p>
        </w:tc>
      </w:tr>
      <w:tr>
        <w:trPr>
          <w:trHeight w:val="223"/>
        </w:trPr>
        <w:tc>
          <w:tcPr>
            <w:tcW w:w="3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2010</w:t>
            </w:r>
          </w:p>
        </w:tc>
        <w:tc>
          <w:tcPr>
            <w:tcW w:w="6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54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3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162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w w:val="70"/>
              </w:rPr>
              <w:t>thousands)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74"/>
              </w:rPr>
              <w:t>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Depreciation and amortization</w:t>
            </w:r>
          </w:p>
        </w:tc>
        <w:tc>
          <w:tcPr>
            <w:tcW w:w="1260" w:type="dxa"/>
            <w:vAlign w:val="bottom"/>
            <w:shd w:val="clear" w:color="auto" w:fill="EAF9E8"/>
          </w:tcPr>
          <w:p>
            <w:pPr>
              <w:spacing w:after="0"/>
              <w:rPr>
                <w:sz w:val="18"/>
                <w:szCs w:val="18"/>
                <w:color w:val="auto"/>
              </w:rPr>
            </w:pPr>
          </w:p>
        </w:tc>
        <w:tc>
          <w:tcPr>
            <w:tcW w:w="600" w:type="dxa"/>
            <w:vAlign w:val="bottom"/>
            <w:tcBorders>
              <w:right w:val="single" w:sz="8" w:color="EAF9E8"/>
            </w:tcBorders>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260" w:type="dxa"/>
            <w:vAlign w:val="bottom"/>
          </w:tcPr>
          <w:p>
            <w:pPr>
              <w:jc w:val="right"/>
              <w:ind w:right="109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4,024</w:t>
            </w:r>
          </w:p>
        </w:tc>
        <w:tc>
          <w:tcPr>
            <w:tcW w:w="162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3,290</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7,608</w:t>
            </w:r>
          </w:p>
        </w:tc>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6,164</w:t>
            </w:r>
          </w:p>
        </w:tc>
      </w:tr>
      <w:tr>
        <w:trPr>
          <w:trHeight w:val="216"/>
        </w:trPr>
        <w:tc>
          <w:tcPr>
            <w:tcW w:w="34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Products and Systems</w:t>
            </w:r>
          </w:p>
        </w:tc>
        <w:tc>
          <w:tcPr>
            <w:tcW w:w="1260" w:type="dxa"/>
            <w:vAlign w:val="bottom"/>
            <w:shd w:val="clear" w:color="auto" w:fill="EAF9E8"/>
          </w:tcPr>
          <w:p>
            <w:pPr>
              <w:spacing w:after="0"/>
              <w:rPr>
                <w:sz w:val="18"/>
                <w:szCs w:val="18"/>
                <w:color w:val="auto"/>
              </w:rPr>
            </w:pPr>
          </w:p>
        </w:tc>
        <w:tc>
          <w:tcPr>
            <w:tcW w:w="6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7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669</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r>
      <w:tr>
        <w:trPr>
          <w:trHeight w:val="216"/>
        </w:trPr>
        <w:tc>
          <w:tcPr>
            <w:tcW w:w="34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Corporate and eliminations</w:t>
            </w:r>
          </w:p>
        </w:tc>
        <w:tc>
          <w:tcPr>
            <w:tcW w:w="1260" w:type="dxa"/>
            <w:vAlign w:val="bottom"/>
            <w:shd w:val="clear" w:color="auto" w:fill="EAF9E8"/>
          </w:tcPr>
          <w:p>
            <w:pPr>
              <w:spacing w:after="0"/>
              <w:rPr>
                <w:sz w:val="18"/>
                <w:szCs w:val="18"/>
                <w:color w:val="auto"/>
              </w:rPr>
            </w:pPr>
          </w:p>
        </w:tc>
        <w:tc>
          <w:tcPr>
            <w:tcW w:w="6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7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w:t>
            </w:r>
          </w:p>
        </w:tc>
      </w:tr>
      <w:tr>
        <w:trPr>
          <w:trHeight w:val="27"/>
        </w:trPr>
        <w:tc>
          <w:tcPr>
            <w:tcW w:w="3440" w:type="dxa"/>
            <w:vAlign w:val="bottom"/>
            <w:shd w:val="clear" w:color="auto" w:fill="EAF9E8"/>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00" w:type="dxa"/>
            <w:vAlign w:val="bottom"/>
            <w:tcBorders>
              <w:right w:val="single" w:sz="8" w:color="EAF9E8"/>
            </w:tcBorders>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3440" w:type="dxa"/>
            <w:vAlign w:val="bottom"/>
          </w:tcPr>
          <w:p>
            <w:pPr>
              <w:spacing w:after="0"/>
              <w:rPr>
                <w:sz w:val="18"/>
                <w:szCs w:val="18"/>
                <w:color w:val="auto"/>
              </w:rPr>
            </w:pPr>
          </w:p>
        </w:tc>
        <w:tc>
          <w:tcPr>
            <w:tcW w:w="1260" w:type="dxa"/>
            <w:vAlign w:val="bottom"/>
          </w:tcPr>
          <w:p>
            <w:pPr>
              <w:jc w:val="right"/>
              <w:ind w:right="109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4,621</w:t>
            </w:r>
          </w:p>
        </w:tc>
        <w:tc>
          <w:tcPr>
            <w:tcW w:w="320" w:type="dxa"/>
            <w:vAlign w:val="bottom"/>
          </w:tcPr>
          <w:p>
            <w:pPr>
              <w:spacing w:after="0"/>
              <w:rPr>
                <w:sz w:val="18"/>
                <w:szCs w:val="18"/>
                <w:color w:val="auto"/>
              </w:rPr>
            </w:pP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3,849</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8,763</w:t>
            </w:r>
          </w:p>
        </w:tc>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7,365</w:t>
            </w:r>
          </w:p>
        </w:tc>
      </w:tr>
      <w:tr>
        <w:trPr>
          <w:trHeight w:val="21"/>
        </w:trPr>
        <w:tc>
          <w:tcPr>
            <w:tcW w:w="34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right"/>
              <w:ind w:right="750"/>
              <w:spacing w:after="0"/>
              <w:rPr>
                <w:sz w:val="20"/>
                <w:szCs w:val="20"/>
                <w:color w:val="auto"/>
              </w:rPr>
            </w:pPr>
            <w:r>
              <w:rPr>
                <w:rFonts w:ascii="Arial" w:cs="Arial" w:eastAsia="Arial" w:hAnsi="Arial"/>
                <w:sz w:val="18"/>
                <w:szCs w:val="18"/>
                <w:b w:val="1"/>
                <w:bCs w:val="1"/>
                <w:color w:val="auto"/>
              </w:rPr>
              <w:t>As of</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November 30, 2010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May 31,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Intangible assets, net</w:t>
            </w:r>
          </w:p>
        </w:tc>
        <w:tc>
          <w:tcPr>
            <w:tcW w:w="180" w:type="dxa"/>
            <w:vAlign w:val="bottom"/>
            <w:shd w:val="clear" w:color="auto" w:fill="EAF9E8"/>
          </w:tcPr>
          <w:p>
            <w:pPr>
              <w:spacing w:after="0"/>
              <w:rPr>
                <w:sz w:val="18"/>
                <w:szCs w:val="18"/>
                <w:color w:val="auto"/>
              </w:rPr>
            </w:pPr>
          </w:p>
        </w:tc>
        <w:tc>
          <w:tcPr>
            <w:tcW w:w="18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17,772</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14,042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Products and Systems</w:t>
            </w:r>
          </w:p>
        </w:tc>
        <w:tc>
          <w:tcPr>
            <w:tcW w:w="180" w:type="dxa"/>
            <w:vAlign w:val="bottom"/>
            <w:shd w:val="clear" w:color="auto" w:fill="EAF9E8"/>
          </w:tcPr>
          <w:p>
            <w:pPr>
              <w:spacing w:after="0"/>
              <w:rPr>
                <w:sz w:val="18"/>
                <w:szCs w:val="18"/>
                <w:color w:val="auto"/>
              </w:rPr>
            </w:pPr>
          </w:p>
        </w:tc>
        <w:tc>
          <w:tcPr>
            <w:tcW w:w="1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1,134</w:t>
            </w:r>
          </w:p>
        </w:tc>
        <w:tc>
          <w:tcPr>
            <w:tcW w:w="3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904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Corporate and eliminations</w:t>
            </w:r>
          </w:p>
        </w:tc>
        <w:tc>
          <w:tcPr>
            <w:tcW w:w="180" w:type="dxa"/>
            <w:vAlign w:val="bottom"/>
            <w:tcBorders>
              <w:bottom w:val="single" w:sz="8" w:color="auto"/>
            </w:tcBorders>
            <w:shd w:val="clear" w:color="auto" w:fill="EAF9E8"/>
          </w:tcPr>
          <w:p>
            <w:pPr>
              <w:spacing w:after="0"/>
              <w:rPr>
                <w:sz w:val="19"/>
                <w:szCs w:val="19"/>
                <w:color w:val="auto"/>
              </w:rPr>
            </w:pPr>
          </w:p>
        </w:tc>
        <w:tc>
          <w:tcPr>
            <w:tcW w:w="18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480</w:t>
            </w:r>
          </w:p>
        </w:tc>
        <w:tc>
          <w:tcPr>
            <w:tcW w:w="320" w:type="dxa"/>
            <w:vAlign w:val="bottom"/>
            <w:tcBorders>
              <w:bottom w:val="single" w:sz="8" w:color="EAF9E8"/>
            </w:tcBorders>
            <w:shd w:val="clear" w:color="auto" w:fill="EAF9E8"/>
          </w:tcPr>
          <w:p>
            <w:pPr>
              <w:spacing w:after="0"/>
              <w:rPr>
                <w:sz w:val="19"/>
                <w:szCs w:val="19"/>
                <w:color w:val="auto"/>
              </w:rPr>
            </w:pPr>
          </w:p>
        </w:tc>
        <w:tc>
          <w:tcPr>
            <w:tcW w:w="300" w:type="dxa"/>
            <w:vAlign w:val="bottom"/>
            <w:tcBorders>
              <w:bottom w:val="single" w:sz="8" w:color="auto"/>
            </w:tcBorders>
            <w:shd w:val="clear" w:color="auto" w:fill="EAF9E8"/>
          </w:tcPr>
          <w:p>
            <w:pPr>
              <w:spacing w:after="0"/>
              <w:rPr>
                <w:sz w:val="19"/>
                <w:szCs w:val="19"/>
                <w:color w:val="auto"/>
              </w:rPr>
            </w:pPr>
          </w:p>
        </w:tc>
        <w:tc>
          <w:tcPr>
            <w:tcW w:w="1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20,290</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16,088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right"/>
              <w:ind w:right="750"/>
              <w:spacing w:after="0"/>
              <w:rPr>
                <w:sz w:val="20"/>
                <w:szCs w:val="20"/>
                <w:color w:val="auto"/>
              </w:rPr>
            </w:pPr>
            <w:r>
              <w:rPr>
                <w:rFonts w:ascii="Arial" w:cs="Arial" w:eastAsia="Arial" w:hAnsi="Arial"/>
                <w:sz w:val="18"/>
                <w:szCs w:val="18"/>
                <w:b w:val="1"/>
                <w:bCs w:val="1"/>
                <w:color w:val="auto"/>
              </w:rPr>
              <w:t>As of</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November 30, 2010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May 31,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Goodwill</w:t>
            </w:r>
          </w:p>
        </w:tc>
        <w:tc>
          <w:tcPr>
            <w:tcW w:w="180" w:type="dxa"/>
            <w:vAlign w:val="bottom"/>
            <w:shd w:val="clear" w:color="auto" w:fill="EAF9E8"/>
          </w:tcPr>
          <w:p>
            <w:pPr>
              <w:spacing w:after="0"/>
              <w:rPr>
                <w:sz w:val="18"/>
                <w:szCs w:val="18"/>
                <w:color w:val="auto"/>
              </w:rPr>
            </w:pPr>
          </w:p>
        </w:tc>
        <w:tc>
          <w:tcPr>
            <w:tcW w:w="18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49,859</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42,804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Products and Systems</w:t>
            </w:r>
          </w:p>
        </w:tc>
        <w:tc>
          <w:tcPr>
            <w:tcW w:w="180" w:type="dxa"/>
            <w:vAlign w:val="bottom"/>
            <w:shd w:val="clear" w:color="auto" w:fill="EAF9E8"/>
          </w:tcPr>
          <w:p>
            <w:pPr>
              <w:spacing w:after="0"/>
              <w:rPr>
                <w:sz w:val="18"/>
                <w:szCs w:val="18"/>
                <w:color w:val="auto"/>
              </w:rPr>
            </w:pPr>
          </w:p>
        </w:tc>
        <w:tc>
          <w:tcPr>
            <w:tcW w:w="1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1,727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Corporate and eliminations</w:t>
            </w:r>
          </w:p>
        </w:tc>
        <w:tc>
          <w:tcPr>
            <w:tcW w:w="180" w:type="dxa"/>
            <w:vAlign w:val="bottom"/>
            <w:shd w:val="clear" w:color="auto" w:fill="EAF9E8"/>
          </w:tcPr>
          <w:p>
            <w:pPr>
              <w:spacing w:after="0"/>
              <w:rPr>
                <w:sz w:val="18"/>
                <w:szCs w:val="18"/>
                <w:color w:val="auto"/>
              </w:rPr>
            </w:pPr>
          </w:p>
        </w:tc>
        <w:tc>
          <w:tcPr>
            <w:tcW w:w="1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51,586</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44,315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November 30, 2010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May 31, 2010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7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Total Assets</w:t>
            </w:r>
          </w:p>
        </w:tc>
        <w:tc>
          <w:tcPr>
            <w:tcW w:w="26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170,665</w:t>
            </w:r>
          </w:p>
        </w:tc>
        <w:tc>
          <w:tcPr>
            <w:tcW w:w="1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148,462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26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22,043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21,817</w:t>
            </w:r>
          </w:p>
        </w:tc>
        <w:tc>
          <w:tcPr>
            <w:tcW w:w="120" w:type="dxa"/>
            <w:vAlign w:val="bottom"/>
            <w:shd w:val="clear" w:color="auto" w:fill="EAF9E8"/>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23,913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19,163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26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(9,513)</w:t>
            </w:r>
          </w:p>
        </w:tc>
        <w:tc>
          <w:tcPr>
            <w:tcW w:w="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(810)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3700" w:type="dxa"/>
            <w:vAlign w:val="bottom"/>
            <w:shd w:val="clear" w:color="auto" w:fill="EAF9E8"/>
          </w:tcPr>
          <w:p>
            <w:pPr>
              <w:spacing w:after="0"/>
              <w:rPr>
                <w:sz w:val="2"/>
                <w:szCs w:val="2"/>
                <w:color w:val="auto"/>
              </w:rPr>
            </w:pPr>
          </w:p>
        </w:tc>
        <w:tc>
          <w:tcPr>
            <w:tcW w:w="260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207,108</w:t>
            </w:r>
          </w:p>
        </w:tc>
        <w:tc>
          <w:tcPr>
            <w:tcW w:w="1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188,632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0" w:type="dxa"/>
            <w:vAlign w:val="bottom"/>
            <w:vMerge w:val="restart"/>
          </w:tcPr>
          <w:p>
            <w:pPr>
              <w:jc w:val="right"/>
              <w:ind w:right="650"/>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00" w:type="dxa"/>
            <w:vAlign w:val="bottom"/>
            <w:tcBorders>
              <w:bottom w:val="single" w:sz="8" w:color="808080"/>
            </w:tcBorders>
          </w:tcPr>
          <w:p>
            <w:pPr>
              <w:spacing w:after="0"/>
              <w:rPr>
                <w:sz w:val="9"/>
                <w:szCs w:val="9"/>
                <w:color w:val="auto"/>
              </w:rPr>
            </w:pPr>
          </w:p>
        </w:tc>
        <w:tc>
          <w:tcPr>
            <w:tcW w:w="370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4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 November 30,</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0" w:type="dxa"/>
            <w:vAlign w:val="bottom"/>
            <w:gridSpan w:val="7"/>
          </w:tcPr>
          <w:p>
            <w:pPr>
              <w:ind w:left="500"/>
              <w:spacing w:after="0"/>
              <w:rPr>
                <w:sz w:val="20"/>
                <w:szCs w:val="20"/>
                <w:color w:val="auto"/>
              </w:rPr>
            </w:pPr>
            <w:r>
              <w:rPr>
                <w:rFonts w:ascii="Arial" w:cs="Arial" w:eastAsia="Arial" w:hAnsi="Arial"/>
                <w:sz w:val="18"/>
                <w:szCs w:val="18"/>
                <w:b w:val="1"/>
                <w:bCs w:val="1"/>
                <w:color w:val="auto"/>
              </w:rPr>
              <w:t>Six months ended November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2010</w:t>
            </w:r>
          </w:p>
        </w:tc>
        <w:tc>
          <w:tcPr>
            <w:tcW w:w="6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2009</w:t>
            </w: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6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 by geographic region</w:t>
            </w:r>
          </w:p>
        </w:tc>
        <w:tc>
          <w:tcPr>
            <w:tcW w:w="122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220" w:type="dxa"/>
            <w:vAlign w:val="bottom"/>
          </w:tcPr>
          <w:p>
            <w:pPr>
              <w:jc w:val="right"/>
              <w:ind w:right="105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72,353</w:t>
            </w:r>
          </w:p>
        </w:tc>
        <w:tc>
          <w:tcPr>
            <w:tcW w:w="146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58,703</w:t>
            </w:r>
          </w:p>
        </w:tc>
        <w:tc>
          <w:tcPr>
            <w:tcW w:w="11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127,120</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Europe</w:t>
            </w:r>
          </w:p>
        </w:tc>
        <w:tc>
          <w:tcPr>
            <w:tcW w:w="122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7,200</w:t>
            </w:r>
          </w:p>
        </w:tc>
        <w:tc>
          <w:tcPr>
            <w:tcW w:w="2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5,525</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13,640</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Other Americas</w:t>
            </w:r>
          </w:p>
        </w:tc>
        <w:tc>
          <w:tcPr>
            <w:tcW w:w="12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7,289</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5,550</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12,142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Asia-Pacific</w:t>
            </w:r>
          </w:p>
        </w:tc>
        <w:tc>
          <w:tcPr>
            <w:tcW w:w="12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1,995</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2,121</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4,345</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shd w:val="clear" w:color="auto" w:fill="EAF9E8"/>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20" w:type="dxa"/>
            <w:vAlign w:val="bottom"/>
          </w:tcPr>
          <w:p>
            <w:pPr>
              <w:jc w:val="right"/>
              <w:ind w:right="105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88,837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71,899</w:t>
            </w:r>
          </w:p>
        </w:tc>
        <w:tc>
          <w:tcPr>
            <w:tcW w:w="11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157,247</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127,988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930"/>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 w:name="page21"/>
    <w:bookmarkEnd w:id="20"/>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(“Securities Act”), and Section 21E of the Securities Exchange Act of 1934, as amended (“Exchange Act”). Forward-looking statements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our competitive position and the effects of competition, the projected growth of the industries in which we operate, the benefits and synergies to be obtained from our completed and any future acquisitions, and statements of m anagement’s goals and objectives, and other similar expressions concerning matters that are not historical facts. Words such as “may,” “should,” “could,” “would,” “predicts,” “potential,” “continue,” “expects,” “anticipates,” “future,” “intends,” “plans,” “believes,” “estimates,” “appears,” “projects” and similar expressions, as well as statements in the future tense, identify forward-looking statements. 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 management’s good faith belief with respect to future events, and is subject to risks and uncertainties that coul d cause actual performance or results to differ materially from those expressed in the statements. Important factors that could cause such differences include, but are not limited to the factors discussed under the “Risk Factors” section.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is a discussion and analysis of our financial condition and results of operations and should be read together with our condensed consolidated financial statements and related notes to the condensed consolidated financial statements included elsewhere in this Quarterly Report on Form 10-Q and our audited consolidated financial statements and related notes to the audited consolidated financial statements included in our Annual Report on Form 10-K. In this quarterly report, our fiscal years, which end on May 31, are identified according to the calendar year in which they end (e.g., the fiscal year ended May 31, 2010 is referred to as “fiscal 2010”), and unless otherwise specified or the context otherwise requires, “Mistras,” “the Company,” “we,” “us” and “our ” refer to Mistras Group, Inc. and its consolidated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a leading “one source” global provider of technology-enabled asset protection solutions used to evaluate the structural integrity of critical energy, industrial and public infrastructure. We combine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our customers’ ability to extend the useful life of their assets, increase productivity, minimize repair costs, comply with governmental safety and environmental regulations, manage risk and avoid catastrophic disasters. Given the role our services play i 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fossil and nuclear power, alternative and renewable energy, public infrastructure, chemicals, aerospace and defense, transportation, primary metals and metalworking, pharmaceuticals and food processing industries. During fiscal 2010, we provided our asset protection solutions to approximately 4,800 customers. As of November 30, 2010, we had approximately 2,500 employees, including 32 Ph.D.’s and more than 100 other degreed engineers and highly-skilled, certified technicians, in 75 offices across 15 countries. We have established long-term relationships as a critical solutions provider to many leading companies in our target markets. Our current principal market is the oil and gas industry, which accounted for approxim ately 60% and 61% of our revenues for the second quarter of fiscal 2011 and 2010, respectively.</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has, in general, increased, creating demand from which our entire industry has benefited. We have experienced compounded annual growth rate (CAGR) for revenue of 31% over the last three fiscal years, including the impact of acquisitions and currency fluctuations. We believe further growth can be realized in all of our target markets. Concurrent with this growth, we have worked to build our infrastructure to profitably absorb additional growth and have made a number of small acquisitions in an effort to leverage our fi xed costs, grow our base of experienced personnel, expand our technical capabilities and increase our geographical reach.</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have enhanced our sustainable competitive advantages over our competition.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global economy continues to be fragile. Global financial markets continue to experience uncertainty, including diminished liquidity and credit availability, relatively low consumer confidence, slower economic growth, persistently high unemployment rates, volatile currency exchange rates and continued uncertainty about economic stability. There may be further deterioration and volatility in the global economy, the global financial markets, and consumer confidence. However, these conditions have allowed us to capitalize on an opportunity to selectively hire new talented individuals that otherwise might not have been available to us, to acquire and develop new technology in order to aggressively expand our proprietary portfolio of customized solutions, and to make acquisitions of complementary businesses at reasonable valuations.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November 30, 2010 compared to the three months ended November 30,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for the three months ended November 30, 2010 and 2009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November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2009</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158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w w:val="70"/>
              </w:rPr>
              <w:t>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Statement of Operations Data</w:t>
            </w:r>
          </w:p>
        </w:tc>
        <w:tc>
          <w:tcPr>
            <w:tcW w:w="19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Revenues</w:t>
            </w:r>
          </w:p>
        </w:tc>
        <w:tc>
          <w:tcPr>
            <w:tcW w:w="318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88,837</w:t>
            </w:r>
          </w:p>
        </w:tc>
        <w:tc>
          <w:tcPr>
            <w:tcW w:w="138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71,899</w:t>
            </w:r>
          </w:p>
        </w:tc>
      </w:tr>
      <w:tr>
        <w:trPr>
          <w:trHeight w:val="216"/>
        </w:trPr>
        <w:tc>
          <w:tcPr>
            <w:tcW w:w="20" w:type="dxa"/>
            <w:vAlign w:val="bottom"/>
          </w:tcPr>
          <w:p>
            <w:pPr>
              <w:spacing w:after="0"/>
              <w:rPr>
                <w:sz w:val="18"/>
                <w:szCs w:val="18"/>
                <w:color w:val="auto"/>
              </w:rPr>
            </w:pPr>
          </w:p>
        </w:tc>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Cost of revenues</w:t>
            </w:r>
          </w:p>
        </w:tc>
        <w:tc>
          <w:tcPr>
            <w:tcW w:w="19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57,734</w:t>
            </w: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46,248</w:t>
            </w: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Depreciation</w:t>
            </w:r>
          </w:p>
        </w:tc>
        <w:tc>
          <w:tcPr>
            <w:tcW w:w="196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19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27,808</w:t>
            </w: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23,016</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15,615</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13,686</w:t>
            </w:r>
          </w:p>
        </w:tc>
      </w:tr>
      <w:tr>
        <w:trPr>
          <w:trHeight w:val="216"/>
        </w:trPr>
        <w:tc>
          <w:tcPr>
            <w:tcW w:w="20" w:type="dxa"/>
            <w:vAlign w:val="bottom"/>
          </w:tcPr>
          <w:p>
            <w:pPr>
              <w:spacing w:after="0"/>
              <w:rPr>
                <w:sz w:val="18"/>
                <w:szCs w:val="18"/>
                <w:color w:val="auto"/>
              </w:rPr>
            </w:pPr>
          </w:p>
        </w:tc>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Research and engineering</w:t>
            </w:r>
          </w:p>
        </w:tc>
        <w:tc>
          <w:tcPr>
            <w:tcW w:w="19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449</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1,326</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1,214</w:t>
            </w:r>
          </w:p>
        </w:tc>
      </w:tr>
      <w:tr>
        <w:trPr>
          <w:trHeight w:val="223"/>
        </w:trPr>
        <w:tc>
          <w:tcPr>
            <w:tcW w:w="20" w:type="dxa"/>
            <w:vAlign w:val="bottom"/>
          </w:tcPr>
          <w:p>
            <w:pPr>
              <w:spacing w:after="0"/>
              <w:rPr>
                <w:sz w:val="19"/>
                <w:szCs w:val="19"/>
                <w:color w:val="auto"/>
              </w:rPr>
            </w:pPr>
          </w:p>
        </w:tc>
        <w:tc>
          <w:tcPr>
            <w:tcW w:w="53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Legal reserve</w:t>
            </w:r>
          </w:p>
        </w:tc>
        <w:tc>
          <w:tcPr>
            <w:tcW w:w="1960" w:type="dxa"/>
            <w:vAlign w:val="bottom"/>
            <w:tcBorders>
              <w:bottom w:val="single" w:sz="8" w:color="EAF9E8"/>
            </w:tcBorders>
            <w:shd w:val="clear" w:color="auto" w:fill="EAF9E8"/>
          </w:tcPr>
          <w:p>
            <w:pPr>
              <w:spacing w:after="0"/>
              <w:rPr>
                <w:sz w:val="19"/>
                <w:szCs w:val="19"/>
                <w:color w:val="auto"/>
              </w:rPr>
            </w:pPr>
          </w:p>
        </w:tc>
        <w:tc>
          <w:tcPr>
            <w:tcW w:w="1220" w:type="dxa"/>
            <w:vAlign w:val="bottom"/>
            <w:tcBorders>
              <w:bottom w:val="single" w:sz="8" w:color="auto"/>
            </w:tcBorders>
            <w:shd w:val="clear" w:color="auto" w:fill="EAF9E8"/>
          </w:tcPr>
          <w:p>
            <w:pPr>
              <w:spacing w:after="0"/>
              <w:rPr>
                <w:sz w:val="19"/>
                <w:szCs w:val="19"/>
                <w:color w:val="auto"/>
              </w:rPr>
            </w:pPr>
          </w:p>
        </w:tc>
        <w:tc>
          <w:tcPr>
            <w:tcW w:w="6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spacing w:after="0"/>
              <w:rPr>
                <w:sz w:val="19"/>
                <w:szCs w:val="19"/>
                <w:color w:val="auto"/>
              </w:rPr>
            </w:pPr>
          </w:p>
        </w:tc>
        <w:tc>
          <w:tcPr>
            <w:tcW w:w="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Income from operations</w:t>
            </w:r>
          </w:p>
        </w:tc>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10,197</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7,667</w:t>
            </w:r>
          </w:p>
        </w:tc>
      </w:tr>
      <w:tr>
        <w:trPr>
          <w:trHeight w:val="216"/>
        </w:trPr>
        <w:tc>
          <w:tcPr>
            <w:tcW w:w="20" w:type="dxa"/>
            <w:vAlign w:val="bottom"/>
          </w:tcPr>
          <w:p>
            <w:pPr>
              <w:spacing w:after="0"/>
              <w:rPr>
                <w:sz w:val="18"/>
                <w:szCs w:val="18"/>
                <w:color w:val="auto"/>
              </w:rPr>
            </w:pPr>
          </w:p>
        </w:tc>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w:t>
            </w:r>
          </w:p>
        </w:tc>
        <w:tc>
          <w:tcPr>
            <w:tcW w:w="19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671</w:t>
            </w: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1,017</w:t>
            </w: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Loss on extinguishment of long-term debt</w:t>
            </w:r>
          </w:p>
        </w:tc>
        <w:tc>
          <w:tcPr>
            <w:tcW w:w="196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4"/>
              </w:rPr>
              <w:t>Income before provision for income taxes and noncontrolling interest</w:t>
            </w:r>
          </w:p>
        </w:tc>
        <w:tc>
          <w:tcPr>
            <w:tcW w:w="19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9,526</w:t>
            </w: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6,432</w:t>
            </w: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96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9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5,708</w:t>
            </w:r>
          </w:p>
        </w:tc>
        <w:tc>
          <w:tcPr>
            <w:tcW w:w="1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3,557</w:t>
            </w: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7"/>
              </w:rPr>
              <w:t>Net (income) loss attributable to noncontrolling interests, net of taxes</w:t>
            </w:r>
          </w:p>
        </w:tc>
        <w:tc>
          <w:tcPr>
            <w:tcW w:w="1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 attributable to Mistras Group, Inc.</w:t>
            </w:r>
          </w:p>
        </w:tc>
        <w:tc>
          <w:tcPr>
            <w:tcW w:w="1960" w:type="dxa"/>
            <w:vAlign w:val="bottom"/>
            <w:shd w:val="clear" w:color="auto" w:fill="EAF9E8"/>
          </w:tcPr>
          <w:p>
            <w:pPr>
              <w:spacing w:after="0"/>
              <w:rPr>
                <w:sz w:val="18"/>
                <w:szCs w:val="18"/>
                <w:color w:val="auto"/>
              </w:rPr>
            </w:pPr>
          </w:p>
        </w:tc>
        <w:tc>
          <w:tcPr>
            <w:tcW w:w="1220" w:type="dxa"/>
            <w:vAlign w:val="bottom"/>
            <w:tcBorders>
              <w:top w:val="single" w:sz="8" w:color="auto"/>
            </w:tcBorders>
            <w:shd w:val="clear" w:color="auto" w:fill="EAF9E8"/>
          </w:tcPr>
          <w:p>
            <w:pPr>
              <w:spacing w:after="0"/>
              <w:rPr>
                <w:sz w:val="18"/>
                <w:szCs w:val="18"/>
                <w:color w:val="auto"/>
              </w:rPr>
            </w:pPr>
          </w:p>
        </w:tc>
        <w:tc>
          <w:tcPr>
            <w:tcW w:w="6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5,678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spacing w:after="0"/>
              <w:rPr>
                <w:sz w:val="18"/>
                <w:szCs w:val="18"/>
                <w:color w:val="auto"/>
              </w:rPr>
            </w:pPr>
          </w:p>
        </w:tc>
        <w:tc>
          <w:tcPr>
            <w:tcW w:w="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3,562</w:t>
            </w:r>
          </w:p>
        </w:tc>
        <w:tc>
          <w:tcPr>
            <w:tcW w:w="100" w:type="dxa"/>
            <w:vAlign w:val="bottom"/>
            <w:shd w:val="clear" w:color="auto" w:fill="EAF9E8"/>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Accretion of preferred stock</w:t>
            </w:r>
          </w:p>
        </w:tc>
        <w:tc>
          <w:tcPr>
            <w:tcW w:w="196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6,499</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 attributable to common shareholders</w:t>
            </w:r>
          </w:p>
        </w:tc>
        <w:tc>
          <w:tcPr>
            <w:tcW w:w="3180" w:type="dxa"/>
            <w:vAlign w:val="bottom"/>
            <w:gridSpan w:val="2"/>
            <w:shd w:val="clear" w:color="auto" w:fill="EAF9E8"/>
          </w:tcPr>
          <w:p>
            <w:pPr>
              <w:jc w:val="right"/>
              <w:ind w:right="10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5,678</w:t>
            </w:r>
          </w:p>
        </w:tc>
        <w:tc>
          <w:tcPr>
            <w:tcW w:w="1380" w:type="dxa"/>
            <w:vAlign w:val="bottom"/>
            <w:gridSpan w:val="2"/>
            <w:shd w:val="clear" w:color="auto" w:fill="EAF9E8"/>
          </w:tcPr>
          <w:p>
            <w:pPr>
              <w:jc w:val="right"/>
              <w:ind w:right="105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10,061</w:t>
            </w:r>
          </w:p>
        </w:tc>
      </w:tr>
      <w:tr>
        <w:trPr>
          <w:trHeight w:val="574"/>
        </w:trPr>
        <w:tc>
          <w:tcPr>
            <w:tcW w:w="20" w:type="dxa"/>
            <w:vAlign w:val="bottom"/>
          </w:tcPr>
          <w:p>
            <w:pPr>
              <w:spacing w:after="0"/>
              <w:rPr>
                <w:sz w:val="24"/>
                <w:szCs w:val="24"/>
                <w:color w:val="auto"/>
              </w:rPr>
            </w:pPr>
          </w:p>
        </w:tc>
        <w:tc>
          <w:tcPr>
            <w:tcW w:w="5340" w:type="dxa"/>
            <w:vAlign w:val="bottom"/>
            <w:tcBorders>
              <w:top w:val="single" w:sz="8" w:color="EAF9E8"/>
            </w:tcBorders>
          </w:tcPr>
          <w:p>
            <w:pPr>
              <w:spacing w:after="0"/>
              <w:rPr>
                <w:sz w:val="24"/>
                <w:szCs w:val="24"/>
                <w:color w:val="auto"/>
              </w:rPr>
            </w:pPr>
          </w:p>
        </w:tc>
        <w:tc>
          <w:tcPr>
            <w:tcW w:w="1960" w:type="dxa"/>
            <w:vAlign w:val="bottom"/>
            <w:tcBorders>
              <w:top w:val="single" w:sz="8" w:color="EAF9E8"/>
            </w:tcBorders>
          </w:tcPr>
          <w:p>
            <w:pPr>
              <w:jc w:val="right"/>
              <w:ind w:right="1370"/>
              <w:spacing w:after="0"/>
              <w:rPr>
                <w:sz w:val="20"/>
                <w:szCs w:val="20"/>
                <w:color w:val="auto"/>
              </w:rPr>
            </w:pPr>
            <w:r>
              <w:rPr>
                <w:rFonts w:ascii="Arial" w:cs="Arial" w:eastAsia="Arial" w:hAnsi="Arial"/>
                <w:sz w:val="18"/>
                <w:szCs w:val="18"/>
                <w:color w:val="auto"/>
              </w:rPr>
              <w:t>-21-</w:t>
            </w:r>
          </w:p>
        </w:tc>
        <w:tc>
          <w:tcPr>
            <w:tcW w:w="1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Borders>
              <w:top w:val="single" w:sz="8" w:color="EAF9E8"/>
            </w:tcBorders>
          </w:tcPr>
          <w:p>
            <w:pPr>
              <w:spacing w:after="0"/>
              <w:rPr>
                <w:sz w:val="24"/>
                <w:szCs w:val="24"/>
                <w:color w:val="auto"/>
              </w:rPr>
            </w:pPr>
          </w:p>
        </w:tc>
        <w:tc>
          <w:tcPr>
            <w:tcW w:w="140" w:type="dxa"/>
            <w:vAlign w:val="bottom"/>
            <w:tcBorders>
              <w:top w:val="single" w:sz="8" w:color="EAF9E8"/>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534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Our EBITDA and Adjusted EBITDA, non-GAAP measures explained below, for the three months ended November 30, 2010 and 2009,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4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November 30,</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2010</w:t>
            </w:r>
          </w:p>
        </w:tc>
        <w:tc>
          <w:tcPr>
            <w:tcW w:w="6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2009</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EBITDA and Adjusted EBITDA data</w:t>
            </w:r>
          </w:p>
        </w:tc>
        <w:tc>
          <w:tcPr>
            <w:tcW w:w="122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158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w w:val="70"/>
              </w:rPr>
              <w:t>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Net income attributable to Mistras Group, Inc.</w:t>
            </w:r>
          </w:p>
        </w:tc>
        <w:tc>
          <w:tcPr>
            <w:tcW w:w="1220" w:type="dxa"/>
            <w:vAlign w:val="bottom"/>
            <w:shd w:val="clear" w:color="auto" w:fill="EAF9E8"/>
          </w:tcPr>
          <w:p>
            <w:pPr>
              <w:jc w:val="right"/>
              <w:ind w:right="1059"/>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5,678</w:t>
            </w:r>
          </w:p>
        </w:tc>
        <w:tc>
          <w:tcPr>
            <w:tcW w:w="1420" w:type="dxa"/>
            <w:vAlign w:val="bottom"/>
            <w:gridSpan w:val="2"/>
            <w:shd w:val="clear" w:color="auto" w:fill="EAF9E8"/>
          </w:tcPr>
          <w:p>
            <w:pPr>
              <w:jc w:val="right"/>
              <w:ind w:right="105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3,562</w:t>
            </w: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8"/>
                <w:szCs w:val="18"/>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671</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Provision for income taxes</w:t>
            </w:r>
          </w:p>
        </w:tc>
        <w:tc>
          <w:tcPr>
            <w:tcW w:w="122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3,818</w:t>
            </w:r>
          </w:p>
        </w:tc>
        <w:tc>
          <w:tcPr>
            <w:tcW w:w="1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2,875</w:t>
            </w:r>
          </w:p>
        </w:tc>
      </w:tr>
      <w:tr>
        <w:trPr>
          <w:trHeight w:val="223"/>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4,621</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3,849</w:t>
            </w: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EBITDA</w:t>
            </w:r>
          </w:p>
        </w:tc>
        <w:tc>
          <w:tcPr>
            <w:tcW w:w="1220" w:type="dxa"/>
            <w:vAlign w:val="bottom"/>
            <w:shd w:val="clear" w:color="auto" w:fill="EAF9E8"/>
          </w:tcPr>
          <w:p>
            <w:pPr>
              <w:jc w:val="right"/>
              <w:ind w:right="1059"/>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14,788</w:t>
            </w:r>
          </w:p>
        </w:tc>
        <w:tc>
          <w:tcPr>
            <w:tcW w:w="1420" w:type="dxa"/>
            <w:vAlign w:val="bottom"/>
            <w:gridSpan w:val="2"/>
            <w:shd w:val="clear" w:color="auto" w:fill="EAF9E8"/>
          </w:tcPr>
          <w:p>
            <w:pPr>
              <w:jc w:val="right"/>
              <w:ind w:right="105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11,303</w:t>
            </w: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Legal reserve</w:t>
            </w:r>
          </w:p>
        </w:tc>
        <w:tc>
          <w:tcPr>
            <w:tcW w:w="1220" w:type="dxa"/>
            <w:vAlign w:val="bottom"/>
          </w:tcPr>
          <w:p>
            <w:pPr>
              <w:spacing w:after="0"/>
              <w:rPr>
                <w:sz w:val="18"/>
                <w:szCs w:val="18"/>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Stock compensation expense</w:t>
            </w:r>
          </w:p>
        </w:tc>
        <w:tc>
          <w:tcPr>
            <w:tcW w:w="122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1,047</w:t>
            </w:r>
          </w:p>
        </w:tc>
        <w:tc>
          <w:tcPr>
            <w:tcW w:w="1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783</w:t>
            </w:r>
          </w:p>
        </w:tc>
      </w:tr>
      <w:tr>
        <w:trPr>
          <w:trHeight w:val="223"/>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57"/>
        </w:trPr>
        <w:tc>
          <w:tcPr>
            <w:tcW w:w="20" w:type="dxa"/>
            <w:vAlign w:val="bottom"/>
          </w:tcPr>
          <w:p>
            <w:pPr>
              <w:spacing w:after="0"/>
              <w:rPr>
                <w:sz w:val="22"/>
                <w:szCs w:val="22"/>
                <w:color w:val="auto"/>
              </w:rPr>
            </w:pPr>
          </w:p>
        </w:tc>
        <w:tc>
          <w:tcPr>
            <w:tcW w:w="73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Adjusted EBITDA</w:t>
            </w:r>
          </w:p>
        </w:tc>
        <w:tc>
          <w:tcPr>
            <w:tcW w:w="1220" w:type="dxa"/>
            <w:vAlign w:val="bottom"/>
            <w:shd w:val="clear" w:color="auto" w:fill="EAF9E8"/>
          </w:tcPr>
          <w:p>
            <w:pPr>
              <w:jc w:val="right"/>
              <w:ind w:right="1059"/>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15,936</w:t>
            </w:r>
          </w:p>
        </w:tc>
        <w:tc>
          <w:tcPr>
            <w:tcW w:w="1420" w:type="dxa"/>
            <w:vAlign w:val="bottom"/>
            <w:gridSpan w:val="2"/>
            <w:shd w:val="clear" w:color="auto" w:fill="EAF9E8"/>
          </w:tcPr>
          <w:p>
            <w:pPr>
              <w:jc w:val="right"/>
              <w:ind w:right="105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12,304</w:t>
            </w:r>
          </w:p>
        </w:tc>
      </w:tr>
      <w:tr>
        <w:trPr>
          <w:trHeight w:val="304"/>
        </w:trPr>
        <w:tc>
          <w:tcPr>
            <w:tcW w:w="20" w:type="dxa"/>
            <w:vAlign w:val="bottom"/>
          </w:tcPr>
          <w:p>
            <w:pPr>
              <w:spacing w:after="0"/>
              <w:rPr>
                <w:sz w:val="24"/>
                <w:szCs w:val="24"/>
                <w:color w:val="auto"/>
              </w:rPr>
            </w:pPr>
          </w:p>
        </w:tc>
        <w:tc>
          <w:tcPr>
            <w:tcW w:w="2300" w:type="dxa"/>
            <w:vAlign w:val="bottom"/>
            <w:tcBorders>
              <w:top w:val="single" w:sz="8" w:color="EAF9E8"/>
              <w:bottom w:val="single" w:sz="8" w:color="808080"/>
            </w:tcBorders>
          </w:tcPr>
          <w:p>
            <w:pPr>
              <w:spacing w:after="0"/>
              <w:rPr>
                <w:sz w:val="24"/>
                <w:szCs w:val="24"/>
                <w:color w:val="auto"/>
              </w:rPr>
            </w:pPr>
          </w:p>
        </w:tc>
        <w:tc>
          <w:tcPr>
            <w:tcW w:w="5000" w:type="dxa"/>
            <w:vAlign w:val="bottom"/>
            <w:tcBorders>
              <w:top w:val="single" w:sz="8" w:color="EAF9E8"/>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EAF9E8"/>
            </w:tcBorders>
          </w:tcPr>
          <w:p>
            <w:pPr>
              <w:spacing w:after="0"/>
              <w:rPr>
                <w:sz w:val="24"/>
                <w:szCs w:val="24"/>
                <w:color w:val="auto"/>
              </w:rPr>
            </w:pPr>
          </w:p>
        </w:tc>
        <w:tc>
          <w:tcPr>
            <w:tcW w:w="180" w:type="dxa"/>
            <w:vAlign w:val="bottom"/>
            <w:tcBorders>
              <w:top w:val="single" w:sz="8" w:color="EAF9E8"/>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EBITDA and Adjusted EBITDA are performance measures used by management that are not calculated in accordance with U.S. generally accepted accounting principles (GAAP). EBITDA is defined in this Quarterly Report as net income attributable to Mistras Group, Inc. plus: interest expense, provision for income taxes and depreciation and amortization. Adjusted EBITDA is defined in this Quarterly Report as net income attributable to Mistras Group, Inc. plus: interest expense, provision for income taxes, depreciation and amortization, stock-based compensation expense, certain acquisition related costs and certain one-time and generally non-recurring items (which items are described in the next paragraph and the reconciliation table above).</w:t>
      </w:r>
    </w:p>
    <w:p>
      <w:pPr>
        <w:spacing w:after="0" w:line="15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management uses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off which to base executive and employee incentive compensation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investors and other users of our financial statements benefit from the presentation of Adjusted EBITDA in evaluating our operating performance because it provides an additional tool to compare our operating performance on a consistent basis and measure underlying trends and results in our business. Adjusted EBITDA removes the impact of certain items that management believes do not directly reflect our core operations. For instance, Adjusted EBITDA generally excludes interest expense, taxes and depreciation, amortization, each of which can vary substantially from company to company depending upon accounting methods and the book value and age of assets, capital structure, capital investment cycles and the method by which assets were acquired. It also eliminates stock-based compensation, which is a non-cash expense and is exclu ded by management when evaluating the underlying performance of our business operations.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Adjusted EBITDA is a term and financial measurement commonly used by investors and securities analysts, it has limitations. As a non-GAAP measurement, Adjusted EBITDA has no standard meaning and, therefore, may not be comparable with similar measurements for other companies. Adjusted EBITDA is generally limited as an analytical tool because it excludes charges and expenses we do incur as part of our operations. For example, Adjusted EBITDA excludes income taxes, but we generally incur significant U.S. federal, state and foreign income taxes each year and the provision for income taxes is a necessary cost. Adjusted EBITDA should not be considered in isolation or as a substitute for analyzing our results as reported under U.S. generally accepted accounting principles.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Revenues were $88.8 million for three months ended November 30, 2010 compared to $71.9 million for three months ended November 30, 2009.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three months ended November 30, 2010 and 2009 were as follows: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00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rPr>
              <w:t>Three months ended November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00" w:type="dxa"/>
            <w:vAlign w:val="bottom"/>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2010</w:t>
            </w:r>
          </w:p>
        </w:tc>
        <w:tc>
          <w:tcPr>
            <w:tcW w:w="6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2009</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60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w w:val="70"/>
              </w:rPr>
              <w:t>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Revenues</w:t>
            </w:r>
          </w:p>
        </w:tc>
        <w:tc>
          <w:tcPr>
            <w:tcW w:w="128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280" w:type="dxa"/>
            <w:vAlign w:val="bottom"/>
          </w:tcPr>
          <w:p>
            <w:pPr>
              <w:jc w:val="right"/>
              <w:ind w:right="115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76,108</w:t>
            </w:r>
          </w:p>
        </w:tc>
        <w:tc>
          <w:tcPr>
            <w:tcW w:w="180" w:type="dxa"/>
            <w:vAlign w:val="bottom"/>
          </w:tcPr>
          <w:p>
            <w:pPr>
              <w:spacing w:after="0"/>
              <w:rPr>
                <w:sz w:val="18"/>
                <w:szCs w:val="18"/>
                <w:color w:val="auto"/>
              </w:rPr>
            </w:pPr>
          </w:p>
        </w:tc>
        <w:tc>
          <w:tcPr>
            <w:tcW w:w="1420" w:type="dxa"/>
            <w:vAlign w:val="bottom"/>
            <w:gridSpan w:val="2"/>
          </w:tcPr>
          <w:p>
            <w:pPr>
              <w:jc w:val="center"/>
              <w:ind w:right="99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60,938</w:t>
            </w:r>
          </w:p>
        </w:tc>
        <w:tc>
          <w:tcPr>
            <w:tcW w:w="100" w:type="dxa"/>
            <w:vAlign w:val="bottom"/>
          </w:tcPr>
          <w:p>
            <w:pPr>
              <w:spacing w:after="0"/>
              <w:rPr>
                <w:sz w:val="18"/>
                <w:szCs w:val="18"/>
                <w:color w:val="auto"/>
              </w:rPr>
            </w:pPr>
          </w:p>
        </w:tc>
      </w:tr>
      <w:tr>
        <w:trPr>
          <w:trHeight w:val="216"/>
        </w:trPr>
        <w:tc>
          <w:tcPr>
            <w:tcW w:w="600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128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5,228</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4,744</w:t>
            </w:r>
          </w:p>
        </w:tc>
        <w:tc>
          <w:tcPr>
            <w:tcW w:w="100" w:type="dxa"/>
            <w:vAlign w:val="bottom"/>
            <w:shd w:val="clear" w:color="auto" w:fill="EAF9E8"/>
          </w:tcPr>
          <w:p>
            <w:pPr>
              <w:spacing w:after="0"/>
              <w:rPr>
                <w:sz w:val="18"/>
                <w:szCs w:val="18"/>
                <w:color w:val="auto"/>
              </w:rPr>
            </w:pP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Pr>
          <w:p>
            <w:pPr>
              <w:spacing w:after="0"/>
              <w:rPr>
                <w:sz w:val="18"/>
                <w:szCs w:val="18"/>
                <w:color w:val="auto"/>
              </w:rPr>
            </w:pPr>
          </w:p>
        </w:tc>
      </w:tr>
      <w:tr>
        <w:trPr>
          <w:trHeight w:val="216"/>
        </w:trPr>
        <w:tc>
          <w:tcPr>
            <w:tcW w:w="600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12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(1,849)</w:t>
            </w:r>
          </w:p>
        </w:tc>
        <w:tc>
          <w:tcPr>
            <w:tcW w:w="12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(1,262)</w:t>
            </w:r>
          </w:p>
        </w:tc>
      </w:tr>
      <w:tr>
        <w:trPr>
          <w:trHeight w:val="27"/>
        </w:trPr>
        <w:tc>
          <w:tcPr>
            <w:tcW w:w="6000" w:type="dxa"/>
            <w:vAlign w:val="bottom"/>
            <w:tcBorders>
              <w:right w:val="single" w:sz="8" w:color="EAF9E8"/>
            </w:tcBorders>
            <w:shd w:val="clear" w:color="auto" w:fill="EAF9E8"/>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6000" w:type="dxa"/>
            <w:vAlign w:val="bottom"/>
          </w:tcPr>
          <w:p>
            <w:pPr>
              <w:spacing w:after="0"/>
              <w:rPr>
                <w:sz w:val="18"/>
                <w:szCs w:val="18"/>
                <w:color w:val="auto"/>
              </w:rPr>
            </w:pPr>
          </w:p>
        </w:tc>
        <w:tc>
          <w:tcPr>
            <w:tcW w:w="1280" w:type="dxa"/>
            <w:vAlign w:val="bottom"/>
          </w:tcPr>
          <w:p>
            <w:pPr>
              <w:jc w:val="right"/>
              <w:ind w:right="115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88,837</w:t>
            </w:r>
          </w:p>
        </w:tc>
        <w:tc>
          <w:tcPr>
            <w:tcW w:w="180" w:type="dxa"/>
            <w:vAlign w:val="bottom"/>
          </w:tcPr>
          <w:p>
            <w:pPr>
              <w:spacing w:after="0"/>
              <w:rPr>
                <w:sz w:val="18"/>
                <w:szCs w:val="18"/>
                <w:color w:val="auto"/>
              </w:rPr>
            </w:pPr>
          </w:p>
        </w:tc>
        <w:tc>
          <w:tcPr>
            <w:tcW w:w="1420" w:type="dxa"/>
            <w:vAlign w:val="bottom"/>
            <w:gridSpan w:val="2"/>
          </w:tcPr>
          <w:p>
            <w:pPr>
              <w:jc w:val="center"/>
              <w:ind w:right="99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71,899</w:t>
            </w:r>
          </w:p>
        </w:tc>
        <w:tc>
          <w:tcPr>
            <w:tcW w:w="100" w:type="dxa"/>
            <w:vAlign w:val="bottom"/>
          </w:tcPr>
          <w:p>
            <w:pPr>
              <w:spacing w:after="0"/>
              <w:rPr>
                <w:sz w:val="18"/>
                <w:szCs w:val="18"/>
                <w:color w:val="auto"/>
              </w:rPr>
            </w:pPr>
          </w:p>
        </w:tc>
      </w:tr>
      <w:tr>
        <w:trPr>
          <w:trHeight w:val="21"/>
        </w:trPr>
        <w:tc>
          <w:tcPr>
            <w:tcW w:w="60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estimate our growth rates for the three months ended November 30, 2010 and 2009, respectively, were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w w:val="99"/>
              </w:rPr>
              <w:t>Three months ended November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2010</w:t>
            </w: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EAF9E8"/>
          </w:tcPr>
          <w:p>
            <w:pPr>
              <w:spacing w:after="0"/>
              <w:rPr>
                <w:sz w:val="20"/>
                <w:szCs w:val="20"/>
                <w:color w:val="auto"/>
              </w:rPr>
            </w:pPr>
            <w:r>
              <w:rPr>
                <w:rFonts w:ascii="Arial" w:cs="Arial" w:eastAsia="Arial" w:hAnsi="Arial"/>
                <w:sz w:val="18"/>
                <w:szCs w:val="18"/>
                <w:color w:val="auto"/>
              </w:rPr>
              <w:t>Revenue growth</w:t>
            </w:r>
          </w:p>
        </w:tc>
        <w:tc>
          <w:tcPr>
            <w:tcW w:w="23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16,938</w:t>
            </w:r>
          </w:p>
        </w:tc>
        <w:tc>
          <w:tcPr>
            <w:tcW w:w="240" w:type="dxa"/>
            <w:vAlign w:val="bottom"/>
            <w:shd w:val="clear" w:color="auto" w:fill="EAF9E8"/>
          </w:tcPr>
          <w:p>
            <w:pPr>
              <w:spacing w:after="0"/>
              <w:rPr>
                <w:sz w:val="18"/>
                <w:szCs w:val="18"/>
                <w:color w:val="auto"/>
              </w:rPr>
            </w:pPr>
          </w:p>
        </w:tc>
        <w:tc>
          <w:tcPr>
            <w:tcW w:w="5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12,624</w:t>
            </w: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 Growth over prior year</w:t>
            </w: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EAF9E8"/>
          </w:tcPr>
          <w:p>
            <w:pPr>
              <w:spacing w:after="0"/>
              <w:rPr>
                <w:sz w:val="18"/>
                <w:szCs w:val="18"/>
                <w:color w:val="auto"/>
              </w:rPr>
            </w:pPr>
          </w:p>
        </w:tc>
        <w:tc>
          <w:tcPr>
            <w:tcW w:w="188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Comprised of:</w:t>
            </w: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AF9E8"/>
          </w:tcPr>
          <w:p>
            <w:pPr>
              <w:spacing w:after="0"/>
              <w:rPr>
                <w:sz w:val="20"/>
                <w:szCs w:val="20"/>
                <w:color w:val="auto"/>
              </w:rPr>
            </w:pPr>
            <w:r>
              <w:rPr>
                <w:rFonts w:ascii="Arial" w:cs="Arial" w:eastAsia="Arial" w:hAnsi="Arial"/>
                <w:sz w:val="18"/>
                <w:szCs w:val="18"/>
                <w:color w:val="auto"/>
              </w:rPr>
              <w:t>% of organic growth</w:t>
            </w:r>
          </w:p>
        </w:tc>
        <w:tc>
          <w:tcPr>
            <w:tcW w:w="188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7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 of acquisition growth</w:t>
            </w: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AF9E8"/>
          </w:tcPr>
          <w:p>
            <w:pPr>
              <w:spacing w:after="0"/>
              <w:rPr>
                <w:sz w:val="20"/>
                <w:szCs w:val="20"/>
                <w:color w:val="auto"/>
              </w:rPr>
            </w:pPr>
            <w:r>
              <w:rPr>
                <w:rFonts w:ascii="Arial" w:cs="Arial" w:eastAsia="Arial" w:hAnsi="Arial"/>
                <w:sz w:val="18"/>
                <w:szCs w:val="18"/>
                <w:color w:val="auto"/>
              </w:rPr>
              <w:t>% foreign exchange decrease</w:t>
            </w:r>
          </w:p>
        </w:tc>
        <w:tc>
          <w:tcPr>
            <w:tcW w:w="188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shd w:val="clear" w:color="auto" w:fill="EAF9E8"/>
          </w:tcPr>
          <w:p>
            <w:pPr>
              <w:spacing w:after="0"/>
              <w:rPr>
                <w:sz w:val="2"/>
                <w:szCs w:val="2"/>
                <w:color w:val="auto"/>
              </w:rPr>
            </w:pPr>
          </w:p>
        </w:tc>
        <w:tc>
          <w:tcPr>
            <w:tcW w:w="1880" w:type="dxa"/>
            <w:vAlign w:val="bottom"/>
            <w:shd w:val="clear" w:color="auto" w:fill="EAF9E8"/>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Revenues increased $16.9 million, or approximately 24%, for the three months ended November 30, 2010 compared to the three months ended November 30, 2009 as a result of growth in all our segments. For the second quarter of fiscal 2011 and the second quarter of fiscal 2010, we estimate that our organic growth rate, as compared to growth driven by acquisitions, was approximately 18% and 9%, respectively. This organic growth was driven by increased demand for our asset protection solutions, including our mechanical integrity services, professional engineering services and our software based asset management products and services in both normal maintenance projects as well as capital spending projects. In the second quarter of fiscal 2011, we estimate that our growth from acquisitions was approximately $4.3 million, or approximately 6%, co mpared to approximately $7.8 million, or approximately 13%, in the second quarter of fiscal 2010. We completed three acquisitions during the six months ended November 30, 2010 and three acquisitions during the six months ended November 30, 2009, further increasing our capabilities and adding to our base of qualified technicians.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continued to experience growth in many of our target markets in the second quarter of fiscal 2011 as compared to the second quarter of fiscal 2010. Second quarter revenues from customers in the oil and gas market increased 22% over the prior year. This revenue was achieved globally and provided approximately 60% and 61% of our total revenues for the second quarter of fiscal 2011 and 2010, respectively. We also experienced high growth in several of our other target markets, including chemical, fossil power, aerospace and industrial markets. Taken as a group, all target markets other than oil and gas grew by approximately 27% in the second quarter of fiscal 2011 over the prior year period. Our largest customer accounted for approximately 15% and 19% of our revenues in the second quarter of fiscal 2011 and 2010, respectively. No other customer accounted for more than 8% of our revenues in the second quarter of fiscal 2011.</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gross profit was $27.8 million and increased $4.8 million, or 21% in the second quarter of fiscal 2011 compared to $23.0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fiscal 2010. As a percentage of revenues, our gross profit and its components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6"/>
          </w:tcPr>
          <w:p>
            <w:pPr>
              <w:jc w:val="center"/>
              <w:ind w:left="370"/>
              <w:spacing w:after="0"/>
              <w:rPr>
                <w:sz w:val="20"/>
                <w:szCs w:val="20"/>
                <w:color w:val="auto"/>
              </w:rPr>
            </w:pPr>
            <w:r>
              <w:rPr>
                <w:rFonts w:ascii="Arial" w:cs="Arial" w:eastAsia="Arial" w:hAnsi="Arial"/>
                <w:sz w:val="18"/>
                <w:szCs w:val="18"/>
                <w:b w:val="1"/>
                <w:bCs w:val="1"/>
                <w:color w:val="auto"/>
                <w:w w:val="89"/>
              </w:rPr>
              <w:t>Three months ended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center"/>
              <w:ind w:left="410"/>
              <w:spacing w:after="0"/>
              <w:rPr>
                <w:sz w:val="20"/>
                <w:szCs w:val="20"/>
                <w:color w:val="auto"/>
              </w:rPr>
            </w:pPr>
            <w:r>
              <w:rPr>
                <w:rFonts w:ascii="Arial" w:cs="Arial" w:eastAsia="Arial" w:hAnsi="Arial"/>
                <w:sz w:val="18"/>
                <w:szCs w:val="18"/>
                <w:b w:val="1"/>
                <w:bCs w:val="1"/>
                <w:color w:val="auto"/>
                <w:w w:val="89"/>
              </w:rPr>
              <w:t>November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4"/>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gridSpan w:val="6"/>
          </w:tcPr>
          <w:p>
            <w:pPr>
              <w:jc w:val="center"/>
              <w:ind w:left="410"/>
              <w:spacing w:after="0"/>
              <w:rPr>
                <w:sz w:val="20"/>
                <w:szCs w:val="20"/>
                <w:color w:val="auto"/>
              </w:rPr>
            </w:pPr>
            <w:r>
              <w:rPr>
                <w:rFonts w:ascii="Arial" w:cs="Arial" w:eastAsia="Arial" w:hAnsi="Arial"/>
                <w:sz w:val="18"/>
                <w:szCs w:val="18"/>
                <w:b w:val="1"/>
                <w:bCs w:val="1"/>
                <w:color w:val="auto"/>
                <w:w w:val="88"/>
              </w:rPr>
              <w:t>(in thousands)</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Gross profit</w:t>
            </w:r>
          </w:p>
        </w:tc>
        <w:tc>
          <w:tcPr>
            <w:tcW w:w="3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27,808</w:t>
            </w: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23,016</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Gross profit % comprised of:</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12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12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54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Gross profit % decrease from prior year quarter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w w:val="91"/>
              </w:rPr>
              <w:t>Our gross profit by segment for the second quarter of fiscal 2011and 2010, was as follows:</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6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9"/>
          </w:tcPr>
          <w:p>
            <w:pPr>
              <w:jc w:val="right"/>
              <w:ind w:right="9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November 30,</w:t>
            </w: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(in</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w w:val="70"/>
              </w:rPr>
              <w:t>thousands)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21,753</w:t>
            </w:r>
          </w:p>
        </w:tc>
        <w:tc>
          <w:tcPr>
            <w:tcW w:w="140" w:type="dxa"/>
            <w:vAlign w:val="bottom"/>
          </w:tcPr>
          <w:p>
            <w:pPr>
              <w:spacing w:after="0"/>
              <w:rPr>
                <w:sz w:val="18"/>
                <w:szCs w:val="18"/>
                <w:color w:val="auto"/>
              </w:rPr>
            </w:pP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2,821</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2,818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3,260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2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12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4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27,808</w:t>
            </w:r>
          </w:p>
        </w:tc>
        <w:tc>
          <w:tcPr>
            <w:tcW w:w="140" w:type="dxa"/>
            <w:vAlign w:val="bottom"/>
          </w:tcPr>
          <w:p>
            <w:pPr>
              <w:spacing w:after="0"/>
              <w:rPr>
                <w:sz w:val="18"/>
                <w:szCs w:val="18"/>
                <w:color w:val="auto"/>
              </w:rPr>
            </w:pP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percentage of revenues, our gross profit was approximately 31% and 32% for the second quarter of fiscal 2011 and fiscal 2010, respectively. Cost of revenues, excluding depreciation, as a percentage of revenues was approximately 65% and 64% in the second quarter of fiscal 2011 and fiscal 2010, respectively. Depreciation expense included in the determination of gross profit for the second quarter of fiscal 2011 and fiscal 2010 was $3.3 million and $2.6 million,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our gross profit as a percentage of revenues for the second quarter of fiscal 2011 was primarily attributable to a lower margin product mix of sales for both our Products and Systems segment and our International segment during the second quarter of fiscal 2011. Services segment gross profit as a percentage of revenue was consistent with prior year. While competitive pricing contracts remain a focus of many of our customers, we have offset the margin pressure by focusing on manpower utilization and other controllable cost of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by segment for the second quarter of fiscal 2011 and 2010,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78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November 30,</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130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70"/>
              </w:rPr>
              <w:t>thousands)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25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34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10,249</w:t>
            </w:r>
          </w:p>
        </w:tc>
        <w:tc>
          <w:tcPr>
            <w:tcW w:w="200" w:type="dxa"/>
            <w:vAlign w:val="bottom"/>
          </w:tcPr>
          <w:p>
            <w:pPr>
              <w:spacing w:after="0"/>
              <w:rPr>
                <w:sz w:val="18"/>
                <w:szCs w:val="18"/>
                <w:color w:val="auto"/>
              </w:rPr>
            </w:pPr>
          </w:p>
        </w:tc>
        <w:tc>
          <w:tcPr>
            <w:tcW w:w="1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7,625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25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976</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1,111</w:t>
            </w:r>
          </w:p>
        </w:tc>
        <w:tc>
          <w:tcPr>
            <w:tcW w:w="80" w:type="dxa"/>
            <w:vAlign w:val="bottom"/>
            <w:shd w:val="clear" w:color="auto" w:fill="EAF9E8"/>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2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25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w w:val="98"/>
              </w:rPr>
              <w:t>(2,110)</w:t>
            </w:r>
          </w:p>
        </w:tc>
        <w:tc>
          <w:tcPr>
            <w:tcW w:w="1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5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94"/>
              </w:rPr>
              <w:t>(1,877)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260" w:type="dxa"/>
            <w:vAlign w:val="bottom"/>
            <w:shd w:val="clear" w:color="auto" w:fill="EAF9E8"/>
          </w:tcPr>
          <w:p>
            <w:pPr>
              <w:spacing w:after="0"/>
              <w:rPr>
                <w:sz w:val="2"/>
                <w:szCs w:val="2"/>
                <w:color w:val="auto"/>
              </w:rPr>
            </w:pPr>
          </w:p>
        </w:tc>
        <w:tc>
          <w:tcPr>
            <w:tcW w:w="2500" w:type="dxa"/>
            <w:vAlign w:val="bottom"/>
            <w:shd w:val="clear" w:color="auto" w:fill="EAF9E8"/>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10,197</w:t>
            </w:r>
          </w:p>
        </w:tc>
        <w:tc>
          <w:tcPr>
            <w:tcW w:w="200" w:type="dxa"/>
            <w:vAlign w:val="bottom"/>
          </w:tcPr>
          <w:p>
            <w:pPr>
              <w:spacing w:after="0"/>
              <w:rPr>
                <w:sz w:val="18"/>
                <w:szCs w:val="18"/>
                <w:color w:val="auto"/>
              </w:rPr>
            </w:pPr>
          </w:p>
        </w:tc>
        <w:tc>
          <w:tcPr>
            <w:tcW w:w="1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7,667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500" w:type="dxa"/>
            <w:vAlign w:val="bottom"/>
            <w:vMerge w:val="restart"/>
          </w:tcPr>
          <w:p>
            <w:pPr>
              <w:jc w:val="right"/>
              <w:ind w:right="970"/>
              <w:spacing w:after="0"/>
              <w:rPr>
                <w:sz w:val="20"/>
                <w:szCs w:val="20"/>
                <w:color w:val="auto"/>
              </w:rPr>
            </w:pPr>
            <w:r>
              <w:rPr>
                <w:rFonts w:ascii="Arial" w:cs="Arial" w:eastAsia="Arial" w:hAnsi="Arial"/>
                <w:sz w:val="18"/>
                <w:szCs w:val="18"/>
                <w:color w:val="auto"/>
              </w:rPr>
              <w:t>-24-</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1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Borders>
              <w:bottom w:val="single" w:sz="8" w:color="808080"/>
            </w:tcBorders>
          </w:tcPr>
          <w:p>
            <w:pPr>
              <w:spacing w:after="0"/>
              <w:rPr>
                <w:sz w:val="9"/>
                <w:szCs w:val="9"/>
                <w:color w:val="auto"/>
              </w:rPr>
            </w:pPr>
          </w:p>
        </w:tc>
        <w:tc>
          <w:tcPr>
            <w:tcW w:w="326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Our income from operations of $10.2 million for the second quarter of fiscal 2011 increased $2.5 million, or 33%, compared to the first quarter of fiscal 2010.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a percentage of revenues, our income from operations was approximately 12% and 11% in the second quarter of fiscal 2011 and fiscal 2010.</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percentage of revenues, selling, general and administrative expenses for the second quarter of fiscal 2011 and fiscal 2010 were 18% and 19%, respectively. Our selling, general and administrative expenses for the second quarter of fiscal 2011 increased approximately $1.9 million, or 14%, over the second quarter of fiscal 2010, primarily due to the cost of additional infrastructure to support our growth, including new locations obtained through our acquisitions. Our recent acquisitions accounted for approximately $0.5 million of this increase. Stock compensation costs increased approximately $0.3 million in the second quarter of fiscal 2011 over the second quarter of fiscal 2010. Other increases in our selling, general and administrative expenses included higher compensation and benefit expenses over the previous year attributed to normal salary increases, as well as our investment in additional management and corporate staff. A significant portion of these increases (as well as other increases in cost of revenues) supported our development of new and existing centers of excellence. Income from operations was also impacted by an increase in our legal provision of $0.1 million in the quarter. Depreciation and amortization included in the determination of income from operations for the second quarter of fiscal 2011 and fiscal 2010 was $1.3 million, or 1% of revenues, and $1.2 million, or 2%, respectively.</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was $0.7 million and $1.0 million for the second quarter of fiscal 2011 and fiscal 2010, respectively. The decrease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fiscal 2011 related to a decrease in average borrowings outstanding during the quarter of compared to fiscal 2010. Just prior to our IPO in October 2009, we had outstanding borrowings of approximately $66.4 million, which was subsequently repaid with the proceeds of the offering.</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(income) loss attributable to noncontrolling interests, net of taxes. </w:t>
      </w:r>
      <w:r>
        <w:rPr>
          <w:rFonts w:ascii="Arial" w:cs="Arial" w:eastAsia="Arial" w:hAnsi="Arial"/>
          <w:sz w:val="18"/>
          <w:szCs w:val="18"/>
          <w:color w:val="auto"/>
        </w:rPr>
        <w:t>The increase in net income attributable to noncontrolling interests relates primarily to</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in net income from PASA, our Brazilian subsidiary and IPS, our recently acquired subsidiary in France, during the second quarter. This increase was offset by the net loss incurred by Diapac, our subsidiary in Russia.</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effective income tax rate was approximately 40% for the second quarter of fiscal 2011 compared to approximately 45% for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2010. The decrease was primarily due to the impact of permanent tax differences and an adjustment to our liabilities related to uncertain tax provisions.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income attributable to Mistras Group, Inc. </w:t>
      </w:r>
      <w:r>
        <w:rPr>
          <w:rFonts w:ascii="Arial" w:cs="Arial" w:eastAsia="Arial" w:hAnsi="Arial"/>
          <w:sz w:val="18"/>
          <w:szCs w:val="18"/>
          <w:color w:val="auto"/>
        </w:rPr>
        <w:t>Net income attributable to Mistras Group, Inc. for the second quarter of fiscal 2011 was $5.7 million, or 6% of</w:t>
      </w:r>
      <w:r>
        <w:rPr>
          <w:rFonts w:ascii="Arial" w:cs="Arial" w:eastAsia="Arial" w:hAnsi="Arial"/>
          <w:sz w:val="18"/>
          <w:szCs w:val="18"/>
          <w:i w:val="1"/>
          <w:iCs w:val="1"/>
          <w:color w:val="auto"/>
        </w:rPr>
        <w:t xml:space="preserve"> </w:t>
      </w:r>
      <w:r>
        <w:rPr>
          <w:rFonts w:ascii="Arial" w:cs="Arial" w:eastAsia="Arial" w:hAnsi="Arial"/>
          <w:sz w:val="18"/>
          <w:szCs w:val="18"/>
          <w:color w:val="auto"/>
        </w:rPr>
        <w:t>our revenues, an increase of $2.1 million over the second quarter of fiscal 2010, which was $3.6 million, or 6% of revenues. This increase in net income was primarily the result of our revenue growth and lower interest expense, offset by higher selling, general and administrative expense and research and engineering expenses.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income attributable to common shareholders. </w:t>
      </w:r>
      <w:r>
        <w:rPr>
          <w:rFonts w:ascii="Arial" w:cs="Arial" w:eastAsia="Arial" w:hAnsi="Arial"/>
          <w:sz w:val="18"/>
          <w:szCs w:val="18"/>
          <w:color w:val="auto"/>
        </w:rPr>
        <w:t>Net income attributable to common shareholders for the second quarter of fiscal 2011 was $5.7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6% of our revenues, a decrease of $4.4 million when compared to the second quarter of fiscal 2010, which was $10.1 million, or 14% of revenues. This decrease was primarily due to a fair market value adjustment to preferred stock interests in the prior year, which accreted to the benefit of common shareholders. All of the preferred shares outstanding as of our IPO in October 2009 converted to common stock and all accretion recorded through the redemption price formula were credited to additional paid-in capital.</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Six months ended November 30, 2010 compared to the six months ended November 30, 2009</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color w:val="auto"/>
                <w:w w:val="90"/>
              </w:rPr>
              <w:t>Our consolidated results of operations for the six months ended November 30, 2010 and 2009 were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Six months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November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70"/>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157,247</w:t>
            </w:r>
          </w:p>
        </w:tc>
        <w:tc>
          <w:tcPr>
            <w:tcW w:w="200" w:type="dxa"/>
            <w:vAlign w:val="bottom"/>
          </w:tcPr>
          <w:p>
            <w:pPr>
              <w:spacing w:after="0"/>
              <w:rPr>
                <w:sz w:val="18"/>
                <w:szCs w:val="18"/>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127,988</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Cost of revenues</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102,402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82,716</w:t>
            </w: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3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48,586</w:t>
            </w: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40,166</w:t>
            </w: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31,094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26,819</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Research and engineering</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1,124</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932</w:t>
            </w: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2,259</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Legal reserve</w:t>
            </w:r>
          </w:p>
        </w:tc>
        <w:tc>
          <w:tcPr>
            <w:tcW w:w="3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(297)</w:t>
            </w:r>
          </w:p>
        </w:tc>
      </w:tr>
      <w:tr>
        <w:trPr>
          <w:trHeight w:val="27"/>
        </w:trPr>
        <w:tc>
          <w:tcPr>
            <w:tcW w:w="20" w:type="dxa"/>
            <w:vAlign w:val="bottom"/>
          </w:tcPr>
          <w:p>
            <w:pPr>
              <w:spacing w:after="0"/>
              <w:rPr>
                <w:sz w:val="2"/>
                <w:szCs w:val="2"/>
                <w:color w:val="auto"/>
              </w:rPr>
            </w:pPr>
          </w:p>
        </w:tc>
        <w:tc>
          <w:tcPr>
            <w:tcW w:w="798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13,513</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10,453</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1,361</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2,081</w:t>
            </w: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Loss on extinguishment of long-term debt</w:t>
            </w:r>
          </w:p>
        </w:tc>
        <w:tc>
          <w:tcPr>
            <w:tcW w:w="340" w:type="dxa"/>
            <w:vAlign w:val="bottom"/>
          </w:tcPr>
          <w:p>
            <w:pPr>
              <w:spacing w:after="0"/>
              <w:rPr>
                <w:sz w:val="19"/>
                <w:szCs w:val="19"/>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Income before provision for income taxes and noncontrolling interest</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7,985</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4,872</w:t>
            </w:r>
          </w:p>
        </w:tc>
        <w:tc>
          <w:tcPr>
            <w:tcW w:w="20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520" w:type="dxa"/>
            <w:vAlign w:val="bottom"/>
            <w:tcBorders>
              <w:bottom w:val="single" w:sz="8" w:color="auto"/>
            </w:tcBorders>
            <w:shd w:val="clear" w:color="auto" w:fill="EAF9E8"/>
          </w:tcPr>
          <w:p>
            <w:pPr>
              <w:spacing w:after="0"/>
              <w:rPr>
                <w:sz w:val="19"/>
                <w:szCs w:val="19"/>
                <w:color w:val="auto"/>
              </w:rPr>
            </w:pPr>
          </w:p>
        </w:tc>
        <w:tc>
          <w:tcPr>
            <w:tcW w:w="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7"/>
                <w:szCs w:val="17"/>
                <w:color w:val="auto"/>
              </w:rPr>
            </w:pP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7,280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4,416</w:t>
            </w:r>
          </w:p>
        </w:tc>
      </w:tr>
      <w:tr>
        <w:trPr>
          <w:trHeight w:val="237"/>
        </w:trPr>
        <w:tc>
          <w:tcPr>
            <w:tcW w:w="8000" w:type="dxa"/>
            <w:vAlign w:val="bottom"/>
            <w:gridSpan w:val="2"/>
          </w:tcPr>
          <w:p>
            <w:pPr>
              <w:spacing w:after="0"/>
              <w:rPr>
                <w:sz w:val="20"/>
                <w:szCs w:val="20"/>
                <w:color w:val="auto"/>
              </w:rPr>
            </w:pPr>
            <w:r>
              <w:rPr>
                <w:rFonts w:ascii="Arial" w:cs="Arial" w:eastAsia="Arial" w:hAnsi="Arial"/>
                <w:sz w:val="18"/>
                <w:szCs w:val="18"/>
                <w:color w:val="auto"/>
              </w:rPr>
              <w:t>Net (income) loss attributable to noncontrolling interests, net of taxes</w:t>
            </w:r>
          </w:p>
        </w:tc>
        <w:tc>
          <w:tcPr>
            <w:tcW w:w="340" w:type="dxa"/>
            <w:vAlign w:val="bottom"/>
          </w:tcPr>
          <w:p>
            <w:pPr>
              <w:spacing w:after="0"/>
              <w:rPr>
                <w:sz w:val="20"/>
                <w:szCs w:val="20"/>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 attributable to Mistras Group, Inc.</w:t>
            </w:r>
          </w:p>
        </w:tc>
        <w:tc>
          <w:tcPr>
            <w:tcW w:w="34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7,270</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4,377</w:t>
            </w: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Accretion of preferred stock</w:t>
            </w:r>
          </w:p>
        </w:tc>
        <w:tc>
          <w:tcPr>
            <w:tcW w:w="34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6,499</w:t>
            </w: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9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 attributable to common shareholders</w:t>
            </w:r>
          </w:p>
        </w:tc>
        <w:tc>
          <w:tcPr>
            <w:tcW w:w="34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7,270</w:t>
            </w:r>
          </w:p>
        </w:tc>
        <w:tc>
          <w:tcPr>
            <w:tcW w:w="200" w:type="dxa"/>
            <w:vAlign w:val="bottom"/>
            <w:shd w:val="clear" w:color="auto" w:fill="EAF9E8"/>
          </w:tcPr>
          <w:p>
            <w:pPr>
              <w:spacing w:after="0"/>
              <w:rPr>
                <w:sz w:val="20"/>
                <w:szCs w:val="20"/>
                <w:color w:val="auto"/>
              </w:rPr>
            </w:pPr>
          </w:p>
        </w:tc>
        <w:tc>
          <w:tcPr>
            <w:tcW w:w="6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10,876</w:t>
            </w: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EBITDA and Adjusted EBITDA, non-GAAP measures explained above, for the six months ended November 30, 2010 and 2009, respectively,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November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EBITDA and Adjusted EBITDA data</w:t>
            </w:r>
          </w:p>
        </w:tc>
        <w:tc>
          <w:tcPr>
            <w:tcW w:w="960" w:type="dxa"/>
            <w:vAlign w:val="bottom"/>
            <w:shd w:val="clear" w:color="auto" w:fill="EAF9E8"/>
          </w:tcPr>
          <w:p>
            <w:pPr>
              <w:spacing w:after="0"/>
              <w:rPr>
                <w:sz w:val="18"/>
                <w:szCs w:val="18"/>
                <w:color w:val="auto"/>
              </w:rPr>
            </w:pPr>
          </w:p>
        </w:tc>
        <w:tc>
          <w:tcPr>
            <w:tcW w:w="1400" w:type="dxa"/>
            <w:vAlign w:val="bottom"/>
            <w:gridSpan w:val="4"/>
            <w:shd w:val="clear" w:color="auto" w:fill="EAF9E8"/>
          </w:tcPr>
          <w:p>
            <w:pPr>
              <w:jc w:val="center"/>
              <w:ind w:right="20"/>
              <w:spacing w:after="0"/>
              <w:rPr>
                <w:sz w:val="20"/>
                <w:szCs w:val="20"/>
                <w:color w:val="auto"/>
              </w:rPr>
            </w:pPr>
            <w:r>
              <w:rPr>
                <w:rFonts w:ascii="Arial" w:cs="Arial" w:eastAsia="Arial" w:hAnsi="Arial"/>
                <w:sz w:val="18"/>
                <w:szCs w:val="18"/>
                <w:b w:val="1"/>
                <w:bCs w:val="1"/>
                <w:color w:val="auto"/>
                <w:w w:val="88"/>
              </w:rPr>
              <w:t>(in thousands)</w:t>
            </w: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7,270</w:t>
            </w:r>
          </w:p>
        </w:tc>
        <w:tc>
          <w:tcPr>
            <w:tcW w:w="180" w:type="dxa"/>
            <w:vAlign w:val="bottom"/>
          </w:tcPr>
          <w:p>
            <w:pPr>
              <w:spacing w:after="0"/>
              <w:rPr>
                <w:sz w:val="18"/>
                <w:szCs w:val="18"/>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1,361</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Borders>
              <w:bottom w:val="single" w:sz="8" w:color="auto"/>
            </w:tcBorders>
            <w:shd w:val="clear" w:color="auto" w:fill="EAF9E8"/>
          </w:tcPr>
          <w:p>
            <w:pPr>
              <w:spacing w:after="0"/>
              <w:rPr>
                <w:sz w:val="19"/>
                <w:szCs w:val="19"/>
                <w:color w:val="auto"/>
              </w:rPr>
            </w:pPr>
          </w:p>
        </w:tc>
        <w:tc>
          <w:tcPr>
            <w:tcW w:w="5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8,763</w:t>
            </w:r>
          </w:p>
        </w:tc>
        <w:tc>
          <w:tcPr>
            <w:tcW w:w="18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520" w:type="dxa"/>
            <w:vAlign w:val="bottom"/>
            <w:tcBorders>
              <w:bottom w:val="single" w:sz="8" w:color="auto"/>
            </w:tcBorders>
            <w:shd w:val="clear" w:color="auto" w:fill="EAF9E8"/>
          </w:tcPr>
          <w:p>
            <w:pPr>
              <w:spacing w:after="0"/>
              <w:rPr>
                <w:sz w:val="19"/>
                <w:szCs w:val="19"/>
                <w:color w:val="auto"/>
              </w:rPr>
            </w:pPr>
          </w:p>
        </w:tc>
        <w:tc>
          <w:tcPr>
            <w:tcW w:w="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7,365</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EBITDA</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22,266</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Legal reserve</w:t>
            </w:r>
          </w:p>
        </w:tc>
        <w:tc>
          <w:tcPr>
            <w:tcW w:w="960" w:type="dxa"/>
            <w:vAlign w:val="bottom"/>
            <w:shd w:val="clear" w:color="auto" w:fill="EAF9E8"/>
          </w:tcPr>
          <w:p>
            <w:pPr>
              <w:spacing w:after="0"/>
              <w:rPr>
                <w:sz w:val="18"/>
                <w:szCs w:val="18"/>
                <w:color w:val="auto"/>
              </w:rPr>
            </w:pPr>
          </w:p>
        </w:tc>
        <w:tc>
          <w:tcPr>
            <w:tcW w:w="7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Large customer bankruptcy</w:t>
            </w: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Stock compensation expense</w:t>
            </w: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1,776</w:t>
            </w:r>
          </w:p>
        </w:tc>
        <w:tc>
          <w:tcPr>
            <w:tcW w:w="1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80" w:type="dxa"/>
            <w:vAlign w:val="bottom"/>
            <w:shd w:val="clear" w:color="auto" w:fill="EAF9E8"/>
          </w:tcPr>
          <w:p>
            <w:pPr>
              <w:spacing w:after="0"/>
              <w:rPr>
                <w:sz w:val="20"/>
                <w:szCs w:val="20"/>
                <w:color w:val="auto"/>
              </w:rPr>
            </w:pPr>
            <w:r>
              <w:rPr>
                <w:rFonts w:ascii="Arial" w:cs="Arial" w:eastAsia="Arial" w:hAnsi="Arial"/>
                <w:sz w:val="18"/>
                <w:szCs w:val="18"/>
                <w:color w:val="auto"/>
              </w:rPr>
              <w:t>Adjusted EBITDA</w:t>
            </w:r>
          </w:p>
        </w:tc>
        <w:tc>
          <w:tcPr>
            <w:tcW w:w="960" w:type="dxa"/>
            <w:vAlign w:val="bottom"/>
            <w:shd w:val="clear" w:color="auto" w:fill="EAF9E8"/>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94"/>
              </w:rPr>
              <w:t>24,393</w:t>
            </w:r>
          </w:p>
        </w:tc>
        <w:tc>
          <w:tcPr>
            <w:tcW w:w="6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EAF9E8"/>
            </w:tcBorders>
            <w:shd w:val="clear" w:color="auto" w:fill="EAF9E8"/>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explanation and definition of EBITDA and Adjusted EBITDA above on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975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were $157.2 million for the six months ended November 30, 2010 compared to $128.0 million for the six months ended November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2009. Revenues by segment for the six months ended November 30, 2010 and 2009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9"/>
          </w:tcPr>
          <w:p>
            <w:pPr>
              <w:ind w:lef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November 30,</w:t>
            </w: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(in</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70"/>
              </w:rPr>
              <w:t>thousands)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131,390</w:t>
            </w:r>
          </w:p>
        </w:tc>
        <w:tc>
          <w:tcPr>
            <w:tcW w:w="140" w:type="dxa"/>
            <w:vAlign w:val="bottom"/>
          </w:tcPr>
          <w:p>
            <w:pPr>
              <w:spacing w:after="0"/>
              <w:rPr>
                <w:sz w:val="18"/>
                <w:szCs w:val="18"/>
                <w:color w:val="auto"/>
              </w:rPr>
            </w:pPr>
          </w:p>
        </w:tc>
        <w:tc>
          <w:tcPr>
            <w:tcW w:w="6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106,640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10,538</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8,369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18,390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15,230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2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(3,071)</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14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4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157,247</w:t>
            </w:r>
          </w:p>
        </w:tc>
        <w:tc>
          <w:tcPr>
            <w:tcW w:w="140" w:type="dxa"/>
            <w:vAlign w:val="bottom"/>
          </w:tcPr>
          <w:p>
            <w:pPr>
              <w:spacing w:after="0"/>
              <w:rPr>
                <w:sz w:val="18"/>
                <w:szCs w:val="18"/>
                <w:color w:val="auto"/>
              </w:rPr>
            </w:pPr>
          </w:p>
        </w:tc>
        <w:tc>
          <w:tcPr>
            <w:tcW w:w="6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127,988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w w:val="92"/>
              </w:rPr>
              <w:t>Our growth rates for the six months ended November 30, 2010 and 2009 were as follows:</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6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rPr>
              <w:t>Six months ended</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740"/>
              <w:spacing w:after="0"/>
              <w:rPr>
                <w:sz w:val="20"/>
                <w:szCs w:val="20"/>
                <w:color w:val="auto"/>
              </w:rPr>
            </w:pPr>
            <w:r>
              <w:rPr>
                <w:rFonts w:ascii="Arial" w:cs="Arial" w:eastAsia="Arial" w:hAnsi="Arial"/>
                <w:sz w:val="18"/>
                <w:szCs w:val="18"/>
                <w:b w:val="1"/>
                <w:bCs w:val="1"/>
                <w:color w:val="auto"/>
              </w:rPr>
              <w:t>November 30,</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40" w:type="dxa"/>
            <w:vAlign w:val="bottom"/>
            <w:shd w:val="clear" w:color="auto" w:fill="EAF9E8"/>
          </w:tcPr>
          <w:p>
            <w:pPr>
              <w:spacing w:after="0"/>
              <w:rPr>
                <w:sz w:val="20"/>
                <w:szCs w:val="20"/>
                <w:color w:val="auto"/>
              </w:rPr>
            </w:pPr>
            <w:r>
              <w:rPr>
                <w:rFonts w:ascii="Arial" w:cs="Arial" w:eastAsia="Arial" w:hAnsi="Arial"/>
                <w:sz w:val="18"/>
                <w:szCs w:val="18"/>
                <w:color w:val="auto"/>
              </w:rPr>
              <w:t>Revenue growth</w:t>
            </w:r>
          </w:p>
        </w:tc>
        <w:tc>
          <w:tcPr>
            <w:tcW w:w="3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29,259</w:t>
            </w: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21,716</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 Growth over prior year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4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Comprised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shd w:val="clear" w:color="auto" w:fill="EAF9E8"/>
          </w:tcPr>
          <w:p>
            <w:pPr>
              <w:spacing w:after="0"/>
              <w:rPr>
                <w:sz w:val="20"/>
                <w:szCs w:val="20"/>
                <w:color w:val="auto"/>
              </w:rPr>
            </w:pPr>
            <w:r>
              <w:rPr>
                <w:rFonts w:ascii="Arial" w:cs="Arial" w:eastAsia="Arial" w:hAnsi="Arial"/>
                <w:sz w:val="18"/>
                <w:szCs w:val="18"/>
                <w:color w:val="auto"/>
              </w:rPr>
              <w:t>% of organic growth</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1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 of acquisition growth</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shd w:val="clear" w:color="auto" w:fill="EAF9E8"/>
          </w:tcPr>
          <w:p>
            <w:pPr>
              <w:spacing w:after="0"/>
              <w:rPr>
                <w:sz w:val="20"/>
                <w:szCs w:val="20"/>
                <w:color w:val="auto"/>
              </w:rPr>
            </w:pPr>
            <w:r>
              <w:rPr>
                <w:rFonts w:ascii="Arial" w:cs="Arial" w:eastAsia="Arial" w:hAnsi="Arial"/>
                <w:sz w:val="18"/>
                <w:szCs w:val="18"/>
                <w:color w:val="auto"/>
              </w:rPr>
              <w:t>% foreign exchange decrease</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14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4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$29.3 million, or approximately 23%, for the six months ended November 30, 2010 compared to the six months ended November 30, 2009 as a result of growth in all our segments. For the six months ended November 30, 2010 and 2009, our organic growth rate, as compared to growth driven by acquisitions, was approximately 16% and 10%, respectively. This organic growth was the result of continued demand for our asset protection solutions, including growth from new and existing customers. For the six months ended November 30, 2010, our growth from acquisitions was approximately $8.8 million, or approximately 7%, compared to approximately $13.5 million, or approximately 13%, in the six month ended November 30, 2009. We completed three acquisitions in six months ended November 2010 and three acquisitions in six months ended Nove mber 30, 2009, further increasing our capabilities and adding to our base of qualified technicians.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November 30, 2010, our growth continued in many of our target markets. The largest dollar increase during this period was attributable to customers in the oil and gas market which was recognized from several new and existing projects, including an increase in our portfolio of “run and maintain” outsourced contracts and new work, some of which were obtained through our acquisitions. This revenue was achieved globally and provided approximately 60% and 62% of our total revenues for the six months ended November 30, 2010 and 2009, respectively. We also experienced high growth in several of our other target markets, including chemical, fossil power, and industrial markets. Our largest customer accounted for approximately 16% and 20% of our total revenues for the six months ended November 30, 2010 and 20 09, respectively. No other customer accounted for more than 8% of our total revenues for the six months ended November 30, 2010.</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8" w:name="page29"/>
    <w:bookmarkEnd w:id="28"/>
    <w:p>
      <w:pPr>
        <w:jc w:val="both"/>
        <w:ind w:right="20"/>
        <w:spacing w:after="0" w:line="308"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Our gross profit was $48.6 million and increased $8.4 million, or 21%, during the six months ended November 30, 2010 compared to $40.1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during the six months ended November 30, 2009. As a percentage of revenues, our gross profit and its components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rPr>
              <w:t>Six months ended</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740"/>
              <w:spacing w:after="0"/>
              <w:rPr>
                <w:sz w:val="20"/>
                <w:szCs w:val="20"/>
                <w:color w:val="auto"/>
              </w:rPr>
            </w:pPr>
            <w:r>
              <w:rPr>
                <w:rFonts w:ascii="Arial" w:cs="Arial" w:eastAsia="Arial" w:hAnsi="Arial"/>
                <w:sz w:val="18"/>
                <w:szCs w:val="18"/>
                <w:b w:val="1"/>
                <w:bCs w:val="1"/>
                <w:color w:val="auto"/>
              </w:rPr>
              <w:t>November 30,</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ind w:left="720"/>
              <w:spacing w:after="0"/>
              <w:rPr>
                <w:sz w:val="20"/>
                <w:szCs w:val="20"/>
                <w:color w:val="auto"/>
              </w:rPr>
            </w:pPr>
            <w:r>
              <w:rPr>
                <w:rFonts w:ascii="Arial" w:cs="Arial" w:eastAsia="Arial" w:hAnsi="Arial"/>
                <w:sz w:val="18"/>
                <w:szCs w:val="18"/>
                <w:b w:val="1"/>
                <w:bCs w:val="1"/>
                <w:color w:val="auto"/>
              </w:rPr>
              <w:t>(in</w:t>
            </w:r>
          </w:p>
        </w:tc>
        <w:tc>
          <w:tcPr>
            <w:tcW w:w="98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78"/>
              </w:rPr>
              <w:t>thousands)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Gross profit</w:t>
            </w:r>
          </w:p>
        </w:tc>
        <w:tc>
          <w:tcPr>
            <w:tcW w:w="3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48,586</w:t>
            </w: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40,166</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Gross profit % comprised of:</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65.1%</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1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14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54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Gross profit % decrease from prior year quarter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w w:val="91"/>
              </w:rPr>
              <w:t>Our gross profit by segment for the second quarter of fiscal 2011and 2010, was as follows:</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6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9"/>
          </w:tcPr>
          <w:p>
            <w:pPr>
              <w:ind w:lef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November 30,</w:t>
            </w: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(in</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70"/>
              </w:rPr>
              <w:t>thousands)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36,754</w:t>
            </w:r>
          </w:p>
        </w:tc>
        <w:tc>
          <w:tcPr>
            <w:tcW w:w="140" w:type="dxa"/>
            <w:vAlign w:val="bottom"/>
          </w:tcPr>
          <w:p>
            <w:pPr>
              <w:spacing w:after="0"/>
              <w:rPr>
                <w:sz w:val="18"/>
                <w:szCs w:val="18"/>
                <w:color w:val="auto"/>
              </w:rPr>
            </w:pPr>
          </w:p>
        </w:tc>
        <w:tc>
          <w:tcPr>
            <w:tcW w:w="6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5,390</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4,506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6,531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2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14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4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48,586</w:t>
            </w:r>
          </w:p>
        </w:tc>
        <w:tc>
          <w:tcPr>
            <w:tcW w:w="140" w:type="dxa"/>
            <w:vAlign w:val="bottom"/>
          </w:tcPr>
          <w:p>
            <w:pPr>
              <w:spacing w:after="0"/>
              <w:rPr>
                <w:sz w:val="18"/>
                <w:szCs w:val="18"/>
                <w:color w:val="auto"/>
              </w:rPr>
            </w:pPr>
          </w:p>
        </w:tc>
        <w:tc>
          <w:tcPr>
            <w:tcW w:w="6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40,166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percentage of revenues, our gross profit was approximately 31% for each six months ended November 30, 2010 and 2009. Cost of revenues, excluding depreciation, as a percentage of revenues was approximately 65% in each of the six months ended November 30, 2010 and 2009. Depreciation expense included in the determination of gross profit was approximately $6.3 million and $5.1 million for the six months ended November 30, 2010 and 2009, respectively.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our increase in revenues in the first half of fiscal 2011, our gross profit as a percentage of revenues decreased approximately 50 basis points as compared to the first half of fiscal 2010. We incurred a slight decrease in gross profit percentage in the Services segment that was primarily attributable to sales derived from several new contracts, which drove market share growth but were competitive from a pricing perspective in the short term. Historically, by introducing more advanced NDT tools to new customers, margin enhancement follows. This slight decrease was partially offset by improved efficiencies in our utilization rates when compared to the second quarter of fiscal 2010. Our Products and Systems segment and our International segment also had decreases in gross profit percentage which was primarily attributable to a lower margin product mix of sales during the period.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by segment for the second quarter of fiscal 2011 and 2010, was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87"/>
              </w:rPr>
              <w:t>Six months ended</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November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70"/>
              </w:rPr>
              <w:t>thousands)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90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Services</w:t>
            </w:r>
          </w:p>
        </w:tc>
        <w:tc>
          <w:tcPr>
            <w:tcW w:w="900" w:type="dxa"/>
            <w:vAlign w:val="bottom"/>
          </w:tcPr>
          <w:p>
            <w:pPr>
              <w:jc w:val="right"/>
              <w:ind w:right="77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14,097</w:t>
            </w:r>
          </w:p>
        </w:tc>
        <w:tc>
          <w:tcPr>
            <w:tcW w:w="200" w:type="dxa"/>
            <w:vAlign w:val="bottom"/>
          </w:tcPr>
          <w:p>
            <w:pPr>
              <w:spacing w:after="0"/>
              <w:rPr>
                <w:sz w:val="18"/>
                <w:szCs w:val="18"/>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10,857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90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1,767</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1,041</w:t>
            </w:r>
          </w:p>
        </w:tc>
        <w:tc>
          <w:tcPr>
            <w:tcW w:w="8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90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(4,461)</w:t>
            </w: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(3,515)</w:t>
            </w:r>
          </w:p>
        </w:tc>
      </w:tr>
      <w:tr>
        <w:trPr>
          <w:trHeight w:val="27"/>
        </w:trPr>
        <w:tc>
          <w:tcPr>
            <w:tcW w:w="20" w:type="dxa"/>
            <w:vAlign w:val="bottom"/>
          </w:tcPr>
          <w:p>
            <w:pPr>
              <w:spacing w:after="0"/>
              <w:rPr>
                <w:sz w:val="2"/>
                <w:szCs w:val="2"/>
                <w:color w:val="auto"/>
              </w:rPr>
            </w:pPr>
          </w:p>
        </w:tc>
        <w:tc>
          <w:tcPr>
            <w:tcW w:w="5780" w:type="dxa"/>
            <w:vAlign w:val="bottom"/>
            <w:tcBorders>
              <w:right w:val="single" w:sz="8" w:color="EAF9E8"/>
            </w:tcBorders>
            <w:shd w:val="clear" w:color="auto" w:fill="EAF9E8"/>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EAF9E8"/>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900" w:type="dxa"/>
            <w:vAlign w:val="bottom"/>
          </w:tcPr>
          <w:p>
            <w:pPr>
              <w:jc w:val="right"/>
              <w:ind w:right="77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13,513</w:t>
            </w:r>
          </w:p>
        </w:tc>
        <w:tc>
          <w:tcPr>
            <w:tcW w:w="200" w:type="dxa"/>
            <w:vAlign w:val="bottom"/>
          </w:tcPr>
          <w:p>
            <w:pPr>
              <w:spacing w:after="0"/>
              <w:rPr>
                <w:sz w:val="18"/>
                <w:szCs w:val="18"/>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10,453</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income from operations for the six months ended November 30, 2010 increased $3.1 million, or 29%, to $13.5 million compared $10.5 million for the six months ended November 30, 2009. As a percentage of revenues, our income from operations was approximately 9% and 8% for the six months ended November 30, 2010 and 2009, respectively.</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 percentage of revenues, selling, general and administrative expenses were 20% and 21% for the six months ended November 30, 2010 and 2009 respectively. Our selling, general and administrative expenses for the six months ended November 30, 2010 increased approximately $4.3 million, or 16%, over same period in the prior year. This increase was primarily due to the cost of additional infrastructure to support our growth, including new locations obtained through our acquisitions. Our recent acquisitions accounted for approximately $0.7 million of this increase. Stock compensation costs increased approximately $0.7 million in fiscal 2011 compared to fiscal 2010. Other increases in our selling, general and administrative expenses included higher compensation and benefit expenses over the previous year attributed to normal salary increas es, as well as our investment in additional management and corporate staff. A significant portion of these increases (as well as other increases in cost of revenues) supported our development of new and existing centers of excellence. These increases were offset by a decrease in our provision for bad debts, certain professional fees, and travel-related expenses. Income from operations was also negatively impacted by a legal provision of $0.4 million in the first half of fiscal 2011 as compared to a reversal of a legal provision of $0.3 million in the first half of fiscal 2010. Depreciation and amortization included in the determination of income from operations for the six months ended November 30, 2010 and 2009 was $2.5 million, or 2% of revenues, and $2.3 million, or 2%, respectively.</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The decrease in interest expense for the six months ended November 30, 2010 related to a decrease in average borrowings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period as compared to the six months ended November 30, 2009. Just prior to our IPO in October 2009, we had outstanding borrowings under our revolving credit facility of approximately $66.4 million, which was subsequently repaid with the proceeds of the offering.</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(income) loss attributable to noncontrolling interests, net of taxes. </w:t>
      </w:r>
      <w:r>
        <w:rPr>
          <w:rFonts w:ascii="Arial" w:cs="Arial" w:eastAsia="Arial" w:hAnsi="Arial"/>
          <w:sz w:val="18"/>
          <w:szCs w:val="18"/>
          <w:color w:val="auto"/>
        </w:rPr>
        <w:t>The decrease in net income attributable to noncontrolling interests relates primarily to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net income from Diapac, our subsidiary in Russia, and the year to date net loss incurred by IPS, our recently acquired subsidiary in France, offset by an increase in net income of our Brazilian subsidiary, PASA.</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effective income tax rate was approximately 40% for the six months ended November 30, 2010 compared to approximately 45%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2009. The decrease was primarily due to the impact of permanent tax differences and an adjustment to our liabilities related to uncertain tax provisions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Net income attributable to Mistras Group, Inc. </w:t>
      </w:r>
      <w:r>
        <w:rPr>
          <w:rFonts w:ascii="Arial" w:cs="Arial" w:eastAsia="Arial" w:hAnsi="Arial"/>
          <w:sz w:val="17"/>
          <w:szCs w:val="17"/>
          <w:color w:val="auto"/>
        </w:rPr>
        <w:t>Net income attributable to Mistras Group, Inc. for the six months ended November 30, 2010 was $7.3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5% of our revenues, which is greater than our net income attributable to Mistras Group, Inc. for the six months ended November 30, 2009, which was $4.4 million, or 3% of revenues. This increase in net income was primarily the result of our revenue growth and lower interest expense, offset by higher selling, general and administrative expense and research and engineering expenses and an increase to our legal provision.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income attributable to common shareholders. </w:t>
      </w:r>
      <w:r>
        <w:rPr>
          <w:rFonts w:ascii="Arial" w:cs="Arial" w:eastAsia="Arial" w:hAnsi="Arial"/>
          <w:sz w:val="18"/>
          <w:szCs w:val="18"/>
          <w:color w:val="auto"/>
        </w:rPr>
        <w:t>Net income attributable to common shareholders for the six months ended November 30, 2010 was $7.3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5% of our revenues, a decrease of $3.6 million when compared to the six months ended November 30, 2009, which was $10.9 million, or 8% of revenues. This decrease was primarily due to a fair market value adjustment to preferred stock interests in the prior year, which accreted to the benefit of common shareholders. All of the preferred shares outstanding as of our IPO in October 2009 converted to common stock and all accretion recorded through the redemption price formula were credited to additional paid-in capital.</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Cash Flows Table</w:t>
            </w:r>
          </w:p>
        </w:tc>
        <w:tc>
          <w:tcPr>
            <w:tcW w:w="4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40" w:type="dxa"/>
            <w:vAlign w:val="bottom"/>
            <w:gridSpan w:val="3"/>
          </w:tcPr>
          <w:p>
            <w:pPr>
              <w:spacing w:after="0"/>
              <w:rPr>
                <w:sz w:val="20"/>
                <w:szCs w:val="20"/>
                <w:color w:val="auto"/>
              </w:rPr>
            </w:pPr>
            <w:r>
              <w:rPr>
                <w:rFonts w:ascii="Arial" w:cs="Arial" w:eastAsia="Arial" w:hAnsi="Arial"/>
                <w:sz w:val="18"/>
                <w:szCs w:val="18"/>
                <w:color w:val="auto"/>
              </w:rPr>
              <w:t>Our cash flows are summarized in the table below:</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8"/>
              </w:rPr>
              <w:t>Six months ended</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November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70"/>
              </w:rPr>
              <w:t>thousands)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80" w:type="dxa"/>
            <w:vAlign w:val="bottom"/>
            <w:tcBorders>
              <w:right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Net cash provided by (used in):</w:t>
            </w:r>
          </w:p>
        </w:tc>
        <w:tc>
          <w:tcPr>
            <w:tcW w:w="90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Operating Activities</w:t>
            </w:r>
          </w:p>
        </w:tc>
        <w:tc>
          <w:tcPr>
            <w:tcW w:w="900" w:type="dxa"/>
            <w:vAlign w:val="bottom"/>
          </w:tcPr>
          <w:p>
            <w:pPr>
              <w:jc w:val="right"/>
              <w:ind w:right="77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11,095</w:t>
            </w:r>
          </w:p>
        </w:tc>
        <w:tc>
          <w:tcPr>
            <w:tcW w:w="200" w:type="dxa"/>
            <w:vAlign w:val="bottom"/>
          </w:tcPr>
          <w:p>
            <w:pPr>
              <w:spacing w:after="0"/>
              <w:rPr>
                <w:sz w:val="18"/>
                <w:szCs w:val="18"/>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80" w:type="dxa"/>
            <w:vAlign w:val="bottom"/>
            <w:tcBorders>
              <w:right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Investing Activities</w:t>
            </w:r>
          </w:p>
        </w:tc>
        <w:tc>
          <w:tcPr>
            <w:tcW w:w="90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w w:val="86"/>
              </w:rPr>
              <w:t>(20,766)</w:t>
            </w: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(15,049)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Financing Activities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80" w:type="dxa"/>
            <w:vAlign w:val="bottom"/>
            <w:tcBorders>
              <w:right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Effect of exchange rate changes on cash</w:t>
            </w:r>
          </w:p>
        </w:tc>
        <w:tc>
          <w:tcPr>
            <w:tcW w:w="90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1340" w:type="dxa"/>
            <w:vAlign w:val="bottom"/>
            <w:shd w:val="clear" w:color="auto" w:fill="EAF9E8"/>
          </w:tcPr>
          <w:p>
            <w:pPr>
              <w:spacing w:after="0"/>
              <w:rPr>
                <w:sz w:val="2"/>
                <w:szCs w:val="2"/>
                <w:color w:val="auto"/>
              </w:rPr>
            </w:pPr>
          </w:p>
        </w:tc>
        <w:tc>
          <w:tcPr>
            <w:tcW w:w="4440" w:type="dxa"/>
            <w:vAlign w:val="bottom"/>
            <w:tcBorders>
              <w:right w:val="single" w:sz="8" w:color="EAF9E8"/>
            </w:tcBorders>
            <w:shd w:val="clear" w:color="auto" w:fill="EAF9E8"/>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900" w:type="dxa"/>
            <w:vAlign w:val="bottom"/>
          </w:tcPr>
          <w:p>
            <w:pPr>
              <w:jc w:val="right"/>
              <w:ind w:right="777"/>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(9,268)</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six months ended November 30, 2010, cash provided by our operating activities was $11.1 million, an increase of $2.5 million from the comparable period of fiscal 2010. Positive operating cash flow was primarily attributable to higher net income, excluding depreciation, amortization and other non-cash expenses, of $17.7 million. We used $6.6 million to fund an increase in our working capital, which resulted from an increase in our trade accounts receivable due to a seasonal increase in revenues in the second quarter of fiscal 2011.</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November 30, 2009, cash provided by our operating activities was $8.6 million, an increase of $8.2 million from the comparable period of fiscal 2009. Positive operating cash flow was primarily attributable to net income, excluding depreciation and amortization and other non-cash expenses, of $13.6 million. We used $5.0 million to fund an increase in working capital, which resulted from an increase in our trade accounts receivable due a seasonal increase in revenues in our second quarter of fiscal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six months ended November 30, 2010, cash used in investing activities was $20.8 million compared to $15.0 million from the comparable period of fiscal 2010. Cash purchases of property, plant and equipment were $3.7 million and were primarily related to equipment used by our technicians, and land purchased that is to be used to build a new facility for a portion of our Services operations near Houston, Texas. Cash used in investing activities also included our acquisition of three asset protection businesses for cash payments aggregating $16.9 million.</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six months ended November 30, 2009, cash used in investing activities was $15.0 million and was primarily comprised our acquisition of three asset protection businesses for cash payments aggregating $14.4 million. Cash used in investing activities also included cash purchases of property, plant and equipment totaling $0.6 million relating to equipment used by our technicians.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provided by financing activities was $0.2 million for the six months ended November 30, 2010 and related primarily to net borrowings under our revolving credit facility of $6.6 million offset by repayments of capital lease obligations and long-term debt.</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Net cash provided by financing activities was $15.3 million for the six months ended November 30, 2009. In October 2009, we completed our initial public offering in which we received net proceeds of approximately $74.1 million. The Company used approximately $66.4 million of the net proceeds to repay the outstanding borrowings under our senior credit facility.</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Effect of Exchange Rate on Changes on 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approximately $0.2 million for the six months ended November 30, 2010 and was de minimis for the six months ended November 30, 2009,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November 30, 2010, we had cash and cash equivalents totaling $6.8 million and approximately $48.4 million available to us under our revolving credit facility. Our outstanding borrowings under our revolving credit facility were $6.6 million as of November 30, 2010. We finance our operations primarily through our net income, bank borrowings and capital lease financing. We believe these sources are sufficient to fund our capital expenditures, debt maturities and other business needs.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2009, we entered into our current credit agreement with Bank of America, N.A., JPMorgan Chase Bank, N.A., TD Bank, N.A. and Capital One, N.A., which provided for a $25.0 million term loan and a $55.0 million secured revolving credit facility. The proceeds from this transaction were used to repay the outstanding indebtedness from our former credit facility and to fund acquisitions.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2009, we repaid the outstanding principal balance of the term loan and the outstanding balance of the revolving credit facility using the proceeds from our initial public offering. Credit extended under the term loan may not be re-borrowed under the current credit agreement. Credit extended under the revolving credit facility may be re-borrowed at any time. Borrowings made under the revolving credit facility are payable in July 2012. In December 2009, we signed an amendment to our current credit agreement that, among other things, adjusted certain affirmative and negative covenants including delivery of financial statements, the minimum consolidated debt service coverage ratio, the procedures for obtaining lender approval in acquisitions and the removal of the minimum EBITDA requirement.</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amended agreement, borrowings under the credit agreement bear interest at the LIBOR or base rate, at our option, plus an applicable LIBOR margin ranging from 1.75% to 3.25%, or base rate margin ranging from -0.50% to 0.50%, and a market disruption increase of between 0.0% and 1.0%, if the lenders determine it to be applicable. As of November 30, 2010, the interest rate for the borrowings under our revolving credit facility was 2.75%.</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credit agreement also contains financial and other covenants limiting our ability to, among other things, create liens, make investments and certain capital expenditures, incur more indebtedness, merge or consolidate, acquire other companies, make dispositions of property, pay dividends and make distributions to stockholders, enter into a new line of business, enter into transactions with affiliates and enter into burdensome agreements. The agreement’s financial covenants require us to maintain a minimum debt service coverage ratio, and a funded debt leverage ratio, all as defined in the credit agreement. There is a provision in the credit facility that requires us to repay 25% of the immediately preceding fiscal year’s “free cash flow” if our ratio of “funded debt” to EBITDA, as defined in the c redit agreement, is greater than a specified amount on or before October 1 each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At November 30, 2010, we were in compliance with the terms of the credit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of cash</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expect our future sources of cash to include cash flow from operations, cash borrowed under our revolving credit facility and cash borrowed from leasing companies to purchase equipment and fleet service vehicles. Our revolving credit facility is available for cash advances required for working capital and for letters of credit to support our operations. To meet our short-and long-term liquidity requirements, we expect primarily to rely on cash generated from our operating activities. We are currently funding our acquisitions through our available cash, borrowings under our revolving credit facility when necessary, and seller notes. We may also obtain capital through the issuance of debt or equity securities, or a combination of both.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uses of cash</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expect our future uses of cash will primarily be for acquisitions, international expansion, purchases or manufacture of field testing equipment to support growth, additional investments in technology and software products and the replacement of existing assets and equipment used in our operations. We often make purchases to support new sources of revenues, particularly in our Services segment, but generally only do so with a high degree of certainty about related customer orders and pricing. In addition, we have a certain amount of replacement equipment, including our fleet vehicles. We historically spend approximately 4% to 5% of our total revenues on capital expenditures, excluding acquisitions, and expect to fund these expenditures through a combination of cash and lease financing. In October 2010, we entered into an agreement fo r the construction of a new facility that will consolidate our facilities in the Houston, Texas metro area. This facility will serve as our Gulf Region headquarters and is expected to be completed by the end of the first quarter of fiscal 2012. The total construction costs per the agreement are approximately $3.3 million.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2" w:name="page33"/>
    <w:bookmarkEnd w:id="32"/>
    <w:p>
      <w:pPr>
        <w:jc w:val="both"/>
        <w:spacing w:after="0" w:line="255" w:lineRule="auto"/>
        <w:rPr>
          <w:sz w:val="20"/>
          <w:szCs w:val="20"/>
          <w:color w:val="auto"/>
        </w:rPr>
      </w:pPr>
      <w:r>
        <w:rPr>
          <w:rFonts w:ascii="Arial" w:cs="Arial" w:eastAsia="Arial" w:hAnsi="Arial"/>
          <w:sz w:val="18"/>
          <w:szCs w:val="18"/>
          <w:color w:val="auto"/>
        </w:rPr>
        <w:t>Our anticipated acquisitions may also require capital. For example, we have completed four acquisitions in fiscal 2011, including an acquisition completed in December 2010, with an initial cash outlay of approximately $18.3 million. In some cases, additional equipment will be needed to upgrade the capabilities of these acquired companies. In addition, our future acquisition and capital spending may increase as we aggressively pursue growth opportunities. Other investments in infrastructure, training and software may also be required to match our growth, but we plan to continue using a disciplined approach to building our business. In addition, we will use cash to fund our operating leases, capital leases and long-term debt repayment and various other obligations as they arise.</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will also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or public or private equity or debt financings. We also may need to raise additional funds in the event we determine in the future to effect one or more acquisitions of businesses, tech nologies or products that will complement our existing operations. In the event additional funding is required, we may not be able to obtain bank credit arrangements or effect an equity or debt financing on terms acceptable to us or at all.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November 30, 2010,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foreign currency exposure related to our operations in foreign locations where the functional currency is not the U.S. dollar. This foreign currency exposure, particularly the Euro, British Pound Sterling (GBP), Brazilian Real, Russian Ruble, Japanese Yen and the Indian Rupee, arises primarily from the translation of our foreign subsidiaries’ financial statements into U.S. dollars. For example, a portion of our annual sales and operating costs are denominated in GBP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For our foreign subsidiaries, assets and liabilities are translated at period ending rates of exchange. Translation adjustments for the assets and liability accounts are included in accumulated other comprehensive income in stockholders’ equity (deficit). We had approximately $0.6 million of foreign currency translation gains in other comprehensive income for the first six months of fiscal 2011. We do not currently enter into forward exchange contracts to hedge exposures to foreign currencies. We may consider entering into hedging or forward exchange contracts in t he future.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interest rate on our revolving credit facility, currently 2.75%, is variable and adjusts periodically. We had $6.6 million of outstanding borrowings under our revolving credit facility at of November 30, 2010. A hypothetical 100 basis point adverse shift in interest rates would not have had a material effect on our results of operations for the three or six month periods ended November 30, 2010.</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interest rate swap contracts whereby we would receive or pay an amount equal to the difference between a fixed rate and LIBOR on a quarterly basis in order to reduce our exposure to interest rate fluctuations. All gains and losses are recognized as an adjustment to interest expense and the combined fair values are recorded in other liabilities on the consolidated balance sheet. At November 30, 2010, we had no such contracts in effect.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had cash and cash equivalents of $6.8 million at November 30, 2010. These amounts are held for working capital purposes and were invested primarily in short-term interest-bearing accounts. Due to the short-term nature of these investments, we believe that we do not have any material exposure to changes in the fair value of our investment portfolio as a result of changes in interest rates. Declines in interest rates, however, will reduce future investment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principal executive and financial officers, does not expect that our disclosure controls and procedures or our internal control over financial reporting will prevent or detect all errors and all fraud. A control system, no matter how well designed or operated, can provide only reasonable, not absolute, assurance that the objectives of the control system are met. The design of our control system reflects the fact that there are resource constraints and the benefits of such controls must be considered relative to their costs. Further, because of the inherent limitations in all control systems, no evaluation of controls can provide absolute assurance that all control failures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also based in part on certain assumptions about the likelihood of future events and there can be no assurance that any design will succeed in achieving its stated goals under all potential future conditions. Projections of management’s assessments of the current effectiveness of our disclosure controls and procedures and its internal control over financial reporting are subject to risks. However, our disclosure controls and procedures are designed to provide reasonable assurance that the objectives of our control system are met.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the end of the period covered by this report, an evaluation was carried out under the supervision and with the participation of our management, including our Chief Executive Officer (“CEO”) and our Chief Financial Officer (“CFO”), of the effectiveness of the design and operation of our disclosure controls and procedures (as defined in Rules 13a-15(e) and 15d-15(e) under the Exchange Act). This evaluation included consideration of the various processes carried out under the direction of our disclosure committee in an effort to ensure that information required to be disclosed in our SEC reports is recorded, processed, summarized and reported within the time periods specified by the SEC. This evaluation also considered the work completed relating to our compliance efforts with regards to the requirements of S ection 404 of the Sarbanes-Oxley Act of 2002.</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Based on this evaluation, our CEO and CFO concluded that, as of November 30, 2010, our disclosure controls and procedures were operating effectively to ensure that the information required to be disclosed in our SEC reports is recorded, processed, summarized and reported within the requisite time periods and that such information is accumulated and communicated to management, including our CEO and CFO, as appropriate, to allow timely decisions regarding required disclosure.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regularly review and evaluate the design and effectiveness of our disclosure controls and procedures and internal controls over financial reporting on an ongoing basis and to improve these controls and procedures over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Rules 13a-13(f) and 15d-15(f) of the Exchange Act) that have materially affected or are reasonably likely to materially affect our internal control over financial reporting during the second quarter of fiscal 2011.</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12 to the financial statements included in this report for a description of our legal proceedings.</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under the “Risk Factors” section included in our Annual Report on Form 10-K, filed with the SEC on August 17, 2010. There have been no material changes to the risk factors previously disclosed in the Annual Report.</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right="8800" w:hanging="652"/>
        <w:spacing w:after="0" w:line="501" w:lineRule="auto"/>
        <w:tabs>
          <w:tab w:leader="none" w:pos="267"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260" w:hanging="252"/>
        <w:spacing w:after="0"/>
        <w:tabs>
          <w:tab w:leader="none" w:pos="2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Proceeds from Public Offering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60" w:right="8280" w:hanging="652"/>
        <w:spacing w:after="0" w:line="501" w:lineRule="auto"/>
        <w:tabs>
          <w:tab w:leader="none" w:pos="257"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Repurchases of Our Equity Securities </w:t>
      </w:r>
      <w:r>
        <w:rPr>
          <w:rFonts w:ascii="Arial" w:cs="Arial" w:eastAsia="Arial" w:hAnsi="Arial"/>
          <w:sz w:val="18"/>
          <w:szCs w:val="18"/>
          <w:color w:val="auto"/>
        </w:rPr>
        <w:t>None.</w:t>
      </w: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 on Page 37 of this report, and incorporated herein by reference.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MISTRAS GROUP, INC.</w:t>
      </w:r>
    </w:p>
    <w:p>
      <w:pPr>
        <w:spacing w:after="0" w:line="229"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w:t>
      </w:r>
      <w:r>
        <w:rPr>
          <w:rFonts w:ascii="Arial" w:cs="Arial" w:eastAsia="Arial" w:hAnsi="Arial"/>
          <w:sz w:val="12"/>
          <w:szCs w:val="12"/>
          <w:color w:val="auto"/>
        </w:rPr>
        <w:t>RANCIS</w:t>
      </w:r>
      <w:r>
        <w:rPr>
          <w:rFonts w:ascii="Arial" w:cs="Arial" w:eastAsia="Arial" w:hAnsi="Arial"/>
          <w:sz w:val="18"/>
          <w:szCs w:val="18"/>
          <w:color w:val="auto"/>
        </w:rPr>
        <w:t xml:space="preserve"> T. J</w:t>
      </w:r>
      <w:r>
        <w:rPr>
          <w:rFonts w:ascii="Arial" w:cs="Arial" w:eastAsia="Arial" w:hAnsi="Arial"/>
          <w:sz w:val="12"/>
          <w:szCs w:val="12"/>
          <w:color w:val="auto"/>
        </w:rPr>
        <w:t>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Francis T. Joyce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13, 2011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jc w:val="center"/>
              <w:ind w:right="185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580" w:type="dxa"/>
            <w:vAlign w:val="bottom"/>
          </w:tcPr>
          <w:p>
            <w:pPr>
              <w:spacing w:after="0"/>
              <w:rPr>
                <w:sz w:val="24"/>
                <w:szCs w:val="24"/>
                <w:color w:val="auto"/>
              </w:rPr>
            </w:pPr>
          </w:p>
        </w:tc>
        <w:tc>
          <w:tcPr>
            <w:tcW w:w="9460" w:type="dxa"/>
            <w:vAlign w:val="bottom"/>
            <w:tcBorders>
              <w:bottom w:val="single" w:sz="8" w:color="auto"/>
            </w:tcBorders>
          </w:tcPr>
          <w:p>
            <w:pPr>
              <w:ind w:left="428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Form of Restricted Stock Unit Certificate for awards under the 2009 Long-Term Incentive Plan.</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81"/>
        </w:trPr>
        <w:tc>
          <w:tcPr>
            <w:tcW w:w="1380" w:type="dxa"/>
            <w:vAlign w:val="bottom"/>
          </w:tcPr>
          <w:p>
            <w:pPr>
              <w:spacing w:after="0"/>
              <w:rPr>
                <w:sz w:val="24"/>
                <w:szCs w:val="24"/>
                <w:color w:val="auto"/>
              </w:rPr>
            </w:pPr>
          </w:p>
        </w:tc>
        <w:tc>
          <w:tcPr>
            <w:tcW w:w="10040" w:type="dxa"/>
            <w:vAlign w:val="bottom"/>
            <w:gridSpan w:val="2"/>
          </w:tcPr>
          <w:p>
            <w:pPr>
              <w:jc w:val="right"/>
              <w:ind w:right="5470"/>
              <w:spacing w:after="0"/>
              <w:rPr>
                <w:sz w:val="20"/>
                <w:szCs w:val="20"/>
                <w:color w:val="auto"/>
              </w:rPr>
            </w:pPr>
            <w:r>
              <w:rPr>
                <w:rFonts w:ascii="Arial" w:cs="Arial" w:eastAsia="Arial" w:hAnsi="Arial"/>
                <w:sz w:val="18"/>
                <w:szCs w:val="18"/>
                <w:color w:val="auto"/>
              </w:rPr>
              <w:t>-37-</w:t>
            </w:r>
          </w:p>
        </w:tc>
      </w:tr>
      <w:tr>
        <w:trPr>
          <w:trHeight w:val="105"/>
        </w:trPr>
        <w:tc>
          <w:tcPr>
            <w:tcW w:w="13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4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Granted To:</w:t>
      </w:r>
    </w:p>
    <w:p>
      <w:pPr>
        <w:spacing w:after="0" w:line="225" w:lineRule="exact"/>
        <w:rPr>
          <w:sz w:val="20"/>
          <w:szCs w:val="20"/>
          <w:color w:val="auto"/>
        </w:rPr>
      </w:pPr>
    </w:p>
    <w:p>
      <w:pPr>
        <w:spacing w:after="0"/>
        <w:tabs>
          <w:tab w:leader="none" w:pos="5980" w:val="left"/>
        </w:tabs>
        <w:rPr>
          <w:sz w:val="20"/>
          <w:szCs w:val="20"/>
          <w:color w:val="auto"/>
        </w:rPr>
      </w:pPr>
      <w:r>
        <w:rPr>
          <w:rFonts w:ascii="Arial" w:cs="Arial" w:eastAsia="Arial" w:hAnsi="Arial"/>
          <w:sz w:val="18"/>
          <w:szCs w:val="18"/>
          <w:color w:val="auto"/>
        </w:rPr>
        <w:t>Total Units:</w:t>
      </w:r>
      <w:r>
        <w:rPr>
          <w:sz w:val="20"/>
          <w:szCs w:val="20"/>
          <w:color w:val="auto"/>
        </w:rPr>
        <w:tab/>
      </w:r>
      <w:r>
        <w:rPr>
          <w:rFonts w:ascii="Arial" w:cs="Arial" w:eastAsia="Arial" w:hAnsi="Arial"/>
          <w:sz w:val="16"/>
          <w:szCs w:val="16"/>
          <w:color w:val="auto"/>
        </w:rPr>
        <w:t>Grant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Vesting Dates:</w:t>
      </w:r>
    </w:p>
    <w:p>
      <w:pPr>
        <w:spacing w:after="0" w:line="225" w:lineRule="exact"/>
        <w:rPr>
          <w:sz w:val="20"/>
          <w:szCs w:val="20"/>
          <w:color w:val="auto"/>
        </w:rPr>
      </w:pPr>
    </w:p>
    <w:p>
      <w:pPr>
        <w:jc w:val="both"/>
        <w:ind w:firstLine="656"/>
        <w:spacing w:after="0" w:line="302" w:lineRule="auto"/>
        <w:tabs>
          <w:tab w:leader="none" w:pos="1431"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Award</w:t>
      </w:r>
      <w:r>
        <w:rPr>
          <w:rFonts w:ascii="Arial" w:cs="Arial" w:eastAsia="Arial" w:hAnsi="Arial"/>
          <w:sz w:val="16"/>
          <w:szCs w:val="16"/>
          <w:color w:val="auto"/>
        </w:rPr>
        <w:t>. In accordance with the Mistras Group, Inc. 2009 Long-Term Incentive Plan (the “Plan”), Mistras Group, Inc. (“the Company”) has made an award to you of restricted stock units (the “Units”), which is represented by this certificate. Each Unit, upon vesting, will become one share of the Company’s common stock. The award and the Units are subject to the provisions of the Plan and, to the extent not inconsistent with the Plan, the terms and conditions of this certificate. Capitalized terms that are used but not defined in this certificate shall have the meanings ascribed t o them by the Plan.</w:t>
      </w:r>
    </w:p>
    <w:p>
      <w:pPr>
        <w:spacing w:after="0" w:line="154" w:lineRule="exact"/>
        <w:rPr>
          <w:rFonts w:ascii="Arial" w:cs="Arial" w:eastAsia="Arial" w:hAnsi="Arial"/>
          <w:sz w:val="16"/>
          <w:szCs w:val="16"/>
          <w:color w:val="auto"/>
        </w:rPr>
      </w:pPr>
    </w:p>
    <w:p>
      <w:pPr>
        <w:jc w:val="both"/>
        <w:ind w:firstLine="656"/>
        <w:spacing w:after="0" w:line="264" w:lineRule="auto"/>
        <w:tabs>
          <w:tab w:leader="none" w:pos="141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Vesting of Units</w:t>
      </w:r>
      <w:r>
        <w:rPr>
          <w:rFonts w:ascii="Arial" w:cs="Arial" w:eastAsia="Arial" w:hAnsi="Arial"/>
          <w:sz w:val="18"/>
          <w:szCs w:val="18"/>
          <w:color w:val="auto"/>
        </w:rPr>
        <w:t>. Except as otherwise provided herein or the Plan, the Units will vest in four (4) equal annual installments, with 25% of the Units vesting on each of the dates set forth above, subject to your continuous employment or other service with the Company or a Subsidiary from the Grant Date until the applicable vesting date.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431"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Forfeiture of Unvested Units</w:t>
      </w:r>
      <w:r>
        <w:rPr>
          <w:rFonts w:ascii="Arial" w:cs="Arial" w:eastAsia="Arial" w:hAnsi="Arial"/>
          <w:sz w:val="18"/>
          <w:szCs w:val="18"/>
          <w:color w:val="auto"/>
        </w:rPr>
        <w:t>. Unless the Committee, acting in its sole and absolute discretion, determines otherwise, upon the termination of your employment and other service with the Company and its Subsidiaries (“Termination of Employment”), you will forfeit all right, title and interest in the unvested Units.</w:t>
      </w:r>
    </w:p>
    <w:p>
      <w:pPr>
        <w:spacing w:after="0" w:line="181" w:lineRule="exact"/>
        <w:rPr>
          <w:rFonts w:ascii="Arial" w:cs="Arial" w:eastAsia="Arial" w:hAnsi="Arial"/>
          <w:sz w:val="18"/>
          <w:szCs w:val="18"/>
          <w:color w:val="auto"/>
        </w:rPr>
      </w:pPr>
    </w:p>
    <w:p>
      <w:pPr>
        <w:jc w:val="both"/>
        <w:ind w:firstLine="656"/>
        <w:spacing w:after="0" w:line="279" w:lineRule="auto"/>
        <w:tabs>
          <w:tab w:leader="none" w:pos="144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Transfer Restrictions</w:t>
      </w:r>
      <w:r>
        <w:rPr>
          <w:rFonts w:ascii="Arial" w:cs="Arial" w:eastAsia="Arial" w:hAnsi="Arial"/>
          <w:sz w:val="17"/>
          <w:szCs w:val="17"/>
          <w:color w:val="auto"/>
        </w:rPr>
        <w:t>. You may not sell, assign, transfer, pledge, hedge, hypothecate, encumber or dispose of in any way (whether by operation of law or otherwise) any unvested Units, and unvested Units shall not be subject to execution, attachment or similar process. Any attempt by you or any other person claiming against, through or under you to cause unvested Units to be transferred or assigned in any manner and for any purpose not permitted hereunder or under the Plan shall be null and void and without effect upon the Company, you or any other person.</w:t>
      </w:r>
    </w:p>
    <w:p>
      <w:pPr>
        <w:spacing w:after="0" w:line="171" w:lineRule="exact"/>
        <w:rPr>
          <w:rFonts w:ascii="Arial" w:cs="Arial" w:eastAsia="Arial" w:hAnsi="Arial"/>
          <w:sz w:val="17"/>
          <w:szCs w:val="17"/>
          <w:color w:val="auto"/>
        </w:rPr>
      </w:pPr>
    </w:p>
    <w:p>
      <w:pPr>
        <w:ind w:firstLine="656"/>
        <w:spacing w:after="0" w:line="308" w:lineRule="auto"/>
        <w:tabs>
          <w:tab w:leader="none" w:pos="144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No Ownership of Stock; No Dividends or Voting Rights</w:t>
      </w:r>
      <w:r>
        <w:rPr>
          <w:rFonts w:ascii="Arial" w:cs="Arial" w:eastAsia="Arial" w:hAnsi="Arial"/>
          <w:sz w:val="17"/>
          <w:szCs w:val="17"/>
          <w:color w:val="auto"/>
        </w:rPr>
        <w:t>. The Units do not represent shares of the Company’s common stock, and no dividends or other distributions will be payable on unvested Units, and you will not have any voting rights with respect to the unvested Units.</w:t>
      </w:r>
    </w:p>
    <w:p>
      <w:pPr>
        <w:spacing w:after="0" w:line="146" w:lineRule="exact"/>
        <w:rPr>
          <w:rFonts w:ascii="Arial" w:cs="Arial" w:eastAsia="Arial" w:hAnsi="Arial"/>
          <w:sz w:val="17"/>
          <w:szCs w:val="17"/>
          <w:color w:val="auto"/>
        </w:rPr>
      </w:pPr>
    </w:p>
    <w:p>
      <w:pPr>
        <w:ind w:firstLine="656"/>
        <w:spacing w:after="0" w:line="308" w:lineRule="auto"/>
        <w:tabs>
          <w:tab w:leader="none" w:pos="1431"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Issuance of Shares Upon Vesting</w:t>
      </w:r>
      <w:r>
        <w:rPr>
          <w:rFonts w:ascii="Arial" w:cs="Arial" w:eastAsia="Arial" w:hAnsi="Arial"/>
          <w:sz w:val="17"/>
          <w:szCs w:val="17"/>
          <w:color w:val="auto"/>
        </w:rPr>
        <w:t>. If, as and when a Unit becomes vested, and subject to the satisfaction of applicable withholding and other legal requirements, the vested Unit becomes void and you shall own one share of common stock of the Company for each vested Unit.</w:t>
      </w:r>
    </w:p>
    <w:p>
      <w:pPr>
        <w:spacing w:after="0" w:line="146" w:lineRule="exact"/>
        <w:rPr>
          <w:rFonts w:ascii="Arial" w:cs="Arial" w:eastAsia="Arial" w:hAnsi="Arial"/>
          <w:sz w:val="17"/>
          <w:szCs w:val="17"/>
          <w:color w:val="auto"/>
        </w:rPr>
      </w:pPr>
    </w:p>
    <w:p>
      <w:pPr>
        <w:jc w:val="both"/>
        <w:ind w:firstLine="656"/>
        <w:spacing w:after="0" w:line="273" w:lineRule="auto"/>
        <w:tabs>
          <w:tab w:leader="none" w:pos="1499"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vesting of Units covered by this certificate shall be subject to and conditioned upon the satisfaction by you of applicable tax withholding obligations. The Company and its Subsidiaries may require you to remit an amount sufficient to satisfy applicable withholding taxes or deduct or withhold such amount from any payments otherwise owed to you. By accepting this award, you expressly authorizes the Company to deduct from any compensation or any other payment of any kind due to you, including withholding shares issued in exchange for vested Units, for the amount of any federal, state, local or foreign taxes required by law to be withheld in connection with the vesting of Units; provided, however, that the value of the Units withheld may not exceed the statutory maximum withholding amount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both"/>
        <w:ind w:firstLine="656"/>
        <w:spacing w:after="0" w:line="271" w:lineRule="auto"/>
        <w:tabs>
          <w:tab w:leader="none" w:pos="1404"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Provisions of the Plan and the Committee’s Authority Control</w:t>
      </w:r>
      <w:r>
        <w:rPr>
          <w:rFonts w:ascii="Arial" w:cs="Arial" w:eastAsia="Arial" w:hAnsi="Arial"/>
          <w:sz w:val="17"/>
          <w:szCs w:val="17"/>
          <w:color w:val="auto"/>
        </w:rPr>
        <w:t>. This certificate is subject to all the terms, conditions and provisions of the Plan and to the rules, regulations and interpretations as may be established or made by the Committee acting within the scope of its authority and responsibility under the Plan. A copy of the Plan is available to you and may be obtained from the Company’s Corporate Secretary at the Company’s corporate headquarters. The applicable provisions of the Plan shall govern in any situation where this certificate is silent or where the applicable provisions of this cer tificate are contrary to or not reconcilable with such Plan provisions. The Committee shall have complete discretion in the exercise of its rights, powers, and duties with respect to the award represented by this certificate. Any interpretation or construction of any provision of, and the determination of any question arising under, this certificate shall be made by the Committee in its discretion and such exercise shall be final, conclusive, and binding. The Committee may designate any individual or individuals to perform any of its functions hereunder.</w:t>
      </w:r>
    </w:p>
    <w:p>
      <w:pPr>
        <w:spacing w:after="0" w:line="178" w:lineRule="exact"/>
        <w:rPr>
          <w:rFonts w:ascii="Arial" w:cs="Arial" w:eastAsia="Arial" w:hAnsi="Arial"/>
          <w:sz w:val="17"/>
          <w:szCs w:val="17"/>
          <w:color w:val="auto"/>
        </w:rPr>
      </w:pPr>
    </w:p>
    <w:p>
      <w:pPr>
        <w:jc w:val="both"/>
        <w:ind w:firstLine="656"/>
        <w:spacing w:after="0" w:line="259" w:lineRule="auto"/>
        <w:tabs>
          <w:tab w:leader="none" w:pos="145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 Employment Rights</w:t>
      </w:r>
      <w:r>
        <w:rPr>
          <w:rFonts w:ascii="Arial" w:cs="Arial" w:eastAsia="Arial" w:hAnsi="Arial"/>
          <w:sz w:val="18"/>
          <w:szCs w:val="18"/>
          <w:color w:val="auto"/>
        </w:rPr>
        <w:t>. Nothing contained herein or in the Plan shall confer upon you any right of continued employment or other service with the Company or a Subsidiary or interfere in any way with the right of the Company and its Subsidiaries at any time to terminate your employment or other service with the Company or its Subsidiaries or to increase, decrease or otherwise adjust your compensation and any other terms and conditions of your employment or other service.</w:t>
      </w:r>
    </w:p>
    <w:p>
      <w:pPr>
        <w:spacing w:after="0" w:line="186" w:lineRule="exact"/>
        <w:rPr>
          <w:rFonts w:ascii="Arial" w:cs="Arial" w:eastAsia="Arial" w:hAnsi="Arial"/>
          <w:sz w:val="18"/>
          <w:szCs w:val="18"/>
          <w:color w:val="auto"/>
        </w:rPr>
      </w:pPr>
    </w:p>
    <w:p>
      <w:pPr>
        <w:ind w:firstLine="656"/>
        <w:spacing w:after="0" w:line="277" w:lineRule="auto"/>
        <w:tabs>
          <w:tab w:leader="none" w:pos="133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certificate shall be binding upon, and inure to the benefit of, any successor or successors of the Company, you and any of your beneficiaries.</w:t>
      </w:r>
    </w:p>
    <w:p>
      <w:pPr>
        <w:spacing w:after="0" w:line="170" w:lineRule="exact"/>
        <w:rPr>
          <w:rFonts w:ascii="Arial" w:cs="Arial" w:eastAsia="Arial" w:hAnsi="Arial"/>
          <w:sz w:val="18"/>
          <w:szCs w:val="18"/>
          <w:color w:val="auto"/>
        </w:rPr>
      </w:pPr>
    </w:p>
    <w:p>
      <w:pPr>
        <w:ind w:right="20" w:firstLine="656"/>
        <w:spacing w:after="0" w:line="277" w:lineRule="auto"/>
        <w:tabs>
          <w:tab w:leader="none" w:pos="134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Entire Understanding</w:t>
      </w:r>
      <w:r>
        <w:rPr>
          <w:rFonts w:ascii="Arial" w:cs="Arial" w:eastAsia="Arial" w:hAnsi="Arial"/>
          <w:sz w:val="18"/>
          <w:szCs w:val="18"/>
          <w:color w:val="auto"/>
        </w:rPr>
        <w:t>. This certificate and the terms of Plan constitute the entire terms of the award represented by this certificate and may not be amended, except as provided in the Plan, other than by a written instrument executed by the Company and you.</w:t>
      </w:r>
    </w:p>
    <w:p>
      <w:pPr>
        <w:spacing w:after="0" w:line="170" w:lineRule="exact"/>
        <w:rPr>
          <w:rFonts w:ascii="Arial" w:cs="Arial" w:eastAsia="Arial" w:hAnsi="Arial"/>
          <w:sz w:val="18"/>
          <w:szCs w:val="18"/>
          <w:color w:val="auto"/>
        </w:rPr>
      </w:pPr>
    </w:p>
    <w:p>
      <w:pPr>
        <w:ind w:firstLine="656"/>
        <w:spacing w:after="0" w:line="277" w:lineRule="auto"/>
        <w:tabs>
          <w:tab w:leader="none" w:pos="132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rights and obligations under this certificate shall be governed by and construed in accordance with the laws of the State of Delaware, without regard to its principles of conflict of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Mistras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Sotirios J. Vahaviolos, certify that:</w:t>
      </w:r>
    </w:p>
    <w:p>
      <w:pPr>
        <w:spacing w:after="0" w:line="225"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hanging="571"/>
        <w:spacing w:after="0" w:line="308" w:lineRule="auto"/>
        <w:tabs>
          <w:tab w:leader="none" w:pos="11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60" w:hanging="571"/>
        <w:spacing w:after="0" w:line="264"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hanging="571"/>
        <w:spacing w:after="0" w:line="277"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13, 2011</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Sotirios J. Vahaviolos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Francis T. Joyce, certify that:</w:t>
      </w:r>
    </w:p>
    <w:p>
      <w:pPr>
        <w:spacing w:after="0" w:line="225"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hanging="571"/>
        <w:spacing w:after="0" w:line="308" w:lineRule="auto"/>
        <w:tabs>
          <w:tab w:leader="none" w:pos="11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60" w:hanging="571"/>
        <w:spacing w:after="0" w:line="264" w:lineRule="auto"/>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hanging="571"/>
        <w:spacing w:after="0" w:line="277" w:lineRule="auto"/>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13, 2011</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Francis T. Joyce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November 30, 2010 (the “Report”), fully complies with the requirements of Section 13(a) of the Securities Exchange Act of 1934 and that the information contained in such report fairly presents, in all material respects, the financial condition and results of operations of the Company. This written statement is being furnished to the Securities and Exchange Commission as an exhibit to the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13, 2011</w:t>
      </w:r>
    </w:p>
    <w:p>
      <w:pPr>
        <w:spacing w:after="0" w:line="22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322453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24530" cy="1714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Sotirios J. Vahaviolos</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322453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24530" cy="1714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Francis T. Joyce</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Mistras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decimal"/>
      <w:start w:val="13"/>
    </w:lvl>
  </w:abstractNum>
  <w:abstractNum w:abstractNumId="14">
    <w:nsid w:val="431BD7B7"/>
    <w:multiLevelType w:val="hybridMultilevel"/>
    <w:lvl w:ilvl="0">
      <w:lvlJc w:val="left"/>
      <w:lvlText w:val="%1."/>
      <w:numFmt w:val="decimal"/>
      <w:start w:val="14"/>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3"/>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8"/>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2019-12-11T07:44:48Z</dcterms:created>
  <dcterms:modified xsi:type="dcterms:W3CDTF">2019-12-11T07:44:48Z</dcterms:modified>
</cp:coreProperties>
</file>