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August 31,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transition period 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(609) 716-4000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233" w:right="359" w:bottom="0" w:gutter="0" w:footer="0" w:header="0"/>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300" w:space="720"/>
            <w:col w:w="3280"/>
          </w:cols>
          <w:pgMar w:left="240" w:top="233" w:right="359" w:bottom="0" w:gutter="0" w:footer="0" w:header="0"/>
          <w:type w:val="continuous"/>
        </w:sectPr>
      </w:pPr>
    </w:p>
    <w:p>
      <w:pPr>
        <w:spacing w:after="0" w:line="48"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920" w:space="720"/>
            <w:col w:w="3660"/>
          </w:cols>
          <w:pgMar w:left="240" w:top="233" w:right="35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1, 2012, the registrant had 28,133,982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00"/>
          </w:cols>
          <w:pgMar w:left="240" w:top="233" w:right="3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gridSpan w:val="9"/>
            <w:vMerge w:val="restart"/>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800" w:type="dxa"/>
            <w:vAlign w:val="bottom"/>
            <w:gridSpan w:val="14"/>
            <w:vMerge w:val="restart"/>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80" w:type="dxa"/>
            <w:vAlign w:val="bottom"/>
            <w:tcBorders>
              <w:bottom w:val="single" w:sz="8" w:color="0000EE"/>
            </w:tcBorders>
            <w:gridSpan w:val="9"/>
            <w:vMerge w:val="continue"/>
          </w:tcPr>
          <w:p>
            <w:pPr>
              <w:spacing w:after="0"/>
              <w:rPr>
                <w:sz w:val="13"/>
                <w:szCs w:val="13"/>
                <w:color w:val="auto"/>
              </w:rPr>
            </w:pPr>
          </w:p>
        </w:tc>
        <w:tc>
          <w:tcPr>
            <w:tcW w:w="7800" w:type="dxa"/>
            <w:vAlign w:val="bottom"/>
            <w:gridSpan w:val="14"/>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98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 as of August 31, 2012 and May 31, 2012</w:t>
              </w:r>
            </w:hyperlink>
          </w:p>
        </w:tc>
        <w:tc>
          <w:tcPr>
            <w:tcW w:w="31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 for the three months ended August 31, 2012 and 2011</w:t>
              </w:r>
            </w:hyperlink>
          </w:p>
        </w:tc>
        <w:tc>
          <w:tcPr>
            <w:tcW w:w="146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Consolidated Statements of Comprehensive Income for the three months ended August 31, 2012 and 2011</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Stockholders’ Equity for the three months ended August 31, 2012 and 2011</w:t>
              </w:r>
            </w:hyperlink>
          </w:p>
        </w:tc>
        <w:tc>
          <w:tcPr>
            <w:tcW w:w="1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for the three months ended August 31, 2012 and 2011</w:t>
              </w:r>
            </w:hyperlink>
          </w:p>
        </w:tc>
        <w:tc>
          <w:tcPr>
            <w:tcW w:w="14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42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460" w:type="dxa"/>
            <w:vAlign w:val="bottom"/>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3.</w:t>
              </w:r>
            </w:hyperlink>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25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4.</w:t>
              </w:r>
            </w:hyperlink>
          </w:p>
        </w:tc>
        <w:tc>
          <w:tcPr>
            <w:tcW w:w="600" w:type="dxa"/>
            <w:vAlign w:val="bottom"/>
            <w:gridSpan w:val="2"/>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8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II—OTHER INFORMATION</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1.</w:t>
              </w:r>
            </w:hyperlink>
          </w:p>
        </w:tc>
        <w:tc>
          <w:tcPr>
            <w:tcW w:w="600" w:type="dxa"/>
            <w:vAlign w:val="bottom"/>
            <w:gridSpan w:val="2"/>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89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460" w:type="dxa"/>
            <w:vAlign w:val="bottom"/>
            <w:tcBorders>
              <w:bottom w:val="single" w:sz="8" w:color="0000EE"/>
            </w:tcBorders>
          </w:tcPr>
          <w:p>
            <w:pPr>
              <w:spacing w:after="0"/>
              <w:rPr>
                <w:sz w:val="24"/>
                <w:szCs w:val="24"/>
                <w:color w:val="auto"/>
              </w:rPr>
            </w:pP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46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3.</w:t>
              </w:r>
            </w:hyperlink>
          </w:p>
        </w:tc>
        <w:tc>
          <w:tcPr>
            <w:tcW w:w="600" w:type="dxa"/>
            <w:vAlign w:val="bottom"/>
            <w:gridSpan w:val="2"/>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666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4.</w:t>
              </w:r>
            </w:hyperlink>
          </w:p>
        </w:tc>
        <w:tc>
          <w:tcPr>
            <w:tcW w:w="600" w:type="dxa"/>
            <w:vAlign w:val="bottom"/>
            <w:gridSpan w:val="2"/>
          </w:tcPr>
          <w:p>
            <w:pPr>
              <w:spacing w:after="0"/>
              <w:rPr>
                <w:sz w:val="24"/>
                <w:szCs w:val="24"/>
                <w:color w:val="auto"/>
              </w:rPr>
            </w:pPr>
          </w:p>
        </w:tc>
        <w:tc>
          <w:tcPr>
            <w:tcW w:w="89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5.</w:t>
              </w:r>
            </w:hyperlink>
          </w:p>
        </w:tc>
        <w:tc>
          <w:tcPr>
            <w:tcW w:w="600" w:type="dxa"/>
            <w:vAlign w:val="bottom"/>
            <w:gridSpan w:val="2"/>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722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6.</w:t>
              </w:r>
            </w:hyperlink>
          </w:p>
        </w:tc>
        <w:tc>
          <w:tcPr>
            <w:tcW w:w="600" w:type="dxa"/>
            <w:vAlign w:val="bottom"/>
            <w:gridSpan w:val="2"/>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76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31, 2012</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87,627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113,777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32,477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assets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6,211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33,478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39,334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54,089</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18,087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12,644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17,778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28,133,982 and 28,025,507 shares issued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August 31, 2012 and May 31, 2012,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189,669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11,617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196,489</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196,735</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304,823</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99,225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82,902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16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70,516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56,887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6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79,670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23,492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 net of taxes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Earnings per common share (see Note 4):</w:t>
            </w: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27,677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(2,031)</w:t>
            </w:r>
          </w:p>
        </w:tc>
        <w:tc>
          <w:tcPr>
            <w:tcW w:w="8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(2,031)</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Comprehensive income</w:t>
            </w: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Comprehensive income attributable to Mistras Group, Inc.</w:t>
            </w:r>
          </w:p>
        </w:tc>
        <w:tc>
          <w:tcPr>
            <w:tcW w:w="17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58"/>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Mistras Group,</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58"/>
              <w:spacing w:after="0" w:line="135" w:lineRule="exact"/>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Inc.</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83"/>
              </w:rPr>
              <w:t>comprehensive</w:t>
            </w:r>
          </w:p>
        </w:tc>
        <w:tc>
          <w:tcPr>
            <w:tcW w:w="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Stockholders’</w:t>
            </w:r>
          </w:p>
        </w:tc>
        <w:tc>
          <w:tcPr>
            <w:tcW w:w="6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78"/>
              <w:spacing w:after="0" w:line="129" w:lineRule="exact"/>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1"/>
                <w:szCs w:val="11"/>
                <w:color w:val="auto"/>
              </w:rPr>
            </w:pPr>
          </w:p>
        </w:tc>
        <w:tc>
          <w:tcPr>
            <w:tcW w:w="1100" w:type="dxa"/>
            <w:vAlign w:val="bottom"/>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Three months ended August 31, 2011:</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at May 31, 2011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27,667</w:t>
            </w:r>
          </w:p>
        </w:tc>
        <w:tc>
          <w:tcPr>
            <w:tcW w:w="24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180,594</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(14,017)</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303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167,157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167,486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3,228</w:t>
            </w:r>
          </w:p>
        </w:tc>
        <w:tc>
          <w:tcPr>
            <w:tcW w:w="6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net of tax</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(310)</w:t>
            </w:r>
          </w:p>
        </w:tc>
        <w:tc>
          <w:tcPr>
            <w:tcW w:w="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Stock compensation</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1,002</w:t>
            </w:r>
          </w:p>
        </w:tc>
        <w:tc>
          <w:tcPr>
            <w:tcW w:w="6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settlement on vesting of restricted</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spacing w:after="0" w:line="121" w:lineRule="exact"/>
              <w:rPr>
                <w:sz w:val="20"/>
                <w:szCs w:val="20"/>
                <w:color w:val="auto"/>
              </w:rPr>
            </w:pPr>
            <w:r>
              <w:rPr>
                <w:rFonts w:ascii="Arial" w:cs="Arial" w:eastAsia="Arial" w:hAnsi="Arial"/>
                <w:sz w:val="13"/>
                <w:szCs w:val="13"/>
                <w:color w:val="auto"/>
              </w:rPr>
              <w:t>Excess tax benefit from stock</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Arial" w:cs="Arial" w:eastAsia="Arial" w:hAnsi="Arial"/>
                <w:sz w:val="13"/>
                <w:szCs w:val="13"/>
                <w:color w:val="auto"/>
              </w:rPr>
              <w:t>compensation</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151</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August 31, 2011</w:t>
            </w: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gridSpan w:val="2"/>
            <w:vMerge w:val="continue"/>
          </w:tcPr>
          <w:p>
            <w:pPr>
              <w:spacing w:after="0"/>
              <w:rPr>
                <w:sz w:val="14"/>
                <w:szCs w:val="14"/>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27,712</w:t>
            </w:r>
          </w:p>
        </w:tc>
        <w:tc>
          <w:tcPr>
            <w:tcW w:w="1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277</w:t>
            </w:r>
          </w:p>
        </w:tc>
        <w:tc>
          <w:tcPr>
            <w:tcW w:w="2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181,521</w:t>
            </w: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(10,789)</w:t>
            </w: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138"/>
              <w:spacing w:after="0" w:line="129" w:lineRule="exact"/>
              <w:rPr>
                <w:sz w:val="20"/>
                <w:szCs w:val="20"/>
                <w:color w:val="auto"/>
              </w:rPr>
            </w:pPr>
            <w:r>
              <w:rPr>
                <w:rFonts w:ascii="Arial" w:cs="Arial" w:eastAsia="Arial" w:hAnsi="Arial"/>
                <w:sz w:val="13"/>
                <w:szCs w:val="13"/>
                <w:color w:val="auto"/>
              </w:rPr>
              <w:t>(7)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171,002</w:t>
            </w:r>
          </w:p>
        </w:tc>
        <w:tc>
          <w:tcPr>
            <w:tcW w:w="22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292</w:t>
            </w:r>
          </w:p>
        </w:tc>
        <w:tc>
          <w:tcPr>
            <w:tcW w:w="2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171,294</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Three months ended August 31, 2012:</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May 31, 2012</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28,026</w:t>
            </w:r>
          </w:p>
        </w:tc>
        <w:tc>
          <w:tcPr>
            <w:tcW w:w="24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188,443</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7,336</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(3,047)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193,012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193,248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4,281</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Other comprehensive income, net of tax</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(2,031)</w:t>
            </w:r>
          </w:p>
        </w:tc>
        <w:tc>
          <w:tcPr>
            <w:tcW w:w="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(2,031)</w:t>
            </w:r>
          </w:p>
        </w:tc>
        <w:tc>
          <w:tcPr>
            <w:tcW w:w="6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 compensation</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1,634</w:t>
            </w:r>
          </w:p>
        </w:tc>
        <w:tc>
          <w:tcPr>
            <w:tcW w:w="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spacing w:after="0" w:line="121" w:lineRule="exact"/>
              <w:rPr>
                <w:sz w:val="20"/>
                <w:szCs w:val="20"/>
                <w:color w:val="auto"/>
              </w:rPr>
            </w:pPr>
            <w:r>
              <w:rPr>
                <w:rFonts w:ascii="Arial" w:cs="Arial" w:eastAsia="Arial" w:hAnsi="Arial"/>
                <w:sz w:val="13"/>
                <w:szCs w:val="13"/>
                <w:color w:val="auto"/>
              </w:rPr>
              <w:t>Net settlement on vesting of restricted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Arial" w:cs="Arial" w:eastAsia="Arial" w:hAnsi="Arial"/>
                <w:sz w:val="13"/>
                <w:szCs w:val="13"/>
                <w:color w:val="auto"/>
              </w:rPr>
              <w:t>stock units</w:t>
            </w:r>
          </w:p>
        </w:tc>
        <w:tc>
          <w:tcPr>
            <w:tcW w:w="80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(806)</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Excess tax benefit from stock</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at August 31, 2012</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28,134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189,669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11,617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(5,078</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196,489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246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196,735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8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4,281</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6,039</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sale of assets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1,634</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loss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16,240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613</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(2,762)</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(6,493)</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21,546</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12,799</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(2,714)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(3,103)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(5,628)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0"/>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repayments against current revolver</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against former revolver</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repayments of other short-term borrowings</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for business acquisitions</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compensation</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0"/>
        </w:trPr>
        <w:tc>
          <w:tcPr>
            <w:tcW w:w="6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19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1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w:t>
            </w:r>
          </w:p>
        </w:tc>
        <w:tc>
          <w:tcPr>
            <w:tcW w:w="23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3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23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Mistras Group, Inc., together with its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services of the Company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statement have been included. Operating results for the three months ended August 31, 2012 are not necessarily indicative of the results that may be expected for the year ending May 31, 2013. The balance sheet at May 31, 2012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The effect of this difference in timing of reporting foreign operations on the consolidated results of operations and consolidated financial position is not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ectPr>
          <w:pgSz w:w="11900" w:h="16838" w:orient="portrait"/>
          <w:cols w:equalWidth="0" w:num="1">
            <w:col w:w="11420"/>
          </w:cols>
          <w:pgMar w:left="240" w:top="125" w:right="239" w:bottom="32"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amounts reported in the accompanying consolidated financial statements. The more significant estimates include valuation of goodwill and intangible assets, useful lives of long-lived assets, allowances for doubtful accounts, inventory valuation, reserves for self-insured workers compensation and health benefits and provision for income taxes. Actual results could differ from those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purchase price over the fair market value of net assets of the acquired business at the date of acquisition. The Company tests for impairment annually, in its fiscal fourth quarter. The most recent annual test for impairment performed for fiscal 2012 did not identify any instances of impairment and there were no events through August 31, 2012 that warranted a reconsideration of the impairment test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has one customer, BP plc. (BP), which accounted for 12% and 16% of revenues for the three months ended August 31, 2012 and August 31, 2011, respectively. Accounts receivable from this customer were approximately 9% of total accounts receivable, net as of August 31, 2012 and May 31,</w:t>
      </w:r>
    </w:p>
    <w:p>
      <w:pPr>
        <w:spacing w:after="0" w:line="253" w:lineRule="auto"/>
        <w:rPr>
          <w:sz w:val="20"/>
          <w:szCs w:val="20"/>
          <w:color w:val="auto"/>
        </w:rPr>
      </w:pPr>
      <w:r>
        <w:rPr>
          <w:rFonts w:ascii="Arial" w:cs="Arial" w:eastAsia="Arial" w:hAnsi="Arial"/>
          <w:sz w:val="18"/>
          <w:szCs w:val="18"/>
          <w:color w:val="auto"/>
        </w:rPr>
        <w:t>2012. The relationship with BP is comprised of separate contracts for non-destructive testing and inspection services with multiple affiliated entities within the broad BP organization. The Company conducts business with various divisions or affiliates of the BP organization through numerous contracts covering many segments of BP’s business including downstream (refinery), midstream (pipelines) and upstream (exploration). These contracts are typically negotiated locally with the specific BP division or affiliate, are of varying lengths, have different start and end dates and differ in terms of the scope of work and nature of services provided. Most contracts are based on time and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July 2012, the FASB issued ASU 2012-02, Intangibles — Goodwill and Other (Topic 350): Testing Indefinite-Lived Intangible Assets for Impairment, that is intended to reduce the cost and complexity of the impairment test for indefinite-lived intangible assets by providing an entity with the option to first assess qualitatively whether it is necessary to perform the impairment test that is currently in place. An entity would not be required to quantitatively calculate the fair value of an indefinite-lived intangible asset unless the entity determines that it is more likely than not that its fair value is less than its carrying amount. ASU 2012-02 is effective for annual and interim impairment test beginning after September 15, 2012.</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Early adoption is permitted. The Company does not expect that the adoption of this pronouncement will have a material impact on the Company’s consolidated financial statements.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Effective June 1, 2012, the Company adopted the provisions of this updated accounting standard related to comprehensive income. The adoption of this pronouncement did not have a material impact on the Company’s consolidated financial statements.</w:t>
      </w:r>
    </w:p>
    <w:p>
      <w:pPr>
        <w:spacing w:after="0" w:line="1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ectPr>
          <w:pgSz w:w="11900" w:h="16838" w:orient="portrait"/>
          <w:cols w:equalWidth="0" w:num="1">
            <w:col w:w="11400"/>
          </w:cols>
          <w:pgMar w:left="240" w:top="121" w:right="259" w:bottom="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1,444,000 shares were available for future grants as of August 31, 2012. Prior to the Company’s IPO in October 2009, the Company had two stock option plans: (i) the 1995 Incentive Stock Option and Restricted Stock Purchase Plan (the 1995 Plan), and (ii) the 2007 Stock Option Plan (the 2007 Plan). No additional awards may be granted from these two plans. As of August 31, 2012, there was an aggregate of approximately 2,539,000 stock options outstanding and approximately 562,000 unvested restricted stock units outstanding under the 2009 Plan, the 2007 Plan, and the 1995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August 31, 2012 or August 31, 2011.</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recognized stock-based compensation expense related to stock option awards of approximately $0.8 million for each of the three month periods ended August 31, 2012 and 2011. As of August 31, 2012, there was approximately $3.0 million of unrecognized compensation costs, net of estimated forfeitures, related to stock option awards, which are expected to be recognized over a remaining weighted average period of 1.0 year. Cash proceeds from and the aggregate intrinsic value of stock options exercised during the three months ended August 31, 2012 and 2011 were as follows:</w:t>
      </w:r>
    </w:p>
    <w:p>
      <w:pPr>
        <w:spacing w:after="0" w:line="163"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6350</wp:posOffset>
            </wp:positionV>
            <wp:extent cx="1912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5780"/>
        <w:spacing w:after="0"/>
        <w:tabs>
          <w:tab w:leader="none" w:pos="74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-3175</wp:posOffset>
            </wp:positionV>
            <wp:extent cx="1912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Company also recognized approximately $0.6 million and $0.2 million in stock-based compensation expense related to restricted stock unit awards during the three months ended August 31, 2012 and 2011, respectively. As of August 31, 2012, there was approximately $10.1 million of unrecognized compensation costs, net of estimated forfeitures, related to restricted stock unit awards, which are expected to be recognized over a remaining weighted average period of 3.2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June 2012, the Company granted approximately 13,000 shares of fully-vested common stock to its five non-employee directors, in connection with its non-employee director compensation plan. These shares had a grant date fair value of approximately $0.3 million, which was recorded as stock-based compensation expense during the quarter ended August 31, 2012.</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the first quarter of fiscal 2013 and 2012, approximately 123,000 and 52,000 restricted stock units vested. The fair value of these units was $1.9 million and $0.5 million, respectively. Upon vesting, restricted stock units are generally net share-settled to cover the required withholding tax and the remaining amount is converted into an equivalent number of shares of common stock. The restricted stock units that vested in the first quarter of fiscal 2013 and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37,000 and 16,000 shares in the first quarter of fiscal 2013 and 2012, respectively. The shares withheld were based on the value of the restricted stock units on their vesting date as determined by the Company’s closing stock price. Total payments for the employees’ tax obligations to the taxing authorities were $0.8 million and $0.3 million and are reflected as a financing activity within the consolidated statements of cash flows for the three months ended August 31, 2012 and 2011, respectively.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6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Mistras Group, Inc.</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98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28,045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4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Net income attributable to Mistras Group, Inc.</w:t>
            </w:r>
          </w:p>
        </w:tc>
        <w:tc>
          <w:tcPr>
            <w:tcW w:w="39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4,281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28,045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 outstanding</w:t>
            </w:r>
          </w:p>
        </w:tc>
        <w:tc>
          <w:tcPr>
            <w:tcW w:w="3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Dilutive effect of restricted stock units outstanding</w:t>
            </w:r>
          </w:p>
        </w:tc>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4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8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Assets and liabilities of acquired businesses were included in the consolidated balance sheets as of August 31, 2012 based on their estimated fair value on the date of acquisition as determined in a purchase price allocation, using available information and making assumptions management believes are reasonable. The Company did not complete any acquisitions during the three months ended August 31, 2012. However, the Company is still in the process of completing its valuations of the intangible assets for certain of its acquisitions completed in fiscal 2012. These valuations and purchase price allocations are expected to be finalized prior to the end of the second fiscal quarter ending November 30, 2012. The results of operations of each of the acquisitions are reported in each respective operating segment’s statement of operations from the date of acquisition.</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During the three months ended August 31, 2012, the Company incurred acquisition-related costs of $0.6 million in connection with due diligence, professional fees, and other expenses for its fiscal 2013 acquisition activity. Additionally, the Company adjusted the fair value of certain acquisition-related contingent consideration liabilities. For the three months ended August 31, 2012, the adjustments resulted in a net decrease of approximately $0.8 million to the Company’s acquisition-related contingent consideration liabilities, which were approximately $11.6 million as of August 31, 2012 and recorded on the balance sheet in accrued expenses and other liabilities. These adjustments also resulted in a corresponding net increase to income from operations of approximately $0.2 million for the three months ended August 31, 2012. Both the fair value adjustments to acquisition-related contingent consideration liabilities and the acquisition-related expenses have been classified as acquisition-related costs in the statement of operations for the three months ended August 31, 2012. Acquisition-related costs for the Company’s fiscal 2012 acquisition activity were insignificant for the three months ended August 31, 2011.</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Company’s fiscal 2012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75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107,504</w:t>
            </w:r>
          </w:p>
        </w:tc>
      </w:tr>
      <w:tr>
        <w:trPr>
          <w:trHeight w:val="216"/>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400" w:type="dxa"/>
            <w:vAlign w:val="bottom"/>
            <w:gridSpan w:val="2"/>
          </w:tcPr>
          <w:p>
            <w:pPr>
              <w:ind w:left="260"/>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0" w:type="dxa"/>
            <w:vAlign w:val="bottom"/>
            <w:gridSpan w:val="3"/>
          </w:tcPr>
          <w:p>
            <w:pPr>
              <w:spacing w:after="0"/>
              <w:rPr>
                <w:sz w:val="20"/>
                <w:szCs w:val="20"/>
                <w:color w:val="auto"/>
              </w:rPr>
            </w:pPr>
            <w:r>
              <w:rPr>
                <w:rFonts w:ascii="Arial" w:cs="Arial" w:eastAsia="Arial" w:hAnsi="Arial"/>
                <w:sz w:val="18"/>
                <w:szCs w:val="18"/>
                <w:color w:val="auto"/>
              </w:rPr>
              <w:t>Accounts receivable consist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2012</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2012</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106,821</w:t>
            </w: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ectPr>
          <w:pgSz w:w="11900" w:h="16838" w:orient="portrait"/>
          <w:cols w:equalWidth="0" w:num="1">
            <w:col w:w="11460"/>
          </w:cols>
          <w:pgMar w:left="240" w:top="140" w:right="199" w:bottom="0" w:gutter="0" w:footer="0" w:header="0"/>
        </w:sectPr>
      </w:pPr>
    </w:p>
    <w:p>
      <w:pPr>
        <w:spacing w:after="0" w:line="202" w:lineRule="exact"/>
        <w:rPr>
          <w:sz w:val="20"/>
          <w:szCs w:val="20"/>
          <w:color w:val="auto"/>
        </w:rPr>
      </w:pPr>
    </w:p>
    <w:p>
      <w:pPr>
        <w:ind w:left="8840"/>
        <w:spacing w:after="0"/>
        <w:tabs>
          <w:tab w:leader="none" w:pos="1046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2"/>
          <w:szCs w:val="12"/>
          <w:b w:val="1"/>
          <w:bCs w:val="1"/>
          <w:color w:val="auto"/>
        </w:rPr>
        <w:t>As of</w:t>
      </w:r>
    </w:p>
    <w:p>
      <w:pPr>
        <w:sectPr>
          <w:pgSz w:w="11900" w:h="16838" w:orient="portrait"/>
          <w:cols w:equalWidth="0" w:num="1">
            <w:col w:w="11460"/>
          </w:cols>
          <w:pgMar w:left="240" w:top="140" w:right="199" w:bottom="0" w:gutter="0" w:footer="0" w:header="0"/>
          <w:type w:val="continuous"/>
        </w:sectPr>
      </w:pPr>
    </w:p>
    <w:bookmarkStart w:id="9" w:name="page10"/>
    <w:bookmarkEnd w:id="9"/>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31, 2012</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Work in process</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Supplies</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$1.3 million and $1.2 million as of August 31, 2012 and May 31, 2012,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480" w:type="dxa"/>
            <w:vAlign w:val="bottom"/>
          </w:tcPr>
          <w:p>
            <w:pPr>
              <w:ind w:left="500"/>
              <w:spacing w:after="0"/>
              <w:rPr>
                <w:sz w:val="20"/>
                <w:szCs w:val="20"/>
                <w:color w:val="auto"/>
              </w:rPr>
            </w:pPr>
            <w:r>
              <w:rPr>
                <w:rFonts w:ascii="Arial" w:cs="Arial" w:eastAsia="Arial" w:hAnsi="Arial"/>
                <w:sz w:val="18"/>
                <w:szCs w:val="18"/>
                <w:b w:val="1"/>
                <w:bCs w:val="1"/>
                <w:color w:val="auto"/>
              </w:rPr>
              <w:t>Property, Plant and Equipment, net</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Useful Life</w:t>
            </w:r>
          </w:p>
        </w:tc>
        <w:tc>
          <w:tcPr>
            <w:tcW w:w="140" w:type="dxa"/>
            <w:vAlign w:val="bottom"/>
          </w:tcPr>
          <w:p>
            <w:pPr>
              <w:spacing w:after="0"/>
              <w:rPr>
                <w:sz w:val="24"/>
                <w:szCs w:val="2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August 31, 2012</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14,181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106,924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105,096</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(70,854)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(67,171)</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2012 and 2011 was approximately $4.4 million and $3.6 million,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August 31, 2012</w:t>
            </w: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Contingent consideration, current portion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3,212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Total</w:t>
            </w:r>
          </w:p>
        </w:tc>
        <w:tc>
          <w:tcPr>
            <w:tcW w:w="6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2012</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2012</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credit facility:</w:t>
            </w:r>
          </w:p>
        </w:tc>
        <w:tc>
          <w:tcPr>
            <w:tcW w:w="2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Revolver</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2,697</w:t>
            </w:r>
          </w:p>
        </w:tc>
      </w:tr>
      <w:tr>
        <w:trPr>
          <w:trHeight w:val="210"/>
        </w:trPr>
        <w:tc>
          <w:tcPr>
            <w:tcW w:w="57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(5,589)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(5,971)</w:t>
            </w:r>
          </w:p>
        </w:tc>
      </w:tr>
      <w:tr>
        <w:trPr>
          <w:trHeight w:val="210"/>
        </w:trPr>
        <w:tc>
          <w:tcPr>
            <w:tcW w:w="5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maturities</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August 31, 2012, there were outstanding borrowings of $10.0 million and a total of $3.0 million of outstanding letters of credit under the current revolving credit facility.</w:t>
      </w:r>
    </w:p>
    <w:p>
      <w:pPr>
        <w:spacing w:after="0" w:line="19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Loans under the Credit Agreement bear interest, at the option of the Company, at LIBOR, plus an applicable margin ranging from 1% to 2%, or base rate less a margin ranging from 1.25% to .25%, based upon its Funded Debt Leverage Ratio. Funded Debt Leverage Ratio is generally the ratio of (1) all outstanding indebtedness for borrowed money and other interest-bearing indebtedness as of the date of determination to (2) EBITDA (which is (a) net income, less</w:t>
      </w:r>
    </w:p>
    <w:p>
      <w:pPr>
        <w:sectPr>
          <w:pgSz w:w="11900" w:h="16844" w:orient="portrait"/>
          <w:cols w:equalWidth="0" w:num="1">
            <w:col w:w="11420"/>
          </w:cols>
          <w:pgMar w:left="240" w:top="118" w:right="239" w:bottom="0" w:gutter="0" w:footer="0" w:header="0"/>
        </w:sectPr>
      </w:pPr>
    </w:p>
    <w:bookmarkStart w:id="10" w:name="page11"/>
    <w:bookmarkEnd w:id="10"/>
    <w:p>
      <w:pPr>
        <w:spacing w:after="0" w:line="62" w:lineRule="exact"/>
        <w:rPr>
          <w:sz w:val="20"/>
          <w:szCs w:val="20"/>
          <w:color w:val="auto"/>
        </w:rPr>
      </w:pPr>
    </w:p>
    <w:p>
      <w:pPr>
        <w:ind w:right="80" w:firstLine="8"/>
        <w:spacing w:after="0" w:line="29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August 31, 2012, the Company was in compliance with the terms of the credit agreement, and it will continuously monitor its compliance with the covenants contained in the new credit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certain of the acquisitions the Company has completed, it has, at various times, issued subordinated notes payable to the sellers. The maturity of these notes range from three to five years from the date of acquisition with interest rates ranging from 0% to 7%. The Company has discounted these obligations to reflect a 3.5% to 10% imputed interest rate. Unamortized discount on these notes totaled approximately $0.1 million as of August 31, 2012 and May 31, 2012. Amortization is recorded as interest expense in the consolidated statement of operations. The Company also has payment obligations to the sellers or the shareholders of the sellers pursuant to non-compete agreements which require the sellers and shareholders of the sellers not to compete with the Company. The payment obligations under these agreements range from 3 to 5 years.</w:t>
      </w:r>
    </w:p>
    <w:p>
      <w:pPr>
        <w:spacing w:after="0" w:line="178"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carrying value of the Company’s long-term debt approximates fair value as it amended its credit agreement on December 21, 2011, bringing the Company’s interest rate to current market rates.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4"/>
                <w:szCs w:val="14"/>
                <w:b w:val="1"/>
                <w:bCs w:val="1"/>
                <w:color w:val="auto"/>
                <w:w w:val="91"/>
              </w:rPr>
              <w:t>August 31, 2012</w:t>
            </w: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11,613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11,613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4"/>
                <w:szCs w:val="14"/>
                <w:b w:val="1"/>
                <w:bCs w:val="1"/>
                <w:color w:val="auto"/>
                <w:w w:val="95"/>
              </w:rPr>
              <w:t>May 31, 2012</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13,063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25" w:right="259" w:bottom="0" w:gutter="0" w:footer="0" w:header="0"/>
        </w:sectPr>
      </w:pPr>
    </w:p>
    <w:bookmarkStart w:id="11" w:name="page12"/>
    <w:bookmarkEnd w:id="11"/>
    <w:p>
      <w:pPr>
        <w:spacing w:after="0"/>
        <w:tabs>
          <w:tab w:leader="none" w:pos="4220" w:val="left"/>
          <w:tab w:leader="none" w:pos="5420" w:val="left"/>
          <w:tab w:leader="none" w:pos="5880" w:val="left"/>
          <w:tab w:leader="none" w:pos="7080" w:val="left"/>
          <w:tab w:leader="none" w:pos="7540" w:val="left"/>
          <w:tab w:leader="none" w:pos="8400" w:val="left"/>
          <w:tab w:leader="none" w:pos="9180" w:val="left"/>
          <w:tab w:leader="none" w:pos="10060" w:val="left"/>
        </w:tabs>
        <w:rPr>
          <w:sz w:val="20"/>
          <w:szCs w:val="20"/>
          <w:color w:val="auto"/>
        </w:rPr>
      </w:pPr>
      <w:r>
        <w:rPr>
          <w:rFonts w:ascii="Arial" w:cs="Arial" w:eastAsia="Arial" w:hAnsi="Arial"/>
          <w:sz w:val="18"/>
          <w:szCs w:val="18"/>
          <w:color w:val="auto"/>
        </w:rPr>
        <w:t>Total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13,063</w:t>
        <w:tab/>
        <w:t>$</w:t>
      </w:r>
      <w:r>
        <w:rPr>
          <w:sz w:val="20"/>
          <w:szCs w:val="20"/>
          <w:color w:val="auto"/>
        </w:rPr>
        <w:tab/>
      </w:r>
      <w:r>
        <w:rPr>
          <w:rFonts w:ascii="Arial" w:cs="Arial" w:eastAsia="Arial" w:hAnsi="Arial"/>
          <w:sz w:val="15"/>
          <w:szCs w:val="15"/>
          <w:color w:val="auto"/>
        </w:rPr>
        <w:t>13,063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57670" cy="16319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August 31, 2012, total potential acquisition-related contingent consideration ranged from zero to $17.7 million and would be payable upon the achievement of specific performance metrics by certain of the acquired companies over the next four years of operations. See Note 5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2012, the Company’s German subsidiary acquired all of the shares of an inspection and asset protection company headquartered in Germany for approximately $36.0 million, comprised of $28.3 million in cash and $7.7 million of subordinated notes, which are payable over three years. In addition to the cash and debt consideration, the share purchase agreement provides for the potential payment to the sellers of contingent consideration that may be earned based upon the acquired company reaching specific performance metrics over the next five years of operation. The Company is in the process of completing the preliminary purchase price allocation.</w:t>
      </w:r>
    </w:p>
    <w:p>
      <w:pPr>
        <w:spacing w:after="0" w:line="18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the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the Products and Systems segment.</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w:t>
      </w:r>
    </w:p>
    <w:p>
      <w:pPr>
        <w:sectPr>
          <w:pgSz w:w="11900" w:h="16838" w:orient="portrait"/>
          <w:cols w:equalWidth="0" w:num="1">
            <w:col w:w="11400"/>
          </w:cols>
          <w:pgMar w:left="240" w:top="125" w:right="259" w:bottom="0" w:gutter="0" w:footer="0" w:header="0"/>
        </w:sectPr>
      </w:pPr>
    </w:p>
    <w:bookmarkStart w:id="12" w:name="page13"/>
    <w:bookmarkEnd w:id="12"/>
    <w:p>
      <w:pPr>
        <w:spacing w:after="0" w:line="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82,397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24,429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Revenues by operating segment include intercompany transactions, which are eliminated in Corporate and eliminations. The Services segment had sales to other operating segments of $1.1 million and $0.1 million for the three months ended August 31, 2012 and 2011, respectively. The Products and Systems segment had sales to other operating segments of $1.7 million and $1.3 million for the three months ended August 31, 2012 and 2011, respectively. The International segment had sales to other operating segments of $0.1 million for each of the three month periods ended August 31, 2012 and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0"/>
              </w:rPr>
              <w:t>Three months ended August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9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20,940</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20,308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5,245</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7,081</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3,431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33,717</w:t>
            </w:r>
          </w:p>
        </w:tc>
        <w:tc>
          <w:tcPr>
            <w:tcW w:w="2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27,420</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0"/>
              </w:rPr>
              <w:t>Three months ended August 31,</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9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6,823</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7,160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3,165</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1,595</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(3,591)</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(2,936)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2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60" w:type="dxa"/>
            <w:vAlign w:val="bottom"/>
            <w:vMerge w:val="restart"/>
          </w:tcPr>
          <w:p>
            <w:pPr>
              <w:jc w:val="right"/>
              <w:ind w:right="150"/>
              <w:spacing w:after="0"/>
              <w:rPr>
                <w:sz w:val="20"/>
                <w:szCs w:val="20"/>
                <w:color w:val="auto"/>
              </w:rPr>
            </w:pPr>
            <w:r>
              <w:rPr>
                <w:rFonts w:ascii="Arial" w:cs="Arial" w:eastAsia="Arial" w:hAnsi="Arial"/>
                <w:sz w:val="18"/>
                <w:szCs w:val="18"/>
                <w:color w:val="auto"/>
              </w:rPr>
              <w:t>16</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5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2"/>
              </w:rPr>
              <w:t>Three months ended August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8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4,524</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1,047</w:t>
            </w:r>
          </w:p>
        </w:tc>
        <w:tc>
          <w:tcPr>
            <w:tcW w:w="9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6,039</w:t>
            </w: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4,979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57" w:orient="portrait"/>
          <w:cols w:equalWidth="0" w:num="1">
            <w:col w:w="11460"/>
          </w:cols>
          <w:pgMar w:left="240" w:top="125" w:right="199" w:bottom="0" w:gutter="0" w:footer="0" w:header="0"/>
        </w:sectPr>
      </w:pPr>
    </w:p>
    <w:p>
      <w:pPr>
        <w:jc w:val="center"/>
        <w:ind w:left="62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6200"/>
        <w:spacing w:after="0"/>
        <w:rPr>
          <w:sz w:val="20"/>
          <w:szCs w:val="20"/>
          <w:color w:val="auto"/>
        </w:rPr>
      </w:pPr>
      <w:r>
        <w:rPr>
          <w:rFonts w:ascii="Arial" w:cs="Arial" w:eastAsia="Arial" w:hAnsi="Arial"/>
          <w:sz w:val="12"/>
          <w:szCs w:val="12"/>
          <w:b w:val="1"/>
          <w:bCs w:val="1"/>
          <w:color w:val="auto"/>
        </w:rPr>
        <w:t>August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857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700"/>
        <w:spacing w:after="0"/>
        <w:rPr>
          <w:sz w:val="20"/>
          <w:szCs w:val="20"/>
          <w:color w:val="auto"/>
        </w:rPr>
      </w:pPr>
      <w:r>
        <w:rPr>
          <w:rFonts w:ascii="Arial" w:cs="Arial" w:eastAsia="Arial" w:hAnsi="Arial"/>
          <w:sz w:val="13"/>
          <w:szCs w:val="13"/>
          <w:b w:val="1"/>
          <w:bCs w:val="1"/>
          <w:color w:val="auto"/>
        </w:rPr>
        <w:t>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3810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57" w:orient="portrait"/>
          <w:cols w:equalWidth="0" w:num="2">
            <w:col w:w="7220" w:space="720"/>
            <w:col w:w="3520"/>
          </w:cols>
          <w:pgMar w:left="240" w:top="125"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16,355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5,359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57" w:orient="portrait"/>
          <w:cols w:equalWidth="0" w:num="1">
            <w:col w:w="11460"/>
          </w:cols>
          <w:pgMar w:left="240" w:top="125" w:right="199" w:bottom="0" w:gutter="0" w:footer="0" w:header="0"/>
          <w:type w:val="continuous"/>
        </w:sectPr>
      </w:pPr>
    </w:p>
    <w:p>
      <w:pPr>
        <w:jc w:val="center"/>
        <w:ind w:left="62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6200"/>
        <w:spacing w:after="0"/>
        <w:rPr>
          <w:sz w:val="20"/>
          <w:szCs w:val="20"/>
          <w:color w:val="auto"/>
        </w:rPr>
      </w:pPr>
      <w:r>
        <w:rPr>
          <w:rFonts w:ascii="Arial" w:cs="Arial" w:eastAsia="Arial" w:hAnsi="Arial"/>
          <w:sz w:val="12"/>
          <w:szCs w:val="12"/>
          <w:b w:val="1"/>
          <w:bCs w:val="1"/>
          <w:color w:val="auto"/>
        </w:rPr>
        <w:t>August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8578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700"/>
        <w:spacing w:after="0"/>
        <w:rPr>
          <w:sz w:val="20"/>
          <w:szCs w:val="20"/>
          <w:color w:val="auto"/>
        </w:rPr>
      </w:pPr>
      <w:r>
        <w:rPr>
          <w:rFonts w:ascii="Arial" w:cs="Arial" w:eastAsia="Arial" w:hAnsi="Arial"/>
          <w:sz w:val="13"/>
          <w:szCs w:val="13"/>
          <w:b w:val="1"/>
          <w:bCs w:val="1"/>
          <w:color w:val="auto"/>
        </w:rPr>
        <w:t>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3810</wp:posOffset>
            </wp:positionV>
            <wp:extent cx="866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57" w:orient="portrait"/>
          <w:cols w:equalWidth="0" w:num="2">
            <w:col w:w="7220" w:space="720"/>
            <w:col w:w="3520"/>
          </w:cols>
          <w:pgMar w:left="240" w:top="125" w:right="199" w:bottom="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59,054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79755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2730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type w:val="continuous"/>
        </w:sectPr>
      </w:pPr>
    </w:p>
    <w:bookmarkStart w:id="13" w:name="page14"/>
    <w:bookmarkEnd w:id="1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13,592</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13,592</w:t>
            </w:r>
          </w:p>
        </w:tc>
      </w:tr>
      <w:tr>
        <w:trPr>
          <w:trHeight w:val="216"/>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23,045</w:t>
            </w:r>
          </w:p>
        </w:tc>
        <w:tc>
          <w:tcPr>
            <w:tcW w:w="4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24,481</w:t>
            </w:r>
          </w:p>
        </w:tc>
      </w:tr>
      <w:tr>
        <w:trPr>
          <w:trHeight w:val="210"/>
        </w:trPr>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96,819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40" w:orient="portrait"/>
          <w:cols w:equalWidth="0" w:num="1">
            <w:col w:w="11460"/>
          </w:cols>
          <w:pgMar w:left="240" w:top="140" w:right="199" w:bottom="0" w:gutter="0" w:footer="0" w:header="0"/>
        </w:sectPr>
      </w:pPr>
    </w:p>
    <w:p>
      <w:pPr>
        <w:jc w:val="center"/>
        <w:ind w:left="62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6200"/>
        <w:spacing w:after="0"/>
        <w:rPr>
          <w:sz w:val="20"/>
          <w:szCs w:val="20"/>
          <w:color w:val="auto"/>
        </w:rPr>
      </w:pPr>
      <w:r>
        <w:rPr>
          <w:rFonts w:ascii="Arial" w:cs="Arial" w:eastAsia="Arial" w:hAnsi="Arial"/>
          <w:sz w:val="12"/>
          <w:szCs w:val="12"/>
          <w:b w:val="1"/>
          <w:bCs w:val="1"/>
          <w:color w:val="auto"/>
        </w:rPr>
        <w:t>August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857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700"/>
        <w:spacing w:after="0"/>
        <w:rPr>
          <w:sz w:val="20"/>
          <w:szCs w:val="20"/>
          <w:color w:val="auto"/>
        </w:rPr>
      </w:pPr>
      <w:r>
        <w:rPr>
          <w:rFonts w:ascii="Arial" w:cs="Arial" w:eastAsia="Arial" w:hAnsi="Arial"/>
          <w:sz w:val="13"/>
          <w:szCs w:val="13"/>
          <w:b w:val="1"/>
          <w:bCs w:val="1"/>
          <w:color w:val="auto"/>
        </w:rPr>
        <w:t>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3810</wp:posOffset>
            </wp:positionV>
            <wp:extent cx="866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7220" w:space="720"/>
            <w:col w:w="3520"/>
          </w:cols>
          <w:pgMar w:left="240" w:top="140"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120,317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120,846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24,111</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44,234</w:t>
            </w: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47,825</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190,349</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194,815</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60" w:type="dxa"/>
            <w:vAlign w:val="bottom"/>
            <w:vMerge w:val="restart"/>
          </w:tcPr>
          <w:p>
            <w:pPr>
              <w:jc w:val="right"/>
              <w:ind w:right="15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August 31, 2012</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191,192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204,209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40,128</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75,725</w:t>
            </w:r>
          </w:p>
        </w:tc>
        <w:tc>
          <w:tcPr>
            <w:tcW w:w="18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82,579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304,823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August 31, 2012 and 2011, respectively,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August 31,</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71,476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12,925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Europe</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16,677</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4,573</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60" w:type="dxa"/>
            <w:vAlign w:val="bottom"/>
            <w:vMerge w:val="restart"/>
          </w:tcPr>
          <w:p>
            <w:pPr>
              <w:jc w:val="right"/>
              <w:ind w:right="15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(Securities Act), and Section 21E of the Securities Exchange Act of 1934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below.</w:t>
      </w:r>
    </w:p>
    <w:p>
      <w:pPr>
        <w:spacing w:after="0" w:line="16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2012 is referred to as “fiscal 2012”), and unless otherwise specified or the context otherwise requires, “Mistras,” “the Company,” “we,” “us” and “our” refer to Mistras Group, Inc. and its consolidated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are a leading “one source” global provider of technology-enabled asset protection solutions used to evaluate the structural integrity and reliability of critical energy, industrial and public infrastructure. We combine industry-leading products and technologies, expertise in mechanical integrity (MI) and non-</w:t>
      </w:r>
    </w:p>
    <w:p>
      <w:pPr>
        <w:sectPr>
          <w:pgSz w:w="11900" w:h="16840" w:orient="portrait"/>
          <w:cols w:equalWidth="0" w:num="1">
            <w:col w:w="11460"/>
          </w:cols>
          <w:pgMar w:left="240" w:top="140" w:right="199" w:bottom="0" w:gutter="0" w:footer="0" w:header="0"/>
          <w:type w:val="continuous"/>
        </w:sectPr>
      </w:pPr>
    </w:p>
    <w:bookmarkStart w:id="14" w:name="page15"/>
    <w:bookmarkEnd w:id="14"/>
    <w:p>
      <w:pPr>
        <w:spacing w:after="0" w:line="288" w:lineRule="auto"/>
        <w:rPr>
          <w:sz w:val="20"/>
          <w:szCs w:val="20"/>
          <w:color w:val="auto"/>
        </w:rPr>
      </w:pPr>
      <w:r>
        <w:rPr>
          <w:rFonts w:ascii="Arial" w:cs="Arial" w:eastAsia="Arial" w:hAnsi="Arial"/>
          <w:sz w:val="16"/>
          <w:szCs w:val="16"/>
          <w:color w:val="auto"/>
        </w:rPr>
        <w:t>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As of August 31, 2012, we had approximately 3,600 employees, including approximately 30 Ph.D.’s and 100 other degreed engineers and certified technicians, in approximately 80 offices across 15 countries. We have established long-term relationships as a critical solutions provider to many leading companies in our target markets. Our current principal market is the oil and gas industry, which accounted for approximately 47% and 56% of our first quarter revenues of fiscal 2013 and 2012, respectively.</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in the aggregate,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have provided us with additional products, technologies, resources and customers that we believe will enhance our advantages over our competition.</w:t>
      </w:r>
    </w:p>
    <w:p>
      <w:pPr>
        <w:spacing w:after="0" w:line="23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August 31, 2012 compared to the three months ended August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August 31, 2012 and 2011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78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113,387</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91,447</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75,526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60,527</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4,144</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23,492</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19,381</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1,895</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 net of taxes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3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August 31, 2012 and 2011 were as follows:</w:t>
      </w: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26"/>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4,281</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3,228</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2,655</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6,039</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4,979</w:t>
            </w:r>
          </w:p>
        </w:tc>
      </w:tr>
      <w:tr>
        <w:trPr>
          <w:trHeight w:val="210"/>
        </w:trPr>
        <w:tc>
          <w:tcPr>
            <w:tcW w:w="7680" w:type="dxa"/>
            <w:vAlign w:val="bottom"/>
          </w:tcPr>
          <w:p>
            <w:pPr>
              <w:spacing w:after="0"/>
              <w:rPr>
                <w:sz w:val="20"/>
                <w:szCs w:val="20"/>
                <w:color w:val="auto"/>
              </w:rPr>
            </w:pPr>
            <w:r>
              <w:rPr>
                <w:rFonts w:ascii="Arial" w:cs="Arial" w:eastAsia="Arial" w:hAnsi="Arial"/>
                <w:sz w:val="18"/>
                <w:szCs w:val="18"/>
                <w:color w:val="auto"/>
              </w:rPr>
              <w:t>EBITDA</w:t>
            </w:r>
          </w:p>
        </w:tc>
        <w:tc>
          <w:tcPr>
            <w:tcW w:w="860" w:type="dxa"/>
            <w:vAlign w:val="bottom"/>
            <w:tcBorders>
              <w:top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14,021</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10,984</w:t>
            </w:r>
          </w:p>
        </w:tc>
        <w:tc>
          <w:tcPr>
            <w:tcW w:w="1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1,634</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 certain acquisition related costs (including adjustments to the fair value of contingent consideration) and certain non-recurring items (which items are listed below or in the reconciliation table above).</w:t>
      </w:r>
    </w:p>
    <w:p>
      <w:pPr>
        <w:spacing w:after="0" w:line="19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$113.4 million for the three months ended August 31, 2012 compared to $91.4 million for the three months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Revenues by segment for the first quarter of fiscal 2013 and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82,397</w:t>
            </w:r>
          </w:p>
        </w:tc>
        <w:tc>
          <w:tcPr>
            <w:tcW w:w="480" w:type="dxa"/>
            <w:vAlign w:val="bottom"/>
            <w:gridSpan w:val="2"/>
          </w:tcPr>
          <w:p>
            <w:pPr>
              <w:jc w:val="right"/>
              <w:ind w:right="285"/>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24,429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spacing w:after="0"/>
              <w:rPr>
                <w:sz w:val="20"/>
                <w:szCs w:val="20"/>
                <w:color w:val="auto"/>
              </w:rPr>
            </w:pPr>
            <w:r>
              <w:rPr>
                <w:rFonts w:ascii="Arial" w:cs="Arial" w:eastAsia="Arial" w:hAnsi="Arial"/>
                <w:sz w:val="18"/>
                <w:szCs w:val="18"/>
                <w:color w:val="auto"/>
                <w:w w:val="94"/>
              </w:rPr>
              <w:t>We estimate our growth rates for the first quarter of fiscal 2013 and 2012 were as follows: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4"/>
          </w:tcPr>
          <w:p>
            <w:pPr>
              <w:jc w:val="right"/>
              <w:ind w:right="9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gridSpan w:val="2"/>
          </w:tcPr>
          <w:p>
            <w:pPr>
              <w:spacing w:after="0"/>
              <w:rPr>
                <w:sz w:val="11"/>
                <w:szCs w:val="11"/>
                <w:color w:val="auto"/>
              </w:rPr>
            </w:pPr>
          </w:p>
        </w:tc>
        <w:tc>
          <w:tcPr>
            <w:tcW w:w="5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7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21,940</w:t>
            </w:r>
          </w:p>
        </w:tc>
        <w:tc>
          <w:tcPr>
            <w:tcW w:w="4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23,037</w:t>
            </w:r>
          </w:p>
        </w:tc>
        <w:tc>
          <w:tcPr>
            <w:tcW w:w="1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 Growth over prior year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Comprised of:</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 of acquisition growth</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foreign exchange (decrease) increase</w:t>
            </w: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-1956435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-1956435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increased $21.9 million, or approximately 24%, for the three months ended August 31, 2012 compared to the three months ended August 31, 2011 as a result of growth in all our segments, but principally attributable to growth in our International segment. Our International segment revenue growth primarily resulted from our fiscal 2012 acquisitions. For the first quarter of fiscal 2013 and 2012, we estimate that our organic growth rate, as compared to growth driven by acquisitions, was approximately 9% and 19%, respectively. In the first quarter of fiscal 2013, we estimate that our acquisition growth was approximately 17% compared to approximately 12% in the first quarter of fiscal 2012.</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continued to experience growth in many of our target markets during the first quarter of fiscal 2013. Oil and gas is our largest target market and represented approximately 47% of total revenues in the first quarter of fiscal 2013, compared to approximately 56% in the first quarter of fiscal 2012. Oil and gas revenue in the first quarter of fiscal 2013 increased approximately 4% over the prior year with the largest increase coming from the midstream section of the oil and gas industry. We experienced the majority of our growth in several of our other target markets outside of oil and gas, including industrial, process industries which include chemical and pharmaceutical, infrastructure, power generation and aerospace and defense markets. Taken as a group, revenues for all target markets other than oil and gas grew approximately 49% in the first quarter of fiscal 2013 over the prior year period. Our largest customer in both periods was BP plc. (BP), accounting for approximately 12% of our revenues in the first quarter of fiscal 2013 and approximately 16% in the first quarter of</w:t>
      </w:r>
    </w:p>
    <w:p>
      <w:pPr>
        <w:sectPr>
          <w:pgSz w:w="11900" w:h="16838" w:orient="portrait"/>
          <w:cols w:equalWidth="0" w:num="1">
            <w:col w:w="11460"/>
          </w:cols>
          <w:pgMar w:left="240" w:top="368" w:right="199" w:bottom="0" w:gutter="0" w:footer="0" w:header="0"/>
        </w:sectPr>
      </w:pPr>
    </w:p>
    <w:bookmarkStart w:id="16" w:name="page17"/>
    <w:bookmarkEnd w:id="16"/>
    <w:p>
      <w:pPr>
        <w:ind w:right="260"/>
        <w:spacing w:after="0" w:line="277" w:lineRule="auto"/>
        <w:rPr>
          <w:sz w:val="20"/>
          <w:szCs w:val="20"/>
          <w:color w:val="auto"/>
        </w:rPr>
      </w:pPr>
      <w:r>
        <w:rPr>
          <w:rFonts w:ascii="Arial" w:cs="Arial" w:eastAsia="Arial" w:hAnsi="Arial"/>
          <w:sz w:val="18"/>
          <w:szCs w:val="18"/>
          <w:color w:val="auto"/>
        </w:rPr>
        <w:t>fiscal 2012. Our top ten customers represented approximately 32% of our revenues in the first quarter of fiscal 2013 compared to 40% in the same quarter last year.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$33.7 million and increased $6.3 million, or 23% in the first quarter of fiscal 2013 compared to $27.4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2012. Gross profit by segment for the three months ended August 31, 2012 and 2011 was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0"/>
              </w:rPr>
              <w:t>Three months ended August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26"/>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9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20,940</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20,308</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5,245</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3,751</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7,081</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3,431</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8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0"/>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33,717</w:t>
            </w: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27,420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revenues, our gross profit and its components for the three months ended August 31, 2012 and 2011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0"/>
              </w:rPr>
              <w:t>Three months ended August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3"/>
          </w:tcPr>
          <w:p>
            <w:pPr>
              <w:jc w:val="right"/>
              <w:ind w:right="419"/>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33,717</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27,420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comprised of:</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vMerge w:val="continue"/>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Gross profit % decrease from prior year</w:t>
            </w:r>
          </w:p>
        </w:tc>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percentage of revenues, our gross profit remained fairly consistent at approximately 30% for each of the first quarters of fiscal 2013 and fiscal 2012. Cost of revenues, excluding depreciation, as a percentage of revenues was approximately 67% and 66% in the first quarter of fiscal 2013 and fiscal 2012, respectively. Depreciation expense included in the determination of gross profit for the first quarter of fiscal 2013 and fiscal 2012 was $4.1 million and $3.5 million, respectively.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30 basis point decrease in our gross profit as a percentage of revenues was primarily attributable to decrease in gross profit in our International segment, which relates to our fiscal 2012 acquisitions, as these companies primarily provide lower margin, traditional NDT services. Additionally, the service offerings in our International segment are increasing faster than our product sales, which also lower our gross profit margin. Also contributing to the decrease in gross profit as a percentage of revenues is a change in the mix of project work completed in our Services segment during the quarter and slightly higher unbillable labor. These decreases were offset by improvements in our Products segment due to a change in the mix of products sales in the quarter compared to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by segment for the three months ended August 31, 2012 and 2011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1"/>
              </w:rPr>
              <w:t>Three months ended August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3"/>
          </w:tcPr>
          <w:p>
            <w:pPr>
              <w:jc w:val="right"/>
              <w:ind w:right="446"/>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9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6,823</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7,160</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3,165</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1,595</w:t>
            </w:r>
          </w:p>
        </w:tc>
        <w:tc>
          <w:tcPr>
            <w:tcW w:w="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(3,591)</w:t>
            </w:r>
          </w:p>
        </w:tc>
        <w:tc>
          <w:tcPr>
            <w:tcW w:w="8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(2,936)</w:t>
            </w:r>
          </w:p>
        </w:tc>
      </w:tr>
      <w:tr>
        <w:trPr>
          <w:trHeight w:val="210"/>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3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income from operations of $8.0 million for the first quarter of fiscal 2013 increased $2.0 million, or 34%, compared to the first quarter of fiscal 2012. As a percentage of revenues, our income from operations was approximately 7% in the first quarter of fiscal 2013 and fiscal 2012.</w:t>
      </w:r>
    </w:p>
    <w:p>
      <w:pPr>
        <w:spacing w:after="0" w:line="17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Our SG&amp;A expenses, as a percentage of revenues, was approximately 21% for each of the first quarters of fiscal 2013 and 2012, increasing approximately $4.1 million in fiscal 2013. Of this amount, SG&amp;A for companies acquired within the last twelve months accounted for approximately $3.1 million of the total increase.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$0.8 million over the same period in the prior year attributed to normal salary increases, as well as our investment in additional management and corporate staff to support our growth. Other increases in SG&amp;A expenses, excluding acquisitions, included increased stock compensation costs of $0.6 million. Depreciation and amortization included in the determination of income from operations for the first quarter of fiscal 2013 and fiscal 2012 was $1.9 million and $1.5 million, respectively, each representing approximately 2% of revenues.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167" w:gutter="0" w:footer="0" w:header="0"/>
        </w:sectPr>
      </w:pPr>
    </w:p>
    <w:bookmarkStart w:id="17" w:name="page18"/>
    <w:bookmarkEnd w:id="17"/>
    <w:p>
      <w:pPr>
        <w:ind w:right="20"/>
        <w:spacing w:after="0" w:line="312" w:lineRule="auto"/>
        <w:rPr>
          <w:sz w:val="20"/>
          <w:szCs w:val="20"/>
          <w:color w:val="auto"/>
        </w:rPr>
      </w:pPr>
      <w:r>
        <w:rPr>
          <w:rFonts w:ascii="Arial" w:cs="Arial" w:eastAsia="Arial" w:hAnsi="Arial"/>
          <w:sz w:val="16"/>
          <w:szCs w:val="16"/>
          <w:color w:val="auto"/>
        </w:rPr>
        <w:t>Our acquisition-related costs for the first quarter of fiscal 2013 were due to adjustments to the estimated fair value of certain acquisition-related contingent consideration liabilities that resulted in a net increase to income from operations of $0.8 million. This was offset by $0.6 million in professional fees and other expenses in connection with our fiscal 2013 acquisition activity. Acquisition-related costs for the three months ended August 31, 2011 were insignificant.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$1.0 million and $0.7 million for the first quarter of fiscal 2013 and 2012, respectively. The increase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2013 related to an increase in average borrowings in the current year quarter compared to the prior year and interest accretion from the estimated fair value of our contingent consideration liabilities related to our acquisitions.</w:t>
      </w:r>
    </w:p>
    <w:p>
      <w:pPr>
        <w:spacing w:after="0" w:line="18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i w:val="1"/>
          <w:iCs w:val="1"/>
          <w:color w:val="auto"/>
        </w:rPr>
        <w:t xml:space="preserve">Net Income Attributable to Noncontrolling Interests, net of taxes. </w:t>
      </w:r>
      <w:r>
        <w:rPr>
          <w:rFonts w:ascii="Arial" w:cs="Arial" w:eastAsia="Arial" w:hAnsi="Arial"/>
          <w:sz w:val="17"/>
          <w:szCs w:val="17"/>
          <w:color w:val="auto"/>
        </w:rPr>
        <w:t>The net income attributable to noncontrolling interests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August 31, 2012 is primarily related to the net income incurred by Diapac, our subsidiary in Russia and our U.K subsidiaries.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effective income tax rate was approximately 38% for the first quarter of fiscal 2013 compared to approximately 40% for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2012. The decrease was primarily due to changes in the geographic mix of earnings in the various state and foreign jurisdictions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Net Income Attributable to Mistras Group, Inc. </w:t>
      </w:r>
      <w:r>
        <w:rPr>
          <w:rFonts w:ascii="Arial" w:cs="Arial" w:eastAsia="Arial" w:hAnsi="Arial"/>
          <w:sz w:val="18"/>
          <w:szCs w:val="18"/>
          <w:color w:val="auto"/>
        </w:rPr>
        <w:t>Net income attributable to Mistras Group, Inc. for the first quarter of fiscal 2013 was $4.3 million, or 4%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revenues, an increase of $1.1 million over the first quarter of fiscal 2012, which was $3.2 million, or 4% of revenues. The increase in net income was primarily the result of our revenue growth, partially offset by increases in our SG&amp;A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21,546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12,799</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(2,617)</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(8,793)</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(19,786)</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(8,618)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August 31, 2012, cash provided by our operating activities was $21.5 million, an increase of $8.7 million from the comparable period of fiscal 2012. Positive operating cash flow was primarily attributable to higher net income, excluding depreciation, amortization and other non-cash expenses of $12.7 million and $8.8 million of cash provided by an increase in our working capital, which primarily related to collections of our trade accounts receivable.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August 31, 2011, cash provided by our operating activities was $12.8 million, an increase of $3.6 million from the comparable period of fiscal 2011. Positive operating cash flow was primarily attributable to higher net income, excluding depreciation, amortization and other non-cash expenses of $9.4 million and $3.4 million of cash provided by an increase in our working capital, which primarily related to collections of our trade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August 31, 2012, cash used in investing activities was $2.6 million, a decrease of $6.2 million from the comparable period of fiscal 2012. Cash used in investing activities included purchases of property, plant and equipment of $2.7 million and were primarily related to equipment used by our technicians.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three months ended August 31, 2011, cash used in investing activities was $8.8 million, an increase of $1.6 from the comparable period of fiscal 2011. Cash used in investing activities included our acquisition of three asset protection businesses for cash payments aggregating $5.6 million. Cash purchases of property, plant and equipment were $3.1 million and were primarily related to equipment used by our technicians.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cash used in financing activities was $19.8 million for the three months ended August 31, 2012, an increase of $11.2 million from the comparable period of fiscal 2012. Net cash used in financing activities related primarily to repayments of our revolving credit facility, capital lease obligations, long-term debt, and contingent consideration of $15.0 million, $1.6 million, $1.6 million, and $1.1 million, respectively.</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cash used in financing activities was $8.6 million for the three months ended August 31, 2011, an increase of $4.6 million from the comparable period of fiscal 2011. Net cash used in financing activities related primarily to repayments of our capital lease obligations, long-term debt, revolving credit facility, and other short-term borrowings of $1.6 million, $2.0 million, $3.9 million, and $1.0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Exchange Rate Changes on Cash and 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($0.2) million and $0.2 million for the three months ended August 31, 2012 and 2011, respectively.</w:t>
      </w:r>
    </w:p>
    <w:p>
      <w:pPr>
        <w:sectPr>
          <w:pgSz w:w="11900" w:h="16838" w:orient="portrait"/>
          <w:cols w:equalWidth="0" w:num="1">
            <w:col w:w="11420"/>
          </w:cols>
          <w:pgMar w:left="240" w:top="125"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August 31, 2012, we had cash and cash equivalents totaling $7.3 million and available borrowing capacity of $112.0 million under our current revolving credit facility. As of August 31, 2012, there were outstanding borrowings of $10.0 million and a total of $3.0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our option, at LIBOR plus an applicable LIBOR margin ranging from 1% to 2%, or a base rate less a margin of 1.25% to 0.25%,or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sz w:val="20"/>
          <w:szCs w:val="20"/>
          <w:color w:val="auto"/>
        </w:rPr>
      </w:pPr>
    </w:p>
    <w:p>
      <w:pPr>
        <w:ind w:right="20" w:firstLine="8"/>
        <w:spacing w:after="0" w:line="270"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August 31, 2012, we were in compliance with the terms of the credit agreement, and we will continuously monitor our compliance with the covenants contained in our new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our future sources of cash to include cash flow from operations and cash borrowed under our revolving credit facility. Our revolving credit facility is available for cash advances required for working capital and for letters of credit to support our operations. To meet our short-and long-term liquidity requirements, we expect primarily to rely on cash generated from our operating activities and borrowings under our revolving credit facility.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October 1, 2012, there were outstanding borrowings of approximately $42.2 million approximately $3.0 million of outstanding letters of credit under our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w:t>
      </w:r>
    </w:p>
    <w:p>
      <w:pPr>
        <w:spacing w:after="0" w:line="173"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Our anticipated acquisitions may also require capital. We completed the acquisition of one company in September 2012 with an initial cash outlay of $28.3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w:t>
      </w:r>
    </w:p>
    <w:p>
      <w:pPr>
        <w:sectPr>
          <w:pgSz w:w="11900" w:h="16838" w:orient="portrait"/>
          <w:cols w:equalWidth="0" w:num="1">
            <w:col w:w="11420"/>
          </w:cols>
          <w:pgMar w:left="240" w:top="121" w:right="239" w:bottom="0" w:gutter="0" w:footer="0" w:header="0"/>
        </w:sectPr>
      </w:pPr>
    </w:p>
    <w:bookmarkStart w:id="19" w:name="page20"/>
    <w:bookmarkEnd w:id="19"/>
    <w:p>
      <w:pPr>
        <w:spacing w:after="0" w:line="3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three months ended August 31,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foreign currency exposure related to our operations in foreign locations. This foreign currency exposure, particularly the Euro, British Pound Sterling, Brazilian Real, Russian Ruble, Japanese Yen, Canadian Dollar and the Indian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$2.0 million of foreign currency translation losses in other comprehensive income for the first three months of fiscal 2013. We do not currently enter into forward exchange contracts to hedge exposures to foreign currencies. We may consider entering into hedging or forward exchange contracts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interest rate on our revolving credit facility currently ranges from 1.26% to 2.00% and is variable and adjusts periodically. As of August 31, 2012, there were outstanding borrowings of $10.0 million under our revolving credit facility. A hypothetical 100 basis point adverse shift in interest rates would not have had a material effect on our results of operations for the three months ended August 31, 2012.</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may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As of August 31, 2012, we had no such contracts in effect.</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had cash and cash equivalents of $7.3 million as of August 31, 2012.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August 31, 2012,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August 31, 2012 that has materially affected, or is reasonably likely to materially affect, such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ectPr>
          <w:pgSz w:w="11900" w:h="16870" w:orient="portrait"/>
          <w:cols w:equalWidth="0" w:num="1">
            <w:col w:w="11400"/>
          </w:cols>
          <w:pgMar w:left="240" w:top="125" w:right="259" w:bottom="0" w:gutter="0" w:footer="0" w:header="0"/>
        </w:sectPr>
      </w:pPr>
    </w:p>
    <w:bookmarkStart w:id="20" w:name="page21"/>
    <w:bookmarkEnd w:id="20"/>
    <w:p>
      <w:pPr>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Country Fire Department (the “Fire Department”) and the U.S. Environmental Protection Agency (“EPA”). At the conclusion of the Fire Department’s investigation, the Fire Department imposed on the Company a fine in the amount of $4,000 for alleged violations of the California Health and Safety Code in April 2011, which was paid shortly thereafter.</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received no further governmental communications or notices concerning fines or sanctions related to the incident until January 13, 2012, when we received grand jury subpoenas from the U.S. Attorney’s Office for the Central District of California addressed to the Company, GTI and an employee of the Company. These subpoenas were issued in connection with an EPA criminal investigation. The subpoena received by the Company requested documents and information relating to, among other things, our handling, identification, storage and disposal of hazardous waste, training records, corporate environmental policies, acquisition of GTI and any ongoing organization relationship with GTI, and analytical results of the tests concerning the hazardous materials involved in the incident. In April 2012, we were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the Company’s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this report for a description of our other legal proceedings.</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14, 2012. There have been no material changes to the risk factors previously disclosed in the Annual Report.</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quarter pursuant to the surrender of shares by employees to satisfy tax withholding obligations in connection with the vesting of restricted stock units.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Month Ending</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 (or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Average Price Paid per</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Units) Purchased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Share (or Unit)</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31, 2012</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37,320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4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None.</w:t>
            </w:r>
          </w:p>
        </w:tc>
        <w:tc>
          <w:tcPr>
            <w:tcW w:w="380" w:type="dxa"/>
            <w:vAlign w:val="bottom"/>
          </w:tcPr>
          <w:p>
            <w:pPr>
              <w:spacing w:after="0"/>
              <w:rPr>
                <w:sz w:val="24"/>
                <w:szCs w:val="24"/>
                <w:color w:val="auto"/>
              </w:rPr>
            </w:pPr>
          </w:p>
        </w:tc>
        <w:tc>
          <w:tcPr>
            <w:tcW w:w="986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986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bl>
    <w:p>
      <w:pPr>
        <w:sectPr>
          <w:pgSz w:w="11900" w:h="16838" w:orient="portrait"/>
          <w:cols w:equalWidth="0" w:num="1">
            <w:col w:w="11420"/>
          </w:cols>
          <w:pgMar w:left="240" w:top="337"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8420" w:type="dxa"/>
            <w:vAlign w:val="bottom"/>
          </w:tcPr>
          <w:p>
            <w:pPr>
              <w:ind w:left="440"/>
              <w:spacing w:after="0"/>
              <w:rPr>
                <w:sz w:val="20"/>
                <w:szCs w:val="20"/>
                <w:color w:val="auto"/>
              </w:rPr>
            </w:pPr>
            <w:r>
              <w:rPr>
                <w:rFonts w:ascii="Arial" w:cs="Arial" w:eastAsia="Arial" w:hAnsi="Arial"/>
                <w:sz w:val="18"/>
                <w:szCs w:val="18"/>
                <w:color w:val="auto"/>
                <w:w w:val="91"/>
              </w:rPr>
              <w:t>Certification of Chief Financial Officer pursuant to Rule 13a-14(a) under the Securities Exchange Act of 1934.</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8420" w:type="dxa"/>
            <w:vAlign w:val="bottom"/>
          </w:tcPr>
          <w:p>
            <w:pPr>
              <w:ind w:left="4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8420" w:type="dxa"/>
            <w:vAlign w:val="bottom"/>
          </w:tcPr>
          <w:p>
            <w:pPr>
              <w:ind w:left="440"/>
              <w:spacing w:after="0"/>
              <w:rPr>
                <w:sz w:val="20"/>
                <w:szCs w:val="20"/>
                <w:color w:val="auto"/>
              </w:rPr>
            </w:pPr>
            <w:r>
              <w:rPr>
                <w:rFonts w:ascii="Arial" w:cs="Arial" w:eastAsia="Arial" w:hAnsi="Arial"/>
                <w:sz w:val="18"/>
                <w:szCs w:val="18"/>
                <w:color w:val="auto"/>
              </w:rPr>
              <w:t>XBRL Instance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8420" w:type="dxa"/>
            <w:vAlign w:val="bottom"/>
          </w:tcPr>
          <w:p>
            <w:pPr>
              <w:ind w:left="440"/>
              <w:spacing w:after="0"/>
              <w:rPr>
                <w:sz w:val="20"/>
                <w:szCs w:val="20"/>
                <w:color w:val="auto"/>
              </w:rPr>
            </w:pPr>
            <w:r>
              <w:rPr>
                <w:rFonts w:ascii="Arial" w:cs="Arial" w:eastAsia="Arial" w:hAnsi="Arial"/>
                <w:sz w:val="18"/>
                <w:szCs w:val="18"/>
                <w:color w:val="auto"/>
              </w:rPr>
              <w:t>XBRL Schema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8420" w:type="dxa"/>
            <w:vAlign w:val="bottom"/>
          </w:tcPr>
          <w:p>
            <w:pPr>
              <w:ind w:left="4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8420" w:type="dxa"/>
            <w:vAlign w:val="bottom"/>
          </w:tcPr>
          <w:p>
            <w:pPr>
              <w:ind w:left="4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8420" w:type="dxa"/>
            <w:vAlign w:val="bottom"/>
          </w:tcPr>
          <w:p>
            <w:pPr>
              <w:ind w:left="44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8420" w:type="dxa"/>
            <w:vAlign w:val="bottom"/>
          </w:tcPr>
          <w:p>
            <w:pPr>
              <w:ind w:left="440"/>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jc w:val="right"/>
              <w:ind w:right="31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T. JOYCE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Francis T. Joyce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vMerge w:val="restart"/>
          </w:tcPr>
          <w:p>
            <w:pPr>
              <w:jc w:val="right"/>
              <w:ind w:right="4530"/>
              <w:spacing w:after="0"/>
              <w:rPr>
                <w:sz w:val="20"/>
                <w:szCs w:val="20"/>
                <w:color w:val="auto"/>
              </w:rPr>
            </w:pPr>
            <w:r>
              <w:rPr>
                <w:rFonts w:ascii="Arial" w:cs="Arial" w:eastAsia="Arial" w:hAnsi="Arial"/>
                <w:sz w:val="18"/>
                <w:szCs w:val="18"/>
                <w:color w:val="auto"/>
                <w:w w:val="89"/>
              </w:rPr>
              <w:t>Date: October 10, 2012</w:t>
            </w: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 and duly authorized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vMerge w:val="continue"/>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32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2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2012</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Chairman, 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2012</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Executive Vice President, Chief Financial Officer and Treasurer (Principal</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2012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2012</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3662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Chairman, President and Chief Executive Officer (Principal Executive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36620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1."/>
      <w:numFmt w:val="decimal"/>
      <w:start w:val="14"/>
    </w:lvl>
  </w:abstractNum>
  <w:abstractNum w:abstractNumId="15">
    <w:nsid w:val="519B500D"/>
    <w:multiLevelType w:val="hybridMultilevel"/>
    <w:lvl w:ilvl="0">
      <w:lvlJc w:val="left"/>
      <w:lvlText w:val="(%1)"/>
      <w:numFmt w:val="lowerLetter"/>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2019-12-09T18:37:15Z</dcterms:created>
  <dcterms:modified xsi:type="dcterms:W3CDTF">2019-12-09T18:37:15Z</dcterms:modified>
</cp:coreProperties>
</file>