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167640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May 31, 2013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180340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1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Delaware</w:t>
            </w:r>
          </w:p>
        </w:tc>
        <w:tc>
          <w:tcPr>
            <w:tcW w:w="362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22-3341267</w:t>
            </w:r>
          </w:p>
        </w:tc>
      </w:tr>
      <w:tr>
        <w:trPr>
          <w:trHeight w:val="216"/>
        </w:trPr>
        <w:tc>
          <w:tcPr>
            <w:tcW w:w="4120" w:type="dxa"/>
            <w:vAlign w:val="bottom"/>
          </w:tcPr>
          <w:p>
            <w:pPr>
              <w:jc w:val="center"/>
              <w:ind w:right="1850"/>
              <w:spacing w:after="0"/>
              <w:rPr>
                <w:sz w:val="20"/>
                <w:szCs w:val="20"/>
                <w:color w:val="auto"/>
              </w:rPr>
            </w:pPr>
            <w:r>
              <w:rPr>
                <w:rFonts w:ascii="Arial" w:cs="Arial" w:eastAsia="Arial" w:hAnsi="Arial"/>
                <w:sz w:val="18"/>
                <w:szCs w:val="18"/>
                <w:color w:val="auto"/>
                <w:w w:val="93"/>
              </w:rPr>
              <w:t>(State or other jurisdiction of</w:t>
            </w:r>
          </w:p>
        </w:tc>
        <w:tc>
          <w:tcPr>
            <w:tcW w:w="3620" w:type="dxa"/>
            <w:vAlign w:val="bottom"/>
          </w:tcPr>
          <w:p>
            <w:pPr>
              <w:jc w:val="center"/>
              <w:ind w:left="1850"/>
              <w:spacing w:after="0"/>
              <w:rPr>
                <w:sz w:val="20"/>
                <w:szCs w:val="20"/>
                <w:color w:val="auto"/>
              </w:rPr>
            </w:pPr>
            <w:r>
              <w:rPr>
                <w:rFonts w:ascii="Arial" w:cs="Arial" w:eastAsia="Arial" w:hAnsi="Arial"/>
                <w:sz w:val="18"/>
                <w:szCs w:val="18"/>
                <w:color w:val="auto"/>
                <w:w w:val="93"/>
              </w:rPr>
              <w:t>(I.R.S. Employer</w:t>
            </w:r>
          </w:p>
        </w:tc>
      </w:tr>
      <w:tr>
        <w:trPr>
          <w:trHeight w:val="230"/>
        </w:trPr>
        <w:tc>
          <w:tcPr>
            <w:tcW w:w="4120" w:type="dxa"/>
            <w:vAlign w:val="bottom"/>
          </w:tcPr>
          <w:p>
            <w:pPr>
              <w:jc w:val="center"/>
              <w:ind w:right="1850"/>
              <w:spacing w:after="0"/>
              <w:rPr>
                <w:sz w:val="20"/>
                <w:szCs w:val="20"/>
                <w:color w:val="auto"/>
              </w:rPr>
            </w:pPr>
            <w:r>
              <w:rPr>
                <w:rFonts w:ascii="Arial" w:cs="Arial" w:eastAsia="Arial" w:hAnsi="Arial"/>
                <w:sz w:val="18"/>
                <w:szCs w:val="18"/>
                <w:color w:val="auto"/>
                <w:w w:val="93"/>
              </w:rPr>
              <w:t>incorporation or organization)</w:t>
            </w:r>
          </w:p>
        </w:tc>
        <w:tc>
          <w:tcPr>
            <w:tcW w:w="3620" w:type="dxa"/>
            <w:vAlign w:val="bottom"/>
          </w:tcPr>
          <w:p>
            <w:pPr>
              <w:jc w:val="center"/>
              <w:ind w:left="1870"/>
              <w:spacing w:after="0"/>
              <w:rPr>
                <w:sz w:val="20"/>
                <w:szCs w:val="20"/>
                <w:color w:val="auto"/>
              </w:rPr>
            </w:pPr>
            <w:r>
              <w:rPr>
                <w:rFonts w:ascii="Arial" w:cs="Arial" w:eastAsia="Arial" w:hAnsi="Arial"/>
                <w:sz w:val="18"/>
                <w:szCs w:val="18"/>
                <w:color w:val="auto"/>
                <w:w w:val="94"/>
              </w:rPr>
              <w:t>Identification Number)</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195 Clarksville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Junction, New Jersey 08550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716-4000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168910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 par value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50"/>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6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163195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is a well-known seasoned issuer, as defined in Rule 405 of the Securities Act of 1933. Yes o No x</w:t>
      </w:r>
    </w:p>
    <w:p>
      <w:pPr>
        <w:spacing w:after="0" w:line="169" w:lineRule="exact"/>
        <w:rPr>
          <w:sz w:val="24"/>
          <w:szCs w:val="24"/>
          <w:color w:val="auto"/>
        </w:rPr>
      </w:pPr>
    </w:p>
    <w:p>
      <w:pPr>
        <w:ind w:right="80" w:firstLine="330"/>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Securities Exchange Act of 1934 (the “Exchange Act”). Yes o No x</w:t>
      </w:r>
    </w:p>
    <w:p>
      <w:pPr>
        <w:spacing w:after="0" w:line="103" w:lineRule="exact"/>
        <w:rPr>
          <w:sz w:val="24"/>
          <w:szCs w:val="24"/>
          <w:color w:val="auto"/>
        </w:rPr>
      </w:pPr>
    </w:p>
    <w:p>
      <w:pPr>
        <w:ind w:right="180" w:firstLine="33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o</w:t>
      </w:r>
    </w:p>
    <w:p>
      <w:pPr>
        <w:spacing w:after="0" w:line="114" w:lineRule="exact"/>
        <w:rPr>
          <w:sz w:val="24"/>
          <w:szCs w:val="24"/>
          <w:color w:val="auto"/>
        </w:rPr>
      </w:pPr>
    </w:p>
    <w:p>
      <w:pPr>
        <w:ind w:right="40" w:firstLine="33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14" w:lineRule="exact"/>
        <w:rPr>
          <w:sz w:val="24"/>
          <w:szCs w:val="24"/>
          <w:color w:val="auto"/>
        </w:rPr>
      </w:pPr>
    </w:p>
    <w:p>
      <w:pPr>
        <w:jc w:val="both"/>
        <w:ind w:firstLine="33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14" w:lineRule="exact"/>
        <w:rPr>
          <w:sz w:val="24"/>
          <w:szCs w:val="24"/>
          <w:color w:val="auto"/>
        </w:rPr>
      </w:pPr>
    </w:p>
    <w:p>
      <w:pPr>
        <w:ind w:right="100" w:firstLine="33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386" w:gutter="0" w:footer="0" w:header="0"/>
        </w:sectPr>
      </w:pPr>
    </w:p>
    <w:p>
      <w:pPr>
        <w:spacing w:after="0" w:line="56"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460"/>
          </w:cols>
          <w:pgMar w:left="240" w:top="233" w:right="239" w:bottom="386"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81" w:lineRule="exact"/>
        <w:rPr>
          <w:sz w:val="24"/>
          <w:szCs w:val="24"/>
          <w:color w:val="auto"/>
        </w:rPr>
      </w:pPr>
    </w:p>
    <w:p>
      <w:pPr>
        <w:sectPr>
          <w:pgSz w:w="11900" w:h="16838" w:orient="portrait"/>
          <w:cols w:equalWidth="0" w:num="2">
            <w:col w:w="6860" w:space="720"/>
            <w:col w:w="3840"/>
          </w:cols>
          <w:pgMar w:left="240" w:top="233" w:right="239" w:bottom="386"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58" w:lineRule="exact"/>
        <w:rPr>
          <w:sz w:val="24"/>
          <w:szCs w:val="24"/>
          <w:color w:val="auto"/>
        </w:rPr>
      </w:pPr>
    </w:p>
    <w:p>
      <w:pPr>
        <w:ind w:firstLine="330"/>
        <w:spacing w:after="0" w:line="277"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as of November 30, 2012, based upon the closing price of the common stock as reported by New York Stock Exchange on such date was approximately $364.0 million.</w:t>
      </w:r>
    </w:p>
    <w:p>
      <w:pPr>
        <w:spacing w:after="0" w:line="103" w:lineRule="exact"/>
        <w:rPr>
          <w:sz w:val="24"/>
          <w:szCs w:val="24"/>
          <w:color w:val="auto"/>
        </w:rPr>
      </w:pPr>
    </w:p>
    <w:p>
      <w:pPr>
        <w:jc w:val="right"/>
        <w:ind w:left="340" w:right="3640"/>
        <w:spacing w:after="0" w:line="422" w:lineRule="auto"/>
        <w:rPr>
          <w:sz w:val="20"/>
          <w:szCs w:val="20"/>
          <w:color w:val="auto"/>
        </w:rPr>
      </w:pPr>
      <w:r>
        <w:rPr>
          <w:rFonts w:ascii="Arial" w:cs="Arial" w:eastAsia="Arial" w:hAnsi="Arial"/>
          <w:sz w:val="18"/>
          <w:szCs w:val="18"/>
          <w:color w:val="auto"/>
        </w:rPr>
        <w:t xml:space="preserve">As of August 1, 2013, a total of 28,211,006 shares of the Registrant’s common stock were outstanding.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jc w:val="both"/>
        <w:ind w:right="280"/>
        <w:spacing w:after="0" w:line="312" w:lineRule="auto"/>
        <w:rPr>
          <w:sz w:val="20"/>
          <w:szCs w:val="20"/>
          <w:color w:val="auto"/>
        </w:rPr>
      </w:pPr>
      <w:r>
        <w:rPr>
          <w:rFonts w:ascii="Arial" w:cs="Arial" w:eastAsia="Arial" w:hAnsi="Arial"/>
          <w:sz w:val="16"/>
          <w:szCs w:val="16"/>
          <w:color w:val="auto"/>
        </w:rPr>
        <w:t>Information required by Part III (Items 10, 11, 12, 13 and 14) is incorporated by reference to portions of the registrant’s definitive Proxy Statement for its 2013 Annual Meeting of Shareholders (the “Proxy Statement”), which is expected to be filed not later than 120 days after the registrant’s fiscal year ended May 31, 2013. Except as expressly incorporated by reference, the Proxy Statement shall not be deemed to be a part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297815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386" w:gutter="0" w:footer="0" w:header="0"/>
          <w:type w:val="continuous"/>
        </w:sectPr>
      </w:pPr>
    </w:p>
    <w:bookmarkStart w:id="1" w:name="page2"/>
    <w:bookmarkEnd w:id="1"/>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8"/>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34"/>
        </w:trPr>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20" w:type="dxa"/>
            <w:vAlign w:val="bottom"/>
            <w:gridSpan w:val="13"/>
          </w:tcPr>
          <w:p>
            <w:pPr>
              <w:jc w:val="center"/>
              <w:ind w:right="4040"/>
              <w:spacing w:after="0"/>
              <w:rPr>
                <w:sz w:val="20"/>
                <w:szCs w:val="20"/>
                <w:color w:val="auto"/>
              </w:rPr>
            </w:pPr>
            <w:r>
              <w:rPr>
                <w:rFonts w:ascii="Arial" w:cs="Arial" w:eastAsia="Arial" w:hAnsi="Arial"/>
                <w:sz w:val="18"/>
                <w:szCs w:val="18"/>
                <w:b w:val="1"/>
                <w:bCs w:val="1"/>
                <w:color w:val="auto"/>
                <w:w w:val="98"/>
              </w:rPr>
              <w:t>MISTRAS GROUP, INC.</w:t>
            </w:r>
          </w:p>
        </w:tc>
        <w:tc>
          <w:tcPr>
            <w:tcW w:w="66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40" w:type="dxa"/>
            <w:vAlign w:val="bottom"/>
            <w:gridSpan w:val="18"/>
          </w:tcPr>
          <w:p>
            <w:pPr>
              <w:jc w:val="center"/>
              <w:ind w:right="3340"/>
              <w:spacing w:after="0"/>
              <w:rPr>
                <w:sz w:val="20"/>
                <w:szCs w:val="20"/>
                <w:color w:val="auto"/>
              </w:rPr>
            </w:pPr>
            <w:r>
              <w:rPr>
                <w:rFonts w:ascii="Arial" w:cs="Arial" w:eastAsia="Arial" w:hAnsi="Arial"/>
                <w:sz w:val="18"/>
                <w:szCs w:val="18"/>
                <w:b w:val="1"/>
                <w:bCs w:val="1"/>
                <w:color w:val="auto"/>
                <w:w w:val="99"/>
              </w:rPr>
              <w:t>ANNUAL REPORT ON FORM 10-K</w:t>
            </w:r>
          </w:p>
        </w:tc>
        <w:tc>
          <w:tcPr>
            <w:tcW w:w="66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20" w:type="dxa"/>
            <w:vAlign w:val="bottom"/>
            <w:gridSpan w:val="13"/>
          </w:tcPr>
          <w:p>
            <w:pPr>
              <w:jc w:val="center"/>
              <w:ind w:right="404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0"/>
                <w:szCs w:val="20"/>
                <w:color w:val="auto"/>
              </w:rPr>
            </w:pPr>
          </w:p>
        </w:tc>
      </w:tr>
      <w:tr>
        <w:trPr>
          <w:trHeight w:val="418"/>
        </w:trPr>
        <w:tc>
          <w:tcPr>
            <w:tcW w:w="1340" w:type="dxa"/>
            <w:vAlign w:val="bottom"/>
            <w:gridSpan w:val="8"/>
          </w:tcPr>
          <w:p>
            <w:pPr>
              <w:spacing w:after="0"/>
              <w:rPr>
                <w:sz w:val="20"/>
                <w:szCs w:val="20"/>
                <w:color w:val="auto"/>
              </w:rPr>
            </w:pPr>
            <w:r>
              <w:rPr>
                <w:rFonts w:ascii="Arial" w:cs="Arial" w:eastAsia="Arial" w:hAnsi="Arial"/>
                <w:sz w:val="18"/>
                <w:szCs w:val="18"/>
                <w:color w:val="auto"/>
              </w:rPr>
              <w:t>PART I</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0"/>
        </w:trPr>
        <w:tc>
          <w:tcPr>
            <w:tcW w:w="380" w:type="dxa"/>
            <w:vAlign w:val="bottom"/>
          </w:tcPr>
          <w:p>
            <w:pPr>
              <w:spacing w:after="0"/>
              <w:rPr>
                <w:sz w:val="16"/>
                <w:szCs w:val="16"/>
                <w:color w:val="auto"/>
              </w:rPr>
            </w:pPr>
          </w:p>
        </w:tc>
        <w:tc>
          <w:tcPr>
            <w:tcW w:w="620" w:type="dxa"/>
            <w:vAlign w:val="bottom"/>
            <w:gridSpan w:val="3"/>
          </w:tcPr>
          <w:p>
            <w:pPr>
              <w:spacing w:after="0" w:line="190" w:lineRule="exact"/>
              <w:rPr>
                <w:rFonts w:ascii="Arial" w:cs="Arial" w:eastAsia="Arial" w:hAnsi="Arial"/>
                <w:sz w:val="18"/>
                <w:szCs w:val="18"/>
                <w:color w:val="0000EE"/>
                <w:w w:val="91"/>
              </w:rPr>
            </w:pPr>
            <w:hyperlink w:anchor="page2">
              <w:r>
                <w:rPr>
                  <w:rFonts w:ascii="Arial" w:cs="Arial" w:eastAsia="Arial" w:hAnsi="Arial"/>
                  <w:sz w:val="18"/>
                  <w:szCs w:val="18"/>
                  <w:color w:val="0000EE"/>
                  <w:w w:val="91"/>
                </w:rPr>
                <w:t>ITEM 1.</w:t>
              </w:r>
            </w:hyperlink>
          </w:p>
        </w:tc>
        <w:tc>
          <w:tcPr>
            <w:tcW w:w="340" w:type="dxa"/>
            <w:vAlign w:val="bottom"/>
            <w:gridSpan w:val="4"/>
          </w:tcPr>
          <w:p>
            <w:pPr>
              <w:spacing w:after="0"/>
              <w:rPr>
                <w:sz w:val="16"/>
                <w:szCs w:val="16"/>
                <w:color w:val="auto"/>
              </w:rPr>
            </w:pPr>
          </w:p>
        </w:tc>
        <w:tc>
          <w:tcPr>
            <w:tcW w:w="740" w:type="dxa"/>
            <w:vAlign w:val="bottom"/>
          </w:tcPr>
          <w:p>
            <w:pPr>
              <w:spacing w:after="0"/>
              <w:rPr>
                <w:sz w:val="16"/>
                <w:szCs w:val="16"/>
                <w:color w:val="auto"/>
              </w:rPr>
            </w:pPr>
          </w:p>
        </w:tc>
        <w:tc>
          <w:tcPr>
            <w:tcW w:w="8720" w:type="dxa"/>
            <w:vAlign w:val="bottom"/>
            <w:gridSpan w:val="25"/>
          </w:tcPr>
          <w:p>
            <w:pPr>
              <w:spacing w:after="0" w:line="190" w:lineRule="exact"/>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1A.</w:t>
              </w:r>
            </w:hyperlink>
          </w:p>
        </w:tc>
        <w:tc>
          <w:tcPr>
            <w:tcW w:w="2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1B.</w:t>
              </w:r>
            </w:hyperlink>
          </w:p>
        </w:tc>
        <w:tc>
          <w:tcPr>
            <w:tcW w:w="2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2.</w:t>
              </w:r>
            </w:hyperlink>
          </w:p>
        </w:tc>
        <w:tc>
          <w:tcPr>
            <w:tcW w:w="10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3.</w:t>
              </w:r>
            </w:hyperlink>
          </w:p>
        </w:tc>
        <w:tc>
          <w:tcPr>
            <w:tcW w:w="34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4.</w:t>
              </w:r>
            </w:hyperlink>
          </w:p>
        </w:tc>
        <w:tc>
          <w:tcPr>
            <w:tcW w:w="34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38"/>
        </w:trPr>
        <w:tc>
          <w:tcPr>
            <w:tcW w:w="1340" w:type="dxa"/>
            <w:vAlign w:val="bottom"/>
            <w:gridSpan w:val="8"/>
          </w:tcPr>
          <w:p>
            <w:pPr>
              <w:spacing w:after="0"/>
              <w:rPr>
                <w:sz w:val="20"/>
                <w:szCs w:val="20"/>
                <w:color w:val="auto"/>
              </w:rPr>
            </w:pPr>
            <w:r>
              <w:rPr>
                <w:rFonts w:ascii="Arial" w:cs="Arial" w:eastAsia="Arial" w:hAnsi="Arial"/>
                <w:sz w:val="18"/>
                <w:szCs w:val="18"/>
                <w:color w:val="auto"/>
              </w:rPr>
              <w:t>PART II</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0"/>
        </w:trPr>
        <w:tc>
          <w:tcPr>
            <w:tcW w:w="380" w:type="dxa"/>
            <w:vAlign w:val="bottom"/>
          </w:tcPr>
          <w:p>
            <w:pPr>
              <w:spacing w:after="0"/>
              <w:rPr>
                <w:sz w:val="16"/>
                <w:szCs w:val="16"/>
                <w:color w:val="auto"/>
              </w:rPr>
            </w:pPr>
          </w:p>
        </w:tc>
        <w:tc>
          <w:tcPr>
            <w:tcW w:w="620" w:type="dxa"/>
            <w:vAlign w:val="bottom"/>
            <w:gridSpan w:val="3"/>
          </w:tcPr>
          <w:p>
            <w:pPr>
              <w:spacing w:after="0" w:line="190"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5.</w:t>
              </w:r>
            </w:hyperlink>
          </w:p>
        </w:tc>
        <w:tc>
          <w:tcPr>
            <w:tcW w:w="340" w:type="dxa"/>
            <w:vAlign w:val="bottom"/>
            <w:gridSpan w:val="4"/>
          </w:tcPr>
          <w:p>
            <w:pPr>
              <w:spacing w:after="0"/>
              <w:rPr>
                <w:sz w:val="16"/>
                <w:szCs w:val="16"/>
                <w:color w:val="auto"/>
              </w:rPr>
            </w:pPr>
          </w:p>
        </w:tc>
        <w:tc>
          <w:tcPr>
            <w:tcW w:w="740" w:type="dxa"/>
            <w:vAlign w:val="bottom"/>
          </w:tcPr>
          <w:p>
            <w:pPr>
              <w:spacing w:after="0"/>
              <w:rPr>
                <w:sz w:val="16"/>
                <w:szCs w:val="16"/>
                <w:color w:val="auto"/>
              </w:rPr>
            </w:pPr>
          </w:p>
        </w:tc>
        <w:tc>
          <w:tcPr>
            <w:tcW w:w="8720" w:type="dxa"/>
            <w:vAlign w:val="bottom"/>
            <w:gridSpan w:val="25"/>
          </w:tcPr>
          <w:p>
            <w:pPr>
              <w:spacing w:after="0" w:line="190" w:lineRule="exact"/>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w:t>
              </w:r>
            </w:hyperlink>
          </w:p>
        </w:tc>
        <w:tc>
          <w:tcPr>
            <w:tcW w:w="660" w:type="dxa"/>
            <w:vAlign w:val="bottom"/>
          </w:tcPr>
          <w:p>
            <w:pPr>
              <w:spacing w:after="0"/>
              <w:rPr>
                <w:sz w:val="16"/>
                <w:szCs w:val="16"/>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PURCHASES OF EQUITY SECURITIES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38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6.</w:t>
              </w:r>
            </w:hyperlink>
          </w:p>
        </w:tc>
        <w:tc>
          <w:tcPr>
            <w:tcW w:w="34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31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5620" w:type="dxa"/>
            <w:vAlign w:val="bottom"/>
            <w:gridSpan w:val="11"/>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7.</w:t>
              </w:r>
            </w:hyperlink>
          </w:p>
        </w:tc>
        <w:tc>
          <w:tcPr>
            <w:tcW w:w="34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w:t>
              </w:r>
            </w:hyperlink>
          </w:p>
        </w:tc>
        <w:tc>
          <w:tcPr>
            <w:tcW w:w="6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OPERATIONS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7A.</w:t>
              </w:r>
            </w:hyperlink>
          </w:p>
        </w:tc>
        <w:tc>
          <w:tcPr>
            <w:tcW w:w="2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8.</w:t>
              </w:r>
            </w:hyperlink>
          </w:p>
        </w:tc>
        <w:tc>
          <w:tcPr>
            <w:tcW w:w="10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ITEM 9.</w:t>
              </w:r>
            </w:hyperlink>
          </w:p>
        </w:tc>
        <w:tc>
          <w:tcPr>
            <w:tcW w:w="34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CHANGES IN AND DISAGREEMENTS WITH ACCOUNTANTS ON ACCOUNTING AND FINANCIAL</w:t>
              </w:r>
            </w:hyperlink>
          </w:p>
        </w:tc>
        <w:tc>
          <w:tcPr>
            <w:tcW w:w="6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DISCLOSURE</w:t>
              </w:r>
            </w:hyperlink>
          </w:p>
        </w:tc>
        <w:tc>
          <w:tcPr>
            <w:tcW w:w="7600" w:type="dxa"/>
            <w:vAlign w:val="bottom"/>
            <w:gridSpan w:val="20"/>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38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9A.</w:t>
              </w:r>
            </w:hyperlink>
          </w:p>
        </w:tc>
        <w:tc>
          <w:tcPr>
            <w:tcW w:w="2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9B.</w:t>
              </w:r>
            </w:hyperlink>
          </w:p>
        </w:tc>
        <w:tc>
          <w:tcPr>
            <w:tcW w:w="2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134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PART III</w:t>
              </w:r>
            </w:hyperlink>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gridSpan w:val="8"/>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60" w:type="dxa"/>
            <w:vAlign w:val="bottom"/>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10.</w:t>
              </w:r>
            </w:hyperlink>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DIRECTORS, EXECUTIVE OFFICERS AND CORPORATE GOVERNANCE</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3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gridSpan w:val="4"/>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ITEM 11.</w:t>
              </w:r>
            </w:hyperlink>
          </w:p>
        </w:tc>
        <w:tc>
          <w:tcPr>
            <w:tcW w:w="26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EXECUTIVE COMPENSATION</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3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60" w:type="dxa"/>
            <w:vAlign w:val="bottom"/>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12.</w:t>
              </w:r>
            </w:hyperlink>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SECURITY OWNERSHIP OF CERTAIN BENEFICIAL OWNERS AND MANAGEMENT AND RELATED</w:t>
              </w:r>
            </w:hyperlink>
          </w:p>
        </w:tc>
        <w:tc>
          <w:tcPr>
            <w:tcW w:w="6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STOCKHOLDER MATTERS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gridSpan w:val="8"/>
            <w:shd w:val="clear" w:color="auto" w:fill="0000EE"/>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ITEM 13.</w:t>
              </w:r>
            </w:hyperlink>
          </w:p>
        </w:tc>
        <w:tc>
          <w:tcPr>
            <w:tcW w:w="2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TRANSACTIONS, AND DIRECTOR INDEPENDENCE</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3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1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60" w:type="dxa"/>
            <w:vAlign w:val="bottom"/>
            <w:gridSpan w:val="4"/>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ITEM 14.</w:t>
              </w:r>
            </w:hyperlink>
          </w:p>
        </w:tc>
        <w:tc>
          <w:tcPr>
            <w:tcW w:w="24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PRINCIPAL ACCOUNTING FEES AND SERVICES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3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PART IV</w:t>
              </w:r>
            </w:hyperlink>
          </w:p>
        </w:tc>
        <w:tc>
          <w:tcPr>
            <w:tcW w:w="6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960" w:type="dxa"/>
            <w:vAlign w:val="bottom"/>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15.</w:t>
              </w:r>
            </w:hyperlink>
          </w:p>
        </w:tc>
        <w:tc>
          <w:tcPr>
            <w:tcW w:w="740" w:type="dxa"/>
            <w:vAlign w:val="bottom"/>
          </w:tcPr>
          <w:p>
            <w:pPr>
              <w:spacing w:after="0"/>
              <w:rPr>
                <w:sz w:val="17"/>
                <w:szCs w:val="17"/>
                <w:color w:val="auto"/>
              </w:rPr>
            </w:pPr>
          </w:p>
        </w:tc>
        <w:tc>
          <w:tcPr>
            <w:tcW w:w="872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EXHIBITS AND FINANCIAL STATEMENT SCHEDULES</w:t>
              </w:r>
            </w:hyperlink>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453"/>
        </w:trPr>
        <w:tc>
          <w:tcPr>
            <w:tcW w:w="3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spacing w:after="0"/>
              <w:rPr>
                <w:sz w:val="24"/>
                <w:szCs w:val="24"/>
                <w:color w:val="auto"/>
              </w:rPr>
            </w:pPr>
          </w:p>
        </w:tc>
        <w:tc>
          <w:tcPr>
            <w:tcW w:w="3920" w:type="dxa"/>
            <w:vAlign w:val="bottom"/>
            <w:tcBorders>
              <w:top w:val="single" w:sz="8" w:color="0000EE"/>
            </w:tcBorders>
            <w:gridSpan w:val="14"/>
          </w:tcPr>
          <w:p>
            <w:pPr>
              <w:jc w:val="center"/>
              <w:ind w:left="3210"/>
              <w:spacing w:after="0"/>
              <w:rPr>
                <w:sz w:val="20"/>
                <w:szCs w:val="20"/>
                <w:color w:val="auto"/>
              </w:rPr>
            </w:pPr>
            <w:r>
              <w:rPr>
                <w:rFonts w:ascii="Arial" w:cs="Arial" w:eastAsia="Arial" w:hAnsi="Arial"/>
                <w:sz w:val="18"/>
                <w:szCs w:val="18"/>
                <w:color w:val="auto"/>
                <w:w w:val="99"/>
              </w:rPr>
              <w:t>2</w:t>
            </w:r>
          </w:p>
        </w:tc>
        <w:tc>
          <w:tcPr>
            <w:tcW w:w="5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32"/>
        </w:trPr>
        <w:tc>
          <w:tcPr>
            <w:tcW w:w="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r>
      <w:tr>
        <w:trPr>
          <w:trHeight w:val="523"/>
        </w:trPr>
        <w:tc>
          <w:tcPr>
            <w:tcW w:w="1340" w:type="dxa"/>
            <w:vAlign w:val="bottom"/>
            <w:gridSpan w:val="8"/>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Table of Contents</w:t>
              </w:r>
            </w:hyperlink>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53"/>
        </w:trPr>
        <w:tc>
          <w:tcPr>
            <w:tcW w:w="128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ITEM 1.</w:t>
            </w:r>
          </w:p>
        </w:tc>
        <w:tc>
          <w:tcPr>
            <w:tcW w:w="60" w:type="dxa"/>
            <w:vAlign w:val="bottom"/>
          </w:tcPr>
          <w:p>
            <w:pPr>
              <w:spacing w:after="0"/>
              <w:rPr>
                <w:sz w:val="24"/>
                <w:szCs w:val="24"/>
                <w:color w:val="auto"/>
              </w:rPr>
            </w:pPr>
          </w:p>
        </w:tc>
        <w:tc>
          <w:tcPr>
            <w:tcW w:w="9460" w:type="dxa"/>
            <w:vAlign w:val="bottom"/>
            <w:gridSpan w:val="26"/>
          </w:tcPr>
          <w:p>
            <w:pPr>
              <w:ind w:left="40"/>
              <w:spacing w:after="0"/>
              <w:rPr>
                <w:sz w:val="20"/>
                <w:szCs w:val="20"/>
                <w:color w:val="auto"/>
              </w:rPr>
            </w:pPr>
            <w:r>
              <w:rPr>
                <w:rFonts w:ascii="Arial" w:cs="Arial" w:eastAsia="Arial" w:hAnsi="Arial"/>
                <w:sz w:val="18"/>
                <w:szCs w:val="18"/>
                <w:b w:val="1"/>
                <w:bCs w:val="1"/>
                <w:color w:val="auto"/>
              </w:rPr>
              <w:t>BUSINESS</w:t>
            </w: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Report on Form 10-K contains forward-looking statements regarding us and our business, financial condition, results of operations and prospects within the meaning of the Private Securities Litigation Reform Act of 1995.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some cases, you can identify forward-looking statements by terminology, such as “goals,” “expects,” “anticipates,” “intends,” “plans,” “believes,” “seeks,” “estimates,” “may,” “could,” “should,” “would,” “predicts,” “appears,” “projects,” or the negative of such terms or other similar expressions. Factors that could cause or contribute to differences in results and outcomes from those in our forward-looking statements include, without limitation, those discussed elsewhere in this Report in Part I, Item 1A. “Risk Factors” and in this Item 1, as well as those discussed in our other Securities and Exchange Commission (SEC) filings. We undertake no obligation to (and expressly disclaim any obligation to) revise or update any forward-looking statements made herein whether as a result of new information, future events or otherwise. However, you should consult any further disclosures we may make on these or related topics in our reports on Form 8-K or Form 10-Q filed with the SEC.</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discussions should be read in conjunction with the sections of this Report entitled “Management’s Discussion and Analysis of Financial Condition and Results of Operations” and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 xml:space="preserve">We offer our customers “one source for asset protection solutions”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proprietary data analysis and enterprise inspection database management warehousing software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w:t>
      </w:r>
    </w:p>
    <w:p>
      <w:pPr>
        <w:sectPr>
          <w:pgSz w:w="11900" w:h="16883" w:orient="portrait"/>
          <w:cols w:equalWidth="0" w:num="1">
            <w:col w:w="11460"/>
          </w:cols>
          <w:pgMar w:left="240" w:top="351" w:right="199" w:bottom="0" w:gutter="0" w:footer="0" w:header="0"/>
        </w:sectPr>
      </w:pPr>
    </w:p>
    <w:bookmarkStart w:id="2" w:name="page3"/>
    <w:bookmarkEnd w:id="2"/>
    <w:p>
      <w:pPr>
        <w:ind w:right="60"/>
        <w:spacing w:after="0" w:line="297" w:lineRule="auto"/>
        <w:rPr>
          <w:sz w:val="20"/>
          <w:szCs w:val="20"/>
          <w:color w:val="auto"/>
        </w:rPr>
      </w:pPr>
      <w:r>
        <w:rPr>
          <w:rFonts w:ascii="Arial" w:cs="Arial" w:eastAsia="Arial" w:hAnsi="Arial"/>
          <w:sz w:val="16"/>
          <w:szCs w:val="16"/>
          <w:color w:val="auto"/>
        </w:rPr>
        <w:t>alternative, renewable, and transmission and distribution), public infrastructure, chemicals, commercial aerospace and defense, transportation, primary metals and metalworking, pharmaceutical/biotechnology, food processing industries and research and engineering institutions. As of May 31, 2013, we had approximately 4,400 employees, including approximately 30 Ph.D.’s and 100 other degreed engineers and certified Level III technicians, in approximately 100 offices across 16 countries. We have established long-term relationships as a critical solutions provider to many of the leading companies in our target markets. The following chart represents the percentage of consolidated revenues we generated from our various markets for fiscal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Revenues by End Market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142875</wp:posOffset>
            </wp:positionV>
            <wp:extent cx="6174740" cy="3070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474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asset protection solutions continuously evolve over time as we combine the disciplines of NDT, DT, PdM, MI services and data analysis and enterprise inspection warehousing software to provide value to our customers. The foundation of our business is NDT, which is the examination of assets without impacting current and future usefulness or impairing the integrity of these assets. The ability to inspect infrastructure assets and not interfere with their operating performance makes NDT a highly attractive alternative to many traditional intrusive inspection techniques, which may require dismantling equipment or shutting down a plant, mill or site. Our MI services are a systematic engineering-based approach to developing best practices for ensuring the on-going integrity and safety of equipment and industrial facilities. MI services involve conducting an inventory of infrastructure assets, developing and implementing inspection and maintenance procedures, training personnel in executing these procedures and managing inspections, testing and assessments of customer assets. By assisting customers in implementing MI programs we enable them to identify gaps between existing and desired practices, find and track deficiencies and degradations to be corrected and establish quality assurance standards for fabrication, engineering and installation of infrastructure assets. We believe our MI services improve plant safety and reliability and regulatory compliance, and in so doing reduce maintenance costs. Our solutions also incorporate comprehensive Risk Based Inspection (RBI) data analysis from our proprietary asset protection software to provide customers with detailed, integrated and cost-effective solutions that rate the risks of alternative maintenance approaches and recommend actions in accordance with consensus industry codes and standards and help to establish and support key performance indicators (KPI’s) to ensure continued safe and economic operations.</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We differentiate ourselves by delivering these solutions under our </w:t>
      </w:r>
      <w:r>
        <w:rPr>
          <w:rFonts w:ascii="Arial" w:cs="Arial" w:eastAsia="Arial" w:hAnsi="Arial"/>
          <w:sz w:val="17"/>
          <w:szCs w:val="17"/>
          <w:i w:val="1"/>
          <w:iCs w:val="1"/>
          <w:color w:val="auto"/>
        </w:rPr>
        <w:t>“One Source”</w:t>
      </w:r>
      <w:r>
        <w:rPr>
          <w:rFonts w:ascii="Arial" w:cs="Arial" w:eastAsia="Arial" w:hAnsi="Arial"/>
          <w:sz w:val="17"/>
          <w:szCs w:val="17"/>
          <w:color w:val="auto"/>
        </w:rPr>
        <w:t xml:space="preserve"> umbrella, utilizing a proven systematic method that creates a closed loop life cycle for addressing continuous asset protection and improvement. Under this business model, customers outsource their inspection to us on a “run and maintain” basis. As a global asset protection leader, we provide a comprehensive range of solutions that includes:</w:t>
      </w:r>
    </w:p>
    <w:p>
      <w:pPr>
        <w:spacing w:after="0" w:line="166" w:lineRule="exact"/>
        <w:rPr>
          <w:sz w:val="20"/>
          <w:szCs w:val="20"/>
          <w:color w:val="auto"/>
        </w:rPr>
      </w:pPr>
    </w:p>
    <w:p>
      <w:pPr>
        <w:ind w:left="660" w:right="520" w:hanging="328"/>
        <w:spacing w:after="0" w:line="308" w:lineRule="auto"/>
        <w:tabs>
          <w:tab w:leader="none" w:pos="6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traditional and advanced outsourced NDT services conducted by our technicians, mechanical integrity assessments, above-ground storage tank inspection, pipeline inspection and American Petroleum Institute (API) visual inspections and PdM program development;</w:t>
      </w:r>
    </w:p>
    <w:p>
      <w:pPr>
        <w:spacing w:after="0" w:line="146" w:lineRule="exact"/>
        <w:rPr>
          <w:rFonts w:ascii="Arial" w:cs="Arial" w:eastAsia="Arial" w:hAnsi="Arial"/>
          <w:sz w:val="17"/>
          <w:szCs w:val="17"/>
          <w:color w:val="auto"/>
        </w:rPr>
      </w:pPr>
    </w:p>
    <w:p>
      <w:pPr>
        <w:ind w:left="660" w:right="300" w:hanging="328"/>
        <w:spacing w:after="0" w:line="302" w:lineRule="auto"/>
        <w:tabs>
          <w:tab w:leader="none" w:pos="624" w:val="left"/>
        </w:tabs>
        <w:numPr>
          <w:ilvl w:val="0"/>
          <w:numId w:val="1"/>
        </w:numPr>
        <w:rPr>
          <w:rFonts w:ascii="Arial" w:cs="Arial" w:eastAsia="Arial" w:hAnsi="Arial"/>
          <w:sz w:val="16"/>
          <w:szCs w:val="16"/>
          <w:color w:val="auto"/>
        </w:rPr>
      </w:pPr>
      <w:r>
        <w:rPr>
          <w:rFonts w:ascii="Arial" w:cs="Arial" w:eastAsia="Arial" w:hAnsi="Arial"/>
          <w:sz w:val="16"/>
          <w:szCs w:val="16"/>
          <w:color w:val="auto"/>
        </w:rPr>
        <w:t>destructive testing (DT) is a definitive discipline in material testing, taking specimens through to mechanical failure while examining a host of factors. Hardness, stiffness and strength are a few key indicators drawn from destructive tests per customer specifications. DT is a strength of our recent acquisition, Mistras-GMA in Germany, which specializes in an array of destructive testing applications utilized throughout the materials selection and approval process in the aerospace, automotive, chemical, oil &amp; gas and power generation industries. Example testing includes;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80" w:hanging="320"/>
        <w:spacing w:after="0" w:line="256"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Mechanical tests — Materials, specimens and even composites are subjected to increasing levels of tension, compression, shear and peeling until failure. There are a number of variations of mechanical testing in which adding temperature, strain, unidirectional load or shear can provide useful results</w:t>
      </w:r>
    </w:p>
    <w:p>
      <w:pPr>
        <w:ind w:left="1300" w:right="60" w:hanging="320"/>
        <w:spacing w:after="0" w:line="255"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Physical/Chemical — Used to examine specific material and thermal characteristics as well as chemical compositions, including differential scanning calorimetry (DSC), high performance liquid chromatography, fiber volume content and fourier transformation infrared spectroscopy (FTIR)</w:t>
      </w:r>
    </w:p>
    <w:p>
      <w:pPr>
        <w:sectPr>
          <w:pgSz w:w="11900" w:h="16838" w:orient="portrait"/>
          <w:cols w:equalWidth="0" w:num="1">
            <w:col w:w="11420"/>
          </w:cols>
          <w:pgMar w:left="240" w:top="125" w:right="239" w:bottom="0" w:gutter="0" w:footer="0" w:header="0"/>
        </w:sectPr>
      </w:pPr>
    </w:p>
    <w:bookmarkStart w:id="3" w:name="page4"/>
    <w:bookmarkEnd w:id="3"/>
    <w:p>
      <w:pPr>
        <w:spacing w:after="0" w:line="69" w:lineRule="exact"/>
        <w:rPr>
          <w:sz w:val="20"/>
          <w:szCs w:val="20"/>
          <w:color w:val="auto"/>
        </w:rPr>
      </w:pPr>
    </w:p>
    <w:p>
      <w:pPr>
        <w:ind w:left="1300" w:hanging="320"/>
        <w:spacing w:after="0" w:line="277" w:lineRule="auto"/>
        <w:tabs>
          <w:tab w:leader="none" w:pos="1264" w:val="left"/>
        </w:tabs>
        <w:numPr>
          <w:ilvl w:val="1"/>
          <w:numId w:val="3"/>
        </w:numPr>
        <w:rPr>
          <w:rFonts w:ascii="Arial" w:cs="Arial" w:eastAsia="Arial" w:hAnsi="Arial"/>
          <w:sz w:val="18"/>
          <w:szCs w:val="18"/>
          <w:color w:val="auto"/>
        </w:rPr>
      </w:pPr>
      <w:r>
        <w:rPr>
          <w:rFonts w:ascii="Arial" w:cs="Arial" w:eastAsia="Arial" w:hAnsi="Arial"/>
          <w:sz w:val="18"/>
          <w:szCs w:val="18"/>
          <w:color w:val="auto"/>
        </w:rPr>
        <w:t>Materialography — Gives an insight into the geometries of structural composites, which presents an inside track with regards to determining failure mechanisms and asset lifespan expectations.</w:t>
      </w:r>
    </w:p>
    <w:p>
      <w:pPr>
        <w:spacing w:after="0" w:line="170" w:lineRule="exact"/>
        <w:rPr>
          <w:rFonts w:ascii="Arial" w:cs="Arial" w:eastAsia="Arial" w:hAnsi="Arial"/>
          <w:sz w:val="18"/>
          <w:szCs w:val="18"/>
          <w:color w:val="auto"/>
        </w:rPr>
      </w:pPr>
    </w:p>
    <w:p>
      <w:pPr>
        <w:ind w:left="640" w:right="600" w:hanging="308"/>
        <w:spacing w:after="0" w:line="277" w:lineRule="auto"/>
        <w:tabs>
          <w:tab w:leader="none" w:pos="603"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advanced asset protection solutions, in most cases involving proprietary acoustic emission (AE), digital radiography, infrared, wireless and/or automated ultrasonic inspections and sensors, which are operated by our highly trained technicians;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proprietary and customized portfolio of software products for testing and analyzing data captured in real-time by our technicians and sensors, including advanced features such as pattern recognition and neural networks;</w:t>
      </w:r>
    </w:p>
    <w:p>
      <w:pPr>
        <w:spacing w:after="0" w:line="170" w:lineRule="exact"/>
        <w:rPr>
          <w:rFonts w:ascii="Arial" w:cs="Arial" w:eastAsia="Arial" w:hAnsi="Arial"/>
          <w:sz w:val="18"/>
          <w:szCs w:val="18"/>
          <w:color w:val="auto"/>
        </w:rPr>
      </w:pPr>
    </w:p>
    <w:p>
      <w:pPr>
        <w:ind w:left="660" w:right="580" w:hanging="328"/>
        <w:spacing w:after="0" w:line="312"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enterprise software and relational databases to store and analyze inspection data, comparing it to prior operations and testing of similar assets, industrial standards and specific risk conditions, such as use with highly flammable or corrosive materials, and developing asset integrity management plans based on risk-based inspection that specify an optimal schedule for the testing, maintenance and retirement of assets;</w:t>
      </w:r>
    </w:p>
    <w:p>
      <w:pPr>
        <w:spacing w:after="0" w:line="146" w:lineRule="exact"/>
        <w:rPr>
          <w:rFonts w:ascii="Arial" w:cs="Arial" w:eastAsia="Arial" w:hAnsi="Arial"/>
          <w:sz w:val="16"/>
          <w:szCs w:val="16"/>
          <w:color w:val="auto"/>
        </w:rPr>
      </w:pPr>
    </w:p>
    <w:p>
      <w:pPr>
        <w:ind w:left="660" w:right="8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on-line monitoring systems that provide secure web-based remote or on-site asset inspection, real-time reports and analysis of plant or enterprise-wide structural integrity data, comparison of integrity data to our library of historical inspection data and analysis to better assess structural integrity and provide alerts for and prioritize future inspections and maintenance; and</w:t>
      </w:r>
    </w:p>
    <w:p>
      <w:pPr>
        <w:spacing w:after="0" w:line="181" w:lineRule="exact"/>
        <w:rPr>
          <w:rFonts w:ascii="Arial" w:cs="Arial" w:eastAsia="Arial" w:hAnsi="Arial"/>
          <w:sz w:val="18"/>
          <w:szCs w:val="18"/>
          <w:color w:val="auto"/>
        </w:rPr>
      </w:pPr>
    </w:p>
    <w:p>
      <w:pPr>
        <w:ind w:left="660" w:right="40" w:hanging="328"/>
        <w:spacing w:after="0" w:line="297"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in-house testing services: Mistras’ in-house inspection services provide cost-effective, efficient solutions that improve the integrity and lifespan of critical assets featuring a dynamic suite of testing and inspection services. With a network of 15 in-house laboratories, Mistras provides a one-stop shop for traditional (NDT), advanced non-destructive testing (ANDT), and destructive testing (DT) of materials and fabricated structures by offering a complete inspection package — from preparation and production all the way to post-processing. These capabilities are available through our state-of-the-art testing equipment and expertise in our grid of in-house testing laboratories across the U.S.A., Canada and Europe.</w:t>
      </w:r>
    </w:p>
    <w:p>
      <w:pPr>
        <w:spacing w:after="0" w:line="15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labs hold a wide variety of certifications that allow them to perform inspections to meet or exceed stringent regulatory requirements, such as: NADCAP, AS9100/ISO-9001, FAA Repair Station and ITAR/EAR. With these certifications comes a comprehensive range of approvals from Prime Contractors, the military, and internationally renowned products and systems manufactures from aerospace to nuclear energy; transportation to petrochemical industries.</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offer our customers a customized package of services, products and systems, or our enterprise software and other niche high-value products on a stand-alone basis. For example, customers can purchase most of our sensors and accompanying software to integrate with their own systems, or they can purchase a complete turn-key solution, including installation, monitoring and assessment services. Importantly, however, we do not sell certain of our advanced and proprietary software and other products as stand-alone offerings; instead, we embed them in our comprehensive service offerings to protect our investment in intellectual property while providing an added value which generates a substantial source of recurring revenues.</w:t>
      </w:r>
    </w:p>
    <w:p>
      <w:pPr>
        <w:spacing w:after="0" w:line="173"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We generated revenues of $529.3 million, $436.9 million and $338.6 million, net income of $11.6 million, $21.4 million and $16.4 million, and adjusted EBITDA of $68.3 million, $65.2 million and $52.3 million for fiscal 2013, 2012 and 2011, respectively. An explanation of adjusted EBITDA and a reconciliation of these amounts to net income are set forth in Item 6 - Selected Financial Data. For fiscal 2013, we generated approximately 72% of our revenues from our Services segment. Our revenues are diversified, with our top ten customers accounting for approximately 34%, 39% and 44% of our revenues during fiscal 2013, 2012 and 2011,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Protection Industry Overview</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Asset protection is a large and rapidly growing industry that consists of NDT inspection, DT inspection, PdM and MI services and inspection data warehousing and analysis. NDT plays a crucial role in assuring the operational and structural integrity and reliability of critical infrastructure without compromising the usefulness of the tested materials or equipment. The evolution of NDT services, in combination with broader industry trends, including increased asset utilization and aging of infrastructure, the desire by companies to extend the useful life of their existing infrastructure, new construction projects, enhanced government regulation and the shortage of certified NDT professionals, have made NDT an integral and increasingly outsourced part of many asset-intensive industries. Well-publicized industrial and public infrastructure failures and accidents such as the Deepwater Horizon oil spill in the Gulf of Mexico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I-35W Mississippi River bridge collapse in Minnesota continues to raise the level of safety and environmental awareness of regulators, and owners and operators are recognizing the benefits that asset protection solutions can provide.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Historically, NDT solutions predominantly used qualitative testing methods aimed primarily at detecting defects in the tested materials. This methodology, which we categorize as “traditional NDT,” is typically labor intensive and, as a result, considerably dependent upon the availability and skill level of the certified technicians, engineers and scientists performing the inspection services. The traditional NDT market has been highly fragmented, with a significant number of small vendors providing inspection services to divisions of companies or local governments situated in close proximity to the vendor’s field inspection engineers and technicians. The current trend, however, is for customers to look for a select few vendors capable of providing a wider spectrum of asset protection solutions for global infrastructure that we call “one source”. This shift in underlying demand, which began in the early 1990s, has contributed to a transition from traditional NDT solutions to more advanced solutions that employ automated digital sensor technologies and accompanying enterprise software, allowing for the effective capture, storage, analysis and reporting of inspection and engineering results electronically and in digital formats. These advanced techniques, taken together with advances in wired and wireless communication and information technologies, have further enabled the development of remote monitoring systems, asset-management and predictive maintenance capabilities and other data analytics and management. We believe that as advanced asset protection solutions continue to gain acceptance among asset-intensive organizations, those vendors offering broad, complete and integrated solutions, scalable operations and a global footprint will have a distinct competitive advantage. Moreover, we believe that vendors that are able to effectively deliver both advanced solutions and data analytics, by virtue of their access to customers’ data, create a significant barrier to entry for competitors, and lead the opportunity to create significant recurring revenues.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represent key dynamics driving the growth of the asset protection industry:</w:t>
      </w:r>
    </w:p>
    <w:p>
      <w:pPr>
        <w:spacing w:after="0" w:line="225" w:lineRule="exact"/>
        <w:rPr>
          <w:sz w:val="20"/>
          <w:szCs w:val="20"/>
          <w:color w:val="auto"/>
        </w:rPr>
      </w:pPr>
    </w:p>
    <w:p>
      <w:pPr>
        <w:jc w:val="both"/>
        <w:ind w:left="720" w:right="220" w:hanging="388"/>
        <w:spacing w:after="0" w:line="342"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Extending the Useful Life of Aging Infrastructure. </w:t>
      </w:r>
      <w:r>
        <w:rPr>
          <w:rFonts w:ascii="Arial" w:cs="Arial" w:eastAsia="Arial" w:hAnsi="Arial"/>
          <w:sz w:val="16"/>
          <w:szCs w:val="16"/>
          <w:color w:val="auto"/>
        </w:rPr>
        <w:t>The prohibitive cost and challenge of building new infrastructure has resulted in the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aging of existing infrastructure and caused companies to seek ways to extend the useful life of existing assets. For example, due to the significant</w:t>
      </w:r>
    </w:p>
    <w:p>
      <w:pPr>
        <w:sectPr>
          <w:pgSz w:w="11900" w:h="16908" w:orient="portrait"/>
          <w:cols w:equalWidth="0" w:num="1">
            <w:col w:w="11400"/>
          </w:cols>
          <w:pgMar w:left="240" w:top="125" w:right="259" w:bottom="0" w:gutter="0" w:footer="0" w:header="0"/>
        </w:sectPr>
      </w:pPr>
    </w:p>
    <w:bookmarkStart w:id="4" w:name="page5"/>
    <w:bookmarkEnd w:id="4"/>
    <w:p>
      <w:pPr>
        <w:ind w:left="720" w:right="20"/>
        <w:spacing w:after="0" w:line="272" w:lineRule="auto"/>
        <w:rPr>
          <w:sz w:val="20"/>
          <w:szCs w:val="20"/>
          <w:color w:val="auto"/>
        </w:rPr>
      </w:pPr>
      <w:r>
        <w:rPr>
          <w:rFonts w:ascii="Arial" w:cs="Arial" w:eastAsia="Arial" w:hAnsi="Arial"/>
          <w:sz w:val="17"/>
          <w:szCs w:val="17"/>
          <w:color w:val="auto"/>
        </w:rPr>
        <w:t>cost associated with constructing new refineries, stringent environmental regulations which have increased the costs of managing them and difficulty in finding suitable locations on which to build them, no new refineries have been constructed in the United States since 1976. Another example is in the area of power transmission and distribution. The Smart Grid initiative in the United States is causing increased loading on aging transformers that are more than 40 years old in many cases. The need to test and monitor these units to ensure their reliability until replacement is instrumental in support of a reliable Smart Grid network. Because aging infrastructure requires relatively higher levels of maintenance and repair in comparison to new infrastructure, as well as more frequent, extensive and ongoing testing, companies and public authorities are increasing spending to ensure the operational and structural integrity of existing infrastructure.</w:t>
      </w:r>
    </w:p>
    <w:p>
      <w:pPr>
        <w:spacing w:after="0" w:line="178" w:lineRule="exact"/>
        <w:rPr>
          <w:sz w:val="20"/>
          <w:szCs w:val="20"/>
          <w:color w:val="auto"/>
        </w:rPr>
      </w:pPr>
    </w:p>
    <w:p>
      <w:pPr>
        <w:ind w:left="720" w:right="160" w:hanging="388"/>
        <w:spacing w:after="0" w:line="276" w:lineRule="auto"/>
        <w:tabs>
          <w:tab w:leader="none" w:pos="687"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Outsourcing of Non-Core Activities and Technical Resource Constraints. </w:t>
      </w:r>
      <w:r>
        <w:rPr>
          <w:rFonts w:ascii="Arial" w:cs="Arial" w:eastAsia="Arial" w:hAnsi="Arial"/>
          <w:sz w:val="17"/>
          <w:szCs w:val="17"/>
          <w:color w:val="auto"/>
        </w:rPr>
        <w:t>The increasing sophistication and automation of NDT programs,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with a decreasing supply of skilled professionals and stricter governmental regulations, has caused many companies and public authorities to outsource NDT and other services rather than recruit and train such capabilities internally. Owners and operators of infrastructure are increasingly contracting with third party providers that have the necessary technical product portfolio, engineering expertise, technical workforce and proven track record of results-oriented performance to effectively meet their increasing requirements.</w:t>
      </w:r>
    </w:p>
    <w:p>
      <w:pPr>
        <w:spacing w:after="0" w:line="172" w:lineRule="exact"/>
        <w:rPr>
          <w:rFonts w:ascii="Arial" w:cs="Arial" w:eastAsia="Arial" w:hAnsi="Arial"/>
          <w:sz w:val="17"/>
          <w:szCs w:val="17"/>
          <w:color w:val="auto"/>
        </w:rPr>
      </w:pPr>
    </w:p>
    <w:p>
      <w:pPr>
        <w:ind w:left="720" w:hanging="388"/>
        <w:spacing w:after="0" w:line="291" w:lineRule="auto"/>
        <w:tabs>
          <w:tab w:leader="none" w:pos="687"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Increasing Asset and Capacity Utilization. </w:t>
      </w:r>
      <w:r>
        <w:rPr>
          <w:rFonts w:ascii="Arial" w:cs="Arial" w:eastAsia="Arial" w:hAnsi="Arial"/>
          <w:sz w:val="16"/>
          <w:szCs w:val="16"/>
          <w:color w:val="auto"/>
        </w:rPr>
        <w:t>Due to high energy prices, the availability of new and inexpensive sources of raw materials, high repair</w:t>
      </w:r>
      <w:r>
        <w:rPr>
          <w:rFonts w:ascii="Arial" w:cs="Arial" w:eastAsia="Arial" w:hAnsi="Arial"/>
          <w:sz w:val="16"/>
          <w:szCs w:val="16"/>
          <w:i w:val="1"/>
          <w:iCs w:val="1"/>
          <w:color w:val="auto"/>
        </w:rPr>
        <w:t xml:space="preserve"> </w:t>
      </w:r>
      <w:r>
        <w:rPr>
          <w:rFonts w:ascii="Arial" w:cs="Arial" w:eastAsia="Arial" w:hAnsi="Arial"/>
          <w:sz w:val="16"/>
          <w:szCs w:val="16"/>
          <w:color w:val="auto"/>
        </w:rPr>
        <w:t>and replacement costs and the limited construction of new infrastructure, existing infrastructure in some of our target markets is being used at higher capacities, causing increased stress and fatigue that accelerate deterioration. These higher prices and costs also motivate our customers to complete repairs, maintenance, replacements and upgrades more quickly. For example, increasing demand for refined petroleum products, combined with high plant utilization rates, is driving refineries to upgrade facilities to make them more efficient and expand capacity. In order to sustain high capacity utilization rates, customers are increasingly using asset protection solutions to efficiently ensure the integrity and safety of their assets. Implementation of asset protection solutions can also lead to increased productivity as a result of reduced maintenance-related downtime.</w:t>
      </w:r>
    </w:p>
    <w:p>
      <w:pPr>
        <w:spacing w:after="0" w:line="167" w:lineRule="exact"/>
        <w:rPr>
          <w:rFonts w:ascii="Arial" w:cs="Arial" w:eastAsia="Arial" w:hAnsi="Arial"/>
          <w:sz w:val="16"/>
          <w:szCs w:val="16"/>
          <w:color w:val="auto"/>
        </w:rPr>
      </w:pPr>
    </w:p>
    <w:p>
      <w:pPr>
        <w:ind w:left="720" w:right="60" w:hanging="388"/>
        <w:spacing w:after="0" w:line="257" w:lineRule="auto"/>
        <w:tabs>
          <w:tab w:leader="none" w:pos="68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Increasing Corrosion from Low-Quality Inputs. </w:t>
      </w:r>
      <w:r>
        <w:rPr>
          <w:rFonts w:ascii="Arial" w:cs="Arial" w:eastAsia="Arial" w:hAnsi="Arial"/>
          <w:sz w:val="18"/>
          <w:szCs w:val="18"/>
          <w:color w:val="auto"/>
        </w:rPr>
        <w:t>High commodities prices and increasing energy demands have led to the use of lower grade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and feedstock’s used in refinery and power generation processes. These lower grade raw materials and feedstock’s, especially in the case of the refining process dealing with higher sulfur content petroleum, can rapidly corrode the infrastructure they come into contact with, which in turn increases the need for asset protection solutions to identify such corrosion and enable infrastructure owners to proactively combat the problems caused by such corrosion.</w:t>
      </w:r>
    </w:p>
    <w:p>
      <w:pPr>
        <w:spacing w:after="0" w:line="188" w:lineRule="exact"/>
        <w:rPr>
          <w:rFonts w:ascii="Arial" w:cs="Arial" w:eastAsia="Arial" w:hAnsi="Arial"/>
          <w:sz w:val="18"/>
          <w:szCs w:val="18"/>
          <w:color w:val="auto"/>
        </w:rPr>
      </w:pPr>
    </w:p>
    <w:p>
      <w:pPr>
        <w:ind w:left="720" w:right="60" w:hanging="388"/>
        <w:spacing w:after="0" w:line="277" w:lineRule="auto"/>
        <w:tabs>
          <w:tab w:leader="none" w:pos="68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Increasing Use of Advanced Materials. </w:t>
      </w:r>
      <w:r>
        <w:rPr>
          <w:rFonts w:ascii="Arial" w:cs="Arial" w:eastAsia="Arial" w:hAnsi="Arial"/>
          <w:sz w:val="18"/>
          <w:szCs w:val="18"/>
          <w:color w:val="auto"/>
        </w:rPr>
        <w:t>Customers in our target markets are increasingly utilizing advanced materials, such as composites,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unique technologies in the manufacturing and construction of new infrastructure and aerospace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right="100"/>
        <w:spacing w:after="0" w:line="257" w:lineRule="auto"/>
        <w:rPr>
          <w:sz w:val="20"/>
          <w:szCs w:val="20"/>
          <w:color w:val="auto"/>
        </w:rPr>
      </w:pPr>
      <w:r>
        <w:rPr>
          <w:rFonts w:ascii="Arial" w:cs="Arial" w:eastAsia="Arial" w:hAnsi="Arial"/>
          <w:sz w:val="18"/>
          <w:szCs w:val="18"/>
          <w:color w:val="auto"/>
        </w:rPr>
        <w:t>applications. As a result, they require advanced testing, assessment and maintenance technologies to inspect and to protect these assets, since many of these advanced materials cannot be tested using traditional NDT techniques. We believe that demand for NDT solutions will increase as companies and public authorities continue to use these advanced materials, not only during the operating phase of the lifecycle of their assets, but also during the design, manufacturing and quality control phases and are more frequently integrating and embedding sensors directly into the end product in support of total life cycle asset management.</w:t>
      </w:r>
    </w:p>
    <w:p>
      <w:pPr>
        <w:spacing w:after="0" w:line="188" w:lineRule="exact"/>
        <w:rPr>
          <w:sz w:val="20"/>
          <w:szCs w:val="20"/>
          <w:color w:val="auto"/>
        </w:rPr>
      </w:pPr>
    </w:p>
    <w:p>
      <w:pPr>
        <w:ind w:left="720" w:right="80" w:hanging="388"/>
        <w:spacing w:after="0" w:line="254" w:lineRule="auto"/>
        <w:tabs>
          <w:tab w:leader="none" w:pos="68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Meeting Safety Regulations. </w:t>
      </w:r>
      <w:r>
        <w:rPr>
          <w:rFonts w:ascii="Arial" w:cs="Arial" w:eastAsia="Arial" w:hAnsi="Arial"/>
          <w:sz w:val="18"/>
          <w:szCs w:val="18"/>
          <w:color w:val="auto"/>
        </w:rPr>
        <w:t>Owners and operators of infrastructure assets increasingly face strict government regulations and safety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to meet these standards can result in significant financial liabilities, increased scrutiny by Occupational Safety and Health Administration (OSHA) and other regulators, higher insurance premiums and tarnished corporate brand value. There have been several industrial accidents, including explosions and fires, in recent years. These accidents created significant damage to the reputation of refineries and coupled with concern by owners, led OSHA to strengthen process safety enforcement standards with the implementation of the National Emphasis Program (NEP) that also extends to chemical plants for compliance with applicable regulations. As a result, these owners and operators are seeking highly reliable asset protection suppliers with a proven track record of providing asset protection services, products and systems to assist them in meeting these increasingly stringent regulations.</w:t>
      </w:r>
    </w:p>
    <w:p>
      <w:pPr>
        <w:spacing w:after="0" w:line="192" w:lineRule="exact"/>
        <w:rPr>
          <w:rFonts w:ascii="Arial" w:cs="Arial" w:eastAsia="Arial" w:hAnsi="Arial"/>
          <w:sz w:val="18"/>
          <w:szCs w:val="18"/>
          <w:color w:val="auto"/>
        </w:rPr>
      </w:pPr>
    </w:p>
    <w:p>
      <w:pPr>
        <w:ind w:left="720" w:right="180" w:hanging="388"/>
        <w:spacing w:after="0" w:line="279" w:lineRule="auto"/>
        <w:tabs>
          <w:tab w:leader="none" w:pos="687"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Expanding Addressable End-Markets. </w:t>
      </w:r>
      <w:r>
        <w:rPr>
          <w:rFonts w:ascii="Arial" w:cs="Arial" w:eastAsia="Arial" w:hAnsi="Arial"/>
          <w:sz w:val="17"/>
          <w:szCs w:val="17"/>
          <w:color w:val="auto"/>
        </w:rPr>
        <w:t>Advances in NDT sensor technology and asset protection software based systems, and the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emergence of new technologies, are creating increased demand for asset protection solutions in applications where existing techniques were previously ineffective. Further, we expect increased demand in relatively new markets, such as the pharmaceutical and food processing industries, where infrastructure is now beginning to age to a point where significant maintenance may be required.</w:t>
      </w:r>
    </w:p>
    <w:p>
      <w:pPr>
        <w:spacing w:after="0" w:line="171" w:lineRule="exact"/>
        <w:rPr>
          <w:rFonts w:ascii="Arial" w:cs="Arial" w:eastAsia="Arial" w:hAnsi="Arial"/>
          <w:sz w:val="17"/>
          <w:szCs w:val="17"/>
          <w:color w:val="auto"/>
        </w:rPr>
      </w:pPr>
    </w:p>
    <w:p>
      <w:pPr>
        <w:ind w:left="720" w:right="240" w:hanging="388"/>
        <w:spacing w:after="0" w:line="286" w:lineRule="auto"/>
        <w:tabs>
          <w:tab w:leader="none" w:pos="687"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Expanding Addressable Geographies. </w:t>
      </w:r>
      <w:r>
        <w:rPr>
          <w:rFonts w:ascii="Arial" w:cs="Arial" w:eastAsia="Arial" w:hAnsi="Arial"/>
          <w:sz w:val="17"/>
          <w:szCs w:val="17"/>
          <w:color w:val="auto"/>
        </w:rPr>
        <w:t>We believe that a substantial driver of incremental demand will come from international markets,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Canada, Asia, Europe and Latin America. Specifically, as companies and governments in these markets build and maintain infrastructure and applications that require the use of asset protection solutions, we believe demand for our solutions will increase.</w:t>
      </w:r>
    </w:p>
    <w:p>
      <w:pPr>
        <w:spacing w:after="0" w:line="16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believe that the market available to us will continue to grow as a result of macro-market trends, including aging infrastructure, use of more advanced materials, such as composites, and the increasing outsourcing of asset protection solutions by companies who historically performed these services using internal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focus our sales, marketing and product development efforts on a range of infrastructure-intensive industries and governmental authorities. With our portfolio of asset protection services, products and systems, we can effectively serve our customer base throughout the lifecycle of their assets, beginning at the design stage, through the construction and maintenance phase and, as necessary, through the decommissioning of their infrastructure. In general, our largest market in broad terms is energy-related infrastructure.</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increase in world energy demand and prices from 2003 to 2012, combined with concerns about the environmental consequences of greenhouse gas emissions, has led to renewed interest in alternatives to traditional fossil fuels—particularly with the discovery of large shale gas reserves, which are considered by some as a clean energy alternative, has driven the increase in the use of natural gas to fuel gas turbines in combined cycle power generation plants.</w:t>
      </w:r>
    </w:p>
    <w:p>
      <w:pPr>
        <w:sectPr>
          <w:pgSz w:w="11900" w:h="16838" w:orient="portrait"/>
          <w:cols w:equalWidth="0" w:num="1">
            <w:col w:w="11420"/>
          </w:cols>
          <w:pgMar w:left="240" w:top="125" w:right="239" w:bottom="0" w:gutter="0" w:footer="0" w:header="0"/>
        </w:sectPr>
      </w:pPr>
    </w:p>
    <w:bookmarkStart w:id="5" w:name="page6"/>
    <w:bookmarkEnd w:id="5"/>
    <w:p>
      <w:pPr>
        <w:spacing w:after="0" w:line="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Long-term prospects continue to improve for generation from both nuclear and renewable energy sources—supported by government incentives, demand and by higher fossil fuel prices.</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Electricity from coal-fired generation, mainly in global emerging markets, is also expected to increase, making coal still the second fastest-growing source for electricity generation. The outlook for coal could be altered substantially by additional constraints and any future legislation that would reduce or limit the release of greenhouse gas emissions related to fossil fuels. There is a progressive shift from traditional gas energy to unconventional gas energy 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and Gas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Liquids including oil and gas remain the world’s largest energy source given their importance in the transportation and industrial end-use sectors. World crude oil and liquid fuels consumption will increase by estimated 1.0 million barrels per day in 2013 to 90 million barrels per day and 91.3 million barrels per day in 2014. The United States Energy Information Administration (EIA) expects that world liquid fuels consumption from countries outside the Organization of Petroleum Exporting Countries will increase by 1.1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barrels per day in 2013 and by 1.6 million barrels per day in 2014. With continued production growth from US tight-oil formations and Canadian oil sands, North America drives almost all the projected growth in non-OPEC supply over the next 2 years.</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The EIA reports in its </w:t>
      </w:r>
      <w:r>
        <w:rPr>
          <w:rFonts w:ascii="Arial" w:cs="Arial" w:eastAsia="Arial" w:hAnsi="Arial"/>
          <w:sz w:val="16"/>
          <w:szCs w:val="16"/>
          <w:i w:val="1"/>
          <w:iCs w:val="1"/>
          <w:color w:val="auto"/>
        </w:rPr>
        <w:t>International Energy Outlook 2013</w:t>
      </w:r>
      <w:r>
        <w:rPr>
          <w:rFonts w:ascii="Arial" w:cs="Arial" w:eastAsia="Arial" w:hAnsi="Arial"/>
          <w:sz w:val="16"/>
          <w:szCs w:val="16"/>
          <w:color w:val="auto"/>
        </w:rPr>
        <w:t xml:space="preserve"> that global energy demand will grow by 56 percent between 2010 and 2040. While nuclear and renewable energy are projected to be the fastest growing sources of supply, fossil fuels (coal, oil, and gas) are still expected to supply almost 80 percent of that demand in 2040. The International Energy Agency (IEA) is forecasting in its World Energy Outlook 2012 that the shale oil and gas boom in this country will make the United States the top oil and natural gas producer in the world. According to the IEA, the United States will become the world’s largest producer of oil by 2017 overtaking both Saudi Arabia and Russia. By 2030, North America will become a net exporter of oil and, by 2035, the United States becomes almost self-sufficient in energy. Globally, the IEA indicates that fossil fuels will dominate the world’s energy picture as it has in the past.</w:t>
      </w:r>
    </w:p>
    <w:p>
      <w:pPr>
        <w:spacing w:after="0" w:line="16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Because oil, gas, and coal will continue to be the primary energy sources during this time, the energy industry will have to continue increasing the supply of these fuels to meet this increasing demand. In addition, there were approximately 700 crude oil refineries in the world, with 141 refineries operating in the United States. High energy prices are driving consistently high utilization rates at these facilities. With aging infrastructure and growing capacity constraints, asset protection continues to grow as an indispensable tool in maintenance planning, quality control and prevention of catastrophic failure in refineries and petrochemical plants. Recent high oil and fossil fuel input prices have placed additional pressure on industry participants to increase capacity, focus on production efficiency and cost reductions and shorten shut-down time or “turnarounds.” Asset protection solutions are used for both off-stream inspections or inspection when the tested infrastructure is shut-down, and increasingly, on-stream inspections, or inspection when the tested infrastructure is operating at normal levels. While we expect off-stream inspection of vessels and piping during a plant shut-down or turnaround to remain a routine practice by companies in these industries, we expect the areas of greatest future growth to occur as a result of on-stream inspections and monitoring of facilities, such as offshore platforms, transport systems and oil and gas pipeline transmission lines, because of the substantial opportunity costs of shutting them down. On-stream inspection enables companies to avoid the costs associated with shutdowns during testing while enabling the economic and safety advantages of advanced planning or predictive maintenance.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Generation and Transmission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Asset protection in the power industry has traditionally been associated with the inspection of high-energy, critical steam piping, boilers, rotating equipment, and various other plant components, utility aerial man-lift devices, large transformer testing and various other applications for nuclear and fossil-fuel based power plants. We believe that in recent years the use of asset protection solutions have grown rapidly in this industry due to the aging of critical power generation and transmission infrastructure. For instance, the average age of a nuclear power plant in the United States is over 30 years. Furthermore, global demand for power generation and transmission has grown rapidly and is expected to continue, primarily as a result of the energy needs of emerging economies such as China and India. The areas of traditional power generation and transmission that we focus our efforts on are natural gas, fossil, nuclear, alternative, renewable, and wind.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Industries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process industries, or industries in which raw materials are treated or prepared in a series of stages, include chemicals, pharmaceuticals, food processing, paper and pulp and metals and mining, have a need for our products and services. As with oil and gas processing facilities, chemical processing facilities require significant spending on maintenance and monitoring. Given their aging infrastructure, growing capacity constraints and increasing capital costs, we believe asset protection solutions will continue to grow in importance in maintenance planning, quality and cost control and prevention of catastrophic failure in the chemicals industry. Although the pharmaceuticals and food processing industries have historically not employed asset protection solutions as much as other industries, we are now seeing these industries increase the use of asset protection solutions throughout their manufacturing and other processes.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Infrastructure, Research and Engineering</w:t>
      </w:r>
    </w:p>
    <w:p>
      <w:pPr>
        <w:spacing w:after="0" w:line="225" w:lineRule="exact"/>
        <w:rPr>
          <w:sz w:val="20"/>
          <w:szCs w:val="20"/>
          <w:color w:val="auto"/>
        </w:rPr>
      </w:pPr>
    </w:p>
    <w:p>
      <w:pPr>
        <w:jc w:val="both"/>
        <w:ind w:right="360"/>
        <w:spacing w:after="0" w:line="288" w:lineRule="auto"/>
        <w:rPr>
          <w:sz w:val="20"/>
          <w:szCs w:val="20"/>
          <w:color w:val="auto"/>
        </w:rPr>
      </w:pPr>
      <w:r>
        <w:rPr>
          <w:rFonts w:ascii="Arial" w:cs="Arial" w:eastAsia="Arial" w:hAnsi="Arial"/>
          <w:sz w:val="16"/>
          <w:szCs w:val="16"/>
          <w:color w:val="auto"/>
        </w:rPr>
        <w:t>We believe that high profile infrastructure catastrophes, such as the collapse of the I-35W Mississippi River Bridge in Minneapolis and others since, have caused public authorities to more actively seek ways to prevent similar events from occurring. Public authorities tasked with the construction of new, and maintenance of existing, public infrastructure, including bridges and highways, increasingly use asset protection solutions to test and inspect these assets.</w:t>
      </w:r>
    </w:p>
    <w:p>
      <w:pPr>
        <w:ind w:right="200"/>
        <w:spacing w:after="0" w:line="271" w:lineRule="auto"/>
        <w:rPr>
          <w:sz w:val="20"/>
          <w:szCs w:val="20"/>
          <w:color w:val="auto"/>
        </w:rPr>
      </w:pPr>
      <w:r>
        <w:rPr>
          <w:rFonts w:ascii="Arial" w:cs="Arial" w:eastAsia="Arial" w:hAnsi="Arial"/>
          <w:sz w:val="17"/>
          <w:szCs w:val="17"/>
          <w:color w:val="auto"/>
        </w:rPr>
        <w:t>Importantly, these authorities now employ asset protection solutions throughout the life of these assets, from their original design and construction, with the use of embedded sensing devices to enable on-line monitoring, through ongoing maintenance requirements. With more than 151,000 bridges in the United States — almost 25 percent — classified as structurally deficient or functionally obsolete by the Federal Highway Agency (FHWA), the need for structural health monitoring has never been greater. An immediate “cost-beneficial” investment aimed at replacing or repairing deficient bridges may cost as much as $70 billion, according to the U.S. Department of Transportation.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6" w:name="page7"/>
    <w:bookmarkEnd w:id="6"/>
    <w:p>
      <w:pPr>
        <w:ind w:right="40"/>
        <w:spacing w:after="0" w:line="272" w:lineRule="auto"/>
        <w:rPr>
          <w:sz w:val="20"/>
          <w:szCs w:val="20"/>
          <w:color w:val="auto"/>
        </w:rPr>
      </w:pPr>
      <w:r>
        <w:rPr>
          <w:rFonts w:ascii="Arial" w:cs="Arial" w:eastAsia="Arial" w:hAnsi="Arial"/>
          <w:sz w:val="17"/>
          <w:szCs w:val="17"/>
          <w:color w:val="auto"/>
        </w:rPr>
        <w:t>This is a target market for our application technology and experience. Over the last ten years, we have provided testing and health monitoring on hundreds of bridges and structures worldwide, among which include some of the largest and well-known bridges in the United Kingdom, California, Pennsylvania and the greater New York metropolitan area. Commencing in fiscal 2011, we have been providing a continuous on-line Structural Health Monitoring System to the California Department of Transportation that is monitoring the San Francisco Oakland Bay Bridge. As a result of our continued efforts to offer cost-effective application technology to address the need for increased safety measures, we continue to develop products as a result of a $6.9 million project awarded in 2009 under the National Institute of Standards and Technology (NIST) Innovation Program that is intended to bring a transformational impact in the area of civil infrastructure structural health monitoring using affordable self-powered wireless sensors.</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use of asset protection solutions within the transportation industry is primarily focused in the automotive and rail segments. Within the automotive segment, manufacturers use asset protection solutions throughout the entire design and development process, including the inspection of raw material inputs, during in-process manufacturing and, finally, during end-product testing and analysis. Although asset protection technologies have been utilized in the automobile industry for a number of decades, we believe growth in this market will increase as automobile manufacturers begin to outsource their asset protection requirements and take advantage of new technologies that enable them to more thoroughly inspect their products throughout the manufacturing process, reduce costs and shorten time to market. Within the rail subdivision, asset protection solutions are used primarily to test rails and passenger and tank cars.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Aerospace and Defense</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operational safety, reliability, structural integrity and maintenance of aircraft and associated products is critical to the aerospace and defense industries. Industry participants increasingly use asset protection solutions to perform inspections upon delivery, and also periodically employ asset protection solutions during the operational service of aircraft, using advanced ultrasonic immersion systems or digital radiography in order to precisely detect structural defects. Industry participants also use asset protection solutions for the inspection of advanced composites found in new classes of aircraft, x-ray of critical engine components, ultrasonic fatigue testing of complete aircraft structures, corrosion detection and on-board monitoring of landing gear and other critical components. We expect increased demand for our solutions including our destructive testing business from the aerospace industry to result from wider use of these advanced composites and distributed on-line sensor networks and other embedded analytical applications built into the structure of assets to enable real-time performance monitoring and condition-based maintenance. We serve this rapidly growing target market by providing our state of the art fully integrated inspection systems to original equipment manufacturers (OEMs). For the OEM that prefers to outsource this inspection we provide a full range of in-house services through our four regional facilities that combined have eighteen immersion inspection tank systems and two gantry systems. These facilities have obtained numerous accreditations and certifications required to meet the stringent inspection criteria that this industry demands.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quality control requirements driven by the low defect tolerance within automated, robotic intensive metalwork industries, such as screw machining, serve as key drivers for the recent growth of NDT technologies, such as ultrasonics and radiography. We expect that increasingly stringent quality control requirements and competitive forces will drive the demand for more costly finishing and polishing which, in turn, will promote greater use of NDT throughout the production lifecycle.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170" w:lineRule="exact"/>
        <w:rPr>
          <w:sz w:val="20"/>
          <w:szCs w:val="20"/>
          <w:color w:val="auto"/>
        </w:rPr>
      </w:pPr>
    </w:p>
    <w:p>
      <w:pPr>
        <w:ind w:left="660" w:right="60" w:hanging="328"/>
        <w:spacing w:after="0" w:line="257" w:lineRule="auto"/>
        <w:tabs>
          <w:tab w:leader="none" w:pos="624"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One Source Provider for Asset Protection Solutions</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Worldwide. </w:t>
      </w:r>
      <w:r>
        <w:rPr>
          <w:rFonts w:ascii="Arial" w:cs="Arial" w:eastAsia="Arial" w:hAnsi="Arial"/>
          <w:sz w:val="17"/>
          <w:szCs w:val="17"/>
          <w:color w:val="auto"/>
        </w:rPr>
        <w:t>We believe we have the most comprehensive portfolio of proprietary and integrated</w:t>
      </w:r>
      <w:r>
        <w:rPr>
          <w:rFonts w:ascii="Arial" w:cs="Arial" w:eastAsia="Arial" w:hAnsi="Arial"/>
          <w:sz w:val="17"/>
          <w:szCs w:val="17"/>
          <w:i w:val="1"/>
          <w:iCs w:val="1"/>
          <w:color w:val="auto"/>
        </w:rPr>
        <w:t xml:space="preserve"> </w:t>
      </w:r>
      <w:r>
        <w:rPr>
          <w:rFonts w:ascii="Arial" w:cs="Arial" w:eastAsia="Arial" w:hAnsi="Arial"/>
          <w:sz w:val="17"/>
          <w:szCs w:val="17"/>
          <w:color w:val="auto"/>
        </w:rPr>
        <w:t>asset protection solutions, including services, products and systems worldwide, which positions us to be the leading single source provider for a customer’s asset protection requirements. Through our network of approximately 100 offices and independent representatives in 16 countries around the world, we offer an extensive portfolio of solutions that enables our customers to consolidate all their inspection and maintenance requirements and the associated data storage and analytics on a single system that spans the customers’ entire enterprise.</w:t>
      </w:r>
    </w:p>
    <w:p>
      <w:pPr>
        <w:spacing w:after="0" w:line="188" w:lineRule="exact"/>
        <w:rPr>
          <w:rFonts w:ascii="Arial" w:cs="Arial" w:eastAsia="Arial" w:hAnsi="Arial"/>
          <w:sz w:val="17"/>
          <w:szCs w:val="17"/>
          <w:color w:val="auto"/>
        </w:rPr>
      </w:pPr>
    </w:p>
    <w:p>
      <w:pPr>
        <w:ind w:left="660" w:right="20" w:hanging="328"/>
        <w:spacing w:after="0" w:line="302" w:lineRule="auto"/>
        <w:tabs>
          <w:tab w:leader="none" w:pos="624"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Long-Standing Trusted Provider to a Diversified and Growing Customer Base. </w:t>
      </w:r>
      <w:r>
        <w:rPr>
          <w:rFonts w:ascii="Arial" w:cs="Arial" w:eastAsia="Arial" w:hAnsi="Arial"/>
          <w:sz w:val="16"/>
          <w:szCs w:val="16"/>
          <w:color w:val="auto"/>
        </w:rPr>
        <w:t>By providing critical and reliable NDT services, products and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for more than 30 years and expanding our asset protection solutions, we have become a trusted partner to a large and growing customer base across numerous infrastructure-intensive industries globally. Our customers include some of the largest and most well-recognized firms in the oil and gas, chemicals, fossil and nuclear power, and aerospace and defense industries as well as some of the largest public authorities.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59"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Repository of Customer-Specific Inspection Data. </w:t>
      </w:r>
      <w:r>
        <w:rPr>
          <w:rFonts w:ascii="Arial" w:cs="Arial" w:eastAsia="Arial" w:hAnsi="Arial"/>
          <w:sz w:val="18"/>
          <w:szCs w:val="18"/>
          <w:color w:val="auto"/>
        </w:rPr>
        <w:t>Our enterprise software solutions, PCMS, enable us to capture and warehouse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and inspection data in a centralized database. As a result, we have accumulated large amounts of proprietary process data and information that allows us to provide our customers with value-added services, such as benchmarking, reliability centered maintenance solutions including predictive maintenance, inspection scheduling, data analytics and regulatory compliance.</w:t>
      </w:r>
    </w:p>
    <w:p>
      <w:pPr>
        <w:spacing w:after="0" w:line="186" w:lineRule="exact"/>
        <w:rPr>
          <w:rFonts w:ascii="Arial" w:cs="Arial" w:eastAsia="Arial" w:hAnsi="Arial"/>
          <w:sz w:val="18"/>
          <w:szCs w:val="18"/>
          <w:color w:val="auto"/>
        </w:rPr>
      </w:pPr>
    </w:p>
    <w:p>
      <w:pPr>
        <w:ind w:left="660" w:right="20" w:hanging="328"/>
        <w:spacing w:after="0" w:line="276" w:lineRule="auto"/>
        <w:tabs>
          <w:tab w:leader="none" w:pos="624"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Proprietary Products, Software and Technology Packages. </w:t>
      </w:r>
      <w:r>
        <w:rPr>
          <w:rFonts w:ascii="Arial" w:cs="Arial" w:eastAsia="Arial" w:hAnsi="Arial"/>
          <w:sz w:val="17"/>
          <w:szCs w:val="17"/>
          <w:color w:val="auto"/>
        </w:rPr>
        <w:t>We have developed systems that have become the cornerstone of several high value-added</w:t>
      </w:r>
      <w:r>
        <w:rPr>
          <w:rFonts w:ascii="Arial" w:cs="Arial" w:eastAsia="Arial" w:hAnsi="Arial"/>
          <w:sz w:val="17"/>
          <w:szCs w:val="17"/>
          <w:i w:val="1"/>
          <w:iCs w:val="1"/>
          <w:color w:val="auto"/>
        </w:rPr>
        <w:t xml:space="preserve"> </w:t>
      </w:r>
      <w:r>
        <w:rPr>
          <w:rFonts w:ascii="Arial" w:cs="Arial" w:eastAsia="Arial" w:hAnsi="Arial"/>
          <w:sz w:val="17"/>
          <w:szCs w:val="17"/>
          <w:color w:val="auto"/>
        </w:rPr>
        <w:t>unique NDT applications, such as those used for the testing of above-ground storage tanks (the TANKPAC technology package). These proprietary products allow us to efficiently and effectively provide highly valued solutions to our customers’ complex applications, resulting in a significant competitive advantage. In addition to the proprietary products and systems that we sell to customers on a stand-alone basis, we also develop a range of proprietary sensors, instruments, systems and software used exclusively by our Services segment.</w:t>
      </w:r>
    </w:p>
    <w:p>
      <w:pPr>
        <w:spacing w:after="0" w:line="172" w:lineRule="exact"/>
        <w:rPr>
          <w:rFonts w:ascii="Arial" w:cs="Arial" w:eastAsia="Arial" w:hAnsi="Arial"/>
          <w:sz w:val="17"/>
          <w:szCs w:val="17"/>
          <w:color w:val="auto"/>
        </w:rPr>
      </w:pPr>
    </w:p>
    <w:p>
      <w:pPr>
        <w:ind w:left="660" w:right="80" w:hanging="328"/>
        <w:spacing w:after="0" w:line="25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Deep Domain Knowledge and Extensive Industry Experience. </w:t>
      </w:r>
      <w:r>
        <w:rPr>
          <w:rFonts w:ascii="Arial" w:cs="Arial" w:eastAsia="Arial" w:hAnsi="Arial"/>
          <w:sz w:val="18"/>
          <w:szCs w:val="18"/>
          <w:color w:val="auto"/>
        </w:rPr>
        <w:t>We are an industry leader in developing advanced asset protection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acoustic emission testing for non-intrusive on-line monitoring of storage tanks and pressure vessels, bridges and transformers, portable corrosion mapping, ultrasonic testing (UT) systems, on-line plant asset integrity management with sensor fusion, enterprise software solutions for plant-wide and fleet-wide inspection data archiving and management, advanced and thick composites inspection and ultrasonic phased array inspection of thick wall boilers.</w:t>
      </w:r>
    </w:p>
    <w:p>
      <w:pPr>
        <w:sectPr>
          <w:pgSz w:w="11900" w:h="16838" w:orient="portrait"/>
          <w:cols w:equalWidth="0" w:num="1">
            <w:col w:w="11420"/>
          </w:cols>
          <w:pgMar w:left="240" w:top="341" w:right="239" w:bottom="0" w:gutter="0" w:footer="0" w:header="0"/>
        </w:sectPr>
      </w:pPr>
    </w:p>
    <w:bookmarkStart w:id="7" w:name="page8"/>
    <w:bookmarkEnd w:id="7"/>
    <w:p>
      <w:pPr>
        <w:spacing w:after="0" w:line="69" w:lineRule="exact"/>
        <w:rPr>
          <w:sz w:val="20"/>
          <w:szCs w:val="20"/>
          <w:color w:val="auto"/>
        </w:rPr>
      </w:pPr>
    </w:p>
    <w:p>
      <w:pPr>
        <w:ind w:left="660" w:right="60" w:hanging="328"/>
        <w:spacing w:after="0" w:line="297" w:lineRule="auto"/>
        <w:tabs>
          <w:tab w:leader="none" w:pos="624"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Collaborating with Our Customers. </w:t>
      </w:r>
      <w:r>
        <w:rPr>
          <w:rFonts w:ascii="Arial" w:cs="Arial" w:eastAsia="Arial" w:hAnsi="Arial"/>
          <w:sz w:val="16"/>
          <w:szCs w:val="16"/>
          <w:color w:val="auto"/>
        </w:rPr>
        <w:t>Our asset protection solutions have historically been designed in response to our customers’ unique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specifications and are supported by our proprietary technologies. Important technology packages, such as TANKPAC, and products, such as VPAC, were developed in close cooperation and partnership with key Mistras customers. Our sales and engineering teams work closely with our customers’ research and design staff during the design phase in order to incorporate our products into specified infrastructure projects, as well as with facilities maintenance personnel to ensure that we are able to provide the asset protection solutions necessary to meet these customers’ changing demands.</w:t>
      </w:r>
    </w:p>
    <w:p>
      <w:pPr>
        <w:spacing w:after="0" w:line="158" w:lineRule="exact"/>
        <w:rPr>
          <w:rFonts w:ascii="Arial" w:cs="Arial" w:eastAsia="Arial" w:hAnsi="Arial"/>
          <w:sz w:val="16"/>
          <w:szCs w:val="16"/>
          <w:color w:val="auto"/>
        </w:rPr>
      </w:pPr>
    </w:p>
    <w:p>
      <w:pPr>
        <w:ind w:left="660" w:right="60" w:hanging="328"/>
        <w:spacing w:after="0" w:line="279" w:lineRule="auto"/>
        <w:tabs>
          <w:tab w:leader="none" w:pos="624"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management team has a track record of leadership in NDT, averaging over 20 years’ experience in the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These individuals also have extensive experience in growing businesses organically and in acquiring and integrating companies, which we believe is important to facilitate future growth in the fragmented asset protection industry. In addition, our senior managers are supported by highly experienced project managers who are responsible for delivering our solutions to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growth strategy emphasizes the following key elements:</w:t>
      </w:r>
    </w:p>
    <w:p>
      <w:pPr>
        <w:spacing w:after="0" w:line="225" w:lineRule="exact"/>
        <w:rPr>
          <w:sz w:val="20"/>
          <w:szCs w:val="20"/>
          <w:color w:val="auto"/>
        </w:rPr>
      </w:pPr>
    </w:p>
    <w:p>
      <w:pPr>
        <w:ind w:left="660" w:right="80" w:hanging="328"/>
        <w:spacing w:after="0" w:line="302" w:lineRule="auto"/>
        <w:tabs>
          <w:tab w:leader="none" w:pos="624"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Continue to Develop Technology-Enabled Asset Protection Services, Products, Software and Systems. </w:t>
      </w:r>
      <w:r>
        <w:rPr>
          <w:rFonts w:ascii="Arial" w:cs="Arial" w:eastAsia="Arial" w:hAnsi="Arial"/>
          <w:sz w:val="16"/>
          <w:szCs w:val="16"/>
          <w:color w:val="auto"/>
        </w:rPr>
        <w:t>We intend to maintain and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technological leadership by continuing to invest in the internal development of new services, products, software and systems. Our highly trained team of Ph.D.’s, engineers, application software developers and certified technicians has been instrumental in developing numerous significant asset protection standards. We believe their knowledge base will continue to enable us to innovate a wide range of new asset protection solutions.</w:t>
      </w:r>
    </w:p>
    <w:p>
      <w:pPr>
        <w:spacing w:after="0" w:line="154" w:lineRule="exact"/>
        <w:rPr>
          <w:rFonts w:ascii="Arial" w:cs="Arial" w:eastAsia="Arial" w:hAnsi="Arial"/>
          <w:sz w:val="16"/>
          <w:szCs w:val="16"/>
          <w:color w:val="auto"/>
        </w:rPr>
      </w:pPr>
    </w:p>
    <w:p>
      <w:pPr>
        <w:ind w:left="660" w:right="100" w:hanging="393"/>
        <w:spacing w:after="0" w:line="255"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Increase Revenues from Our Existing Customers. </w:t>
      </w:r>
      <w:r>
        <w:rPr>
          <w:rFonts w:ascii="Arial" w:cs="Arial" w:eastAsia="Arial" w:hAnsi="Arial"/>
          <w:sz w:val="18"/>
          <w:szCs w:val="18"/>
          <w:color w:val="auto"/>
        </w:rPr>
        <w:t>Many of our customers are multinational corporations with asset protection requirements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divisions at multiple locations across the globe. Currently, we believe we capture a relatively small portion of their overall expenditures on these solutions. We believe our superior services, products and systems, combined with the trend of outsourcing asset protection solutions to a small number of trusted service providers, position us to significantly expand both the number of divisions and locations that we serve as well as the types of solutions we provide. We strive to be the preferred global partner for our customers and aim to become the single source provider for their asset protection solution requirements.</w:t>
      </w:r>
    </w:p>
    <w:p>
      <w:pPr>
        <w:spacing w:after="0" w:line="193" w:lineRule="exact"/>
        <w:rPr>
          <w:rFonts w:ascii="Arial" w:cs="Arial" w:eastAsia="Arial" w:hAnsi="Arial"/>
          <w:sz w:val="18"/>
          <w:szCs w:val="18"/>
          <w:color w:val="auto"/>
        </w:rPr>
      </w:pPr>
    </w:p>
    <w:p>
      <w:pPr>
        <w:ind w:left="660" w:right="180" w:hanging="393"/>
        <w:spacing w:after="0" w:line="293" w:lineRule="auto"/>
        <w:tabs>
          <w:tab w:leader="none" w:pos="627"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Add New Customers in Existing Target Markets. </w:t>
      </w:r>
      <w:r>
        <w:rPr>
          <w:rFonts w:ascii="Arial" w:cs="Arial" w:eastAsia="Arial" w:hAnsi="Arial"/>
          <w:sz w:val="16"/>
          <w:szCs w:val="16"/>
          <w:color w:val="auto"/>
        </w:rPr>
        <w:t>Our current customer base represents a small fraction of the total number of companies in most of</w:t>
      </w:r>
      <w:r>
        <w:rPr>
          <w:rFonts w:ascii="Arial" w:cs="Arial" w:eastAsia="Arial" w:hAnsi="Arial"/>
          <w:sz w:val="16"/>
          <w:szCs w:val="16"/>
          <w:i w:val="1"/>
          <w:iCs w:val="1"/>
          <w:color w:val="auto"/>
        </w:rPr>
        <w:t xml:space="preserve"> </w:t>
      </w:r>
      <w:r>
        <w:rPr>
          <w:rFonts w:ascii="Arial" w:cs="Arial" w:eastAsia="Arial" w:hAnsi="Arial"/>
          <w:sz w:val="16"/>
          <w:szCs w:val="16"/>
          <w:color w:val="auto"/>
        </w:rPr>
        <w:t>our target markets with asset protection requirements. Our scale, scope of products and services and expertise in creating technology-enabled solutions have allowed us to build a reputation for high-quality and have increased customer awareness about us and our asset protection solutions. We intend to leverage our reputation and solutions offerings to win new customers within our existing target markets, especially as asset protection solutions are adopted internationally. We intend to continue to leverage our competitive strengths to win new business as customers in our existing target markets continue to seek a single source and trusted provider of advanced asset protection solutions.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93"/>
        <w:spacing w:after="0" w:line="270" w:lineRule="auto"/>
        <w:tabs>
          <w:tab w:leader="none" w:pos="627"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Expand Our Customer Base into New End Markets. </w:t>
      </w:r>
      <w:r>
        <w:rPr>
          <w:rFonts w:ascii="Arial" w:cs="Arial" w:eastAsia="Arial" w:hAnsi="Arial"/>
          <w:sz w:val="17"/>
          <w:szCs w:val="17"/>
          <w:color w:val="auto"/>
        </w:rPr>
        <w:t>We believe we have significant opportunities to rapidly expand our customer base in relatively</w:t>
      </w:r>
      <w:r>
        <w:rPr>
          <w:rFonts w:ascii="Arial" w:cs="Arial" w:eastAsia="Arial" w:hAnsi="Arial"/>
          <w:sz w:val="17"/>
          <w:szCs w:val="17"/>
          <w:i w:val="1"/>
          <w:iCs w:val="1"/>
          <w:color w:val="auto"/>
        </w:rPr>
        <w:t xml:space="preserve"> </w:t>
      </w:r>
      <w:r>
        <w:rPr>
          <w:rFonts w:ascii="Arial" w:cs="Arial" w:eastAsia="Arial" w:hAnsi="Arial"/>
          <w:sz w:val="17"/>
          <w:szCs w:val="17"/>
          <w:color w:val="auto"/>
        </w:rPr>
        <w:t>new end markets, including the maritime shipping, nuclear, wind turbine and other alternative energy and natural gas transportation industries and the market for public infrastructure, such as highways and bridges. The expansion of our addressable markets is being driven by the increased recognition and adoption of asset protection services, products and systems, and new NDT technologies enabling further applications in industries such as healthcare and compressed and liquefied natural gas transportation, and the aging of infrastructure, such as construction and loading cranes and ports, to the point where visual inspection has proven inadequate and new asset protection solutions are required. We expect to continue to expand our global sales organization, grow our inspection data management and data mining services and find new high-value applications, such as embedding our sensor technology in assembly lines for electronics and distributed sensor networks for aerospace applications. As companies in these emerging end markets realize the benefits of our asset protection solutions, we expect to expand our leadership position by addressing customer needs and winning new business.</w:t>
      </w:r>
    </w:p>
    <w:p>
      <w:pPr>
        <w:spacing w:after="0" w:line="177" w:lineRule="exact"/>
        <w:rPr>
          <w:rFonts w:ascii="Arial" w:cs="Arial" w:eastAsia="Arial" w:hAnsi="Arial"/>
          <w:sz w:val="17"/>
          <w:szCs w:val="17"/>
          <w:color w:val="auto"/>
        </w:rPr>
      </w:pPr>
    </w:p>
    <w:p>
      <w:pPr>
        <w:ind w:left="660" w:right="80" w:hanging="328"/>
        <w:spacing w:after="0" w:line="290" w:lineRule="auto"/>
        <w:tabs>
          <w:tab w:leader="none" w:pos="624"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Continue to Capitalize on Acquisitions. </w:t>
      </w:r>
      <w:r>
        <w:rPr>
          <w:rFonts w:ascii="Arial" w:cs="Arial" w:eastAsia="Arial" w:hAnsi="Arial"/>
          <w:sz w:val="16"/>
          <w:szCs w:val="16"/>
          <w:color w:val="auto"/>
        </w:rPr>
        <w:t>We intend to continue employing a disciplined acquisition strategy to broaden, complement and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service offerings, add new customers and certified personnel, expand our sales channels, supplement our internal development efforts and accelerate our expected growth. We believe the market for asset protection solutions is highly fragmented with a large number of potential acquisition opportunities. We have a proven ability to integrate complementary businesses, as demonstrated by the success of our past acquisitions, which have often contributed entirely new products and services that have added significantly to our revenues and profitability. In addition, we have begun to offer and sell our advanced asset protection solutions to customers of companies we acquired that had previously relied on traditional NDT solutions. Importantly, we believe we have improved the operational performance and profitability of our acquired businesses by successfully integrating and selling a comprehensive suite of solutions to the customers of these acquired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operating segments:</w:t>
      </w:r>
    </w:p>
    <w:p>
      <w:pPr>
        <w:spacing w:after="0" w:line="225" w:lineRule="exact"/>
        <w:rPr>
          <w:sz w:val="20"/>
          <w:szCs w:val="20"/>
          <w:color w:val="auto"/>
        </w:rPr>
      </w:pPr>
    </w:p>
    <w:p>
      <w:pPr>
        <w:ind w:left="660" w:right="280" w:hanging="328"/>
        <w:spacing w:after="0" w:line="264"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 This segment provides asset protection solutions primarily in North America with the largest concentration in the United States and a</w:t>
      </w:r>
      <w:r>
        <w:rPr>
          <w:rFonts w:ascii="Arial" w:cs="Arial" w:eastAsia="Arial" w:hAnsi="Arial"/>
          <w:sz w:val="18"/>
          <w:szCs w:val="18"/>
          <w:i w:val="1"/>
          <w:iCs w:val="1"/>
          <w:color w:val="auto"/>
        </w:rPr>
        <w:t xml:space="preserve"> </w:t>
      </w:r>
      <w:r>
        <w:rPr>
          <w:rFonts w:ascii="Arial" w:cs="Arial" w:eastAsia="Arial" w:hAnsi="Arial"/>
          <w:sz w:val="18"/>
          <w:szCs w:val="18"/>
          <w:color w:val="auto"/>
        </w:rPr>
        <w:t>rapidly expanding Canadian services business, consisting 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660" w:right="78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our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70" w:lineRule="exact"/>
        <w:rPr>
          <w:rFonts w:ascii="Arial" w:cs="Arial" w:eastAsia="Arial" w:hAnsi="Arial"/>
          <w:sz w:val="18"/>
          <w:szCs w:val="18"/>
          <w:color w:val="auto"/>
        </w:rPr>
      </w:pPr>
    </w:p>
    <w:p>
      <w:pPr>
        <w:ind w:left="660" w:right="160" w:hanging="328"/>
        <w:spacing w:after="0" w:line="286" w:lineRule="auto"/>
        <w:tabs>
          <w:tab w:leader="none" w:pos="624"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International</w:t>
      </w:r>
      <w:r>
        <w:rPr>
          <w:rFonts w:ascii="Arial" w:cs="Arial" w:eastAsia="Arial" w:hAnsi="Arial"/>
          <w:sz w:val="17"/>
          <w:szCs w:val="17"/>
          <w:color w:val="auto"/>
        </w:rPr>
        <w:t>. This segment offers services, products and systems similar to those of our Services and Products and Systems segments to global</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principally in Europe, the Middle East, Africa, Asia and South America, but not to customers in China and South Korea, which are served by our Products and Systems segment. South America consists primarily of our Brazil operations.</w:t>
      </w:r>
    </w:p>
    <w:p>
      <w:pPr>
        <w:spacing w:after="0" w:line="166"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 xml:space="preserve">For discussion of segment revenues, operating results and other financial information, including geographic areas in which we recorded revenues, see Management’s Discussion and Analysis of Financial Condition and Results of Operations, as well as Note 19 - </w:t>
      </w:r>
      <w:r>
        <w:rPr>
          <w:rFonts w:ascii="Arial" w:cs="Arial" w:eastAsia="Arial" w:hAnsi="Arial"/>
          <w:sz w:val="16"/>
          <w:szCs w:val="16"/>
          <w:i w:val="1"/>
          <w:iCs w:val="1"/>
          <w:color w:val="auto"/>
        </w:rPr>
        <w:t>Segment Disclosure</w:t>
      </w:r>
      <w:r>
        <w:rPr>
          <w:rFonts w:ascii="Arial" w:cs="Arial" w:eastAsia="Arial" w:hAnsi="Arial"/>
          <w:sz w:val="16"/>
          <w:szCs w:val="16"/>
          <w:color w:val="auto"/>
        </w:rPr>
        <w:t xml:space="preserve"> in the consolidated</w:t>
      </w:r>
    </w:p>
    <w:p>
      <w:pPr>
        <w:sectPr>
          <w:pgSz w:w="11900" w:h="16908" w:orient="portrait"/>
          <w:cols w:equalWidth="0" w:num="1">
            <w:col w:w="11420"/>
          </w:cols>
          <w:pgMar w:left="240" w:top="125" w:right="239" w:bottom="0" w:gutter="0" w:footer="0" w:header="0"/>
        </w:sectPr>
      </w:pPr>
    </w:p>
    <w:bookmarkStart w:id="8" w:name="page9"/>
    <w:bookmarkEnd w:id="8"/>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We offer our customers “one source for asset protection solutions”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proprietary data analysis and enterprise inspection database management warehousing software to deliver a comprehensive portfolio of customized solutions, ranging from routine inspections to complex, plant-wide asset integrity management and assessments. We deliver our solutions through a combination of services and products and systems.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Services segment provides a range of testing and inspection services to a diversified customer base across energy-related, industrial and public infrastructure industries. We either deploy our services directly at the customer’s location or through our own extensive network of field testing facilities. Our global footprint allows us to provide asset protection solutions through local offices in close proximity to our customers, permitting us to keep response time and travel, living and per diem costs to a minimum, while maximizing our ability to develop meaningful, collaborative customer relationships. Examples of our comprehensive portfolio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services include: testing components of new construction as they are built or assembled; providing corrosion monitoring data to help customers determine whether to repair or retire infrastructure; providing material analysis to ensure the integrity of infrastructure components; and supplying non-invasive on-stream techniques that enable our customers to pinpoint potential problem areas prior to failure. In addition, we also provide services to assist in the planning and scheduling of resources for repairs and maintenance activities. Our experienced inspection professionals perform these services, supported by our advanced proprietary software and hardware products. Examples of our services are discussed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NDT Services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certified personnel provide a range of traditional inspection services. For example, our visual inspectors provide comprehensive assessments of the condition of our customers’ plant equipment during capital construction projects and maintenance shutdowns. Of the broad set of traditional NDT techniques that we provide, several lend themselves to integration with our other offerings and often serve as the initial entry point to more advanced customer engagements. For example, we provide a comprehensive program for the inspection of above-ground storage tanks designed to meet stringent industry standards for the inspection, repair, alteration and reconstruction of oil and petrochemical storage tanks. This program includes magnetic flux exclusion for the rapid detection of floor plate corrosion, advanced ultrasonic systems and leak detection of floor defects, remote ultrasonic crawlers for shell and roof inspections and trained, certified inspectors for visual inspection and documentation.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NDT Services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traditional NDT services, we provide a broad range of proprietary advanced NDT services that we offer on a stand-alone basis or in combination with software solutions such as our proprietary enterprise inspection data warehousing and plant condition monitoring software and systems (PCMS). We also provide on-line monitoring capabilities and other solutions that enable the delivery of accurate and real-time information to our customers. Our advanced NDT services require more complex equipment and more skilled inspection professionals to operate this equipment and interpret test results. Some of the technologies and techniques we use include:</w:t>
      </w:r>
    </w:p>
    <w:p>
      <w:pPr>
        <w:spacing w:after="0" w:line="188"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Automated ultrasonic testing</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Guided Ultrasonic Long wave testing</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Infrared thermography and inspection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Phased array ultrasonic testing</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Acoustic emission testing</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Automated Ultrasonic Phased Array Inspection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Predictive Maintenance (PdM)</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Reliability centered maintenance services (RCM)</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Fitness for Service (FFS) engineering services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Internal Rotating Inspection System (IRIS)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on-line data acquisition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On-line plant asset integrity monitoring</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Risk-based inspection (RBI)</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Computed and Digital radiography</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Sensor fusion (multi-sensor data integration)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Ground Penetrating Radar</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Line Scanning Thermography (LST)</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Professional Rope Access teams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 Structure Inspection (LSI)</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Ultrasonic Sensors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Mechanical Integrity Services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provide a broad range of MI services that enable our customers to meet stringent regulatory requirements. These services increase plant safety, minimize unscheduled downtime and allow our customers to plan for, repair and replace critical components and systems before failure occurs. Our services are designed to complement a comprehensive predictive and preventative inspection and maintenance program that we can provide for our customers in addition to the MI services. Customers of our MI services have, in many instances, also licensed our PCMS software, which allows for the storage and analysis of data captured by our testing and inspection products and services, and implemented this solution to complement our inspection services.</w:t>
      </w:r>
    </w:p>
    <w:p>
      <w:pPr>
        <w:sectPr>
          <w:pgSz w:w="11900" w:h="16874" w:orient="portrait"/>
          <w:cols w:equalWidth="0" w:num="1">
            <w:col w:w="11400"/>
          </w:cols>
          <w:pgMar w:left="240" w:top="125" w:right="259" w:bottom="0" w:gutter="0" w:footer="0" w:header="0"/>
        </w:sectPr>
      </w:pPr>
    </w:p>
    <w:bookmarkStart w:id="9" w:name="page10"/>
    <w:bookmarkEnd w:id="9"/>
    <w:p>
      <w:pPr>
        <w:ind w:right="40"/>
        <w:spacing w:after="0" w:line="279" w:lineRule="auto"/>
        <w:rPr>
          <w:sz w:val="20"/>
          <w:szCs w:val="20"/>
          <w:color w:val="auto"/>
        </w:rPr>
      </w:pPr>
      <w:r>
        <w:rPr>
          <w:rFonts w:ascii="Arial" w:cs="Arial" w:eastAsia="Arial" w:hAnsi="Arial"/>
          <w:sz w:val="17"/>
          <w:szCs w:val="17"/>
          <w:color w:val="auto"/>
        </w:rPr>
        <w:t>As a result of the information captured by PCMS and our risk-based inspection software module we are able to provide a professional service known as “Mechanical Integrity Gap Analysis” for process facilities. Our Mechanical Integrity Gap Analysis service offers insight into the level of plant readiness, how best to manage and monitor the integrity of process facility assets, and how to extend the useful lives of such assets. Our Mechanical Integrity Gap Analysis service also assists customers in benchmarking and managing their infrastructure through key performance indicators and other metrics.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Systems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Acoustic Emission (AE) Products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a leader in the design and manufacture of AE sensors, instruments and turn-key systems used for the monitoring and testing of materials, pressure components, processes and structures. Though we principally sell our products as a system, which includes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combination of sensors, an amplifier, signal processing electronics, knowledge-based software and decision and feedback electronics, we can also sell these as individual components to certain customers that have the in-house expertise to perform their own services. Our sensors “listen” to structures and materials to detect real-time AE activity and to determine the presence of active corrosion or structural flaws in the inspected materials. Such components include pressure vessels, storage tanks, heat exchangers, piping, turbine blades and reactors.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we provide leak monitoring and detection systems used in diverse applications, including the detection and location of both gaseous and liquid leaks in valves, vessels, pipelines, boilers and tanks. AE leak monitoring and detection, when applied in a systematic preventive maintenance program, has proven to substantially reduce costs by eliminating the need for visual valve inspection and unscheduled down-time. In addition, the U.S. Environmental Protection Agency (EPA) requirements regarding fugitive emissions such as the new 40 CFR Part 98 Subpart W regulation for gas monitoring, helps drive the market for this leak detection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Ultrasonic (UT) Systems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design, manufacture and market a complete line of ultrasonic equipment. While AE technology detects flaws and pinpoints their location, our UT technology has the ability to size defects in three-dimensional geometric representations. Our line of UT systems include our line of Automated UT scanners, our unique portable UT handheld system with motion control to run our many inspection scanners, and our immersion systems including small bench top units to large UT systems over 55 feet long and large production unit gantry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Vibration Sensors and Systems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design, manufacture and market a broad portfolio of vibration sensing products under our Vibra-Metrics brand name. These include a full line of accelerometers (vibration sensors), on-line condition-based management systems, data delivery systems and a comprehensive assortment of ancillary support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Radiography Systems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provide a wide array of digital radiographic systems to solve specific industrial problems, including Computed Radiography (CR), Real-Time Radiography (RTR), Direct Radiography (DR), and Computed Tomography (CT). Digital Radiography is one of the newest forms of radiographic imaging. Thickness profiles of piping systems, both insulated and un-insulated, are performed using computed radiography, while large production runs of smaller parts are inspected using direct radiography. Real time radiography is utilized for large “real time” inspections of insulated piping systems looking for areas of pipe degradation.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Solutions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order to address some of the more common problems faced by our customers, we have developed a number of robust technology solutions. These packages generally allow more rapid and effective testing of infrastructure because they minimize the need for service professionals to customize and integrate asset protection solutions with the infrastructure and interpret test results. These packaged solutions use proprietary and specialized testing procedures and hardware, advanced pattern recognition, neural network software and databases to compare test results against our prior testing data or national and international structural integrity standards. One such package is our ACTMS (Acoustic Combustion Turbine Monitoring System), an on-line system to detect stator blade cracks in gas turbines. Others include TANKPAC for tank inspections and POWERPAC for monitoring discharges in critical power grid transformers.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software solutions are designed to meet the demands of our customers inspection data management, risk management, data analysis and asset integrity management requirements. We address these requirements using best in class relational database management systems and applying enterprise based inspection and data warehousing applications. We apply our comprehensive portfolio of customized Acoustic Emission and Ultrasonic application-specific software products to cover a broad range of materials testing and analysis methods, for neural networks, pattern recognition, wavelet analysis and moment tensor analysis. Some of the key software solutions we offer include:</w:t>
      </w:r>
    </w:p>
    <w:p>
      <w:pPr>
        <w:spacing w:after="0" w:line="188" w:lineRule="exact"/>
        <w:rPr>
          <w:sz w:val="20"/>
          <w:szCs w:val="20"/>
          <w:color w:val="auto"/>
        </w:rPr>
      </w:pPr>
    </w:p>
    <w:p>
      <w:pPr>
        <w:ind w:left="600" w:hanging="268"/>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PCMS enterprise software: asset protection and reliability</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Our PCMS application is an enterprise software system that allows for the warehousing and analysis of data as captured by our testing and inspection products and services and convert it to valuable information for our plant personnel and by plant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management using our enterprise information dashboards. PCMS allows our customers to design and develop asset integrity management plans that include:</w:t>
      </w:r>
    </w:p>
    <w:p>
      <w:pPr>
        <w:spacing w:after="0" w:line="170" w:lineRule="exact"/>
        <w:rPr>
          <w:sz w:val="20"/>
          <w:szCs w:val="20"/>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optimal systematic testing schedules for their infrastructure based on real-time data captured by our sensors;</w:t>
      </w:r>
    </w:p>
    <w:p>
      <w:pPr>
        <w:spacing w:after="0" w:line="225" w:lineRule="exact"/>
        <w:rPr>
          <w:rFonts w:ascii="Arial" w:cs="Arial" w:eastAsia="Arial" w:hAnsi="Arial"/>
          <w:sz w:val="18"/>
          <w:szCs w:val="18"/>
          <w:color w:val="auto"/>
        </w:rPr>
      </w:pPr>
    </w:p>
    <w:p>
      <w:pPr>
        <w:ind w:left="1300" w:right="520" w:hanging="320"/>
        <w:spacing w:after="0" w:line="277"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alerts that notify customers when to perform special testing services on suspect areas, enabling them to identify and resolve flaws on a timely basis by using our PCMS risk-based inspection (RBI) software module; and</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schedules for the maintenance and retirement of assets.</w:t>
      </w:r>
    </w:p>
    <w:p>
      <w:pPr>
        <w:spacing w:after="0" w:line="225" w:lineRule="exact"/>
        <w:rPr>
          <w:sz w:val="20"/>
          <w:szCs w:val="20"/>
          <w:color w:val="auto"/>
        </w:rPr>
      </w:pPr>
    </w:p>
    <w:p>
      <w:pPr>
        <w:ind w:left="660" w:right="140"/>
        <w:spacing w:after="0" w:line="276" w:lineRule="auto"/>
        <w:rPr>
          <w:sz w:val="20"/>
          <w:szCs w:val="20"/>
          <w:color w:val="auto"/>
        </w:rPr>
      </w:pPr>
      <w:r>
        <w:rPr>
          <w:rFonts w:ascii="Arial" w:cs="Arial" w:eastAsia="Arial" w:hAnsi="Arial"/>
          <w:sz w:val="17"/>
          <w:szCs w:val="17"/>
          <w:color w:val="auto"/>
        </w:rPr>
        <w:t>PCMS also offers advantages by allowing the information it develops and stores to be organized, linked and synchronized with enterprise software systems such as SAP and IBM’s Maximo. We believe PCMS is one of the more widely used process condition management software systems in the world. We estimate that approximately 40% of U.S. refineries, by capacity, currently use PCMS. This provides us not only with recurring maintenance and support fees, but also marketing opportunities for additional software, asset integrity management and other asset protection solutions. PCMS has also been chosen and installed by leading midstream pipeline energy companies.</w:t>
      </w:r>
    </w:p>
    <w:p>
      <w:pPr>
        <w:spacing w:after="0" w:line="173" w:lineRule="exact"/>
        <w:rPr>
          <w:sz w:val="20"/>
          <w:szCs w:val="20"/>
          <w:color w:val="auto"/>
        </w:rPr>
      </w:pPr>
    </w:p>
    <w:p>
      <w:pPr>
        <w:ind w:left="660" w:right="160" w:hanging="328"/>
        <w:spacing w:after="0" w:line="277"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Advanced Data Analysis Pattern Recognition and Neural Networks Software (NOESIS)</w:t>
      </w:r>
      <w:r>
        <w:rPr>
          <w:rFonts w:ascii="Arial" w:cs="Arial" w:eastAsia="Arial" w:hAnsi="Arial"/>
          <w:sz w:val="18"/>
          <w:szCs w:val="18"/>
          <w:color w:val="auto"/>
        </w:rPr>
        <w:t>, which enables our AE experts to develop automated remote</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systems for our customers.</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AE Software Platform (AEwin and AEwinPost), </w:t>
      </w:r>
      <w:r>
        <w:rPr>
          <w:rFonts w:ascii="Arial" w:cs="Arial" w:eastAsia="Arial" w:hAnsi="Arial"/>
          <w:sz w:val="18"/>
          <w:szCs w:val="18"/>
          <w:color w:val="auto"/>
        </w:rPr>
        <w:t>a Windows-based real time applications software for detection, processing and analysis, which</w:t>
      </w:r>
      <w:r>
        <w:rPr>
          <w:rFonts w:ascii="Arial" w:cs="Arial" w:eastAsia="Arial" w:hAnsi="Arial"/>
          <w:sz w:val="18"/>
          <w:szCs w:val="18"/>
          <w:i w:val="1"/>
          <w:iCs w:val="1"/>
          <w:color w:val="auto"/>
        </w:rPr>
        <w:t xml:space="preserve"> </w:t>
      </w:r>
      <w:r>
        <w:rPr>
          <w:rFonts w:ascii="Arial" w:cs="Arial" w:eastAsia="Arial" w:hAnsi="Arial"/>
          <w:sz w:val="18"/>
          <w:szCs w:val="18"/>
          <w:color w:val="auto"/>
        </w:rPr>
        <w:t>locates the general location of flaws on or in our customers’ structures.</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Loose Parts Monitoring Software (LPMS)</w:t>
      </w:r>
      <w:r>
        <w:rPr>
          <w:rFonts w:ascii="Arial" w:cs="Arial" w:eastAsia="Arial" w:hAnsi="Arial"/>
          <w:sz w:val="18"/>
          <w:szCs w:val="18"/>
          <w:color w:val="auto"/>
        </w:rPr>
        <w:t>, which is a software program for monitoring, detecting and evaluating metallic loose parts in nuclear</w:t>
      </w:r>
      <w:r>
        <w:rPr>
          <w:rFonts w:ascii="Arial" w:cs="Arial" w:eastAsia="Arial" w:hAnsi="Arial"/>
          <w:sz w:val="18"/>
          <w:szCs w:val="18"/>
          <w:i w:val="1"/>
          <w:iCs w:val="1"/>
          <w:color w:val="auto"/>
        </w:rPr>
        <w:t xml:space="preserve"> </w:t>
      </w:r>
      <w:r>
        <w:rPr>
          <w:rFonts w:ascii="Arial" w:cs="Arial" w:eastAsia="Arial" w:hAnsi="Arial"/>
          <w:sz w:val="18"/>
          <w:szCs w:val="18"/>
          <w:color w:val="auto"/>
        </w:rPr>
        <w:t>reactor coolant systems in accordance with strict industry standards.</w:t>
      </w:r>
    </w:p>
    <w:p>
      <w:pPr>
        <w:spacing w:after="0" w:line="170" w:lineRule="exact"/>
        <w:rPr>
          <w:rFonts w:ascii="Arial" w:cs="Arial" w:eastAsia="Arial" w:hAnsi="Arial"/>
          <w:sz w:val="18"/>
          <w:szCs w:val="18"/>
          <w:color w:val="auto"/>
        </w:rPr>
      </w:pPr>
    </w:p>
    <w:p>
      <w:pPr>
        <w:ind w:left="660" w:right="760" w:hanging="328"/>
        <w:spacing w:after="0" w:line="277" w:lineRule="auto"/>
        <w:tabs>
          <w:tab w:leader="none" w:pos="624"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Automated UT and Imaging Analysis Software (UTwin and UTIA</w:t>
      </w:r>
      <w:r>
        <w:rPr>
          <w:rFonts w:ascii="Arial" w:cs="Arial" w:eastAsia="Arial" w:hAnsi="Arial"/>
          <w:sz w:val="18"/>
          <w:szCs w:val="18"/>
          <w:color w:val="auto"/>
        </w:rPr>
        <w:t>), which is a software platform for analyzing ultrasonic inspection data and</w:t>
      </w:r>
      <w:r>
        <w:rPr>
          <w:rFonts w:ascii="Arial" w:cs="Arial" w:eastAsia="Arial" w:hAnsi="Arial"/>
          <w:sz w:val="18"/>
          <w:szCs w:val="18"/>
          <w:i w:val="1"/>
          <w:iCs w:val="1"/>
          <w:color w:val="auto"/>
        </w:rPr>
        <w:t xml:space="preserve"> </w:t>
      </w:r>
      <w:r>
        <w:rPr>
          <w:rFonts w:ascii="Arial" w:cs="Arial" w:eastAsia="Arial" w:hAnsi="Arial"/>
          <w:sz w:val="18"/>
          <w:szCs w:val="18"/>
          <w:color w:val="auto"/>
        </w:rPr>
        <w:t>visualizing and identifying the location and size of potential flaws.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Services</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addition to software and advanced technologies, Mistras also provides professional engineering services that is organized under our Asset Integrity Management Services (AIMS) group. Asset Integrity Management refers to the management system that enables plant owners to maintain the integrity of its assets in a Fit for Service condition for the desired life of the assets. A sound AIMS program incorporates various aspects of equipment design, maintenance, inspection programs and operations in order to maximize the return generated from the assets based on their safe and efficient operation. The biggest benefit of a functional AIMS program is the ability to run your plant smoother and more efficiently. In short, the plant should see longer run times and shorter down time. This is easily equated to higher returns for the facility. Services include includes Engineering Fitness for Service, Finite Element Analysis and other fixed equipment mechanical engineering studies on an as needed basis. These studies provide critical data to plant operators in aiding in run, repair or replace decisions. In some cases, FFS studies are used to determine if a plant can operate the asset in a reduced capacity until the next shut down period. In this case, Mistras normally prescribes On-line Monitoring using Acoustic Emission technology to determine if the anomaly is propagating.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Monitoring</w:t>
      </w:r>
    </w:p>
    <w:p>
      <w:pPr>
        <w:spacing w:after="0" w:line="22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Our on-line monitoring offerings combine all of our asset protection services, products and systems. We provide temporary, periodic and continuous monitoring of static infrastructures such as bridges, pipes, and transformers, as well as dynamic or rotating assets such as pumps, motors, gearboxes, steam and gas turbines. Temporary monitoring is typically used when there is a known defect or problem and the condition needs to be monitored until repaired or new equipment can be placed in service. Periodic monitoring, or “walk around” monitoring, is used as a preventative maintenance tool to take machine and device readings, on a periodic basis, to observe any change in the assets’ condition such as increased vibration or unusual heat buildup and dissipation. Continuous monitoring is applied “24/7” on critical assets to observe the earliest onset of a defect and to track its progression to avoid catastrophic failure.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fiscal 2013, we provided our asset protection solutions to a broad group of customers. The following table lists some of our larger customers by revenues for fiscal 2013, in each of our target markets.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120" w:type="dxa"/>
            <w:vAlign w:val="bottom"/>
            <w:gridSpan w:val="2"/>
          </w:tcPr>
          <w:p>
            <w:pPr>
              <w:ind w:left="25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8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9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30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r>
      <w:tr>
        <w:trPr>
          <w:trHeight w:val="362"/>
        </w:trPr>
        <w:tc>
          <w:tcPr>
            <w:tcW w:w="3080" w:type="dxa"/>
            <w:vAlign w:val="bottom"/>
            <w:gridSpan w:val="2"/>
          </w:tcPr>
          <w:p>
            <w:pPr>
              <w:ind w:left="420"/>
              <w:spacing w:after="0"/>
              <w:rPr>
                <w:sz w:val="20"/>
                <w:szCs w:val="20"/>
                <w:color w:val="auto"/>
              </w:rPr>
            </w:pPr>
            <w:r>
              <w:rPr>
                <w:rFonts w:ascii="Arial" w:cs="Arial" w:eastAsia="Arial" w:hAnsi="Arial"/>
                <w:sz w:val="14"/>
                <w:szCs w:val="14"/>
                <w:b w:val="1"/>
                <w:bCs w:val="1"/>
                <w:color w:val="auto"/>
              </w:rPr>
              <w:t>Oil &amp; Gas, including Petrochemicals</w:t>
            </w:r>
          </w:p>
        </w:tc>
        <w:tc>
          <w:tcPr>
            <w:tcW w:w="240" w:type="dxa"/>
            <w:vAlign w:val="bottom"/>
          </w:tcPr>
          <w:p>
            <w:pPr>
              <w:spacing w:after="0"/>
              <w:rPr>
                <w:sz w:val="24"/>
                <w:szCs w:val="24"/>
                <w:color w:val="auto"/>
              </w:rPr>
            </w:pPr>
          </w:p>
        </w:tc>
        <w:tc>
          <w:tcPr>
            <w:tcW w:w="4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Industrial</w:t>
            </w:r>
          </w:p>
        </w:tc>
        <w:tc>
          <w:tcPr>
            <w:tcW w:w="4020" w:type="dxa"/>
            <w:vAlign w:val="bottom"/>
            <w:gridSpan w:val="2"/>
          </w:tcPr>
          <w:p>
            <w:pPr>
              <w:ind w:left="1340"/>
              <w:spacing w:after="0"/>
              <w:rPr>
                <w:sz w:val="20"/>
                <w:szCs w:val="20"/>
                <w:color w:val="auto"/>
              </w:rPr>
            </w:pPr>
            <w:r>
              <w:rPr>
                <w:rFonts w:ascii="Arial" w:cs="Arial" w:eastAsia="Arial" w:hAnsi="Arial"/>
                <w:sz w:val="14"/>
                <w:szCs w:val="14"/>
                <w:b w:val="1"/>
                <w:bCs w:val="1"/>
                <w:color w:val="auto"/>
              </w:rPr>
              <w:t>Aerospace &amp; Defense</w:t>
            </w:r>
          </w:p>
        </w:tc>
      </w:tr>
      <w:tr>
        <w:trPr>
          <w:trHeight w:val="171"/>
        </w:trPr>
        <w:tc>
          <w:tcPr>
            <w:tcW w:w="308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(50%)</w:t>
            </w:r>
          </w:p>
        </w:tc>
        <w:tc>
          <w:tcPr>
            <w:tcW w:w="4120" w:type="dxa"/>
            <w:vAlign w:val="bottom"/>
            <w:gridSpan w:val="2"/>
          </w:tcPr>
          <w:p>
            <w:pPr>
              <w:jc w:val="right"/>
              <w:ind w:right="1662"/>
              <w:spacing w:after="0"/>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4"/>
                <w:szCs w:val="14"/>
                <w:color w:val="auto"/>
              </w:rPr>
            </w:pPr>
          </w:p>
        </w:tc>
        <w:tc>
          <w:tcPr>
            <w:tcW w:w="3980" w:type="dxa"/>
            <w:vAlign w:val="bottom"/>
          </w:tcPr>
          <w:p>
            <w:pPr>
              <w:jc w:val="right"/>
              <w:ind w:right="1715"/>
              <w:spacing w:after="0"/>
              <w:rPr>
                <w:sz w:val="20"/>
                <w:szCs w:val="20"/>
                <w:color w:val="auto"/>
              </w:rPr>
            </w:pPr>
            <w:r>
              <w:rPr>
                <w:rFonts w:ascii="Arial" w:cs="Arial" w:eastAsia="Arial" w:hAnsi="Arial"/>
                <w:sz w:val="14"/>
                <w:szCs w:val="14"/>
                <w:b w:val="1"/>
                <w:bCs w:val="1"/>
                <w:color w:val="auto"/>
              </w:rPr>
              <w:t>(11%)</w:t>
            </w:r>
          </w:p>
        </w:tc>
        <w:tc>
          <w:tcPr>
            <w:tcW w:w="40" w:type="dxa"/>
            <w:vAlign w:val="bottom"/>
          </w:tcPr>
          <w:p>
            <w:pPr>
              <w:spacing w:after="0"/>
              <w:rPr>
                <w:sz w:val="14"/>
                <w:szCs w:val="14"/>
                <w:color w:val="auto"/>
              </w:rPr>
            </w:pPr>
          </w:p>
        </w:tc>
      </w:tr>
      <w:tr>
        <w:trPr>
          <w:trHeight w:val="210"/>
        </w:trPr>
        <w:tc>
          <w:tcPr>
            <w:tcW w:w="3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BP</w:t>
            </w:r>
          </w:p>
        </w:tc>
        <w:tc>
          <w:tcPr>
            <w:tcW w:w="240" w:type="dxa"/>
            <w:vAlign w:val="bottom"/>
            <w:tcBorders>
              <w:top w:val="single" w:sz="8" w:color="CCEEFF"/>
            </w:tcBorders>
            <w:shd w:val="clear" w:color="auto" w:fill="CCEEFF"/>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Alcan</w:t>
            </w:r>
          </w:p>
        </w:tc>
        <w:tc>
          <w:tcPr>
            <w:tcW w:w="24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Airbus</w:t>
            </w:r>
          </w:p>
        </w:tc>
        <w:tc>
          <w:tcPr>
            <w:tcW w:w="40" w:type="dxa"/>
            <w:vAlign w:val="bottom"/>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Chesapeake Midstream</w:t>
            </w: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ARGE Polimex/Ratingen</w:t>
            </w:r>
          </w:p>
        </w:tc>
        <w:tc>
          <w:tcPr>
            <w:tcW w:w="3980" w:type="dxa"/>
            <w:vAlign w:val="bottom"/>
          </w:tcPr>
          <w:p>
            <w:pPr>
              <w:spacing w:after="0"/>
              <w:rPr>
                <w:sz w:val="20"/>
                <w:szCs w:val="20"/>
                <w:color w:val="auto"/>
              </w:rPr>
            </w:pPr>
            <w:r>
              <w:rPr>
                <w:rFonts w:ascii="Arial" w:cs="Arial" w:eastAsia="Arial" w:hAnsi="Arial"/>
                <w:sz w:val="18"/>
                <w:szCs w:val="18"/>
                <w:color w:val="auto"/>
              </w:rPr>
              <w:t>Carlton Forge Works</w:t>
            </w:r>
          </w:p>
        </w:tc>
        <w:tc>
          <w:tcPr>
            <w:tcW w:w="4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Chevron</w:t>
            </w:r>
          </w:p>
        </w:tc>
        <w:tc>
          <w:tcPr>
            <w:tcW w:w="4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BHR</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Danner</w:t>
            </w:r>
          </w:p>
        </w:tc>
        <w:tc>
          <w:tcPr>
            <w:tcW w:w="40" w:type="dxa"/>
            <w:vAlign w:val="bottom"/>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Conoco Phillips</w:t>
            </w: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CHS Inc.</w:t>
            </w:r>
          </w:p>
        </w:tc>
        <w:tc>
          <w:tcPr>
            <w:tcW w:w="3980" w:type="dxa"/>
            <w:vAlign w:val="bottom"/>
          </w:tcPr>
          <w:p>
            <w:pPr>
              <w:spacing w:after="0"/>
              <w:rPr>
                <w:sz w:val="20"/>
                <w:szCs w:val="20"/>
                <w:color w:val="auto"/>
              </w:rPr>
            </w:pPr>
            <w:r>
              <w:rPr>
                <w:rFonts w:ascii="Arial" w:cs="Arial" w:eastAsia="Arial" w:hAnsi="Arial"/>
                <w:sz w:val="18"/>
                <w:szCs w:val="18"/>
                <w:color w:val="auto"/>
              </w:rPr>
              <w:t>Electric Boat</w:t>
            </w:r>
          </w:p>
        </w:tc>
        <w:tc>
          <w:tcPr>
            <w:tcW w:w="4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Exxon</w:t>
            </w:r>
          </w:p>
        </w:tc>
        <w:tc>
          <w:tcPr>
            <w:tcW w:w="4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Kaiser</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Hexcel</w:t>
            </w:r>
          </w:p>
        </w:tc>
        <w:tc>
          <w:tcPr>
            <w:tcW w:w="40" w:type="dxa"/>
            <w:vAlign w:val="bottom"/>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Hess Corporation</w:t>
            </w: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Remak S.A. - Opole</w:t>
            </w:r>
          </w:p>
        </w:tc>
        <w:tc>
          <w:tcPr>
            <w:tcW w:w="3980" w:type="dxa"/>
            <w:vAlign w:val="bottom"/>
          </w:tcPr>
          <w:p>
            <w:pPr>
              <w:spacing w:after="0"/>
              <w:rPr>
                <w:sz w:val="20"/>
                <w:szCs w:val="20"/>
                <w:color w:val="auto"/>
              </w:rPr>
            </w:pPr>
            <w:r>
              <w:rPr>
                <w:rFonts w:ascii="Arial" w:cs="Arial" w:eastAsia="Arial" w:hAnsi="Arial"/>
                <w:sz w:val="18"/>
                <w:szCs w:val="18"/>
                <w:color w:val="auto"/>
              </w:rPr>
              <w:t>PAG</w:t>
            </w:r>
          </w:p>
        </w:tc>
        <w:tc>
          <w:tcPr>
            <w:tcW w:w="4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Marathon Oil</w:t>
            </w:r>
          </w:p>
        </w:tc>
        <w:tc>
          <w:tcPr>
            <w:tcW w:w="4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Rio Tinto Alcan</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Saertex</w:t>
            </w:r>
          </w:p>
        </w:tc>
        <w:tc>
          <w:tcPr>
            <w:tcW w:w="40" w:type="dxa"/>
            <w:vAlign w:val="bottom"/>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Shell</w:t>
            </w: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Strike Construction</w:t>
            </w:r>
          </w:p>
        </w:tc>
        <w:tc>
          <w:tcPr>
            <w:tcW w:w="3980" w:type="dxa"/>
            <w:vAlign w:val="bottom"/>
          </w:tcPr>
          <w:p>
            <w:pPr>
              <w:spacing w:after="0"/>
              <w:rPr>
                <w:sz w:val="20"/>
                <w:szCs w:val="20"/>
                <w:color w:val="auto"/>
              </w:rPr>
            </w:pPr>
            <w:r>
              <w:rPr>
                <w:rFonts w:ascii="Arial" w:cs="Arial" w:eastAsia="Arial" w:hAnsi="Arial"/>
                <w:sz w:val="18"/>
                <w:szCs w:val="18"/>
                <w:color w:val="auto"/>
              </w:rPr>
              <w:t>Schlosser Forge Company</w:t>
            </w:r>
          </w:p>
        </w:tc>
        <w:tc>
          <w:tcPr>
            <w:tcW w:w="4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Tesoro</w:t>
            </w:r>
          </w:p>
        </w:tc>
        <w:tc>
          <w:tcPr>
            <w:tcW w:w="43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Wooster Tool &amp; Supply</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Snecma</w:t>
            </w:r>
          </w:p>
        </w:tc>
        <w:tc>
          <w:tcPr>
            <w:tcW w:w="40" w:type="dxa"/>
            <w:vAlign w:val="bottom"/>
          </w:tcPr>
          <w:p>
            <w:pPr>
              <w:spacing w:after="0"/>
              <w:rPr>
                <w:sz w:val="18"/>
                <w:szCs w:val="18"/>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Valero</w:t>
            </w: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WorleyParsonsCord Ltd.</w:t>
            </w:r>
          </w:p>
        </w:tc>
        <w:tc>
          <w:tcPr>
            <w:tcW w:w="3980" w:type="dxa"/>
            <w:vAlign w:val="bottom"/>
          </w:tcPr>
          <w:p>
            <w:pPr>
              <w:spacing w:after="0"/>
              <w:rPr>
                <w:sz w:val="20"/>
                <w:szCs w:val="20"/>
                <w:color w:val="auto"/>
              </w:rPr>
            </w:pPr>
            <w:r>
              <w:rPr>
                <w:rFonts w:ascii="Arial" w:cs="Arial" w:eastAsia="Arial" w:hAnsi="Arial"/>
                <w:sz w:val="18"/>
                <w:szCs w:val="18"/>
                <w:color w:val="auto"/>
              </w:rPr>
              <w:t>U.S. Navy</w:t>
            </w:r>
          </w:p>
        </w:tc>
        <w:tc>
          <w:tcPr>
            <w:tcW w:w="40" w:type="dxa"/>
            <w:vAlign w:val="bottom"/>
          </w:tcPr>
          <w:p>
            <w:pPr>
              <w:spacing w:after="0"/>
              <w:rPr>
                <w:sz w:val="20"/>
                <w:szCs w:val="20"/>
                <w:color w:val="auto"/>
              </w:rPr>
            </w:pPr>
          </w:p>
        </w:tc>
      </w:tr>
      <w:tr>
        <w:trPr>
          <w:trHeight w:val="355"/>
        </w:trPr>
        <w:tc>
          <w:tcPr>
            <w:tcW w:w="3080" w:type="dxa"/>
            <w:vAlign w:val="bottom"/>
            <w:gridSpan w:val="2"/>
          </w:tcPr>
          <w:p>
            <w:pPr>
              <w:ind w:left="980"/>
              <w:spacing w:after="0"/>
              <w:rPr>
                <w:sz w:val="20"/>
                <w:szCs w:val="20"/>
                <w:color w:val="auto"/>
              </w:rPr>
            </w:pPr>
            <w:r>
              <w:rPr>
                <w:rFonts w:ascii="Arial" w:cs="Arial" w:eastAsia="Arial" w:hAnsi="Arial"/>
                <w:sz w:val="14"/>
                <w:szCs w:val="14"/>
                <w:b w:val="1"/>
                <w:bCs w:val="1"/>
                <w:color w:val="auto"/>
              </w:rPr>
              <w:t>Process Industries</w:t>
            </w:r>
          </w:p>
        </w:tc>
        <w:tc>
          <w:tcPr>
            <w:tcW w:w="240" w:type="dxa"/>
            <w:vAlign w:val="bottom"/>
          </w:tcPr>
          <w:p>
            <w:pPr>
              <w:spacing w:after="0"/>
              <w:rPr>
                <w:sz w:val="24"/>
                <w:szCs w:val="24"/>
                <w:color w:val="auto"/>
              </w:rPr>
            </w:pPr>
          </w:p>
        </w:tc>
        <w:tc>
          <w:tcPr>
            <w:tcW w:w="4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Power Generation &amp; Transmission</w:t>
            </w:r>
          </w:p>
        </w:tc>
        <w:tc>
          <w:tcPr>
            <w:tcW w:w="4020" w:type="dxa"/>
            <w:vAlign w:val="bottom"/>
            <w:gridSpan w:val="2"/>
          </w:tcPr>
          <w:p>
            <w:pPr>
              <w:ind w:left="480"/>
              <w:spacing w:after="0"/>
              <w:rPr>
                <w:sz w:val="20"/>
                <w:szCs w:val="20"/>
                <w:color w:val="auto"/>
              </w:rPr>
            </w:pPr>
            <w:r>
              <w:rPr>
                <w:rFonts w:ascii="Arial" w:cs="Arial" w:eastAsia="Arial" w:hAnsi="Arial"/>
                <w:sz w:val="14"/>
                <w:szCs w:val="14"/>
                <w:b w:val="1"/>
                <w:bCs w:val="1"/>
                <w:color w:val="auto"/>
              </w:rPr>
              <w:t>Public Infrastructure, Research and Engineering</w:t>
            </w:r>
          </w:p>
        </w:tc>
      </w:tr>
      <w:tr>
        <w:trPr>
          <w:trHeight w:val="186"/>
        </w:trPr>
        <w:tc>
          <w:tcPr>
            <w:tcW w:w="308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(9%)</w:t>
            </w:r>
          </w:p>
        </w:tc>
        <w:tc>
          <w:tcPr>
            <w:tcW w:w="4120" w:type="dxa"/>
            <w:vAlign w:val="bottom"/>
            <w:gridSpan w:val="2"/>
          </w:tcPr>
          <w:p>
            <w:pPr>
              <w:jc w:val="right"/>
              <w:ind w:right="1702"/>
              <w:spacing w:after="0"/>
              <w:rPr>
                <w:sz w:val="20"/>
                <w:szCs w:val="20"/>
                <w:color w:val="auto"/>
              </w:rPr>
            </w:pPr>
            <w:r>
              <w:rPr>
                <w:rFonts w:ascii="Arial" w:cs="Arial" w:eastAsia="Arial" w:hAnsi="Arial"/>
                <w:sz w:val="14"/>
                <w:szCs w:val="14"/>
                <w:b w:val="1"/>
                <w:bCs w:val="1"/>
                <w:color w:val="auto"/>
              </w:rPr>
              <w:t>(8%)</w:t>
            </w:r>
          </w:p>
        </w:tc>
        <w:tc>
          <w:tcPr>
            <w:tcW w:w="240" w:type="dxa"/>
            <w:vAlign w:val="bottom"/>
          </w:tcPr>
          <w:p>
            <w:pPr>
              <w:spacing w:after="0"/>
              <w:rPr>
                <w:sz w:val="16"/>
                <w:szCs w:val="16"/>
                <w:color w:val="auto"/>
              </w:rPr>
            </w:pPr>
          </w:p>
        </w:tc>
        <w:tc>
          <w:tcPr>
            <w:tcW w:w="3980" w:type="dxa"/>
            <w:vAlign w:val="bottom"/>
          </w:tcPr>
          <w:p>
            <w:pPr>
              <w:jc w:val="right"/>
              <w:ind w:right="1755"/>
              <w:spacing w:after="0"/>
              <w:rPr>
                <w:sz w:val="20"/>
                <w:szCs w:val="20"/>
                <w:color w:val="auto"/>
              </w:rPr>
            </w:pPr>
            <w:r>
              <w:rPr>
                <w:rFonts w:ascii="Arial" w:cs="Arial" w:eastAsia="Arial" w:hAnsi="Arial"/>
                <w:sz w:val="14"/>
                <w:szCs w:val="14"/>
                <w:b w:val="1"/>
                <w:bCs w:val="1"/>
                <w:color w:val="auto"/>
              </w:rPr>
              <w:t>(6%)</w:t>
            </w: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-2446655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-2446655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tabs>
          <w:tab w:leader="none" w:pos="3300" w:val="left"/>
          <w:tab w:leader="none" w:pos="7420" w:val="left"/>
        </w:tabs>
        <w:rPr>
          <w:sz w:val="20"/>
          <w:szCs w:val="20"/>
          <w:color w:val="auto"/>
        </w:rPr>
      </w:pPr>
      <w:r>
        <w:rPr>
          <w:rFonts w:ascii="Arial" w:cs="Arial" w:eastAsia="Arial" w:hAnsi="Arial"/>
          <w:sz w:val="18"/>
          <w:szCs w:val="18"/>
          <w:color w:val="auto"/>
        </w:rPr>
        <w:t>Akzo Nobel</w:t>
      </w:r>
      <w:r>
        <w:rPr>
          <w:sz w:val="20"/>
          <w:szCs w:val="20"/>
          <w:color w:val="auto"/>
        </w:rPr>
        <w:tab/>
      </w:r>
      <w:r>
        <w:rPr>
          <w:rFonts w:ascii="Arial" w:cs="Arial" w:eastAsia="Arial" w:hAnsi="Arial"/>
          <w:sz w:val="18"/>
          <w:szCs w:val="18"/>
          <w:color w:val="auto"/>
        </w:rPr>
        <w:t>AGL Resources</w:t>
      </w:r>
      <w:r>
        <w:rPr>
          <w:sz w:val="20"/>
          <w:szCs w:val="20"/>
          <w:color w:val="auto"/>
        </w:rPr>
        <w:tab/>
      </w:r>
      <w:r>
        <w:rPr>
          <w:rFonts w:ascii="Arial" w:cs="Arial" w:eastAsia="Arial" w:hAnsi="Arial"/>
          <w:sz w:val="16"/>
          <w:szCs w:val="16"/>
          <w:color w:val="auto"/>
        </w:rPr>
        <w:t>Allseas</w:t>
      </w:r>
    </w:p>
    <w:p>
      <w:pPr>
        <w:sectPr>
          <w:pgSz w:w="11900" w:h="16838" w:orient="portrait"/>
          <w:cols w:equalWidth="0" w:num="1">
            <w:col w:w="11460"/>
          </w:cols>
          <w:pgMar w:left="240" w:top="125" w:right="19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Bayer</w:t>
            </w:r>
          </w:p>
        </w:tc>
        <w:tc>
          <w:tcPr>
            <w:tcW w:w="4360" w:type="dxa"/>
            <w:vAlign w:val="bottom"/>
          </w:tcPr>
          <w:p>
            <w:pPr>
              <w:ind w:left="700"/>
              <w:spacing w:after="0"/>
              <w:rPr>
                <w:sz w:val="20"/>
                <w:szCs w:val="20"/>
                <w:color w:val="auto"/>
              </w:rPr>
            </w:pPr>
            <w:r>
              <w:rPr>
                <w:rFonts w:ascii="Arial" w:cs="Arial" w:eastAsia="Arial" w:hAnsi="Arial"/>
                <w:sz w:val="18"/>
                <w:szCs w:val="18"/>
                <w:color w:val="auto"/>
              </w:rPr>
              <w:t>Bechtel</w:t>
            </w:r>
          </w:p>
        </w:tc>
        <w:tc>
          <w:tcPr>
            <w:tcW w:w="4440" w:type="dxa"/>
            <w:vAlign w:val="bottom"/>
          </w:tcPr>
          <w:p>
            <w:pPr>
              <w:ind w:left="460"/>
              <w:spacing w:after="0"/>
              <w:rPr>
                <w:sz w:val="20"/>
                <w:szCs w:val="20"/>
                <w:color w:val="auto"/>
              </w:rPr>
            </w:pPr>
            <w:r>
              <w:rPr>
                <w:rFonts w:ascii="Arial" w:cs="Arial" w:eastAsia="Arial" w:hAnsi="Arial"/>
                <w:sz w:val="18"/>
                <w:szCs w:val="18"/>
                <w:color w:val="auto"/>
              </w:rPr>
              <w:t>Atkins</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Daiken</w:t>
            </w: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Constellation Power Source Generation, Inc.</w:t>
            </w:r>
          </w:p>
        </w:tc>
        <w:tc>
          <w:tcPr>
            <w:tcW w:w="4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Carpenter Tech</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Dow, Rohm, &amp; Haas</w:t>
            </w:r>
          </w:p>
        </w:tc>
        <w:tc>
          <w:tcPr>
            <w:tcW w:w="4360" w:type="dxa"/>
            <w:vAlign w:val="bottom"/>
          </w:tcPr>
          <w:p>
            <w:pPr>
              <w:ind w:left="700"/>
              <w:spacing w:after="0"/>
              <w:rPr>
                <w:sz w:val="20"/>
                <w:szCs w:val="20"/>
                <w:color w:val="auto"/>
              </w:rPr>
            </w:pPr>
            <w:r>
              <w:rPr>
                <w:rFonts w:ascii="Arial" w:cs="Arial" w:eastAsia="Arial" w:hAnsi="Arial"/>
                <w:sz w:val="18"/>
                <w:szCs w:val="18"/>
                <w:color w:val="auto"/>
              </w:rPr>
              <w:t>Dominion</w:t>
            </w:r>
          </w:p>
        </w:tc>
        <w:tc>
          <w:tcPr>
            <w:tcW w:w="4440" w:type="dxa"/>
            <w:vAlign w:val="bottom"/>
          </w:tcPr>
          <w:p>
            <w:pPr>
              <w:ind w:left="460"/>
              <w:spacing w:after="0"/>
              <w:rPr>
                <w:sz w:val="20"/>
                <w:szCs w:val="20"/>
                <w:color w:val="auto"/>
              </w:rPr>
            </w:pPr>
            <w:r>
              <w:rPr>
                <w:rFonts w:ascii="Arial" w:cs="Arial" w:eastAsia="Arial" w:hAnsi="Arial"/>
                <w:sz w:val="18"/>
                <w:szCs w:val="18"/>
                <w:color w:val="auto"/>
              </w:rPr>
              <w:t>Construction Testing Services, Inc.</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Dupont</w:t>
            </w: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EDF SA-SCAN</w:t>
            </w:r>
          </w:p>
        </w:tc>
        <w:tc>
          <w:tcPr>
            <w:tcW w:w="4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HDR Engineering</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Hemlock Semiconductor</w:t>
            </w:r>
          </w:p>
        </w:tc>
        <w:tc>
          <w:tcPr>
            <w:tcW w:w="4360" w:type="dxa"/>
            <w:vAlign w:val="bottom"/>
          </w:tcPr>
          <w:p>
            <w:pPr>
              <w:ind w:left="700"/>
              <w:spacing w:after="0"/>
              <w:rPr>
                <w:sz w:val="20"/>
                <w:szCs w:val="20"/>
                <w:color w:val="auto"/>
              </w:rPr>
            </w:pPr>
            <w:r>
              <w:rPr>
                <w:rFonts w:ascii="Arial" w:cs="Arial" w:eastAsia="Arial" w:hAnsi="Arial"/>
                <w:sz w:val="18"/>
                <w:szCs w:val="18"/>
                <w:color w:val="auto"/>
              </w:rPr>
              <w:t>Entergy</w:t>
            </w:r>
          </w:p>
        </w:tc>
        <w:tc>
          <w:tcPr>
            <w:tcW w:w="4440" w:type="dxa"/>
            <w:vAlign w:val="bottom"/>
          </w:tcPr>
          <w:p>
            <w:pPr>
              <w:ind w:left="460"/>
              <w:spacing w:after="0"/>
              <w:rPr>
                <w:sz w:val="20"/>
                <w:szCs w:val="20"/>
                <w:color w:val="auto"/>
              </w:rPr>
            </w:pPr>
            <w:r>
              <w:rPr>
                <w:rFonts w:ascii="Arial" w:cs="Arial" w:eastAsia="Arial" w:hAnsi="Arial"/>
                <w:sz w:val="18"/>
                <w:szCs w:val="18"/>
                <w:color w:val="auto"/>
              </w:rPr>
              <w:t>Holdings GD Empreendimentos</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INEOS</w:t>
            </w: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Exelon</w:t>
            </w:r>
          </w:p>
        </w:tc>
        <w:tc>
          <w:tcPr>
            <w:tcW w:w="4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Kuraray America, Inc.</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LyondellBasel</w:t>
            </w:r>
          </w:p>
        </w:tc>
        <w:tc>
          <w:tcPr>
            <w:tcW w:w="4360" w:type="dxa"/>
            <w:vAlign w:val="bottom"/>
          </w:tcPr>
          <w:p>
            <w:pPr>
              <w:ind w:left="700"/>
              <w:spacing w:after="0"/>
              <w:rPr>
                <w:sz w:val="20"/>
                <w:szCs w:val="20"/>
                <w:color w:val="auto"/>
              </w:rPr>
            </w:pPr>
            <w:r>
              <w:rPr>
                <w:rFonts w:ascii="Arial" w:cs="Arial" w:eastAsia="Arial" w:hAnsi="Arial"/>
                <w:sz w:val="18"/>
                <w:szCs w:val="18"/>
                <w:color w:val="auto"/>
              </w:rPr>
              <w:t>PP&amp;L</w:t>
            </w:r>
          </w:p>
        </w:tc>
        <w:tc>
          <w:tcPr>
            <w:tcW w:w="4440" w:type="dxa"/>
            <w:vAlign w:val="bottom"/>
          </w:tcPr>
          <w:p>
            <w:pPr>
              <w:ind w:left="460"/>
              <w:spacing w:after="0"/>
              <w:rPr>
                <w:sz w:val="20"/>
                <w:szCs w:val="20"/>
                <w:color w:val="auto"/>
              </w:rPr>
            </w:pPr>
            <w:r>
              <w:rPr>
                <w:rFonts w:ascii="Arial" w:cs="Arial" w:eastAsia="Arial" w:hAnsi="Arial"/>
                <w:sz w:val="18"/>
                <w:szCs w:val="18"/>
                <w:color w:val="auto"/>
              </w:rPr>
              <w:t>Ministère des Transports du Québec</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Teknimont</w:t>
            </w:r>
          </w:p>
        </w:tc>
        <w:tc>
          <w:tcPr>
            <w:tcW w:w="4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Siemens</w:t>
            </w:r>
          </w:p>
        </w:tc>
        <w:tc>
          <w:tcPr>
            <w:tcW w:w="4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Samarco</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Terra Mississippi Nitrogen</w:t>
            </w:r>
          </w:p>
        </w:tc>
        <w:tc>
          <w:tcPr>
            <w:tcW w:w="4360" w:type="dxa"/>
            <w:vAlign w:val="bottom"/>
          </w:tcPr>
          <w:p>
            <w:pPr>
              <w:ind w:left="700"/>
              <w:spacing w:after="0"/>
              <w:rPr>
                <w:sz w:val="20"/>
                <w:szCs w:val="20"/>
                <w:color w:val="auto"/>
              </w:rPr>
            </w:pPr>
            <w:r>
              <w:rPr>
                <w:rFonts w:ascii="Arial" w:cs="Arial" w:eastAsia="Arial" w:hAnsi="Arial"/>
                <w:sz w:val="18"/>
                <w:szCs w:val="18"/>
                <w:color w:val="auto"/>
              </w:rPr>
              <w:t>Stone &amp; Webster, Inc.</w:t>
            </w:r>
          </w:p>
        </w:tc>
        <w:tc>
          <w:tcPr>
            <w:tcW w:w="4440" w:type="dxa"/>
            <w:vAlign w:val="bottom"/>
          </w:tcPr>
          <w:p>
            <w:pPr>
              <w:ind w:left="460"/>
              <w:spacing w:after="0"/>
              <w:rPr>
                <w:sz w:val="20"/>
                <w:szCs w:val="20"/>
                <w:color w:val="auto"/>
              </w:rPr>
            </w:pPr>
            <w:r>
              <w:rPr>
                <w:rFonts w:ascii="Arial" w:cs="Arial" w:eastAsia="Arial" w:hAnsi="Arial"/>
                <w:sz w:val="18"/>
                <w:szCs w:val="18"/>
                <w:color w:val="auto"/>
              </w:rPr>
              <w:t>Wiltonen</w:t>
            </w:r>
          </w:p>
        </w:tc>
      </w:tr>
    </w:tbl>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percentage in each column heading represents the approximate percentage that each target market comprises of our total revenues. The companies listed under each target market above comprise, in total, the following percentages of the fiscal 2013 revenues for that target market: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Oil &amp; Gas: 61%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Power Generation &amp; Transmission: 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Process Industries: 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Aerospace &amp; Defense: 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Infrastructure, Research and Engineering: 32%</w:t>
      </w:r>
    </w:p>
    <w:p>
      <w:pPr>
        <w:spacing w:after="0" w:line="21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one customer, BP plc. (BP), which accounted for approximately 11%, 16%, and 18% of our total revenues for fiscal 2013, 2012 and 2011, respectively. Our relationship with BP is comprised of separate contracts for non-destructive testing and inspection services with multiple affiliated entities within the broad BP organization. We conduct business with various divisions or affiliates of the BP organization through numerous contracts covering many segments of BP’s business including downstream (refinery), midstream (pipelines) and upstream (exploration). These contracts are typically negotiated locally with the specific location, are of varying lengths, have different start and end dates and differ in terms of the scope of work and nature of services provided. Most contracts are based on time and materials. No other customer accounted for more than 10% of our revenues in fiscal 2013, 2012, or 2011.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We conduct our business in approximately 16 different countries with our revenues primarily derived from our U.S. and European operations. Note 19 — </w:t>
      </w:r>
      <w:r>
        <w:rPr>
          <w:rFonts w:ascii="Arial" w:cs="Arial" w:eastAsia="Arial" w:hAnsi="Arial"/>
          <w:sz w:val="18"/>
          <w:szCs w:val="18"/>
          <w:i w:val="1"/>
          <w:iCs w:val="1"/>
          <w:color w:val="auto"/>
        </w:rPr>
        <w:t xml:space="preserve">Segment Disclosure </w:t>
      </w:r>
      <w:r>
        <w:rPr>
          <w:rFonts w:ascii="Arial" w:cs="Arial" w:eastAsia="Arial" w:hAnsi="Arial"/>
          <w:sz w:val="18"/>
          <w:szCs w:val="18"/>
          <w:color w:val="auto"/>
        </w:rPr>
        <w:t>to the consolidated financial statements in this report sets forth our revenues, long-lived assets and other financial information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international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business is seasonal. This seasonality relates primarily to our Services segment. Our first and third fiscal quarter revenues for our Services segment are typically lower than our revenues in the second and fourth fiscal quarters because demand for our asset protection solutions from the oil and gas as well as the fossil and nuclear power industries increases during their non-peak production periods. Because we are increasing our work in the second and fourth fiscal quarters, our cash flows are lower in those quarters than in our first and third quarters, as collections of receivables lag behind revenues. For instance, U.S. refineries’ non-peak periods are generally in our second fiscal quarter, when they are retooling to produce more heating oil for winter, and in our fourth fiscal quarter, when they are retooling to produce more gasoline for summer. Our quarterly Services segment revenues for fiscal 2013, as a percentage of total Services revenues for fiscal 2013, were 21% (first quarter), 28% (second quarter), 24% (third quarter), and 27% (fourth quarter). We expect that the impact of seasonality on our first and third fiscal quarter revenues and profitability and second and fourth fiscal quarter cash flows will continue.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operate in a highly competitive, but fragmented, market. We are a “pure play” NDT company meaning that we provide only Services and Products &amp; Systems for NDT supported applications and are not diluted with non core services which could create a conflict of interest. Our primary competitors are divisions of large companies, and many of our other competitors are small companies, limited to a specific product or technology and focused on a niche market or geographic region. We believe that none of our competitors currently provides the full range of asset protection and NDT products, enterprise software (PCMS) and the traditional and advanced services solutions that we offer. Our competition with respect to NDT services include the Acuren division of Rockwood Service Corporation, SGS Group, the TCM division of Team, Inc. and APPLUS RTD, which is majority-owned by The Carlyle Group. Our competition with respect to our PCMS software includes UltraPIPE, a division of Siemens, Lloyd’s Register Capstone, Inc. and Meridium Systems. Our competition with respect to our ultrasonic and radiography products are GE Inspection Technologies and Olympus NDT. In the traditional NDT market, we believe the principal competitive factors are project management, availability of qualified personnel, execution, price, reputation and quality. In the advanced NDT market, reputation, quality and size are more significant competitive factors than price. We believe that the NDT market has significant barriers to entry which would make it difficult for new competitors to enter the market. These barriers include: (1) having to acquire or develop advanced NDT services, products and systems technologies, which in our case occurred over many years of customer engagements and at significant internal research and development expense, (2) complex regulations and safety codes that require significant industry experience, (3) license requirements and evolved quality and safety programs, (4) costly and time-consuming certification processes, (5) capital requirements and (6) emphasis by large customers on size and critical mass, length of relationship and past service record.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Centers of Excellence</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Another differentiator in our business model is the formation of our Centers of Excellence (COEs), which we consider to be incubators of inspection technology. The COEs are focused around target applications in our key market segments. They are supported by subject matter experts that will engage in strategic sales opportunities offering customers value-added solutions using advanced technologies and methods providing oversight, management and consultation. The COEs have a blueprint for their areas that can be replicated throughout the world by delivering procedures, equipment, reports, certifications, etc. insuring a standardized approach to implementation yielding higher margin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ectPr>
          <w:pgSz w:w="11900" w:h="16838" w:orient="portrait"/>
          <w:cols w:equalWidth="0" w:num="1">
            <w:col w:w="11420"/>
          </w:cols>
          <w:pgMar w:left="240" w:top="125" w:right="239" w:bottom="0" w:gutter="0" w:footer="0" w:header="0"/>
        </w:sectPr>
      </w:pPr>
    </w:p>
    <w:bookmarkStart w:id="12" w:name="page13"/>
    <w:bookmarkEnd w:id="12"/>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sell our asset protection solutions through our experienced and highly trained direct sales and marketing teams within all of our offices worldwide. In addition, our project and laboratory managers as well as our management are trained on our solutions and often are the source of sales leads and customer contacts. Our direct sales and marketing teams work closely with our customers’ research and design personnel, reliability engineers and facilities maintenance engineers to demonstrate the benefits and capabilities of our asset protection solutions, refine our asset protection solutions based on changing market and customer needs and identify potential sales opportunities. We divide our sales and marketing efforts into services sales, products and systems sales and marketing.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Most of our hardware products are manufactured in our Princeton Junction, New Jersey facility. Our Princeton Junction facility includes the capabilities and personnel to fully produce all of our AE products, NDT Automation Ultrasonic equipment and Vibra-Metrics vibration sensing products and systems. We recently expanded our manufacturing facilities to handle the assembly and manufacturing of our larger UT systems due to growth in this segment. Certain other hardware is manufactured by a third party and then loaded by us with our proprietary software.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also design and manufacture automated ultrasonic systems and scanners as a result of the acquisition of Eurosonic in Vitrolles, France during fiscal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facility is the headquarters of our European Products and Systems division.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 of May 31, 2013, we held 7 patents, all in the United States, which will expire at various times between fiscal 2014 and 2026, and license certain other patents. However, we currently do not principally rely on these patents or licenses to provide our proprietary asset protection solutions. Our trademarks and service marks provide us and our products and services with a certain amount of brand recognition in our markets. However, we do not consider any single patent, trademark or service mark material to our financial condition or results of operations.</w:t>
      </w:r>
    </w:p>
    <w:p>
      <w:pPr>
        <w:spacing w:after="0" w:line="171" w:lineRule="exact"/>
        <w:rPr>
          <w:sz w:val="20"/>
          <w:szCs w:val="20"/>
          <w:color w:val="auto"/>
        </w:rPr>
      </w:pPr>
    </w:p>
    <w:p>
      <w:pPr>
        <w:ind w:right="60"/>
        <w:spacing w:after="0" w:line="213" w:lineRule="auto"/>
        <w:rPr>
          <w:sz w:val="20"/>
          <w:szCs w:val="20"/>
          <w:color w:val="auto"/>
        </w:rPr>
      </w:pPr>
      <w:r>
        <w:rPr>
          <w:rFonts w:ascii="Arial" w:cs="Arial" w:eastAsia="Arial" w:hAnsi="Arial"/>
          <w:sz w:val="18"/>
          <w:szCs w:val="18"/>
          <w:color w:val="auto"/>
        </w:rPr>
        <w:t>As of May 31, 2013, the primary trademarks and service marks that we held in the United States included Mistras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our stylized globe design. Other trademarks or service marks that we utilize in localized markets or product advertising include PCMS</w:t>
      </w:r>
      <w:r>
        <w:rPr>
          <w:rFonts w:ascii="Arial" w:cs="Arial" w:eastAsia="Arial" w:hAnsi="Arial"/>
          <w:sz w:val="23"/>
          <w:szCs w:val="23"/>
          <w:color w:val="auto"/>
          <w:vertAlign w:val="superscript"/>
        </w:rPr>
        <w:t>®</w:t>
      </w:r>
      <w:r>
        <w:rPr>
          <w:rFonts w:ascii="Arial" w:cs="Arial" w:eastAsia="Arial" w:hAnsi="Arial"/>
          <w:sz w:val="18"/>
          <w:szCs w:val="18"/>
          <w:color w:val="auto"/>
        </w:rPr>
        <w:t>, Physical Acoustics Corporation and the PAC logo, Ropeworks</w:t>
      </w:r>
      <w:r>
        <w:rPr>
          <w:rFonts w:ascii="Arial" w:cs="Arial" w:eastAsia="Arial" w:hAnsi="Arial"/>
          <w:sz w:val="23"/>
          <w:szCs w:val="23"/>
          <w:color w:val="auto"/>
          <w:vertAlign w:val="superscript"/>
        </w:rPr>
        <w:t>®</w:t>
      </w:r>
      <w:r>
        <w:rPr>
          <w:rFonts w:ascii="Arial" w:cs="Arial" w:eastAsia="Arial" w:hAnsi="Arial"/>
          <w:sz w:val="18"/>
          <w:szCs w:val="18"/>
          <w:color w:val="auto"/>
        </w:rPr>
        <w:t>, NOESIS, Pocket AE</w:t>
      </w:r>
      <w:r>
        <w:rPr>
          <w:rFonts w:ascii="Arial" w:cs="Arial" w:eastAsia="Arial" w:hAnsi="Arial"/>
          <w:sz w:val="23"/>
          <w:szCs w:val="23"/>
          <w:color w:val="auto"/>
          <w:vertAlign w:val="superscript"/>
        </w:rPr>
        <w:t>®</w:t>
      </w:r>
      <w:r>
        <w:rPr>
          <w:rFonts w:ascii="Arial" w:cs="Arial" w:eastAsia="Arial" w:hAnsi="Arial"/>
          <w:sz w:val="18"/>
          <w:szCs w:val="18"/>
          <w:color w:val="auto"/>
        </w:rPr>
        <w:t>, Pocket UT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AEwin</w:t>
      </w:r>
      <w:r>
        <w:rPr>
          <w:rFonts w:ascii="Arial" w:cs="Arial" w:eastAsia="Arial" w:hAnsi="Arial"/>
          <w:sz w:val="23"/>
          <w:szCs w:val="23"/>
          <w:color w:val="auto"/>
          <w:vertAlign w:val="superscript"/>
        </w:rPr>
        <w:t>®</w:t>
      </w:r>
      <w:r>
        <w:rPr>
          <w:rFonts w:ascii="Arial" w:cs="Arial" w:eastAsia="Arial" w:hAnsi="Arial"/>
          <w:sz w:val="18"/>
          <w:szCs w:val="18"/>
          <w:color w:val="auto"/>
        </w:rPr>
        <w:t>, AEwinPost, UTwin</w:t>
      </w:r>
      <w:r>
        <w:rPr>
          <w:rFonts w:ascii="Arial" w:cs="Arial" w:eastAsia="Arial" w:hAnsi="Arial"/>
          <w:sz w:val="23"/>
          <w:szCs w:val="23"/>
          <w:color w:val="auto"/>
          <w:vertAlign w:val="superscript"/>
        </w:rPr>
        <w:t>®</w:t>
      </w:r>
      <w:r>
        <w:rPr>
          <w:rFonts w:ascii="Arial" w:cs="Arial" w:eastAsia="Arial" w:hAnsi="Arial"/>
          <w:sz w:val="18"/>
          <w:szCs w:val="18"/>
          <w:color w:val="auto"/>
        </w:rPr>
        <w:t>, UTIA, LST, Vibra-Metrics</w:t>
      </w:r>
      <w:r>
        <w:rPr>
          <w:rFonts w:ascii="Arial" w:cs="Arial" w:eastAsia="Arial" w:hAnsi="Arial"/>
          <w:sz w:val="23"/>
          <w:szCs w:val="23"/>
          <w:color w:val="auto"/>
          <w:vertAlign w:val="superscript"/>
        </w:rPr>
        <w:t>®</w:t>
      </w:r>
      <w:r>
        <w:rPr>
          <w:rFonts w:ascii="Arial" w:cs="Arial" w:eastAsia="Arial" w:hAnsi="Arial"/>
          <w:sz w:val="18"/>
          <w:szCs w:val="18"/>
          <w:color w:val="auto"/>
        </w:rPr>
        <w:t>, Field CAL</w:t>
      </w:r>
      <w:r>
        <w:rPr>
          <w:rFonts w:ascii="Arial" w:cs="Arial" w:eastAsia="Arial" w:hAnsi="Arial"/>
          <w:sz w:val="23"/>
          <w:szCs w:val="23"/>
          <w:color w:val="auto"/>
          <w:vertAlign w:val="superscript"/>
        </w:rPr>
        <w:t>®</w:t>
      </w:r>
      <w:r>
        <w:rPr>
          <w:rFonts w:ascii="Arial" w:cs="Arial" w:eastAsia="Arial" w:hAnsi="Arial"/>
          <w:sz w:val="18"/>
          <w:szCs w:val="18"/>
          <w:color w:val="auto"/>
        </w:rPr>
        <w:t>, MONPAC, PERFPAC, TANKPAC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Valve-Squeak</w:t>
      </w:r>
      <w:r>
        <w:rPr>
          <w:rFonts w:ascii="Arial" w:cs="Arial" w:eastAsia="Arial" w:hAnsi="Arial"/>
          <w:sz w:val="23"/>
          <w:szCs w:val="23"/>
          <w:color w:val="auto"/>
          <w:vertAlign w:val="superscript"/>
        </w:rPr>
        <w:t>®</w:t>
      </w:r>
      <w:r>
        <w:rPr>
          <w:rFonts w:ascii="Arial" w:cs="Arial" w:eastAsia="Arial" w:hAnsi="Arial"/>
          <w:sz w:val="18"/>
          <w:szCs w:val="18"/>
          <w:color w:val="auto"/>
        </w:rPr>
        <w:t>,VPAC, POWERPAC, Sensor Highway, Quality Services Laboratories Inc. (QSL), NDT Automation, and One Source for Asset Projection Solutions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Many elements of our asset protection solutions involve proprietary know-how, technology or data that are not covered by patents or patent applications because they are not patentable, or patents covering them would be difficult to enforce, including technical processes, equipment designs, algorithms and procedures. We believe that this proprietary know-how, technology and data is the most important component of our intellectual property assets used in our asset protection solutions, and is a primary differentiator of our asset protection solutions from those of our competitors. We rely on various trade secret protection techniques and agreements with our customers, service providers and vendors to protect these assets. All of our employees in our Products and Systems segment and our other employees involved in the development of our intellectual property have entered into confidentiality and proprietary information agreements with us. These agreements require our employees not to use or disclose our confidential information, to assign to us all of the inventions, designs and technologies they develop during the course of employment with us, and otherwise address intellectual property protection issues. We also seek confidentiality agreements from our customers and business partners before we disclose any sensitive aspects of our asset protection solutions technology or business strategies. We are not currently involved in any material intellectual property claims.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research and development is principally conducted by engineers and scientists at our Princeton Junction, New Jersey headquarters, and supplemented by other employees in the United States and throughout the world, including France, Greece, Japan, Russia and the United Kingdom, who have other primary responsibilities. Our total professional staff includes approximately 30 employees who hold Ph.D.’s and over 100 engineers and employees who hold Level III certification, the highest level of certification from the American Society of Non-Destructive Testing.</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work with many of our customers on developing new products or applications for our technology. Research and development expenses are reflected on our consolidated statements of operations as research and engineering expenses. Our company-sponsored research and engineering expenses were approximately $2.4 million, $2.1 million and $2.2 million for fiscal 2013, 2012 and 2011, respectively. While we have historically funded most of our research and development expenditures, from time to time we also receive customer-sponsored research and development funding. For example, in February 2009, the National Institute of Standards and Technology (NIST) awarded us and our university partners a $6.9 million research award under their new Technology Innovation Program (TIP) for the development and research of advanced technologies to enable monitoring and inspection of the structural health of bridges, roadways and water systems.</w:t>
      </w:r>
    </w:p>
    <w:p>
      <w:pPr>
        <w:spacing w:after="0" w:line="18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 number of other paid research contracts throughout the world, including Greece, Brazil, France, the United Kingdom, Japan and the Netherlands, for various industries and applications, including testing of new composites, detecting crack propagation, mapping discontinuities and carbon defect characterization, development of new sensor, actuator, signal processing, wireless and communications technologies, as well as the development of permanently embedded inspection systems using acoustic emission and acousto-ultrasonics to provide continuous on-line in-service full coverage monitoring of critical structural components. Most of the projects are in our target markets; however, a few of the projects could lead to other future market opportunities.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Providing our asset protection solutions requires a highly-skilled and technically proficient employee base. As of May 31, 2013, we had approximately 4,400 employees worldwide and approximately 60% of our employees were based within the United States, of</w:t>
      </w:r>
    </w:p>
    <w:p>
      <w:pPr>
        <w:sectPr>
          <w:pgSz w:w="11900" w:h="16861" w:orient="portrait"/>
          <w:cols w:equalWidth="0" w:num="1">
            <w:col w:w="11400"/>
          </w:cols>
          <w:pgMar w:left="240" w:top="341" w:right="259" w:bottom="0" w:gutter="0" w:footer="0" w:header="0"/>
        </w:sectPr>
      </w:pPr>
    </w:p>
    <w:bookmarkStart w:id="13" w:name="page14"/>
    <w:bookmarkEnd w:id="13"/>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which approximately 95% were hourly. Less than 3% of our employees in the United States are unionized. We believe that we have good relations with our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as amended, and applicable state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spacing w:after="0" w:line="16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early 2012, we received notice of a governmental investigation concerning an environmental incident which occurred in February 2011, outside on the premises of our Cudahy, California facility. We acquired this facility as part of the acquisition in October 2010 of the assets and ongoing business operations of General Testing and Inspection, Inc. (GTI), a business which provides in-house or shop inspection and nondestructive testing at the Cudahy premises. On February 11, 2011, while liquid hazardous waste was being pumped into the tanker truck of an unaffiliated certified hazardous waste transporter at the Cudahy facility, a chemical reaction occurred that caused an emission of a vapor cloud. No human injury or property damage was reported or appears to have been caused as a result of the incident. The incident was investigated by the L.A. County Fire Department (the Fire Department) and the U.S. Environmental Protection Agency (EPA). At the conclusion of the Fire Department’s investigation, the Fire Department imposed a fine on us in the amount of $4,000 for alleged violations of the California Health and Safety Code in April 2011, which was paid shortly thereafter.</w:t>
      </w:r>
    </w:p>
    <w:p>
      <w:pPr>
        <w:spacing w:after="0" w:line="16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had received no further governmental communications or notices concerning fines or sanctions related to the incident until January 13, 2012, when we received grand jury subpoenas from the U.S. Attorney’s Office for the Central District of California addressed to us, GTI and one of our employees. These subpoenas were issued in connection with an EPA criminal investigation. The subpoena received by us requested documents and information relating to, among other things, our handling, identification, storage and disposal of hazardous waste, training records, corporate environmental policies, acquisition of GTI and any ongoing organizational relationship with GTI, and analytical results of the tests concerning the hazardous materials involved in the incident. We have been informed by the U.S. Attorney’s Office for the Central District of California that we are a target of a criminal investigation into potential violations of the Resource Conservation and Recovery Act. The violations are purportedly related to alleged improper storage and labeling of hazardous waste at the Cudahy facility. The U.S. Attorney’s Office also raised a concern about a possible obstruction of justice issue involving the conduct of one or more of our employees at this facility. Upon receiving the subpoenas, we engaged our outside legal counsel to assist us in conducting an investigation concerning the incident, including interviews with our current employees. To date, we have produced documents in response to the subpoena, and are aware that at least one of our employees testified before the grand jury.</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While management cannot predict the ultimate outcome of this matter, based on our internal investigation to date, management does not believe the outcome will have a material effect on our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 and Available Information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www.mistrasgroup.com.</w:t>
      </w:r>
      <w:r>
        <w:rPr>
          <w:rFonts w:ascii="Arial" w:cs="Arial" w:eastAsia="Arial" w:hAnsi="Arial"/>
          <w:sz w:val="18"/>
          <w:szCs w:val="18"/>
          <w:color w:val="auto"/>
        </w:rPr>
        <w:t xml:space="preserve"> We file reports with the SEC, including Quarterly Reports on Form 10-Q, Annual Reports on Form 10-K, Current Reports on Form 8-K and Proxy Statements. All of the materials we file with or furnish to the SEC are available on our website at http://investors.mistrasgroup.com/sec.cfm, as soon as reasonably practicable after having been electronically submitted to the SEC. Information contained on or connected to our website is not incorporated by reference into this Annual Report on Form 10-K and should not be considered part of this report or any other filing with the SEC. All of our SEC filings are also available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materials we file with the SEC may be read and copied at the SEC’s Public Reference Room at 100 F Street, NE, Washington, DC 20549. The public may obtain information on the operation of the Public Reference Rom by calling the SEC at 1-800-SEC-0330.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and other key employees as of May 31, 2013 and their background and experience: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Age</w:t>
            </w:r>
          </w:p>
        </w:tc>
        <w:tc>
          <w:tcPr>
            <w:tcW w:w="7200" w:type="dxa"/>
            <w:vAlign w:val="bottom"/>
          </w:tcPr>
          <w:p>
            <w:pPr>
              <w:ind w:left="3360"/>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4"/>
                <w:szCs w:val="14"/>
                <w:color w:val="auto"/>
              </w:rPr>
            </w:pPr>
          </w:p>
        </w:tc>
      </w:tr>
      <w:tr>
        <w:trPr>
          <w:trHeight w:val="210"/>
        </w:trPr>
        <w:tc>
          <w:tcPr>
            <w:tcW w:w="260" w:type="dxa"/>
            <w:vAlign w:val="bottom"/>
          </w:tcPr>
          <w:p>
            <w:pPr>
              <w:spacing w:after="0"/>
              <w:rPr>
                <w:sz w:val="18"/>
                <w:szCs w:val="18"/>
                <w:color w:val="auto"/>
              </w:rPr>
            </w:pPr>
          </w:p>
        </w:tc>
        <w:tc>
          <w:tcPr>
            <w:tcW w:w="2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Sotirios J. Vahaviolos</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300" w:type="dxa"/>
            <w:vAlign w:val="bottom"/>
            <w:tcBorders>
              <w:top w:val="single" w:sz="8" w:color="CCEEFF"/>
            </w:tcBorders>
            <w:shd w:val="clear" w:color="auto" w:fill="CCEEFF"/>
          </w:tcPr>
          <w:p>
            <w:pPr>
              <w:spacing w:after="0"/>
              <w:rPr>
                <w:sz w:val="18"/>
                <w:szCs w:val="18"/>
                <w:color w:val="auto"/>
              </w:rPr>
            </w:pPr>
          </w:p>
        </w:tc>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President, Chief Executive Officer and Director</w:t>
            </w:r>
          </w:p>
        </w:tc>
        <w:tc>
          <w:tcPr>
            <w:tcW w:w="10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Dennis Bertolotti</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300" w:type="dxa"/>
            <w:vAlign w:val="bottom"/>
          </w:tcPr>
          <w:p>
            <w:pPr>
              <w:spacing w:after="0"/>
              <w:rPr>
                <w:sz w:val="20"/>
                <w:szCs w:val="20"/>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President, Chief Operating Officer, Services</w:t>
            </w:r>
          </w:p>
        </w:tc>
        <w:tc>
          <w:tcPr>
            <w:tcW w:w="100" w:type="dxa"/>
            <w:vAlign w:val="bottom"/>
          </w:tcPr>
          <w:p>
            <w:pPr>
              <w:spacing w:after="0"/>
              <w:rPr>
                <w:sz w:val="20"/>
                <w:szCs w:val="20"/>
                <w:color w:val="auto"/>
              </w:rPr>
            </w:pPr>
          </w:p>
        </w:tc>
      </w:tr>
      <w:tr>
        <w:trPr>
          <w:trHeight w:val="418"/>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0" w:type="dxa"/>
            <w:vAlign w:val="bottom"/>
          </w:tcPr>
          <w:p>
            <w:pPr>
              <w:ind w:left="14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720" w:type="dxa"/>
            <w:vAlign w:val="bottom"/>
            <w:tcBorders>
              <w:bottom w:val="single" w:sz="8" w:color="010101"/>
            </w:tcBorders>
            <w:gridSpan w:val="2"/>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r>
      <w:tr>
        <w:trPr>
          <w:trHeight w:val="523"/>
        </w:trPr>
        <w:tc>
          <w:tcPr>
            <w:tcW w:w="30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60" w:type="dxa"/>
            <w:vAlign w:val="bottom"/>
            <w:tcBorders>
              <w:top w:val="single" w:sz="8" w:color="0000EE"/>
            </w:tcBorders>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6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F. Carlos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300" w:type="dxa"/>
            <w:vAlign w:val="bottom"/>
            <w:shd w:val="clear" w:color="auto" w:fill="CCEEFF"/>
          </w:tcPr>
          <w:p>
            <w:pPr>
              <w:spacing w:after="0"/>
              <w:rPr>
                <w:sz w:val="18"/>
                <w:szCs w:val="18"/>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 Executive Vice President, Products and Systems</w:t>
            </w: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Ralph L. Genesi</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0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Group Executive Vice President, Marketing and Sales</w:t>
            </w: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Francis T. Joyce</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300" w:type="dxa"/>
            <w:vAlign w:val="bottom"/>
            <w:shd w:val="clear" w:color="auto" w:fill="CCEEFF"/>
          </w:tcPr>
          <w:p>
            <w:pPr>
              <w:spacing w:after="0"/>
              <w:rPr>
                <w:sz w:val="18"/>
                <w:szCs w:val="18"/>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Michael C. Keefe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30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Lange</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300" w:type="dxa"/>
            <w:vAlign w:val="bottom"/>
            <w:shd w:val="clear" w:color="auto" w:fill="CCEEFF"/>
          </w:tcPr>
          <w:p>
            <w:pPr>
              <w:spacing w:after="0"/>
              <w:rPr>
                <w:sz w:val="18"/>
                <w:szCs w:val="18"/>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Group Executive Vice President, Services, and Director</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Sotirios J. Vahaviolos </w:t>
      </w:r>
      <w:r>
        <w:rPr>
          <w:rFonts w:ascii="Arial" w:cs="Arial" w:eastAsia="Arial" w:hAnsi="Arial"/>
          <w:sz w:val="16"/>
          <w:szCs w:val="16"/>
          <w:color w:val="auto"/>
        </w:rPr>
        <w:t>has been our Chairman, President and Chief Executive Officer since he founded Mistras in 1978 under the name Physical Acoustics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Prior to joining Mistras, Dr. Vahaviolos worked at AT&amp;T Bell Laboratories. Dr. Vahaviolos received a B.S. in Electrical Engineering and graduated first in his engineering class from Fairleigh Dickinson University and received Masters Degrees in Electrical Engineering and Philosophy and a Ph.D. (EE) from the Columbia University School of Engineering. During Dr. Vahaviolos’ career in non-destructive testing, he has been elected Fellow of The Institute of Electrical and Electronics Engineers, a member of The American Society for Nondestructive Testing (ASNT) where he served as its President</w:t>
      </w:r>
    </w:p>
    <w:p>
      <w:pPr>
        <w:sectPr>
          <w:pgSz w:w="11900" w:h="16887" w:orient="portrait"/>
          <w:cols w:equalWidth="0" w:num="1">
            <w:col w:w="11460"/>
          </w:cols>
          <w:pgMar w:left="240" w:top="341" w:right="199" w:bottom="0" w:gutter="0" w:footer="0" w:header="0"/>
        </w:sectPr>
      </w:pPr>
    </w:p>
    <w:bookmarkStart w:id="14" w:name="page15"/>
    <w:bookmarkEnd w:id="14"/>
    <w:p>
      <w:pPr>
        <w:spacing w:after="0" w:line="264" w:lineRule="auto"/>
        <w:rPr>
          <w:sz w:val="20"/>
          <w:szCs w:val="20"/>
          <w:color w:val="auto"/>
        </w:rPr>
      </w:pPr>
      <w:r>
        <w:rPr>
          <w:rFonts w:ascii="Arial" w:cs="Arial" w:eastAsia="Arial" w:hAnsi="Arial"/>
          <w:sz w:val="18"/>
          <w:szCs w:val="18"/>
          <w:color w:val="auto"/>
        </w:rPr>
        <w:t>from 1992-1993 and its Chairman from 1993-1994, a member of Acoustic Emission Working Group (AEWG) and an honorary life member of the International Committee for Nondestructive Testing. Additionally, he was the recipient of ASNT’s Gold Medal in 2001 and AEWG’s Gold Medal in 2005. He was also one of the six founders of NDT Academia International in 2008 headquartered in Brescia, Italy.</w:t>
      </w:r>
    </w:p>
    <w:p>
      <w:pPr>
        <w:spacing w:after="0" w:line="1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 xml:space="preserve">Dennis Bertolotti </w:t>
      </w:r>
      <w:r>
        <w:rPr>
          <w:rFonts w:ascii="Arial" w:cs="Arial" w:eastAsia="Arial" w:hAnsi="Arial"/>
          <w:sz w:val="16"/>
          <w:szCs w:val="16"/>
          <w:color w:val="auto"/>
        </w:rPr>
        <w:t>is the President and Chief Operating Officer, Services. Mr. Bertolotti has been with us since we acquired Conam Inspection Services in</w:t>
      </w:r>
      <w:r>
        <w:rPr>
          <w:rFonts w:ascii="Arial" w:cs="Arial" w:eastAsia="Arial" w:hAnsi="Arial"/>
          <w:sz w:val="16"/>
          <w:szCs w:val="16"/>
          <w:i w:val="1"/>
          <w:iCs w:val="1"/>
          <w:color w:val="auto"/>
        </w:rPr>
        <w:t xml:space="preserve"> </w:t>
      </w:r>
      <w:r>
        <w:rPr>
          <w:rFonts w:ascii="Arial" w:cs="Arial" w:eastAsia="Arial" w:hAnsi="Arial"/>
          <w:sz w:val="16"/>
          <w:szCs w:val="16"/>
          <w:color w:val="auto"/>
        </w:rPr>
        <w:t>2003, where Mr. Bertolotti was a Vice President at the time of the acquisition. Mr. Bertolotti has been in the NDT business for over 29 years, and previously held ASNT Level III certifications and various American Petroleum Institute, or API, certifications, and received his Associate of Science degree in NDT from Moraine Valley Community College in 1983. Mr. Bertolotti has also received a Bachelor of Science and MBA from Otterbein College.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Mark F. Carlos </w:t>
      </w:r>
      <w:r>
        <w:rPr>
          <w:rFonts w:ascii="Arial" w:cs="Arial" w:eastAsia="Arial" w:hAnsi="Arial"/>
          <w:sz w:val="17"/>
          <w:szCs w:val="17"/>
          <w:color w:val="auto"/>
        </w:rPr>
        <w:t>is our Group Executive Vice President, Products and Systems, having joined Mistras at its founding in 1978. Prior to joining Mistras,</w:t>
      </w:r>
    </w:p>
    <w:p>
      <w:pPr>
        <w:spacing w:after="0" w:line="35"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Mr. Carlos worked at AT&amp;T Bell Laboratories. Mr. Carlos received a MBA from Rider University and a Masters in Electrical Engineering from Columbia University. Mr. Carlos is an elected Fellow of ASNT and AEWG, and currently serves as the Chairman of the American Society for Testing and Materials’ NDT Standards Writing Committee E-07 and was the recipient of its prestigious Charles W. Briggs Award in 2007.</w:t>
      </w:r>
    </w:p>
    <w:p>
      <w:pPr>
        <w:spacing w:after="0" w:line="19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i w:val="1"/>
          <w:iCs w:val="1"/>
          <w:color w:val="auto"/>
        </w:rPr>
        <w:t xml:space="preserve">Ralph L. Genesi </w:t>
      </w:r>
      <w:r>
        <w:rPr>
          <w:rFonts w:ascii="Arial" w:cs="Arial" w:eastAsia="Arial" w:hAnsi="Arial"/>
          <w:sz w:val="17"/>
          <w:szCs w:val="17"/>
          <w:color w:val="auto"/>
        </w:rPr>
        <w:t>is Group Executive Vice President, Marketing and Sales. He joined Mistras in March of 2009 with more than 25 years of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experience in marketing and sales as well as corporate profit and loss responsibility. Prior to joining Mistras, Mr. Genesi was President of Swantech Inc., a division of the Curtiss Wright Corporation from 2005 until 2009. From 2001 until 2005, Mr. Genesi was with Siemens AG, where he was Vice President and General Manager for the Siemens Power Generation Information Technology Business, responsible for energy trading, fleet operations and control solutions worldwide. Prior to that Mr. Genesi held positions as President-Americas Operations for Spectris Technologies Inc., a European holding company and Director, Global Market &amp; Sales Development for Honeywell’s Industrial Automation &amp; Controls business. Mr. Genesi has an Electrical Engineering degree from Fairleigh Dickinson University.</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Francis T. Joyce </w:t>
      </w:r>
      <w:r>
        <w:rPr>
          <w:rFonts w:ascii="Arial" w:cs="Arial" w:eastAsia="Arial" w:hAnsi="Arial"/>
          <w:sz w:val="17"/>
          <w:szCs w:val="17"/>
          <w:color w:val="auto"/>
        </w:rPr>
        <w:t>joined us as our Executive Vice President, Chief Financial Officer and Treasurer in July 2010. Prior to joining Mistras, Mr. Joyce was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from 2006 to 2008 of Macquarie Infrastructure Company LLC, a New York Stock Exchange infrastructure operation and investment company that provides services in the general aviation, bulk liquid storage, gas utility, district cooling and airport parking industries. Prior to his employment with Macquarie, Mr. Joyce served as Chief Financial Officer of IMAX Corporation, a New York Stock Exchange company, from 2001 until 2006 and he was the Chief Financial Officer and Treasurer of TheGlobe.com from 1998 to 2001. Mr. Joyce started his career in public accounting at KPMG in New York. Mr. Joyce graduated from the University of Scranton with a Bachelor of Science in Accounting and from Fordham University Graduate School of Business with an MBA in Finance. Mr. Joyce is a certified public accountant.</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Michael C. Keefe </w:t>
      </w:r>
      <w:r>
        <w:rPr>
          <w:rFonts w:ascii="Arial" w:cs="Arial" w:eastAsia="Arial" w:hAnsi="Arial"/>
          <w:sz w:val="17"/>
          <w:szCs w:val="17"/>
          <w:color w:val="auto"/>
        </w:rPr>
        <w:t>is Executive Vice President, General Counsel and Secretary, joining Mistras in December 2009. Most recently before Mistras, Mr. Keefe</w:t>
      </w:r>
      <w:r>
        <w:rPr>
          <w:rFonts w:ascii="Arial" w:cs="Arial" w:eastAsia="Arial" w:hAnsi="Arial"/>
          <w:sz w:val="17"/>
          <w:szCs w:val="17"/>
          <w:i w:val="1"/>
          <w:iCs w:val="1"/>
          <w:color w:val="auto"/>
        </w:rPr>
        <w:t xml:space="preserve"> </w:t>
      </w:r>
      <w:r>
        <w:rPr>
          <w:rFonts w:ascii="Arial" w:cs="Arial" w:eastAsia="Arial" w:hAnsi="Arial"/>
          <w:sz w:val="17"/>
          <w:szCs w:val="17"/>
          <w:color w:val="auto"/>
        </w:rPr>
        <w:t>worked at International Fight League, a publicly-traded sports promotion company, from 2007 until 2009, initially as Executive Vice President, General Counsel and Corporate Secretary, then becoming the Chief Financial Officer, and eventually its President. From 1990 until 2006, Mr. Keefe served in various legal roles with Lucent Technologies and AT&amp;T, the last four years as Vice President, Corporate and Securities Law and Assistant Secretary, and prior to that was in private practice at McCarter &amp; English, LLP. Before starting his legal career, Mr. Keefe was employed at PricewaterhouseCoopers LLP, and worked in accounting for seven years, becoming a certified public accountant. Mr. Keefe received a BS in Business Administration (Accounting) from Seton Hall University and a J.D. from Seton Hall University School of Law.</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Michael J. Lange </w:t>
      </w:r>
      <w:r>
        <w:rPr>
          <w:rFonts w:ascii="Arial" w:cs="Arial" w:eastAsia="Arial" w:hAnsi="Arial"/>
          <w:sz w:val="18"/>
          <w:szCs w:val="18"/>
          <w:color w:val="auto"/>
        </w:rPr>
        <w:t>is Group Executive Vice President, Services having joined Mistras when we acquired Quality Services Laboratories in November 2000,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elected a Director in 2003. Mr. Lange is a well-recognized authority in Radiography and has held an ASNT Level III Certificate for almost 20 years. Mr. Lange received an Associate of Science degree in NDT from the Spartan School of Aeronautics in 1979.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 before making an investment decision. The statements contained in this section constitute cautionary statements under the Private Securities Litigation Reform Act of 1995. If any of these risks actually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Accordingly, you should not consider the following to be a complete discussion of all risks and uncertainties.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in business with our significant customers.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derive a significant amount of revenues from a few customers. For instance, various divisions or business units of our largest customer, BP, were responsible for approximately 11%, 16% and 18% of our revenues for fiscal 2013, 2012 and 2011, respectively. Taken as a group, our top ten customers were responsible for approximately 34%, 39% and 44% of our revenues for fiscal 2013, 2012 and 2011, respectively. This concentration pertains almost exclusively to our Services segment, which accounted for more than 70% of our revenues for the last three fiscal years.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customers could result in lower revenues and could harm our business, financial condition or results of operations.</w:t>
      </w:r>
    </w:p>
    <w:p>
      <w:pPr>
        <w:spacing w:after="0" w:line="167"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Our growth strategy includes acquisitions. We may not be able to identify suitable acquisition candidates or integrate acquired businesses successfully, which may inhibit our growth, and any acquisitions that we do complete may expose us to a number of unanticipated operational and financial risks.</w:t>
      </w:r>
    </w:p>
    <w:p>
      <w:pPr>
        <w:sectPr>
          <w:pgSz w:w="11900" w:h="16838" w:orient="portrait"/>
          <w:cols w:equalWidth="0" w:num="1">
            <w:col w:w="11400"/>
          </w:cols>
          <w:pgMar w:left="240" w:top="125" w:right="259" w:bottom="0" w:gutter="0" w:footer="0" w:header="0"/>
        </w:sectPr>
      </w:pPr>
    </w:p>
    <w:bookmarkStart w:id="15" w:name="page16"/>
    <w:bookmarkEnd w:id="15"/>
    <w:p>
      <w:pPr>
        <w:ind w:right="80"/>
        <w:spacing w:after="0" w:line="255" w:lineRule="auto"/>
        <w:rPr>
          <w:sz w:val="20"/>
          <w:szCs w:val="20"/>
          <w:color w:val="auto"/>
        </w:rPr>
      </w:pPr>
      <w:r>
        <w:rPr>
          <w:rFonts w:ascii="Arial" w:cs="Arial" w:eastAsia="Arial" w:hAnsi="Arial"/>
          <w:sz w:val="18"/>
          <w:szCs w:val="18"/>
          <w:color w:val="auto"/>
        </w:rPr>
        <w:t>Our growth has and will likely continue to be dependent upon, to a certain extent, our ability to make acquisitions and successfully integrate these acquired businesses. We intend to continue to seek additional acquisition opportunities, both to expand into new markets and to enhance our position in existing markets globally. We may not be able to successfully identify suitable candidates, negotiate appropriate acquisition terms, obtain necessary financing on acceptable terms, complete proposed acquisitions, successfully integrate acquired businesses into our current operations or expand into new markets. Once integrated, acquired operations may not achieve levels of revenues, profitability or productivity comparable with those achieved by our current operations, or otherwise perform as expected.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Some of the risks associated with our acquisition strategy include:</w:t>
      </w:r>
    </w:p>
    <w:p>
      <w:pPr>
        <w:spacing w:after="0" w:line="225"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loss of key personnel and customers of the acquired company;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the acquired company’s financial and accounting standards consistent with our standards;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assumption of liability for risks and exposures (including environmental-related costs), some of which we may not discover during our due diligence;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management.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ability to undertake acquisitions is limited by our financial resources, including available cash and borrowing capacity. Future acquisitions could result in potentially dilutive issuances of equity securities, the incurrence of substantial additional indebtedness and other expenses, impairment expenses related to goodwill and impairment or amortization expenses related to other intangible assets, any of which could harm our financial condition and results of operations. Although management intends to: (i) evaluate the risks inherent in any particular transaction, (ii) assume only risks it believes to be acceptable, and (iii) develop plans to mitigate such risks, there are no assurances that we will properly ascertain or accurately assess the extent of all such risks. Difficulties encountered with acquisitions may harm our business, financial condition and results of operations. For example, as described under “Environmental</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Matters” and “Legal Proceedings” in Item 1 and Item 3, respectively, in Part I of this report, we are currently a target of a criminal investigation for an incident that occurred at our Cudahy, California facility four months after we acquired the assets and ongoing business operations of General Testing and Inspection Inc., which operated that facility.</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we have a significant amount of goodwill and other intangible assets on our balance sheet as a result of our acquisitions. If our acquisitions do not perform as planned and we do not realize the benefits and profitability we expect, we could incur significant write-downs and impairment charges to our earnings due to the impairment of the goodwill and other intangible assets we have acquired.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risks relating to non-U.S. operations.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fiscal 2013, 2012 and 2011, we generated approximately 31%, 19% and 15% of our revenues outside the United States, respectively. We expect to increase our international presence over time. In addition, we expect our international business to become much more service oriented than in the past, resulting in many more employees outside the United States. Our primary operations outside the United States are in Canada, Germany, Brazil, the United Kingdom, and France. We also have operations in Russia, the Netherlands, India and Japan. There are numerous risks inherent in doing business in international markets, including:</w:t>
      </w:r>
    </w:p>
    <w:p>
      <w:pPr>
        <w:spacing w:after="0" w:line="188" w:lineRule="exact"/>
        <w:rPr>
          <w:sz w:val="20"/>
          <w:szCs w:val="20"/>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varying regional and geopolitical business and economic conditions and demands;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applicable foreign regulations and licensing requirements, and U.S. regulation with respect to our business in other countries, including the Foreign Corrupt Practices Act;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uncertainty of obtaining data and creating solutions that are relevant to particular geographic markets;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provide sufficient levels of technical support in different locations;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complexity of maintaining effective policies and procedures in locations around the world;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of divergent business expectations or difficulties in establishing joint ventures with foreign partners;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or limitations on outsourcing contracts or services abroad;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or limitations on the repatriation of funds;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are expanding our sales and marketing efforts in certain emerging markets, such as Brazil, Russia, India and China. Expanding our business into emerging markets may present additional risks beyond those associated with more developed international markets. For example, in China and Russia, we may encounter risks associated with the ongoing transition from state business ownership to privatization. In any emerging market, we may face the risks of working in cash-based economies, dealing with inconsistent government policies and encountering sudden currency revaluations.</w:t>
      </w:r>
    </w:p>
    <w:p>
      <w:pPr>
        <w:sectPr>
          <w:pgSz w:w="11900" w:h="16838" w:orient="portrait"/>
          <w:cols w:equalWidth="0" w:num="1">
            <w:col w:w="11400"/>
          </w:cols>
          <w:pgMar w:left="240" w:top="125" w:right="259" w:bottom="46" w:gutter="0" w:footer="0" w:header="0"/>
        </w:sectPr>
      </w:pPr>
    </w:p>
    <w:bookmarkStart w:id="16" w:name="page17"/>
    <w:bookmarkEnd w:id="16"/>
    <w:p>
      <w:pPr>
        <w:ind w:right="520"/>
        <w:spacing w:after="0" w:line="277" w:lineRule="auto"/>
        <w:rPr>
          <w:sz w:val="20"/>
          <w:szCs w:val="20"/>
          <w:color w:val="auto"/>
        </w:rPr>
      </w:pPr>
      <w:r>
        <w:rPr>
          <w:rFonts w:ascii="Arial" w:cs="Arial" w:eastAsia="Arial" w:hAnsi="Arial"/>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customers in the oil and gas industry (including the petrochemical market) have accounted for a substantial portion of our historical revenues. Specifically, they accounted for approximately 50%, 54% and 61% of our revenues for fiscal 2013, 2012 and 2011, respectively. We have expanded our customer base into industries other than the oil and gas industry, but we still receive a majority of our revenues from this industry. While our services are vital to the operators of plants and refineries, economic slowdowns or reduction in prices in the oil and gas industry can result in cut backs in contracts for our services. If the oil and gas industry were to suffer a prolonged or significant downturn, our revenues, profits and cash flows may be reduced. While we continue to expand our market presence in the power generation and transmission, and chemical processing industries, among others, these markets too are cyclical in nature and as such, are subject to economic downturns.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as a result of, for instance, poorly designed inspections, malfunctioning testing equipment or our employees’ failure to adequately test or properly record data, we could be subject to claims. Further, if an accident or incident involving a structure we are testing or have tested occurs and causes personal injuries to our personnel or third parties, or property damage, such as the collapse of a bridge or an explosion in a plant or facility, and particularly if these injuries or damages could have been prevented by our customers had we provided them with correct or complete results, we may face significant claims by injured persons or related parties and claims relating to any property damage or loss. Even if our results are correct and complete, we may face claims for such injuries or damage simply because we tested the structure or facility in question. While we do have insurance, our insurance coverage may not be adequate to cover the damages from any such claims, forcing us to bear these uninsured damages directly, which could harm our operating results and may result in additional expenses and possible loss of revenues. An accident or incident for which we are found partially or fully responsible, even if fully insured, may also result in negative publicity, which would harm our reputation among our customers and the public, cause us to lose existing and future contracts or make it more difficult for us to compete effectively, thereby significantly harming our operating performance.</w:t>
      </w:r>
    </w:p>
    <w:p>
      <w:pPr>
        <w:spacing w:after="0" w:line="18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Many of our customers, particularly in the oil and gas and chemical industries, require their inspectors and other contractors working at their facilities to have good safety records.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a sufficient number of trained engineers, scientists and certified technicians at competitive wages, our operational performance may be harmed and our costs may increase.</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that our success depends, in part, upon our ability to attract, develop and retain a sufficient number of trained engineers, scientists and certified technicians at competitive wages. The demand for such employees is currently high, and we project that it will continue in the future. Accordingly, we have experienced increases in our labor costs, particularly in our Services segment, but also, to a lesser extent, in our International segment. Some of the companies with which we compete for experienced personnel have comparatively greater name recognition and resources. The markets for our products and services also require us to use personnel trained and certified in accordance with standards set by domestic or international standard-setting bodies, such as the American Society of Non-Destructive Testing or the American Petroleum Institute.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1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lose members of our senior management team upon whom we are dependent, we may be less effective in managing our operations and may have more difficulty achieving our strategic objectives.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future success depends to a considerable degree upon the availability, contributions, vision, skills, experience and effort of our senior management team. We do not maintain “key person” insurance on any of our employees other than Dr. Sotirios J. Vahaviolos, our Chairman, President and Chief Executive Officer. We currently have no employment agreements with members of our senior management team other than with Dr. Vahaviolos. Although we may enter into employment agreements with certain executive officers in the future, these agreements will likely not guarantee the services of the individual for a specified period of time. Although we do not have any reason to believe that we may lose the services of any of these persons in the foreseeable future, the loss of the services of any of these persons might impede our operations or the achievement of our strategic and financial objectives. The loss or interruption of the service of any of the members of our senior management team could harm our business, financial condition and results of operations and could significantly reduce our ability to manage our operations and implement our strategy.</w:t>
      </w:r>
    </w:p>
    <w:p>
      <w:pPr>
        <w:spacing w:after="0" w:line="1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markets and if we are unable to compete successfully, we could lose market share and revenues and our margins could decline.</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have the ability to combine asset protection solutions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17" w:name="page18"/>
    <w:bookmarkEnd w:id="17"/>
    <w:p>
      <w:pPr>
        <w:spacing w:after="0" w:line="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into an integrated offering to customers who already purchase other types of products or services from them. Our competitors may offer asset protection solutions at prices below or without cost in order to improve their competitive positions. Smaller niche competitors with small customer bases may be very aggressive in their pricing in order to retain customers. These competitive factors could have and could continue to make it more difficult for us to attract and retain customers, or can cause us to lower our prices and accept lower margins in order to compete, the impact of any of which can reduce our market share, revenues and profits.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Catastrophic events, such as natural disasters, industrial accidents, epidemics, war and acts of terrorism, could disrupt our business or the business of our customers, which could significantly harm our operations, financial results and cash flow.</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operations and those of our customers are susceptible to the occurrence of catastrophic events outside our control, ranging from severe weather conditions to acts of war and terrorism. Any such events could cause a serious business disruption that reduces our customers’ ability to or interest in purchasing our asset protection solutions, and have in the past resulted in order cancellations and delays because customer equipment, facilities or operations have been damaged, or are not operational or available. A large portion of our customer base has operations in the Gulf of Mexico, which is subject to hurricanes in the first and second quarters of our fiscal year. Hurricane-related disruptions to our customers’ operations have adversely affected our revenues in the past. Such events in the future may result in substantial delays in the provision of solutions to our customers and the loss of valuable equipment. Any cancellations, delays or losses due to a catastrophic event may significantly reduce our revenues and harm our operating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expanding and our success depends on how effectively we manage our growth.</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To effectively manage our anticipated future growth, we must continue to implement and improve our managerial, operational, financial and reporting systems, expand our facilities and continue to recruit and train additional qualified personnel. We expect that all of these measures will require significant expenditures and will demand the attention of management. Failure to manage our growth effectively could lead us to over or under-invest in technology and operations, result in weaknesses in our infrastructure, systems or controls, give rise to operational mistakes, loss of business opportunities, the loss of employees and reduced productivity among remaining employees. Our expected growth could require significant capital expenditures and may divert financial resources from other projects, such as the development of new solutions. If our management is unable to effectively manage our expected growth, our expenses may increase more than expected, our profit margins may suffer, our revenues could decline or may grow more slowly than expected and we may be unable to implement our business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Deteriorations in economic trends or other factors may cause us to recognize further impairment charges for our goodwill.</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May 31, 2013, the carrying amount of our goodwill was approximately $115.3 million, of which approximately $40.8 million relates to our International segment. A significant portion of our international operations are concentrated in Europe and Brazil. The economic environments in Europe and Brazil were difficult in 2013. As a result of a contraction in the Brazilian economy (specifically in the oil and gas industry), we recognized goodwill impairment in our Brazil reporting unit of approximately $9.9 million. Significant deterioration in industry or economic trends, disruptions to our business, inability to effectively integrate acquired businesses, or other factors, may cause further impairment charges to goodwill in future periods.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Substantially all of our computer and communications hardware is located at a single facility, the failure of which would harm our business and results of operations.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Substantially all of our computer and communications hardware is located at a single facility in Princeton Junction, New Jersey. We are presently working on plans and taking action to upgrade our back-up recovery and business continuity plans, should a disaster strike our primary data center or some other significant event occurs, so that we can continue operating without a material interruption of business or loss of key functions such as information processing, customer billing and financial reporting. However, until we complete these improvements, should a natural disaster or some other event occur that damages our data center or significantly disrupts its operation, such as human error, fire, flood, power loss, telecommunications failure, break-ins, terrorist attacks, acts of war and similar events, we could suffer loss of business and interruption of key functions and capabilities that could materially reduce our revenues or profitability and harm our business performance.</w:t>
      </w:r>
    </w:p>
    <w:p>
      <w:pPr>
        <w:spacing w:after="0" w:line="1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success of our businesses depends, in part, on our ability to develop new asset protection solutions and increase the functionality of our current offerings.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market for asset protection solutions is impacted by technological change, uncertain product lifecycles, shifts in customer demands and evolving industry standards and regulations. We may not be able to successfully develop and market new asset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protection solutions that comply with present or emerging industry regulations and technology standards. Also, new regulations or technology standards could increase our cost of doing business.</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From time to time, our customers have requested greater functionality in our solutions. As part of our strategy to enhance our asset protection solutions and grow our business, we continue to make substantial investments in the research and development of new technologies. We believe our future success will depend, in part, on our ability to continue to design new, competitive asset protection solutions, enhance our current solutions and provide new, value-added services.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Our competitors, many of whom have greater financial resources than us, could develop technologies earlier than we do, putting us at a competitive disadvantage. If we are unable to develop new asset protection solutions or enhancements that meet our customers’ needs on a timely basis, we may experience a loss of customers or otherwise be likely to lose opportunities to earn revenues and to gain customers or access to markets, and our business and results of operations will be adversely affected.</w:t>
      </w:r>
    </w:p>
    <w:p>
      <w:pPr>
        <w:spacing w:after="0" w:line="18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w:t>
      </w:r>
    </w:p>
    <w:p>
      <w:pPr>
        <w:sectPr>
          <w:pgSz w:w="11900" w:h="16908" w:orient="portrait"/>
          <w:cols w:equalWidth="0" w:num="1">
            <w:col w:w="11420"/>
          </w:cols>
          <w:pgMar w:left="240" w:top="125" w:right="239" w:bottom="0" w:gutter="0" w:footer="0" w:header="0"/>
        </w:sectPr>
      </w:pPr>
    </w:p>
    <w:bookmarkStart w:id="18" w:name="page19"/>
    <w:bookmarkEnd w:id="18"/>
    <w:p>
      <w:pPr>
        <w:spacing w:after="0" w:line="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from successfully providing our asset protection solutions, which would result in lost revenues. Software or system defects or inaccurate data may lead to customer dissatisfaction and our customers may seek to hold us liable for any damages incurred. As a result, we could lose customers, our reputation may be harmed and our financial condition and results of operations could be materially adversely affected.</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currently serve a commercial, industrial and governmental customer base that uses a wide variety of constantly changing hardware, software solutions and operating systems. Our asset protection solutions need to interface with these non-standard systems in order to gather and assess data. Our business depends on the following factors, among others:</w:t>
      </w:r>
    </w:p>
    <w:p>
      <w:pPr>
        <w:spacing w:after="0" w:line="181"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integrate our technology with new and existing hardware and software systems;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anticipate and support new standards, especially Internet-based standards;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integrate additional software modules under development with our existing technology and operational processes.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If we are unable to adequately address any of these factors, our results of operations and prospects for growth and profitability would be harmed.</w:t>
      </w:r>
    </w:p>
    <w:p>
      <w:pPr>
        <w:spacing w:after="0" w:line="2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successfully educate current and potential customers regarding the benefits of our asset protection solutions or the market for these solutions otherwise fails to develop, the profitability or growth of our business could be adversely impacted.</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future success depends on continued and growing commercial acceptance of our asset protection solutions and our ability to obtain additional contracts. We anticipate that revenues related to our asset protection solutions will constitute a substantial portion of our revenues for the foreseeable future. If we are unable to educate our potential customers about the advantages our solutions have over competing products and services, or our current customers stop purchasing our asset protection solutions, our operating results could be significantly harmed. In addition, because the asset protection solutions industry is rapidly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 profitability. In addition, larger service customers are making pricing for traditional NDT services less profitable. Therefore, if we cannot convince our customers of the advantages and value of our advanced NDT services we could lose large contracts or suffer lower profit margin.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 nature of our business reduces our revenues and profitability in our first and third fiscal quarters.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primarily in our Services segment, is seasonal. Our first and third fiscal quarter revenues for our Services segment are typically lower than our revenues in the second and fourth fiscal quarters because demand for our asset protection solutions from the oil and gas as well as the fossil and nuclear power industries increases during their non-peak production periods. For instance, U.S. refineries’ non-peak periods are generally in our second fiscal quarter, when they are retooling to produce more heating oil for winter, and in our fourth fiscal quarter, when they are retooling to produce more gasoline for summer. As a result of these trends, we generally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have reduced cash flows in our second and fourth fiscal quarters, as collections of receivables lag behind revenues, possibly requiring us to borrow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on our first and third fiscal quarter revenues and profitability and second and fourth fiscal quarter cash flows will continue.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Growth in revenues from our service offerings, particularly traditional NDT services, relative to revenues from the sale of our products and systems may reduce our overall gross profit margin.</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gross profit margin on revenues from our services offerings, particularly traditional NDT services, has historically been lower than our gross profit margin on revenues from our products and systems for numerous reasons. For instance, the gross profit margin in our Services segment for fiscal 2013 was approximately 26%, while our gross profit margin in our Products and Systems segment was approximately 51%. Our overall gross profit margin was approximately 28% during the same period. We expect to continue our efforts to increase the number of “evergreen” or “run and maintain” contracts at oil refineries. Often times, the services we provide at the beginning of these contracts are traditional NDT services. Until such time as we can understand the needs of each new “evergreen” plant and we can then make recommendations to provide our advanced NDT services, and thus improve our service mix, our margins may be negatively impacted. As a result, we expect our overall gross profit margin will be lower in periods when revenues from our services, and particularly from traditional NDT services, has increased as a percentage of total revenues and will be higher in periods when revenues from our advanced NDT services and our products and systems have increased as a percentage of total revenues. We expect this trend to continue and to the extent is does, our margins may decrease or remain flat. In addition, service offerings have become a larger portion of our International segment revenues than in the past, a trend we expect to continue, and this increased service revenue will be lower margin traditional NDT services. As a result, the gross profit margin in our International segment has decreased from 35% in 2011 to 32% in 2012 and 25% in 2013.These factors will create more pressure on margins. Fluctuations in our gross profit margin may affect our level of profitability in any period, which may negatively affect the price of our common stock.</w:t>
      </w:r>
    </w:p>
    <w:p>
      <w:pPr>
        <w:spacing w:after="0" w:line="17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incur substantial costs in complying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Services segment is currently licensed to handle radioactive materials by the U.S. Nuclear Regulatory Commission (NRC) and over 20 state regulatory agencies.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w:t>
      </w:r>
    </w:p>
    <w:p>
      <w:pPr>
        <w:sectPr>
          <w:pgSz w:w="11900" w:h="16865" w:orient="portrait"/>
          <w:cols w:equalWidth="0" w:num="1">
            <w:col w:w="11400"/>
          </w:cols>
          <w:pgMar w:left="240" w:top="125" w:right="259" w:bottom="0" w:gutter="0" w:footer="0" w:header="0"/>
        </w:sectPr>
      </w:pPr>
    </w:p>
    <w:bookmarkStart w:id="19" w:name="page20"/>
    <w:bookmarkEnd w:id="19"/>
    <w:p>
      <w:pPr>
        <w:ind w:right="100"/>
        <w:spacing w:after="0" w:line="264" w:lineRule="auto"/>
        <w:rPr>
          <w:sz w:val="20"/>
          <w:szCs w:val="20"/>
          <w:color w:val="auto"/>
        </w:rPr>
      </w:pPr>
      <w:r>
        <w:rPr>
          <w:rFonts w:ascii="Arial" w:cs="Arial" w:eastAsia="Arial" w:hAnsi="Arial"/>
          <w:sz w:val="18"/>
          <w:szCs w:val="18"/>
          <w:color w:val="auto"/>
        </w:rPr>
        <w:t>In the future, federal, state, provincial or local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and the price of our solutions.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and similar (formerly National Aerospace and Defense Contractors Accreditation Program) certifications for certain of our locations. We continually review our NDT solutions for compliance with the requirements of industry specification standards and the Nadcap special processes quality requirements. However, if we fail to maintain our ISO, Nadcap or other certifications, our business may be harmed because our customers generally require that we have these certification before they purchase our NDT solutions.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Protecting our intellectual property is important to our business and results of operations.</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Any patent held by us or to be issued to us, or any of our pending patent applications, could be unenforceable, challenged, invalidated or circumvented. Some of our trademarks that are not in use may become available to others. To date, we have relied principally on copyright, trademark and trade secrecy laws, as well as confidentiality agreements and licensing arrangements, to establish and protect our intellectual property. However, we have not obtained confidentiality agreements from all of our customers and vendors. Although we have entered into confidentiality agreements with all of our employees in our Products and Systems segment and certain of our other employees involved in the development of our intellectual property, we cannot be certain that these agreements will be honored or enforceable. Some of our confidentiality agreements are not in writing, and some customers are subject to laws and regulations that require them to disclose information that we would otherwise seek to keep confidential. We do not transfer ownership of some of our more advanced asset protection products and systems and, instead, sell to our customers’ services using these products and systems. We do this, in part, to protect the intellectual property upon which these products and systems are based, but this strategy may not be successful and our customers or third parties may reverse engineer or otherwise derive this intellectual property and use it without our authorization. Policing unauthorized use of our intellectual property is difficult and expensive. The steps that we have taken or may take might not prevent misappropriation of the intellectual property on which we rely. In addition, effective protection may be unavailable or limited in jurisdictions outside the United States, as the intellectual property laws of foreign countries sometimes offer less protection or have onerous filing requirements. From time to time, third parties may infringe our intellectual property rights. Litigation may be necessary to enforce or protect our rights or to determine the validity and scope of the rights of others. Any litigation could be unsuccessful, cause us to incur substantial costs, divert resources away from our daily operations and result in the impairment of our intellectual property. Failure to adequately enforce our rights could cause us to lose valuable rights in our intellectual property and may negatively affect our business.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be subject to damaging and disruptive intellectual property litigation related to allegations that our asset protection solutions infringe on the intellectual property of others, which could prevent us from offering those solutions.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Third-party patent applications, patents, copyrights and trademarks may be applicable to our asset protection solutions. As a result, third parties may in the future make infringement claims and other allegations that could subject us to intellectual property litigation relating to our solutions. Such litigation would be time consuming and expensive, divert attention and resources away from our daily operations, impede or prevent delivery of our solutions and require us to pay significant royalties, licensing fees and damages. In addition, parties making infringement and other claims may be able to obtain injunctive or other equitable relief that could effectively block our ability to provide our solutions and could cause us to pay substantial damages if we are found to be infringing on others’ intellectual property rights. If a third party has a successful claim of infringement, we may need to seek one or more licenses from third parties in order to continue to offer the related solution, which may not be available at a reasonable cost, or at all.</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For example, we were sued for trademark infringement by Sentinel Integrity Solutions. While we successfully defended the claim and had Sentinel’s trademark invalidated, we expended considerable time, effort and attorney fees to defend this case.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which might not be available.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complementary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or respond to business challenges.</w:t>
      </w:r>
    </w:p>
    <w:p>
      <w:pPr>
        <w:spacing w:after="0" w:line="16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Provisions in our current credit agreement impose restrictions on our ability to, among other things:</w:t>
      </w:r>
    </w:p>
    <w:p>
      <w:pPr>
        <w:spacing w:after="0" w:line="225" w:lineRule="exact"/>
        <w:rPr>
          <w:sz w:val="20"/>
          <w:szCs w:val="20"/>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w:t>
      </w:r>
    </w:p>
    <w:p>
      <w:pPr>
        <w:sectPr>
          <w:pgSz w:w="11900" w:h="16838" w:orient="portrait"/>
          <w:cols w:equalWidth="0" w:num="1">
            <w:col w:w="11400"/>
          </w:cols>
          <w:pgMar w:left="240" w:top="125" w:right="259" w:bottom="0" w:gutter="0" w:footer="0" w:header="0"/>
        </w:sectPr>
      </w:pPr>
    </w:p>
    <w:bookmarkStart w:id="20" w:name="page21"/>
    <w:bookmarkEnd w:id="20"/>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more debt;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dispositions of property;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 new line of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burdensome agreements.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credit agreement also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revenue cycle can be lengthy, unpredictable and require significant employee time and financial resources with no assurances that we will realize revenues.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sales cycles are often long and unpredictable. Many of our current and potential customers have extended budgeting and procurement processes. We believe that they also tend to be risk averse and follow industry trends rather than be the first to purchase new products or services, which can extend the lead time for or prevent acceptance of new products or services. Accordingly, they may take longer to reach a decision to purchase our solutions. This extended sales process, which often lasts between three and six months and sometimes longer, requires the dedication of significant time and financial resources, with no certainty of success or recovery of our related expenses. It is not unusual for our current and potential customers to go through the entire sales process and not make any purchases.</w:t>
      </w:r>
    </w:p>
    <w:p>
      <w:pPr>
        <w:spacing w:after="0" w:line="19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Any real or perceived internal or external electronic security breaches in connection with the use of our asset protection solutions could harm our reputation, inhibit market acceptance of our solutions and cause us to lose customers.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and our customers use our asset protection solutions to compile and analyze sensitive or confidential customer-related information. In addition, some of our asset protection solutions allow us to remotely control and store data from equipment at commercial, institutional and industrial locations. Our asset protection solutions rely on the secure electronic transmission of proprietary data over the Internet or other networks. The occurrence or perception of security breaches in connection with our asset protection solutions or our customers’ concerns about Internet security or the security of our solutions, whether warranted or not, would likely harm our reputation or business, inhibit market acceptance of our asset protection solutions and cause us to lose customers, any of which would harm our financial condition and results of operations.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come into contact with sensitive information or data when we perform installation, maintenance or testing functions for our customers. Even the perception that we have improperly handled sensitive, confidential information would have a negative effect on our business. If, in handling this information, we fail to comply with privacy or security laws, we could incur civil liability to government agencies, customers and individuals whose privacy is compromised. In addition, third parties may attempt to breach our security or inappropriately harm our asset protection solutions through computer viruses, electronic break-ins and other disruptions. If a breach is successful, confidential information may be improperly obtained, for which we may be subject to lawsuits and other liabilities.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expect our quarterly revenues and operating results to fluctuate. If we fail to meet the expectations of market analysts or investors, the market price of our common stock could decline substantially.</w:t>
      </w:r>
    </w:p>
    <w:p>
      <w:pPr>
        <w:spacing w:after="0" w:line="1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quarterly operating results have fluctuated in the past and may do so in the future. Accordingly, we believe that period-to-period comparisons of our results of operations may be the best indicators of our business. You should not rely upon 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quarterly revenues and operating results may vary depending on a number of factors, including those listed previously under “Risks Related to Our Business.”</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addition to the effect our operating results may have on the market price of our common stock, the market price of our common stock may also be influenced by many other factors, some of which are beyond our control, including:</w:t>
      </w:r>
    </w:p>
    <w:p>
      <w:pPr>
        <w:spacing w:after="0" w:line="170"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acquisitions;</w:t>
      </w:r>
    </w:p>
    <w:p>
      <w:pPr>
        <w:sectPr>
          <w:pgSz w:w="11900" w:h="16874" w:orient="portrait"/>
          <w:cols w:equalWidth="0" w:num="1">
            <w:col w:w="11400"/>
          </w:cols>
          <w:pgMar w:left="240" w:top="125" w:right="259" w:bottom="0" w:gutter="0" w:footer="0" w:header="0"/>
        </w:sectPr>
      </w:pPr>
    </w:p>
    <w:bookmarkStart w:id="21" w:name="page22"/>
    <w:bookmarkEnd w:id="21"/>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liquidity of the market for our common stock;</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analysts;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or annual earnings of other companies in our industry;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stock markets have generally experienced extreme price and volume fluctuations. This volatility has had a significant impact on the market price of securities issued by many companies, including those in our industry. These changes frequently appear to occur without regard to the operating performance of these companies. The price of our common stock could fluctuate for reasons that have little or nothing to do with our company, and these fluctuations could materially reduce our stock price.</w:t>
      </w:r>
    </w:p>
    <w:p>
      <w:pPr>
        <w:spacing w:after="0" w:line="18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the past, some companies that have had volatile market prices for their securities have been subject to class action or derivative lawsuits. The filing of a lawsuit against us, regardless of the outcome, could have a material adverse effect on our business, financial condition and results of operations, as it could result in substantial legal costs and a diversion of our management’s attention and resources.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significant stockholder controls the direction of our business. The concentrated ownership of our common stock may prevent other stockholders from influencing significant corporate decisions.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Dr. Sotirios J. Vahaviolos, our Chairman, President and Chief Executive Officer, owns approximately 40% of our outstanding common stock. As a result, Dr. Vahaviolos effectively controls our Company and has the ability to exert substantial influence over all matters requiring approval by our shareholders, including the election and removal of directors, amendments to our certificate of incorporation, and any proposed merger, consolidation or sale of all or substantially all of our assets and other corporate transactions. This concentration of ownership could be disadvantageous to other shareholders with differing interests from Dr. Vahaviolos.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plans to pay dividends on our common stock.</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have not declared or paid any cash dividends on our common stock to date, and we do not anticipate declaring or paying any dividends on our common stock in the foreseeable future. We currently intend to retain all available funds and any future earnings for use in the development, operation and growth of our business. In addition, our credit agreement limits our ability to pay cash dividends and future loan agreements may also limit the payment of dividends. Any future determination relating to our dividend policy will be at the discretion of our board of directors and will depend on our results of operations, financial condition, capital requirements, business opportunities, contractual restrictions and other factors deemed relevant. To the extent we do not pay dividends on our common stock, investors must look solely to stock appreciation for a return on their investment.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cause the market price for our common stock to decline even if our business is doing well.</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Future sales by us or by our existing shareholders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Under our second amended and restated certificate of incorporation, we are authorized to issue up to 200,000,000 shares of common stock, of which approximately 28,211,000 shares of common stock are outstanding as of August 1, 2013. In addition, we have approximately 3,018,000 shares of common stock reserved for issuance related to stock options and restricted stock units that are outstanding as of August 1, 2013. We cannot predict the size of future issuances of our common stock or the effect, if any, that future sales and issuances of shares of our common stock, or the perception of such sales or issuances, would have on the market price of our common stock.</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and of Delaware law could discourage, delay or prevent a change of control of our company, which may adversely affect the market price of our common stock.</w:t>
      </w:r>
    </w:p>
    <w:p>
      <w:pPr>
        <w:spacing w:after="0" w:line="170"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Certain provisions of our second amended and restated certificate of incorporation and amended and restated bylaws could discourage, delay or prevent a merger, acquisition, or other change of control that stockholders may consider favorable, including transactions in which our stockholders might otherwise receive a premium for your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58"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that vacancies on the board of directors, including newly created directorships, be filled only by a majority vote of directors then in office;</w:t>
      </w:r>
    </w:p>
    <w:p>
      <w:pPr>
        <w:spacing w:after="0" w:line="236" w:lineRule="exact"/>
        <w:rPr>
          <w:rFonts w:ascii="Arial" w:cs="Arial" w:eastAsia="Arial" w:hAnsi="Arial"/>
          <w:sz w:val="17"/>
          <w:szCs w:val="17"/>
          <w:color w:val="auto"/>
        </w:rPr>
      </w:pPr>
    </w:p>
    <w:p>
      <w:pPr>
        <w:ind w:left="660" w:right="28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by prohibiting stockholder action by written consent;</w:t>
      </w:r>
    </w:p>
    <w:p>
      <w:pPr>
        <w:sectPr>
          <w:pgSz w:w="11900" w:h="16838" w:orient="portrait"/>
          <w:cols w:equalWidth="0" w:num="1">
            <w:col w:w="11420"/>
          </w:cols>
          <w:pgMar w:left="240" w:top="341" w:right="239" w:bottom="111" w:gutter="0" w:footer="0" w:header="0"/>
        </w:sectPr>
      </w:pPr>
    </w:p>
    <w:bookmarkStart w:id="22" w:name="page23"/>
    <w:bookmarkEnd w:id="22"/>
    <w:p>
      <w:pPr>
        <w:ind w:left="660" w:right="900" w:hanging="328"/>
        <w:spacing w:after="0" w:line="27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would otherwise allow holders of less than a plurality of stock to elect some directors; and</w:t>
      </w:r>
    </w:p>
    <w:p>
      <w:pPr>
        <w:spacing w:after="0" w:line="170" w:lineRule="exact"/>
        <w:rPr>
          <w:rFonts w:ascii="Arial" w:cs="Arial" w:eastAsia="Arial" w:hAnsi="Arial"/>
          <w:sz w:val="18"/>
          <w:szCs w:val="18"/>
          <w:color w:val="auto"/>
        </w:rPr>
      </w:pPr>
    </w:p>
    <w:p>
      <w:pPr>
        <w:ind w:left="660" w:hanging="328"/>
        <w:spacing w:after="0" w:line="259"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 and limit the right to call special meetings of stockholders to the Chairman of the Board, the Chief Executive Officer, the board of directors acting pursuant to a resolution adopted by a majority of directors or the Secretary upon the written request of stockholders entitled to cast not less than 35% of all the votes entitled to be cast at such meeting.</w:t>
      </w:r>
    </w:p>
    <w:p>
      <w:pPr>
        <w:spacing w:after="0" w:line="18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May 31, 2013, we operated approximately 100 offices in 16 countries, with our corporate headquarters located in Princeton Junction, New Jersey. Our headquarters in Princeton Junction is our primary location, where most of our manufacturing and research and development is conducted. While we lease most of our facilities, as of May 31, 2013, we owned properties located in Olds, Alberta; Monroe, North Carolina; Trainer, Pennsylvania; LaPonte, Texas; Burlington, Washington; Gillette, Wyoming; and Jonquiere, Quebec. These properties, as well as approximately 65 offices throughout North America (including Canada), are utilized by our Services segment. Our Products and Systems segment’s primary location is in our Princeton Junction, NJ facility. Our International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segment has approximately 35 offices including locations in Brazil, United Kingdom, the Netherlands, France, Germany, Greece, Russia, Japan and India. We believe that all of our facilities are well maintained and are suitable and adequate for our current needs.</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We are subject to periodic lawsuits, investigations and claims that arise in the ordinary course of business. See “Litigation” in Note 13 — </w:t>
      </w:r>
      <w:r>
        <w:rPr>
          <w:rFonts w:ascii="Arial" w:cs="Arial" w:eastAsia="Arial" w:hAnsi="Arial"/>
          <w:sz w:val="18"/>
          <w:szCs w:val="18"/>
          <w:i w:val="1"/>
          <w:iCs w:val="1"/>
          <w:color w:val="auto"/>
        </w:rPr>
        <w:t>Commitment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our audited consolidated financial statements contained in Item 8 of this report for a description of legal proceedings involving us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which is incorporated herein by reference.</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early 2012, we received notice of a governmental investigation concerning an environmental incident which occurred in February 2011, outside on the premises of our Cudahy, California facility. We acquired this facility as part of the acquisition in October 2010 of the assets and ongoing business operations of General Testing and Inspection, Inc. (GTI), a business which provides in-house or shop inspection and nondestructive testing at the Cudahy premises. On February 11, 2011, while liquid hazardous waste was being pumped into the tanker truck of an unaffiliated certified hazardous waste transporter at the Cudahy facility, a chemical reaction occurred that caused an emission of a vapor cloud. No human injury or property damage was reported or appears to have been caused as a result of the incident. The incident was investigated by the L.A. County Fire Department (the Fire Department) and the U.S. Environmental Protection Agency (EPA). At the conclusion of the Fire Department’s investigation, the Fire Department imposed a fine on us in the amount of $4,000 for alleged violations of the California Health and Safety Code in April 2011, which was paid shortly thereafter.</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had received no further governmental communications or notices concerning fines or sanctions related to the incident until January 13, 2012, when we received grand jury subpoenas from the U.S. Attorney’s Office for the Central District of California addressed to us, GTI and one of our employees. These subpoenas were issued in connection with an EPA criminal investigation. The subpoena received by us requested documents and information relating to, among other things, our handling, identification, storage and disposal of hazardous waste, training records, corporate environmental policies, acquisition of GTI and any ongoing organization relationship with GTI, and analytical results of the tests concerning the hazardous materials involved in the incident. We have been informed by the U.S. Attorney’s Office for the Central District of California that we are a target of a criminal investigation into potential violations of the Resource Conservation and Recovery Act. The violations are alleged to be related to purportedly improper storage and labeling of hazardous waste at the Cudahy facility. This U.S. Attorney’s Office also raised a concern about a possible obstruction of justice issue involving the conduct of one or more of our employees at this facility. Upon receiving the subpoenas, we engaged our outside legal counsel to assist us in conducting an investigation concerning the incident, including interviews with our current employees. To date, we have produced documents in response to the subpoena, and are aware that at least one of our employees testified before the grand jury.</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While management cannot predict the ultimate outcome of this matter, based on our internal investigation to date, management does not believe the outcome will have a material effect on our financial condition or results of operations.</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currently trades on the New York Stock Exchange (NYSE) under the ticker symbol “MG”. The following table sets forth for the periods indicated the range of high and low sales prices of our common stock.</w:t>
      </w:r>
    </w:p>
    <w:p>
      <w:pPr>
        <w:sectPr>
          <w:pgSz w:w="11900" w:h="16838" w:orient="portrait"/>
          <w:cols w:equalWidth="0" w:num="1">
            <w:col w:w="11420"/>
          </w:cols>
          <w:pgMar w:left="240" w:top="125" w:right="239" w:bottom="0" w:gutter="0" w:footer="0" w:header="0"/>
        </w:sectPr>
      </w:pPr>
    </w:p>
    <w:p>
      <w:pPr>
        <w:spacing w:after="0" w:line="162" w:lineRule="exact"/>
        <w:rPr>
          <w:sz w:val="20"/>
          <w:szCs w:val="20"/>
          <w:color w:val="auto"/>
        </w:rPr>
      </w:pPr>
    </w:p>
    <w:p>
      <w:pPr>
        <w:ind w:left="4980"/>
        <w:spacing w:after="0"/>
        <w:tabs>
          <w:tab w:leader="none" w:pos="8280" w:val="left"/>
        </w:tabs>
        <w:rPr>
          <w:sz w:val="20"/>
          <w:szCs w:val="20"/>
          <w:color w:val="auto"/>
        </w:rPr>
      </w:pPr>
      <w:r>
        <w:rPr>
          <w:rFonts w:ascii="Arial" w:cs="Arial" w:eastAsia="Arial" w:hAnsi="Arial"/>
          <w:sz w:val="14"/>
          <w:szCs w:val="14"/>
          <w:b w:val="1"/>
          <w:bCs w:val="1"/>
          <w:color w:val="auto"/>
        </w:rPr>
        <w:t>Year ended May 31, 2013</w:t>
      </w:r>
      <w:r>
        <w:rPr>
          <w:sz w:val="20"/>
          <w:szCs w:val="20"/>
          <w:color w:val="auto"/>
        </w:rPr>
        <w:tab/>
      </w:r>
      <w:r>
        <w:rPr>
          <w:rFonts w:ascii="Arial" w:cs="Arial" w:eastAsia="Arial" w:hAnsi="Arial"/>
          <w:sz w:val="13"/>
          <w:szCs w:val="13"/>
          <w:b w:val="1"/>
          <w:bCs w:val="1"/>
          <w:color w:val="auto"/>
        </w:rPr>
        <w:t>Year ended May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6350</wp:posOffset>
            </wp:positionV>
            <wp:extent cx="4013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High</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Low</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Quarter ended August 31,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Quarter ended November 30,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24.26</w:t>
            </w:r>
          </w:p>
        </w:tc>
        <w:tc>
          <w:tcPr>
            <w:tcW w:w="2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19.05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Quarter ended February 29,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Quarter ended May 31,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24.50</w:t>
            </w:r>
          </w:p>
        </w:tc>
        <w:tc>
          <w:tcPr>
            <w:tcW w:w="24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18.15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25.49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As of August 1, 2013, there were approximately 15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Brooklyn, New York 11219.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sets forth the shares of our common stock we acquired during the fourth quarter of fiscal 2013 pursuant to the surrender of shares by employees to satisfy tax withholding obligations in connection with the vesting of restricted stock units.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Quarter</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Average Price Paid</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Shares (or Units)</w:t>
            </w:r>
          </w:p>
        </w:tc>
        <w:tc>
          <w:tcPr>
            <w:tcW w:w="2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Ending</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Purchased</w:t>
            </w:r>
          </w:p>
        </w:tc>
        <w:tc>
          <w:tcPr>
            <w:tcW w:w="26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Share (or Unit)</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May 31, 2013</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Borders>
              <w:top w:val="single" w:sz="8" w:color="CCEEFF"/>
            </w:tcBorders>
            <w:shd w:val="clear" w:color="auto" w:fill="CCEEFF"/>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jc w:val="right"/>
              <w:ind w:right="481"/>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following tables set forth our selected historical consolidated financial data for the periods indicated. The selected statement of income and cash flow data for fiscal 2013, 2012 and 2011 and the selected balance sheet data as of May 31, 2013 and 2012 have been derived from our audited financial statements and related notes thereto included elsewhere in this Annual Report. The statement of income and cash flow data for fiscal 2010 and fiscal 2009 and the selected balance sheet data as of May 31, 2011, 2010 and 2009 have been derived from our audited financial statements not included in this Annual Report. The information presented below should be read in conjunction with “Management’s Discussion and Analysis of Financial Condition and Results of Operations” in Item 7 and the audited consolidated financial statements and the notes thereto in Item 8 in this Annual Report.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center"/>
              <w:ind w:right="150"/>
              <w:spacing w:after="0"/>
              <w:rPr>
                <w:sz w:val="20"/>
                <w:szCs w:val="20"/>
                <w:color w:val="auto"/>
              </w:rPr>
            </w:pPr>
            <w:r>
              <w:rPr>
                <w:rFonts w:ascii="Arial" w:cs="Arial" w:eastAsia="Arial" w:hAnsi="Arial"/>
                <w:sz w:val="14"/>
                <w:szCs w:val="14"/>
                <w:b w:val="1"/>
                <w:bCs w:val="1"/>
                <w:color w:val="auto"/>
                <w:w w:val="94"/>
              </w:rPr>
              <w:t>For the year ended May 31,</w:t>
            </w: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2013(a)</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2012(a)</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51"/>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40" w:type="dxa"/>
            <w:vAlign w:val="bottom"/>
            <w:gridSpan w:val="10"/>
          </w:tcPr>
          <w:p>
            <w:pPr>
              <w:jc w:val="center"/>
              <w:ind w:right="380"/>
              <w:spacing w:after="0" w:line="142" w:lineRule="exact"/>
              <w:rPr>
                <w:sz w:val="20"/>
                <w:szCs w:val="20"/>
                <w:color w:val="auto"/>
              </w:rPr>
            </w:pPr>
            <w:r>
              <w:rPr>
                <w:rFonts w:ascii="Arial" w:cs="Arial" w:eastAsia="Arial" w:hAnsi="Arial"/>
                <w:sz w:val="14"/>
                <w:szCs w:val="14"/>
                <w:b w:val="1"/>
                <w:bCs w:val="1"/>
                <w:color w:val="auto"/>
                <w:w w:val="90"/>
              </w:rPr>
              <w:t>($ in thousands, except share and per share data)</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529,282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436,875</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338,589</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272,128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209,133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363,045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291,616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221,980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178,480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131,167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17,866</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15,569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13,206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10,510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8,700</w:t>
            </w: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148,371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129,690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101,792</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83,098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65,983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54,849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46,456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8,781</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6,455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5,386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3,936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9,938</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Legal reserve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2,100</w:t>
            </w:r>
          </w:p>
        </w:tc>
      </w:tr>
      <w:tr>
        <w:trPr>
          <w:trHeight w:val="210"/>
        </w:trPr>
        <w:tc>
          <w:tcPr>
            <w:tcW w:w="446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27,554</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14,825</w:t>
            </w:r>
          </w:p>
        </w:tc>
        <w:tc>
          <w:tcPr>
            <w:tcW w:w="14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(Gain) loss on extinguishment of long-term debt</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3"/>
          </w:tcPr>
          <w:p>
            <w:pPr>
              <w:jc w:val="right"/>
              <w:ind w:right="139"/>
              <w:spacing w:after="0"/>
              <w:rPr>
                <w:sz w:val="20"/>
                <w:szCs w:val="20"/>
                <w:color w:val="auto"/>
              </w:rPr>
            </w:pPr>
            <w:r>
              <w:rPr>
                <w:rFonts w:ascii="Arial" w:cs="Arial" w:eastAsia="Arial" w:hAnsi="Arial"/>
                <w:sz w:val="18"/>
                <w:szCs w:val="18"/>
                <w:color w:val="auto"/>
              </w:rPr>
              <w:t>(671)</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4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33,637</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12,627</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12,291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10,502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4,558</w:t>
            </w:r>
          </w:p>
        </w:tc>
      </w:tr>
      <w:tr>
        <w:trPr>
          <w:trHeight w:val="210"/>
        </w:trPr>
        <w:tc>
          <w:tcPr>
            <w:tcW w:w="4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40" w:type="dxa"/>
            <w:vAlign w:val="bottom"/>
            <w:tcBorders>
              <w:top w:val="single" w:sz="8" w:color="CCEEFF"/>
            </w:tcBorders>
            <w:shd w:val="clear" w:color="auto" w:fill="CCEEFF"/>
          </w:tcPr>
          <w:p>
            <w:pPr>
              <w:spacing w:after="0"/>
              <w:rPr>
                <w:sz w:val="18"/>
                <w:szCs w:val="18"/>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w w:val="98"/>
              </w:rPr>
              <w:t>Net loss (income) attributable to noncontrolling interests,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net of taxes</w:t>
            </w:r>
          </w:p>
        </w:tc>
        <w:tc>
          <w:tcPr>
            <w:tcW w:w="2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r>
      <w:tr>
        <w:trPr>
          <w:trHeight w:val="210"/>
        </w:trPr>
        <w:tc>
          <w:tcPr>
            <w:tcW w:w="4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Accretion of preferred stock</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(27,114)</w:t>
            </w:r>
          </w:p>
        </w:tc>
      </w:tr>
      <w:tr>
        <w:trPr>
          <w:trHeight w:val="210"/>
        </w:trPr>
        <w:tc>
          <w:tcPr>
            <w:tcW w:w="4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Net income (loss) attributable to common shareholders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(21,648)</w:t>
            </w:r>
          </w:p>
        </w:tc>
        <w:tc>
          <w:tcPr>
            <w:tcW w:w="140" w:type="dxa"/>
            <w:vAlign w:val="bottom"/>
            <w:tcBorders>
              <w:top w:val="single" w:sz="8" w:color="CCEEFF"/>
            </w:tcBorders>
            <w:shd w:val="clear" w:color="auto" w:fill="CCEEFF"/>
          </w:tcPr>
          <w:p>
            <w:pPr>
              <w:spacing w:after="0"/>
              <w:rPr>
                <w:sz w:val="18"/>
                <w:szCs w:val="18"/>
                <w:color w:val="auto"/>
              </w:rPr>
            </w:pPr>
          </w:p>
        </w:tc>
      </w:tr>
      <w:tr>
        <w:trPr>
          <w:trHeight w:val="196"/>
        </w:trPr>
        <w:tc>
          <w:tcPr>
            <w:tcW w:w="4460" w:type="dxa"/>
            <w:vAlign w:val="bottom"/>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28,141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27,839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26,724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13,000</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29,106</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28,685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26,933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24,430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13,000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ectPr>
          <w:pgSz w:w="11900" w:h="16838" w:orient="portrait"/>
          <w:cols w:equalWidth="0" w:num="1">
            <w:col w:w="11460"/>
          </w:cols>
          <w:pgMar w:left="240" w:top="118" w:right="19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0.41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0.77</w:t>
            </w:r>
          </w:p>
        </w:tc>
        <w:tc>
          <w:tcPr>
            <w:tcW w:w="3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0.61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0.78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0.74</w:t>
            </w:r>
          </w:p>
        </w:tc>
        <w:tc>
          <w:tcPr>
            <w:tcW w:w="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0.61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43,503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31,402</w:t>
            </w:r>
          </w:p>
        </w:tc>
        <w:tc>
          <w:tcPr>
            <w:tcW w:w="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25,254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18,987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12,661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(45,479)</w:t>
            </w:r>
          </w:p>
        </w:tc>
        <w:tc>
          <w:tcPr>
            <w:tcW w:w="3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(37,512)</w:t>
            </w:r>
          </w:p>
        </w:tc>
        <w:tc>
          <w:tcPr>
            <w:tcW w:w="3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(36,478)</w:t>
            </w:r>
          </w:p>
        </w:tc>
        <w:tc>
          <w:tcPr>
            <w:tcW w:w="3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(16,534)</w:t>
            </w:r>
          </w:p>
        </w:tc>
        <w:tc>
          <w:tcPr>
            <w:tcW w:w="3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(15,888)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1,144</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2,009</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5,344</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8,083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EBITDA(1)</w:t>
            </w:r>
          </w:p>
        </w:tc>
        <w:tc>
          <w:tcPr>
            <w:tcW w:w="26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54,208</w:t>
            </w:r>
          </w:p>
        </w:tc>
        <w:tc>
          <w:tcPr>
            <w:tcW w:w="36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58,800</w:t>
            </w:r>
          </w:p>
        </w:tc>
        <w:tc>
          <w:tcPr>
            <w:tcW w:w="34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48,298</w:t>
            </w:r>
          </w:p>
        </w:tc>
        <w:tc>
          <w:tcPr>
            <w:tcW w:w="36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35,670</w:t>
            </w:r>
          </w:p>
        </w:tc>
        <w:tc>
          <w:tcPr>
            <w:tcW w:w="3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27,274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68,290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65,206</w:t>
            </w:r>
          </w:p>
        </w:tc>
        <w:tc>
          <w:tcPr>
            <w:tcW w:w="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52,322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39,464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31,122</w:t>
            </w:r>
          </w:p>
        </w:tc>
      </w:tr>
      <w:tr>
        <w:trPr>
          <w:trHeight w:val="365"/>
        </w:trPr>
        <w:tc>
          <w:tcPr>
            <w:tcW w:w="4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May 31,</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4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7,802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8,410</w:t>
            </w:r>
          </w:p>
        </w:tc>
        <w:tc>
          <w:tcPr>
            <w:tcW w:w="3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10,879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16,037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5,668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376,660</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329,816</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248,637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189,939</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153,433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26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60,267</w:t>
            </w:r>
          </w:p>
        </w:tc>
        <w:tc>
          <w:tcPr>
            <w:tcW w:w="36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40,229</w:t>
            </w:r>
          </w:p>
        </w:tc>
        <w:tc>
          <w:tcPr>
            <w:tcW w:w="34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21,851</w:t>
            </w:r>
          </w:p>
        </w:tc>
        <w:tc>
          <w:tcPr>
            <w:tcW w:w="36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13,301</w:t>
            </w:r>
          </w:p>
        </w:tc>
        <w:tc>
          <w:tcPr>
            <w:tcW w:w="3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66,251</w:t>
            </w: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under capital leases, including current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17,689</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19,045</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15,476</w:t>
            </w: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14,569</w:t>
            </w:r>
          </w:p>
        </w:tc>
        <w:tc>
          <w:tcPr>
            <w:tcW w:w="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14,525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Convertible redeemable preferred stock</w:t>
            </w:r>
          </w:p>
        </w:tc>
        <w:tc>
          <w:tcPr>
            <w:tcW w:w="260" w:type="dxa"/>
            <w:vAlign w:val="bottom"/>
          </w:tcPr>
          <w:p>
            <w:pPr>
              <w:spacing w:after="0"/>
              <w:rPr>
                <w:sz w:val="18"/>
                <w:szCs w:val="18"/>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90,983</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Mistras Group, Inc. stockholders’ equity (deficit)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210,053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193,012</w:t>
            </w:r>
          </w:p>
        </w:tc>
        <w:tc>
          <w:tcPr>
            <w:tcW w:w="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167,157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130,286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(47,912)</w:t>
            </w:r>
          </w:p>
        </w:tc>
      </w:tr>
    </w:tbl>
    <w:p>
      <w:pPr>
        <w:spacing w:after="0" w:line="202" w:lineRule="exact"/>
        <w:rPr>
          <w:sz w:val="20"/>
          <w:szCs w:val="20"/>
          <w:color w:val="auto"/>
        </w:rPr>
      </w:pPr>
    </w:p>
    <w:p>
      <w:pPr>
        <w:ind w:right="140" w:firstLine="8"/>
        <w:spacing w:after="0" w:line="277"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Refer to Note 8 -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 consolidated financial statements in Item 8 in this report, for disclosure of the Company’s acquisitions in fiscal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5620" w:right="4280" w:hanging="5612"/>
        <w:spacing w:after="0" w:line="528" w:lineRule="auto"/>
        <w:tabs>
          <w:tab w:leader="none" w:pos="2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table provides a reconciliation of net income to EBITDA and adjusted EBITDA: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3"/>
              </w:rPr>
              <w:t>For the year ended May 31,</w:t>
            </w: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Mistras Group, Inc.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11,646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21,353</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16,431</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10,429</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5,466</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3,288</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3,132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4,614</w:t>
            </w: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12,627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4,558</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26,647</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22,024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15,183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12,636</w:t>
            </w:r>
          </w:p>
        </w:tc>
        <w:tc>
          <w:tcPr>
            <w:tcW w:w="120" w:type="dxa"/>
            <w:vAlign w:val="bottom"/>
          </w:tcPr>
          <w:p>
            <w:pPr>
              <w:spacing w:after="0"/>
              <w:rPr>
                <w:sz w:val="18"/>
                <w:szCs w:val="18"/>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6,285</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3,751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9,938</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Legal reserve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(Gain) loss on extinguishment of debt</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3"/>
          </w:tcPr>
          <w:p>
            <w:pPr>
              <w:jc w:val="right"/>
              <w:ind w:right="142"/>
              <w:spacing w:after="0"/>
              <w:rPr>
                <w:sz w:val="20"/>
                <w:szCs w:val="20"/>
                <w:color w:val="auto"/>
              </w:rPr>
            </w:pPr>
            <w:r>
              <w:rPr>
                <w:rFonts w:ascii="Arial" w:cs="Arial" w:eastAsia="Arial" w:hAnsi="Arial"/>
                <w:sz w:val="18"/>
                <w:szCs w:val="18"/>
                <w:color w:val="auto"/>
              </w:rPr>
              <w:t>(671)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Large customer bankruptcy</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EFF"/>
          </w:tcPr>
          <w:p>
            <w:pPr>
              <w:spacing w:after="0"/>
              <w:rPr>
                <w:sz w:val="18"/>
                <w:szCs w:val="18"/>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68,290</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39,464</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31,122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EBITDA and Adjusted EBITDA are performance measures used by management that are not calculated in accordance with U.S. generally accepted accounting principles (GAAP). EBITDA is defined in this Report as net income attributable to Mistras Group, Inc. plus: interest expense, provision for income taxes and depreciation and amortization. Adjusted EBITDA is defined in this Report as net income attributable to Mistras Group, Inc. plus: interest expense, provision for income taxes, depreciation and amortization, share-based compensation expense, and certain acquisition-related costs (including transaction due diligence costs and adjustments to the fair value of contingent consideration) and certain non-recurring items (which items are listed in the reconciliation table above).</w:t>
      </w:r>
    </w:p>
    <w:p>
      <w:pPr>
        <w:spacing w:after="0" w:line="19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the book value and age of assets, capital structure, capital investment cycles and the method by which assets were acquired. It also eliminates share-based compensation, which is a non-cash expense and is excluded by management when evaluating the underlying performance of our business operations.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w:t>
      </w:r>
    </w:p>
    <w:p>
      <w:pPr>
        <w:sectPr>
          <w:pgSz w:w="11900" w:h="16838" w:orient="portrait"/>
          <w:cols w:equalWidth="0" w:num="1">
            <w:col w:w="11420"/>
          </w:cols>
          <w:pgMar w:left="240" w:top="125" w:right="239" w:bottom="158" w:gutter="0" w:footer="0" w:header="0"/>
        </w:sectPr>
      </w:pPr>
    </w:p>
    <w:bookmarkStart w:id="25" w:name="page26"/>
    <w:bookmarkEnd w:id="25"/>
    <w:p>
      <w:pPr>
        <w:ind w:right="100"/>
        <w:spacing w:after="0" w:line="255" w:lineRule="auto"/>
        <w:rPr>
          <w:sz w:val="20"/>
          <w:szCs w:val="20"/>
          <w:color w:val="auto"/>
        </w:rPr>
      </w:pPr>
      <w:r>
        <w:rPr>
          <w:rFonts w:ascii="Arial" w:cs="Arial" w:eastAsia="Arial" w:hAnsi="Arial"/>
          <w:sz w:val="18"/>
          <w:szCs w:val="18"/>
          <w:color w:val="auto"/>
        </w:rPr>
        <w:t>The following Management’s Discussion and Analysis (“MD&amp;A”) provides a narrative of our results of operations for the years ended May 31, 2013, 2012 and 2011, respectively, and our financial position as of May 31, 2013 and 2012, respectively. The MD&amp;A should be read together with our consolidated financial statements and related notes included in Item 8 in this Annual Report on Form 10-K. In this annual report, our fiscal years, which end on May 31, are identified according to the calendar year in which they end (e.g., the fiscal year ended May 31, 2013 is referred to as “fiscal 2013”), and unless otherwise specified or the context otherwise requires, “Mistras,” “the Company,” “we,” “us” and “our” refer to Mistras Group, Inc. and its consolidated subsidiaries. The MD&amp;A includes the following sections:</w:t>
      </w:r>
    </w:p>
    <w:p>
      <w:pPr>
        <w:spacing w:after="0" w:line="193"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Segment Results of Operations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on Form 10-K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“goals,” or “expects,” “anticipates,” “intends,” “plans,” “believes,” “seeks,” “estimates,” or the negative of such terms or other similar expressions. You are urged not to place undue reliance on any such forward-looking statements, any of which may turn out to be wrong due to inaccurate assumptions, unknown risks, uncertainties or other factors. Factors that could cause or contribute to differences in results and outcomes from those in our forward-looking statements include, without limitation, those discussed elsewhere in this Report in Part I, Item 1A “Risk Factors” and in Item 1 “Business—Forward-Looking Statements,” as well as those discussed in our other Securities and Exchange Commission (SEC) filings.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We offer our customers “one source for asset protection solutions”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and predictive maintenance (PdM) services, proprietary data analysis and enterprise inspection warehousing software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90" w:lineRule="exact"/>
        <w:rPr>
          <w:sz w:val="20"/>
          <w:szCs w:val="20"/>
          <w:color w:val="auto"/>
        </w:rPr>
      </w:pPr>
    </w:p>
    <w:p>
      <w:pPr>
        <w:jc w:val="both"/>
        <w:ind w:left="660" w:right="200" w:hanging="328"/>
        <w:spacing w:after="0" w:line="264"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primarily in North America with the largest concentration in the United States and a rapidly expanding</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660" w:right="180" w:hanging="328"/>
        <w:spacing w:after="0" w:line="264"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offers services, products and systems similar to those of the other segments to global markets, principally in Europe, the Middle East,</w:t>
      </w:r>
      <w:r>
        <w:rPr>
          <w:rFonts w:ascii="Arial" w:cs="Arial" w:eastAsia="Arial" w:hAnsi="Arial"/>
          <w:sz w:val="18"/>
          <w:szCs w:val="18"/>
          <w:i w:val="1"/>
          <w:iCs w:val="1"/>
          <w:color w:val="auto"/>
        </w:rPr>
        <w:t xml:space="preserve"> </w:t>
      </w:r>
      <w:r>
        <w:rPr>
          <w:rFonts w:ascii="Arial" w:cs="Arial" w:eastAsia="Arial" w:hAnsi="Arial"/>
          <w:sz w:val="18"/>
          <w:szCs w:val="18"/>
          <w:color w:val="auto"/>
        </w:rPr>
        <w:t>Africa, Asia and South America, but not to customers in China and South Korea, which are served by the Products and Systems segment. South America consists primarily of our Brazil operations.</w:t>
      </w:r>
    </w:p>
    <w:p>
      <w:pPr>
        <w:spacing w:after="0" w:line="181"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natural gas, fossil and nuclear power, transmission and distribution, alternative and renewable energy, public infrastructure, chemicals, aerospace and defense, transportation, primary metals and metalworking, pharmaceutical/biotechnology, food processing industries and research and engineering institutions. As of May 31, 2013, we had approximately 4,400 employees, including approximately</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30 Ph.D.’s and 100 other degreed engineers and certified Level III technicians, in approximately 100 offices across 16 countries. We have established long-term relationships as a critical solutions provider to many of the leading companies in our target markets.</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have worked to build our infrastructure to profitably absorb additional growth and have made a number of acquisitions in an effort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leverage our fixed costs, grow our base of experienced, certified personnel, expand our product and technical capabilities and increase our geographical reach.</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global economy continues to be fragile. Global financial markets continue to experience uncertainty, including tight liquidity and credit availability, relatively low consumer confidence, slow economic growth, persistently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operations for fiscal 2013, 2012 and 2011: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7"/>
              </w:rPr>
              <w:t>For the year ended May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 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8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529,282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436,875</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338,589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363,045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291,616</w:t>
            </w:r>
          </w:p>
        </w:tc>
        <w:tc>
          <w:tcPr>
            <w:tcW w:w="30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221,980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17,866</w:t>
            </w: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15,569</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148,371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129,690</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103,403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Gross profit as a % of Revenue</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28%</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101,792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83,098</w:t>
            </w:r>
          </w:p>
        </w:tc>
        <w:tc>
          <w:tcPr>
            <w:tcW w:w="30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65,983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SG&amp;A as a % of Revenue</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19%</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Research and engineering</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2,059</w:t>
            </w:r>
          </w:p>
        </w:tc>
        <w:tc>
          <w:tcPr>
            <w:tcW w:w="30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2,150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6,455</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Acquisition-related expense, net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108"/>
              <w:spacing w:after="0"/>
              <w:rPr>
                <w:sz w:val="20"/>
                <w:szCs w:val="20"/>
                <w:color w:val="auto"/>
              </w:rPr>
            </w:pPr>
            <w:r>
              <w:rPr>
                <w:rFonts w:ascii="Arial" w:cs="Arial" w:eastAsia="Arial" w:hAnsi="Arial"/>
                <w:sz w:val="18"/>
                <w:szCs w:val="18"/>
                <w:color w:val="auto"/>
              </w:rPr>
              <w:t>(2,141)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1,980</w:t>
            </w:r>
          </w:p>
        </w:tc>
        <w:tc>
          <w:tcPr>
            <w:tcW w:w="300" w:type="dxa"/>
            <w:vAlign w:val="bottom"/>
          </w:tcPr>
          <w:p>
            <w:pPr>
              <w:spacing w:after="0"/>
              <w:rPr>
                <w:sz w:val="18"/>
                <w:szCs w:val="18"/>
                <w:color w:val="auto"/>
              </w:rPr>
            </w:pPr>
          </w:p>
        </w:tc>
        <w:tc>
          <w:tcPr>
            <w:tcW w:w="122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Legal reserve</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27,554</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36,098</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29,611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i w:val="1"/>
                <w:iCs w:val="1"/>
                <w:color w:val="auto"/>
              </w:rPr>
              <w:t>Income from operations as a % of Revenue</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8"/>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3,132</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Loss on extinguishment of long-term debt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(671)</w:t>
            </w:r>
          </w:p>
        </w:tc>
        <w:tc>
          <w:tcPr>
            <w:tcW w:w="300" w:type="dxa"/>
            <w:vAlign w:val="bottom"/>
          </w:tcPr>
          <w:p>
            <w:pPr>
              <w:spacing w:after="0"/>
              <w:rPr>
                <w:sz w:val="18"/>
                <w:szCs w:val="18"/>
                <w:color w:val="auto"/>
              </w:rPr>
            </w:pPr>
          </w:p>
        </w:tc>
        <w:tc>
          <w:tcPr>
            <w:tcW w:w="1220" w:type="dxa"/>
            <w:vAlign w:val="bottom"/>
            <w:gridSpan w:val="5"/>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33,637</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26,838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12,627</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12,291</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10,502</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loss attributable to noncontrolling interests, net of taxes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Mistras Group, Inc.</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21,353</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i w:val="1"/>
                <w:iCs w:val="1"/>
                <w:color w:val="auto"/>
              </w:rPr>
              <w:t>Net income attributable to Mistras Group, Inc. as a % of Revenue</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8"/>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340" w:type="dxa"/>
            <w:vAlign w:val="bottom"/>
            <w:gridSpan w:val="3"/>
          </w:tcPr>
          <w:p>
            <w:pPr>
              <w:spacing w:after="0"/>
              <w:rPr>
                <w:sz w:val="20"/>
                <w:szCs w:val="20"/>
                <w:color w:val="auto"/>
              </w:rPr>
            </w:pPr>
            <w:r>
              <w:rPr>
                <w:rFonts w:ascii="Arial" w:cs="Arial" w:eastAsia="Arial" w:hAnsi="Arial"/>
                <w:sz w:val="18"/>
                <w:szCs w:val="18"/>
                <w:color w:val="auto"/>
              </w:rPr>
              <w:t>Our growth rates for fiscal 2013, 2012 and 2011 were as follows: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40" w:type="dxa"/>
            <w:vAlign w:val="bottom"/>
            <w:gridSpan w:val="3"/>
          </w:tcPr>
          <w:p>
            <w:pPr>
              <w:jc w:val="right"/>
              <w:ind w:right="54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0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4"/>
              </w:rPr>
              <w:t>For the year ended May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 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58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92,407</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98,286</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66,461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 Growth over prior year</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8"/>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Comprised of:</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3.1%</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 of acquisition growth</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8"/>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foreign exchange increase (decrease)</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8"/>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3"/>
            <w:vMerge w:val="restart"/>
          </w:tcPr>
          <w:p>
            <w:pPr>
              <w:spacing w:after="0"/>
              <w:rPr>
                <w:sz w:val="20"/>
                <w:szCs w:val="20"/>
                <w:color w:val="auto"/>
              </w:rPr>
            </w:pPr>
            <w:r>
              <w:rPr>
                <w:rFonts w:ascii="Arial" w:cs="Arial" w:eastAsia="Arial" w:hAnsi="Arial"/>
                <w:sz w:val="18"/>
                <w:szCs w:val="18"/>
                <w:i w:val="1"/>
                <w:iCs w:val="1"/>
                <w:color w:val="auto"/>
                <w:w w:val="93"/>
              </w:rPr>
              <w:t xml:space="preserve">Revenues. </w:t>
            </w:r>
            <w:r>
              <w:rPr>
                <w:rFonts w:ascii="Arial" w:cs="Arial" w:eastAsia="Arial" w:hAnsi="Arial"/>
                <w:sz w:val="18"/>
                <w:szCs w:val="18"/>
                <w:color w:val="auto"/>
                <w:w w:val="93"/>
              </w:rPr>
              <w:t>Our revenues by segment for fiscal 2013, 2012 and 2011 were as follows:</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For the year ended May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 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58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48"/>
              <w:spacing w:after="0"/>
              <w:rPr>
                <w:sz w:val="20"/>
                <w:szCs w:val="20"/>
                <w:color w:val="auto"/>
              </w:rPr>
            </w:pPr>
            <w:r>
              <w:rPr>
                <w:rFonts w:ascii="Arial" w:cs="Arial" w:eastAsia="Arial" w:hAnsi="Arial"/>
                <w:sz w:val="18"/>
                <w:szCs w:val="18"/>
                <w:color w:val="auto"/>
              </w:rPr>
              <w:t>380,851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349,793</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283,139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126,840</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59,466</w:t>
            </w:r>
          </w:p>
        </w:tc>
        <w:tc>
          <w:tcPr>
            <w:tcW w:w="3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36,798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160"/>
              <w:spacing w:after="0"/>
              <w:rPr>
                <w:sz w:val="20"/>
                <w:szCs w:val="20"/>
                <w:color w:val="auto"/>
              </w:rPr>
            </w:pPr>
            <w:r>
              <w:rPr>
                <w:rFonts w:ascii="Arial" w:cs="Arial" w:eastAsia="Arial" w:hAnsi="Arial"/>
                <w:sz w:val="18"/>
                <w:szCs w:val="18"/>
                <w:color w:val="auto"/>
              </w:rPr>
              <w:t>Products and Systems</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148"/>
              <w:spacing w:after="0"/>
              <w:rPr>
                <w:sz w:val="20"/>
                <w:szCs w:val="20"/>
                <w:color w:val="auto"/>
              </w:rPr>
            </w:pPr>
            <w:r>
              <w:rPr>
                <w:rFonts w:ascii="Arial" w:cs="Arial" w:eastAsia="Arial" w:hAnsi="Arial"/>
                <w:sz w:val="18"/>
                <w:szCs w:val="18"/>
                <w:color w:val="auto"/>
              </w:rPr>
              <w:t>33,301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40,083</w:t>
            </w:r>
          </w:p>
        </w:tc>
        <w:tc>
          <w:tcPr>
            <w:tcW w:w="300" w:type="dxa"/>
            <w:vAlign w:val="bottom"/>
          </w:tcPr>
          <w:p>
            <w:pPr>
              <w:spacing w:after="0"/>
              <w:rPr>
                <w:sz w:val="18"/>
                <w:szCs w:val="18"/>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8"/>
                <w:szCs w:val="18"/>
                <w:color w:val="auto"/>
              </w:rPr>
              <w:t>26,105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2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(11,710)</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(12,467)</w:t>
            </w:r>
          </w:p>
        </w:tc>
        <w:tc>
          <w:tcPr>
            <w:tcW w:w="3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(7,453)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529,282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436,875</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338,589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-3800475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-3800475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Revenues by operating segment include intercompany transactions, which are eliminated in Corporate and eliminations.</w:t>
      </w:r>
    </w:p>
    <w:p>
      <w:pPr>
        <w:sectPr>
          <w:pgSz w:w="11900" w:h="16838" w:orient="portrait"/>
          <w:cols w:equalWidth="0" w:num="1">
            <w:col w:w="11460"/>
          </w:cols>
          <w:pgMar w:left="240" w:top="125" w:right="199" w:bottom="0" w:gutter="0" w:footer="0" w:header="0"/>
        </w:sectPr>
      </w:pPr>
    </w:p>
    <w:bookmarkStart w:id="27" w:name="page28"/>
    <w:bookmarkEnd w:id="27"/>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Compared to Fiscal 2012</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Revenues increased $92.4 million, or 21%, in fiscal 2013 compared to fiscal 2012 primarily as a result of growth in our Service and International segments. We estimate that our organic growth rate, as compared to growth driven by acquisitions, was approximately 3% and 16% in fiscal 2013 and 2012, respectively. In fiscal 2013, we estimate that organic growth by segment was approximately 6% for our Services segment, 2% for our International segment and (24%) for our Products and Systems segment, where a large non-recurring military order was shipped in 2012. In fiscal 2013, we estimate that growth from acquisitions was approximately $81.7 million, or approximately 19%, compared to approximately $44.6 million, or approximately 13%, in fiscal 2012. We completed the acquisition of three companies in fiscal 2013 compared to eleven companies in fiscal 2012.</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continued to experience growth in many of our target markets in fiscal 2013. Our largest target market was oil and gas which represented approximately 50% and 54% of revenues in fiscal 2013 and 2012, respectively. Oil and gas revenues grew by 11% in fiscal 2013, led by growth in the midstream section of the industry. We also experienced growth in several of our other target markets outside of oil and gas, including aerospace and defense, industrial, process industries which include chemical and pharmaceutical, power generation, and infrastructure markets. Taken as a group, revenues for all target markets other than oil and gas grew approximately 34% over the prior year. Our top ten customers represented approximately 34% of our revenues for fiscal 2013 compared to 39% in fiscal 2012. Our largest customer in both periods was BP p.l.c. (BP), accounting for approximately 11% and 16% of our revenues in fiscal 2013 and 2012, respectively. No other customer accounted for more than 7% of our revenues in fiscal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by segment for fiscal 2013, 2012 and 2011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9"/>
              </w:rPr>
              <w:t>For the year ended May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2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98,907</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94,413</w:t>
            </w:r>
          </w:p>
        </w:tc>
        <w:tc>
          <w:tcPr>
            <w:tcW w:w="280" w:type="dxa"/>
            <w:vAlign w:val="bottom"/>
          </w:tcPr>
          <w:p>
            <w:pPr>
              <w:spacing w:after="0"/>
              <w:rPr>
                <w:sz w:val="18"/>
                <w:szCs w:val="18"/>
                <w:color w:val="auto"/>
              </w:rPr>
            </w:pP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16,947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18,578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148,371</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129,690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by operating segment includes intercompany transactions, which are eliminated in Corporate and eliminations.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gross profit increased $18.7 million, or 14%, in fiscal 2013 compared to fiscal 2012. As a percentage of revenues, our gross profit was approximately 28% and 30% in fiscal 2013 and 2012, respectively. Cost of revenues, excluding depreciation, as a percentage of revenues was approximately 69% and 67% in fiscal 2013 and 2012, respectively. Depreciation expense included in the determination of gross profit was $17.9 million and $15.6 million for fiscal 2013 and 2012, respectively.</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170 basis point decrease in our gross profit as a percentage of revenues was primarily attributable to a change in the mix of revenues generated during the year, lower Advanced Services margins and higher unbillable direct labor. Additionally, competitive pricing pressure from large master service agreements with larger oil and gas customers also contributed to lower margins. Revenues from the oil and gas industry represented approximately 50% of total revenues. Revenue from this industry tends to have lower gross margins than other industries due to the existence of longer term contracts which typically have a high concentration of lower margin, traditional NDT services. Also contributing to the decrease was an increase in unbillable labor. Unbillable labor includes professional training time for our technicians, which increased $0.6 million in fiscal 2013 as a result of the increase in number of technicians.</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Complementing the impact of higher revenues from the oil and gas industry was revenue growth in all other industries of approximately 34% in fiscal 2013, where gross margins tend to be higher. In addition, Advanced NDT services decreased as a percentage of total revenue to 15% of our Services segment revenues in fiscal 2013 compared to approximately 16% in fiscal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by segment for fiscal 2013, 2012 and 2011,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For the year ended May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9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1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40,325</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39,932</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31,856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Products and Systems</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8,271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(15,367)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from operations by operating segment includes intercompany transactions, which are eliminated in Corporate and eliminations.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Our income from operations of $27.6 million for fiscal 2013 decreased $8.5 million, or 24%, compared to fiscal 2012. The decrease was primarily due a goodwill impairment charge in the fourth quarter of fiscal 2013 which is further discussed in Note 7 —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to our consolidated financial statements. As a percentage of revenues, our income from operations was approximately 5% and 8% in fiscal 2013 and fiscal 2012, respectively.</w:t>
      </w:r>
    </w:p>
    <w:p>
      <w:pPr>
        <w:spacing w:after="0" w:line="166"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Our SG&amp;A expenses for fiscal 2013 increased $18.7 million, or 22%, to $101.8 million in fiscal 2013 from $83.1 million in fiscal 2012. Of this amount, SG&amp;A related to recent acquisitions accounted for approximately $16.2 million of the total increase. As a percentage of revenues, SG&amp;A expenses were approximately 19% in fiscal 2013 and 2012. The increase in expense was primarily due to the cost of additional salary and other infrastructure costs to support our growth in revenues, including the addition of new locations and personnel in connection with our acquisitions. Excluding acquisitions, SG&amp;A</w:t>
      </w:r>
    </w:p>
    <w:p>
      <w:pPr>
        <w:sectPr>
          <w:pgSz w:w="11900" w:h="16850" w:orient="portrait"/>
          <w:cols w:equalWidth="0" w:num="1">
            <w:col w:w="11400"/>
          </w:cols>
          <w:pgMar w:left="240" w:top="337" w:right="259" w:bottom="0" w:gutter="0" w:footer="0" w:header="0"/>
        </w:sectPr>
      </w:pPr>
    </w:p>
    <w:bookmarkStart w:id="28" w:name="page29"/>
    <w:bookmarkEnd w:id="28"/>
    <w:p>
      <w:pPr>
        <w:ind w:right="660"/>
        <w:spacing w:after="0" w:line="277" w:lineRule="auto"/>
        <w:rPr>
          <w:sz w:val="20"/>
          <w:szCs w:val="20"/>
          <w:color w:val="auto"/>
        </w:rPr>
      </w:pPr>
      <w:r>
        <w:rPr>
          <w:rFonts w:ascii="Arial" w:cs="Arial" w:eastAsia="Arial" w:hAnsi="Arial"/>
          <w:sz w:val="18"/>
          <w:szCs w:val="18"/>
          <w:color w:val="auto"/>
        </w:rPr>
        <w:t>expenses increased due to higher compensation and benefit expenses of $3.3 million over the prior year attributed to normal compensation increases, including incentive compensation,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well as our investment in additional management and corporate staff to support our growth and shared-based compensation costs of $1.2 million. These increases were partially offset by a decrease related to lower bad debt expense of $0.8 million. Depreciation and amortization included in the determination of income from operations for fiscal 2013 and fiscal 2012 was $8.8 million and $6.5 million, respectively, each being 2% of revenues.</w:t>
      </w:r>
    </w:p>
    <w:p>
      <w:pPr>
        <w:spacing w:after="0" w:line="16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acquisition-related expense, net for fiscal 2013 was attributed to adjustments to the estimated fair value of certain acquisition-related contingent consideration liabilities that resulted in an increase to income from operations of $3.7 million. This was offset by $1.6 million related to professional fees and other expenses in connection with our fiscal 2013 acquisition activity. Acquisition-related expense, net for fiscal 2012 was approximately $1.8 million and related to professional fees and other expenses in connection with our fiscal 2012 acquisition activity. Additionally, we adjusted the estimated fair value of certain acquisition-related contingent consideration liabilities that resulted in a net decrease to income from operations of $0.2 million.</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$3.3 million and $3.1 million for fiscal 2013 and fiscal 2012, respectively. This increase primarily related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average borrowings outstanding under our revolver agreement during fiscal 2013 compared to fiscal 2012.</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52% for fiscal 2013 compared to 37% for fiscal 2012. The effective tax rate for fiscal 2013</w:t>
      </w:r>
      <w:r>
        <w:rPr>
          <w:rFonts w:ascii="Arial" w:cs="Arial" w:eastAsia="Arial" w:hAnsi="Arial"/>
          <w:sz w:val="18"/>
          <w:szCs w:val="18"/>
          <w:i w:val="1"/>
          <w:iCs w:val="1"/>
          <w:color w:val="auto"/>
        </w:rPr>
        <w:t xml:space="preserve"> </w:t>
      </w:r>
      <w:r>
        <w:rPr>
          <w:rFonts w:ascii="Arial" w:cs="Arial" w:eastAsia="Arial" w:hAnsi="Arial"/>
          <w:sz w:val="18"/>
          <w:szCs w:val="18"/>
          <w:color w:val="auto"/>
        </w:rPr>
        <w:t>was significantly impacted by the goodwill impairment charge that is not deductible for tax purposes. Excluding the impact of the impairment charge, our annual effective rate was approximately 37% for fiscal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Compared to Fiscal 2011</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Revenues increased $98.3 million, or 29%, in fiscal 2012 compared to fiscal 2011 as a result of growth in all of our segments. We estimate that our organic growth rate, as compared to growth driven by acquisitions, was approximately 16% in fiscal 2012 and fiscal 2011. In fiscal 2012, we estimate that organic growth by segment was approximately 18% for our Products and Systems segment, 17% for our Services segment, and 11% for our International segment. In fiscal 2012, we estimate that growth from acquisitions was $44.6 million, or approximately 13%, compared to $19.0 million, or 8%, in fiscal 2011. We completed the acquisition of eleven companies in fiscal 2012 compared to five companies in fiscal 2011.</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continued to experience growth in many of our target markets in fiscal 2012. The largest dollar increase was attributable to customers in the global oil and gas market on several new and existing projects, including an increase in our portfolio of “run and maintain” contracts and new work obtained due to our acquisitions. Overall, our revenues from the oil and gas market grew approximately 16% in fiscal 2012 and provided approximately 54% and 61% of our total revenues for fiscal 2012 and 2011, respectively, with the largest increase coming from the downstream section of the oil and gas industry. We also experienced growth in several of our other target markets outside of oil and gas, including industrial, process industries which include chemical and pharmaceutical, infrastructure, power generation and aerospace and defense markets. Taken as a group, revenues for all target markets other than oil and gas grew approximately 49% over the prior year. Our top ten customers represented approximately 39% of our revenues for fiscal 2012 compared to 44% in fiscal 2011. Our largest customer in both periods was BP p.l.c. (BP), accounting for approximately 16% and 18% of our revenues in fiscal 2012 and 2011, respectively. No other customer accounted for more than 10% of our revenues in fiscal 2012.</w:t>
      </w:r>
    </w:p>
    <w:p>
      <w:pPr>
        <w:spacing w:after="0" w:line="18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gross profit increased $26.3 million, or 25%, in fiscal 2012 compared to fiscal 2011. As a percentage of revenues, our gross profit was approximately 30% and 31% in fiscal 2012 and 2011, respectively. Cost of revenues, excluding depreciation, as a percentage of revenues was approximately 67% and 66% in fiscal 2012 and 2011, respectively. Depreciation expense included in the determination of gross profit was $15.6 million and $13.2 million for fiscal 2012 and 2011, respectively.</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80 basis point decrease in our gross profit as a percentage of revenues was primarily attributable to a change in the mix of revenues generated during the year, and higher unbillable labor. Revenues from the oil and gas industry increased approximately 16% during fiscal 2012 and represented approximately 54% of total revenues. Revenue from this industry tends to have lower gross margins than other industries due to the existence of longer term contracts which typically have a high concentration of lower margin, traditional NDT services. Also contributing to the decrease was an increase in unbillable labor. Unbillable labor includes professional training time for our technicians which increased as a result of the increase in technicians in fiscal 2012 compared to fiscal 2011. Unbillable labor increased $2.1 million in fiscal 2012 compared to fiscal 2011. Offsetting the impact of higher revenues from the oil and gas industry was revenue growth in all other industries of approximately 49% in fiscal 2012, where gross margins tend to be higher. In addition, revenues from Advanced NDT services, which have higher margins than traditional NDT services, increased more than 29% during fiscal 2012 and now represents approximately 16% of our Services segment revenues compared to approximately 15% in fiscal 2011.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income from operations of $36.1 million for fiscal 2012 increased $6.5 million, or 22%, compared to fiscal 2011. As a percentage of revenues, our income from operations was approximately 8% and 9% in fiscal 2012 and fiscal 2011, respectively.</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SG&amp;A expenses for fiscal 2012 increased $17.1 million, or 26%, from $66.0 million in fiscal 2011 to $83.1 million in fiscal 2012. Of this amount, SG&amp;A related to recent acquisitions accounted for approximately $8.7 million of the total increase. As a percentage of revenues, SG&amp;A expenses were approximately 19% in fiscal 2012 and 20% in fiscal 2011. The increase in expense was primarily due to the cost of additional salary and other infrastructure costs to support our growth in revenues, including the addition of new locations and personnel in connection with our acquisitions. Excluding acquisitions, our SG&amp;A expenses included higher compensation and benefit expenses of $8.6 million over the prior year attributed to normal compensation increases, including incentive compensation, as well as our investment in additional management and corporate staff to support our growth. Other increases in SG&amp;A expenses, excluding acquisitions, included stock compensation costs of approximately $1.5 million, insurance expense of $1.3 million, and occupancy expense of $1.3 million. Depreciation and amortization included in the determination of income from operations for fiscal 2012 and fiscal 2011 was $6.5 million and $5.4 million, respectively, each being 2% of revenues.</w:t>
      </w:r>
    </w:p>
    <w:p>
      <w:pPr>
        <w:sectPr>
          <w:pgSz w:w="11900" w:h="16838" w:orient="portrait"/>
          <w:cols w:equalWidth="0" w:num="1">
            <w:col w:w="11400"/>
          </w:cols>
          <w:pgMar w:left="240" w:top="125" w:right="259" w:bottom="0" w:gutter="0" w:footer="0" w:header="0"/>
        </w:sectPr>
      </w:pPr>
    </w:p>
    <w:bookmarkStart w:id="29" w:name="page30"/>
    <w:bookmarkEnd w:id="29"/>
    <w:p>
      <w:pPr>
        <w:jc w:val="both"/>
        <w:ind w:right="180"/>
        <w:spacing w:after="0" w:line="264" w:lineRule="auto"/>
        <w:rPr>
          <w:sz w:val="20"/>
          <w:szCs w:val="20"/>
          <w:color w:val="auto"/>
        </w:rPr>
      </w:pPr>
      <w:r>
        <w:rPr>
          <w:rFonts w:ascii="Arial" w:cs="Arial" w:eastAsia="Arial" w:hAnsi="Arial"/>
          <w:sz w:val="18"/>
          <w:szCs w:val="18"/>
          <w:color w:val="auto"/>
        </w:rPr>
        <w:t>Our acquisition-related expense, net for fiscal 2012 was $1.8 million and related to professional fees and other expenses in connection with our fiscal 2012 acquisition activity. Additionally, we adjusted the estimated fair value of certain acquisition-related contingent consideration liabilities that resulted in a net decrease to income from operations of $0.2 million.</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$3.1 million and $2.8 million for fiscal 2012 and fiscal 2011, respectively. This increase primarily related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average borrowings in the current year.</w:t>
      </w:r>
    </w:p>
    <w:p>
      <w:pPr>
        <w:spacing w:after="0" w:line="170"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effective income tax rate was approximately 37% for fiscal 2012 compared to approximately 39% for fiscal 2011.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impact of permanent tax differences, lower foreign taxes, and a release of a valuation allowance offset by an increase in state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Services segment was as follows for fiscal 2013, 2012 and 2011:</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7"/>
              </w:rPr>
              <w:t>For the years ended May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Services segment</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380,851</w:t>
            </w:r>
          </w:p>
        </w:tc>
        <w:tc>
          <w:tcPr>
            <w:tcW w:w="22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349,793</w:t>
            </w:r>
          </w:p>
        </w:tc>
        <w:tc>
          <w:tcPr>
            <w:tcW w:w="240" w:type="dxa"/>
            <w:vAlign w:val="bottom"/>
          </w:tcPr>
          <w:p>
            <w:pPr>
              <w:spacing w:after="0"/>
              <w:rPr>
                <w:sz w:val="18"/>
                <w:szCs w:val="18"/>
                <w:color w:val="auto"/>
              </w:rPr>
            </w:pPr>
          </w:p>
        </w:tc>
        <w:tc>
          <w:tcPr>
            <w:tcW w:w="360" w:type="dxa"/>
            <w:vAlign w:val="bottom"/>
            <w:gridSpan w:val="2"/>
          </w:tcPr>
          <w:p>
            <w:pPr>
              <w:jc w:val="right"/>
              <w:ind w:right="165"/>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283,139</w:t>
            </w:r>
          </w:p>
        </w:tc>
        <w:tc>
          <w:tcPr>
            <w:tcW w:w="16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241,969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193,666</w:t>
            </w: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w:t>
            </w:r>
          </w:p>
        </w:tc>
        <w:tc>
          <w:tcPr>
            <w:tcW w:w="1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13,820</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13,411</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11,590</w:t>
            </w:r>
          </w:p>
        </w:tc>
        <w:tc>
          <w:tcPr>
            <w:tcW w:w="160" w:type="dxa"/>
            <w:vAlign w:val="bottom"/>
            <w:tcBorders>
              <w:bottom w:val="single" w:sz="8" w:color="CCEEFF"/>
            </w:tcBorders>
          </w:tcPr>
          <w:p>
            <w:pPr>
              <w:spacing w:after="0"/>
              <w:rPr>
                <w:sz w:val="18"/>
                <w:szCs w:val="18"/>
                <w:color w:val="auto"/>
              </w:rPr>
            </w:pPr>
          </w:p>
        </w:tc>
      </w:tr>
      <w:tr>
        <w:trPr>
          <w:trHeight w:val="21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77,883</w:t>
            </w: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Gross profit as a % of segment revenue</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50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40,325</w:t>
            </w:r>
          </w:p>
        </w:tc>
        <w:tc>
          <w:tcPr>
            <w:tcW w:w="22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39,932</w:t>
            </w:r>
          </w:p>
        </w:tc>
        <w:tc>
          <w:tcPr>
            <w:tcW w:w="240" w:type="dxa"/>
            <w:vAlign w:val="bottom"/>
          </w:tcPr>
          <w:p>
            <w:pPr>
              <w:spacing w:after="0"/>
              <w:rPr>
                <w:sz w:val="18"/>
                <w:szCs w:val="18"/>
                <w:color w:val="auto"/>
              </w:rPr>
            </w:pPr>
          </w:p>
        </w:tc>
        <w:tc>
          <w:tcPr>
            <w:tcW w:w="360" w:type="dxa"/>
            <w:vAlign w:val="bottom"/>
            <w:gridSpan w:val="2"/>
          </w:tcPr>
          <w:p>
            <w:pPr>
              <w:jc w:val="right"/>
              <w:ind w:right="165"/>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31,856</w:t>
            </w:r>
          </w:p>
        </w:tc>
        <w:tc>
          <w:tcPr>
            <w:tcW w:w="16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 of segment revenue</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1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17,763</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15,979</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Services segment revenues were $380.9 million, $349.8 million and $283.1 million in fiscal 2013, 2012 and 2011, respectively. In fiscal 2013,</w:t>
      </w:r>
      <w:r>
        <w:rPr>
          <w:rFonts w:ascii="Arial" w:cs="Arial" w:eastAsia="Arial" w:hAnsi="Arial"/>
          <w:sz w:val="18"/>
          <w:szCs w:val="18"/>
          <w:i w:val="1"/>
          <w:iCs w:val="1"/>
          <w:color w:val="auto"/>
        </w:rPr>
        <w:t xml:space="preserve"> </w:t>
      </w:r>
      <w:r>
        <w:rPr>
          <w:rFonts w:ascii="Arial" w:cs="Arial" w:eastAsia="Arial" w:hAnsi="Arial"/>
          <w:sz w:val="18"/>
          <w:szCs w:val="18"/>
          <w:color w:val="auto"/>
        </w:rPr>
        <w:t>our Services revenues increased $31.1 million, or 9%, compared to fiscal 2012. The increase was attributable to organic growth of approximately 6% and growth from acquisitions of approximately 3%. The industries primarily contributing to growth were oil and gas, industrial and chemical, with the largest growth in dollars coming from the oil and gas industry. Customers in the oil and gas industry accounted for approximately 62% of our Services segment revenues in fiscal 2013 and 2012. We also have experienced growth in most of our other target markets due to strong demand, the addition of new customers and increasing revenues from existing customers. We increased our revenues to existing customers by increasing our penetration on existing service offerings and providing different types of asset protection solutions. Our top ten customers accounted for approximately 44% and 48% of our Services segment revenues during fiscal 2013 and 2012, respectively. One customer, BP, represented approximately 15% and 19% of our revenues for our Services segment in fiscal 2013 and 2012, respectively. Revenues from BP, as well as most of our larger oil and gas customers, are generated from numerous contracts at multiple sites.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fiscal 2012, our Services revenues increased $66.7 million, or 24%, compared to fiscal 2011. The increase was attributable to organic growth of approximately 17% and growth from acquisitions of approximately 7%. The industries primarily contributing to this growth were oil and gas, industrial and power generation, with the largest growth in dollars coming from the oil and gas industry. Customers in the oil and gas industry accounted for approximately 62% and 67% of our Services segment revenues in fiscal 2012 and 2011, respectively.</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Services segment gross profit for fiscal 2013 was $98.9 million, or 26% of segment revenues, an increase of $4.5 million over fiscal 2012,</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$94.4 million, or 27% of segment revenues. The 100 basis point decrease in our segment gross profit margin was attributed primarily to a change in the mix of revenues generated during the year, lower Advanced Services margins and higher unbillable direct labor. Additionally, competitive pricing pressure from large master service agreements with larger oil and gas customers also contributed to lower margins.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revenues, excluding depreciation, as a percentage of revenues was 70%, 69%, and 68% in fiscal 2013, 2012, and 2011, respectively. For fiscal 2013, 2012, and 2011, depreciation expense included in gross profit was $13.8 million, $13.4, and $11.6 million respectively, each representing approximately 4% of revenues. We continued to invest in additional field test equipment and fleet vehicles, which generate depreciation expense, to support our growth and reduce other operating costs, such as repairs and maintenance.</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Services segment gross profit for fiscal 2012 was $94.4 million, or 27% of Services revenues, an increase of $16.5 million over fiscal 2011, which was $77.9 million, or 28% of segment revenues. The modest decrease of 50 basis points in gross margin from the previous year was primarily due to the mix of revenues generated in the year and higher unbillable labor, as well as the pricing pressure from large master service agreements with larger oil and gas customers that drive our base revenues up while being awarded at competitive pricing.</w:t>
      </w:r>
    </w:p>
    <w:p>
      <w:pPr>
        <w:spacing w:after="0" w:line="187"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i w:val="1"/>
          <w:iCs w:val="1"/>
          <w:color w:val="auto"/>
        </w:rPr>
        <w:t xml:space="preserve">Income from Operations. </w:t>
      </w:r>
      <w:r>
        <w:rPr>
          <w:rFonts w:ascii="Arial" w:cs="Arial" w:eastAsia="Arial" w:hAnsi="Arial"/>
          <w:sz w:val="17"/>
          <w:szCs w:val="17"/>
          <w:color w:val="auto"/>
        </w:rPr>
        <w:t>Our income from operations from our Services segment was $40.3 million in fiscal 2013, an increase of $0.4 million or 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fiscal 2012. Income from operations as a percentage of segment revenues was approximately 11% in fiscal 2013.</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SG&amp;A expenses in our Services segment increased $3.1 million to $52.7 million in fiscal 2013 from $49.6 million in fiscal 2012, representing approximately 14% of segment revenues, respectively. Of this amount, SG&amp;A related to recent acquisitions accounted for approximately $1.8 million of the total increase. Excluding recent acquisitions, the Services segment SG&amp;A expenses increased driven by higher compensation and benefit expenses of $2.1 million over the prior year due to increased staffing to support our growth. Depreciation and amortization expense used in determining income from operations was approximately $4.5 million in fiscal 2013 and $4.4 million in both fiscal 2012 and 2011, representing approximately 1%, 1%, and 2% of revenues, respectively.</w:t>
      </w:r>
    </w:p>
    <w:p>
      <w:pPr>
        <w:sectPr>
          <w:pgSz w:w="11900" w:h="16838" w:orient="portrait"/>
          <w:cols w:equalWidth="0" w:num="1">
            <w:col w:w="11360"/>
          </w:cols>
          <w:pgMar w:left="240" w:top="125" w:right="299" w:bottom="0" w:gutter="0" w:footer="0" w:header="0"/>
        </w:sectPr>
      </w:pPr>
    </w:p>
    <w:bookmarkStart w:id="30" w:name="page31"/>
    <w:bookmarkEnd w:id="30"/>
    <w:p>
      <w:pPr>
        <w:ind w:right="220"/>
        <w:spacing w:after="0" w:line="277" w:lineRule="auto"/>
        <w:rPr>
          <w:sz w:val="20"/>
          <w:szCs w:val="20"/>
          <w:color w:val="auto"/>
        </w:rPr>
      </w:pPr>
      <w:r>
        <w:rPr>
          <w:rFonts w:ascii="Arial" w:cs="Arial" w:eastAsia="Arial" w:hAnsi="Arial"/>
          <w:sz w:val="18"/>
          <w:szCs w:val="18"/>
          <w:color w:val="auto"/>
        </w:rPr>
        <w:t>Our income from operations from our Services segment was $39.9 million in fiscal 2012, an increase of $8.1 million or 25% compared to fiscal 2011. As a percentage of segment revenues, our income from operations was approximately 11% in fiscal 2012 and 2011.</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SG&amp;A expenses in our Services segment increased $8.2 million to $49.6 million in fiscal 2012 from $41.4 million in fiscal 2011, representing approximately 14% and 15% of segment revenues, respectively. Of this amount, SG&amp;A related to recent acquisitions accounted for approximately $3.2 million of the total increase. The Services segment SG&amp;A expenses included higher compensation and benefit expenses, excluding acquisitions, of $3.4 million over the prior year attributed to normal compensation increases, including incentive compensation, and the cost of additional salary to support our growth in revenues. Other increases in SG&amp;A expenses in fiscal 2012, excluding acquisitions, in fiscal 2012 include insurance expense of $1.1 million and occupancy expense of $0.6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our International segment was as follows for fiscal 2013, 2012 and 2011: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For the years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segment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126,840</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59,466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36,798</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90,994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38,622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22,871</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3,527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1,738</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1,005</w:t>
            </w:r>
          </w:p>
        </w:tc>
      </w:tr>
      <w:tr>
        <w:trPr>
          <w:trHeight w:val="210"/>
        </w:trPr>
        <w:tc>
          <w:tcPr>
            <w:tcW w:w="6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Gross profit as a % of segment revenue</w:t>
            </w:r>
          </w:p>
        </w:tc>
        <w:tc>
          <w:tcPr>
            <w:tcW w:w="3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r>
      <w:tr>
        <w:trPr>
          <w:trHeight w:val="216"/>
        </w:trPr>
        <w:tc>
          <w:tcPr>
            <w:tcW w:w="6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(8,246)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3,262</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3,539</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operations as % of segment revenue</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6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6,200</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w:t>
            </w: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Our International segment revenues increased $67.4 million, or 113%, to $126.8 million in fiscal 2013 primarily due to acquisition growth.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2013 revenue growth was approximately 116% as a result of two acquisitions in fiscal 2013 and seven acquisitions completed in fiscal 2012. Fiscal 2013 organic growth was approximately 2% due to the addition of new contracts and increased demand for our services and products with existing customers. Our largest target markets in the International markets in fiscal 2013 were aerospace and defense (28%), industrials (21%) and oil and gas (18%).</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International segment revenues increased $22.7 million, or 62%, to $59.5 million in fiscal 2012 compared to $36.8 million in fiscal 2011. The increase is primarily attributable to acquisition growth of approximately 49% and organic growth of approximately 11%. The fiscal 2012 revenue growth was primarily the result of seven acquisitions completed in fiscal 2012 as well as the addition of new contracts and increase in demand for our services and products with existing customers.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International segment gross profit for fiscal 2013 was $32.3 million, or 25% of segment revenues, an increase of $13.2 million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fiscal 2012, which was $19.1 million, or 32% of segment revenues. The decrease in gross profit margin relates to fiscal 2013 and 2012 acquisitions, as these companies primarily provide lower margin, traditional NDT services, coupled with an increase in revenue from our service offerings in our existing business.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International segment gross profit for fiscal 2012 was $19.1 million, or 32% of segment revenues, an increase of $6.2 million when compared to fiscal 2011 which was $12.9 million, or 35% of segment revenues. The decrease in gross profit margin relates to the addition of seven acquisitions during the year as these acquisitions primarily provide lower margin, traditional NDT services. Additionally, in our International segment, the service offerings are increasing faster than our product sales, which also lower our gross profit margin.</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Income (loss) from Operations. </w:t>
      </w:r>
      <w:r>
        <w:rPr>
          <w:rFonts w:ascii="Arial" w:cs="Arial" w:eastAsia="Arial" w:hAnsi="Arial"/>
          <w:sz w:val="16"/>
          <w:szCs w:val="16"/>
          <w:color w:val="auto"/>
        </w:rPr>
        <w:t>In fiscal 2013, our International segment recognized a loss from operations of $8.2 million compared income from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$3.3 million in fiscal 2012. The fiscal 2013 loss from operations was primarily due to a goodwill impairment charge in our Brazil operations which is further described in Note 7 —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to our consolidated financial statements. Excluding the goodwill impairment charge, income from operations from our International segment was $1.7 million for fiscal 2013, a $1.6 million decrease from fiscal 2012. As a percentage of segment revenues, our income from operations, adjusted for the impairment charge decreased from 5% in fiscal 2012 to 1% in fiscal 2013. Depreciation and amortization expense in determining segment income from operations was $2.7 million and $0.6 million, which was approximately 2% and 1% of revenues, in fiscal 2013 and 2012, respectively.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Segment SG&amp;A expenses, which after gross profit, are the largest determinant of our income from operations in fiscal 2013 and 2012 were $27.0 million and $14.6 million, or approximately 21% and 24% of segment revenues, respectively. SG&amp;A expenses increased $12.5 million primarily attributable to our recent acquisitions.</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income from operations from our International segment of $3.3 million for fiscal 2012 decreased $0.3 million, or 8%, compared to fiscal 2011. As a percentage of segment revenues, our income from operations decreased from 10% in fiscal 2011 to 5% in fiscal 2012. Depreciation and amortization expense in determining segment income from operations was $0.6 million and $0.4 million, or approximately 1% of revenues, in fiscal 2012 and 2011, respectively.</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Segment SG&amp;A expenses were $14.6 million and $8.9 million in fiscal 2012 and 2011, or approximately 24% of segment revenues each year. The largest increase in these costs can be attributed to our fiscal 2012 acquisitions, which accounted for $3.4 million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380"/>
          </w:cols>
          <w:pgMar w:left="240" w:top="125" w:right="279" w:bottom="0" w:gutter="0" w:footer="0" w:header="0"/>
          <w:type w:val="continuous"/>
        </w:sectPr>
      </w:pPr>
    </w:p>
    <w:bookmarkStart w:id="31" w:name="page32"/>
    <w:bookmarkEnd w:id="31"/>
    <w:p>
      <w:pPr>
        <w:spacing w:after="0" w:line="12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fiscal 2012 SG&amp;A expenses. Other increases in SG&amp;A, excluding acquisitions, include higher compensation and benefit expenses of $1.6 million attributed to normal salary increases and additional staff to support our growth and foreign currency transaction losses of $0.9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Systems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Products and Systems segment was as follows for fiscal 2013, 2012 and 2011:</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7"/>
              </w:rPr>
              <w:t>For the years ended May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Systems segment</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33,301</w:t>
            </w:r>
          </w:p>
        </w:tc>
        <w:tc>
          <w:tcPr>
            <w:tcW w:w="22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40,083</w:t>
            </w:r>
          </w:p>
        </w:tc>
        <w:tc>
          <w:tcPr>
            <w:tcW w:w="240" w:type="dxa"/>
            <w:vAlign w:val="bottom"/>
          </w:tcPr>
          <w:p>
            <w:pPr>
              <w:spacing w:after="0"/>
              <w:rPr>
                <w:sz w:val="18"/>
                <w:szCs w:val="18"/>
                <w:color w:val="auto"/>
              </w:rPr>
            </w:pPr>
          </w:p>
        </w:tc>
        <w:tc>
          <w:tcPr>
            <w:tcW w:w="360" w:type="dxa"/>
            <w:vAlign w:val="bottom"/>
            <w:gridSpan w:val="2"/>
          </w:tcPr>
          <w:p>
            <w:pPr>
              <w:jc w:val="right"/>
              <w:ind w:right="165"/>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26,105</w:t>
            </w:r>
          </w:p>
        </w:tc>
        <w:tc>
          <w:tcPr>
            <w:tcW w:w="16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w:t>
            </w: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Borders>
              <w:bottom w:val="single" w:sz="8" w:color="CCEEFF"/>
            </w:tcBorders>
          </w:tcPr>
          <w:p>
            <w:pPr>
              <w:spacing w:after="0"/>
              <w:rPr>
                <w:sz w:val="18"/>
                <w:szCs w:val="18"/>
                <w:color w:val="auto"/>
              </w:rPr>
            </w:pPr>
          </w:p>
        </w:tc>
      </w:tr>
      <w:tr>
        <w:trPr>
          <w:trHeight w:val="21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Gross profit as a % of segment revenue</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50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7,286</w:t>
            </w:r>
          </w:p>
        </w:tc>
        <w:tc>
          <w:tcPr>
            <w:tcW w:w="22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8,271</w:t>
            </w:r>
          </w:p>
        </w:tc>
        <w:tc>
          <w:tcPr>
            <w:tcW w:w="240" w:type="dxa"/>
            <w:vAlign w:val="bottom"/>
          </w:tcPr>
          <w:p>
            <w:pPr>
              <w:spacing w:after="0"/>
              <w:rPr>
                <w:sz w:val="18"/>
                <w:szCs w:val="18"/>
                <w:color w:val="auto"/>
              </w:rPr>
            </w:pPr>
          </w:p>
        </w:tc>
        <w:tc>
          <w:tcPr>
            <w:tcW w:w="360" w:type="dxa"/>
            <w:vAlign w:val="bottom"/>
            <w:gridSpan w:val="2"/>
          </w:tcPr>
          <w:p>
            <w:pPr>
              <w:jc w:val="right"/>
              <w:ind w:right="165"/>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5,123</w:t>
            </w:r>
          </w:p>
        </w:tc>
        <w:tc>
          <w:tcPr>
            <w:tcW w:w="16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 of segment revenue</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5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1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Products and Systems segment revenues decreased $6.8 million or 17% to $33.3 million in fiscal 2013 compared to $40.1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2012. The decrease in revenue is a result of a large non-recurring military order in fiscal 2012 as well as lower sales in the Acoustic Emission product line. These decreases were offset by the expansion of our Boiler Leak Detection product line. The largest customer for this segment is our International segment, which distributes these products primarily to our European, and Asian and North African markets, or, to a lesser extent, uses the products in its field testing and engineering services.</w:t>
      </w:r>
    </w:p>
    <w:p>
      <w:pPr>
        <w:spacing w:after="0" w:line="18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Products and Systems revenue increase of $14.0 million in fiscal 2012 compared to fiscal 2011 resulted primarily from two acquisitions, one completed in fiscal 2012 and one completed in fiscal 2011. Revenues from these recent acquisitions accounted for $9.3 million, or 66%, of the increase. Revenues also increased by an aggregate of $2.8 million in our Acoustic Emission, NDT and REACT product lines. The largest customer for this segment is our International segment, which distributes these products primarily to our European, and Asian and North African markets, or, to a lesser extent, uses the products in its field testing and engineering services. Other larger target markets contributing to the increase in revenues were aerospace and defense and power generation, representing approximately 26% of the increase in segment revenues compared to fiscal 2011.</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Products and Systems segment gross profit decreased $1.6 million, or 9%, in fiscal 2013 compared to fiscal 2012. As a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revenues, our gross profit was approximately 51% and 46% in fiscal 2013 and 2012, respectively. The gross margin percentage increase of 450 basis points in fiscal 2013 is attributable to a change in the mix of revenues during fiscal 2013. The gross profit in our Products and Systems segment can fluctuate depending on volume and product mix. For example, our ultrasonic NDT solutions require custom product engineering, large, expensive components and the use of subcontractors in the fabrication of large structures utilized to facilitate testing. The utilization of subcontractors and use of high cost parts in these systems often yield lower gross margins. Depreciation expense used in determining gross profit was $0.9 million or 3% of segment revenues in fiscal 2013 and $0.6 million or 2% of segment revenues for fiscal 2012.</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Products and Systems segment gross profit increased $5.3 million, or 40%, in fiscal 2012 compared to fiscal 2011. As a percentage of segment revenues, our gross profit was approximately 46% and 51% in fiscal 2012 and 2011, respectively. Depreciation expense used in determining gross profit for each of the fiscal years 2012 and 2011 was $0.6 million, or 2% of segment revenues. The gross margin percentage decrease of 500 basis points in fiscal 2012 is attributable to a change in the mix of revenues during fiscal 2013. The gross profit in our Products and Systems segment can fluctuate depending on volume and product mix.</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from our Products and Systems segment of $7.3 million for fiscal 2013 decreased $1.0 million, or 12%,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fiscal 2012. As a percentage of Products and Systems segment revenues, our operating income was approximately 22% in fiscal 2013 and 21% in fiscal 2012. Our recent acquisitions contributed $1.8 million of income from operations in fiscal 2013. Depreciation and amortization expense in determining segment income from operations was approximately $1.3 million, or 4% of revenues, and $1.2 million, or 3% of revenues, in fiscal 2013 and 2012,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Segment SG&amp;A expenses, which after gross profit, are the largest determinant of our income from operations were $8.3 million, or 25% of segment revenues in fiscal 2013, $7.5 million, or 19% of segment revenues in fiscal 2012, and $5.5 million, or 21% of segment revenues in fiscal 2011. The largest increase in these costs can be attributed to our recent acquisitions, which accounted for $0.9 million and $2.1 million of SG&amp;A expenses in fiscal 2013 and fiscal 2012, respectively. Our research and engineering expenses increased 19% to $2.4 million in fiscal 2013 compared to $2.1 million in fiscal 2012. These costs represented approximately 7% and 5% of our Products and Systems segment revenues for fiscal 2013 and fiscal 2012, respectively.</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income from operations from our Products and Systems segment of $8.3 million for fiscal 2012 increased $3.1 million, or 61%, compared to fiscal 2011. As a percentage of Products and Systems segment revenues, our operating income increased to approximately 21% in fiscal 2012 compared to approximately 20% in fiscal 2011. Acquisitions contributed $3.3 million of income from operations in fiscal 2012. Depreciation and amortization expense in determining segment income from operations was approximately $1.2 million, or 3% of revenues, and $0.5 million, or 2% of revenues, in fiscal 2012 and 2011,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Eliminations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elimination of revenues and cost of revenues primarily relates to the elimination in consolidation of revenues from sales of our Products and Systems segment to the International and Services segments. The other major item in the Corporate and eliminations grouping are the general and administrative costs</w:t>
      </w:r>
    </w:p>
    <w:p>
      <w:pPr>
        <w:sectPr>
          <w:pgSz w:w="11900" w:h="16962" w:orient="portrait"/>
          <w:cols w:equalWidth="0" w:num="1">
            <w:col w:w="11400"/>
          </w:cols>
          <w:pgMar w:left="240" w:top="341" w:right="259" w:bottom="0" w:gutter="0" w:footer="0" w:header="0"/>
        </w:sectPr>
      </w:pPr>
    </w:p>
    <w:bookmarkStart w:id="32" w:name="page33"/>
    <w:bookmarkEnd w:id="32"/>
    <w:p>
      <w:pPr>
        <w:spacing w:after="0" w:line="257" w:lineRule="auto"/>
        <w:rPr>
          <w:sz w:val="20"/>
          <w:szCs w:val="20"/>
          <w:color w:val="auto"/>
        </w:rPr>
      </w:pPr>
      <w:r>
        <w:rPr>
          <w:rFonts w:ascii="Arial" w:cs="Arial" w:eastAsia="Arial" w:hAnsi="Arial"/>
          <w:sz w:val="18"/>
          <w:szCs w:val="18"/>
          <w:color w:val="auto"/>
        </w:rPr>
        <w:t>not allocated to the other segments. These costs primarily include those for non-segment management, accounting and auditing, legal, human resources, acquisition transactional costs, and certain other costs. As a percentage of our total revenues, these costs have generally remained consistent over the last three fiscal years, consisting of 3% of total revenues for each of the fiscal years ended 2013, 2012 and 2011, respectively. The increase in operating expenses in fiscal 2013 and 2012 primarily related to higher compensation and additional staff to support our growth and other general increases in expense at our corporate offices.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have funded our operations through cash provided from operations, bank borrowings, stock offerings and capital lease financing transactions. We have used these proceeds to fund our operations, develop our technology, expand our sales and marketing efforts to new markets and acquire small companies or assets, primarily to add certified technicians and enhance our capabilities and geographic reach. In May 2011, we raised approximately $14.7 million in net proceeds through a secondary offering of our common stock, which we used to repay our bank borrowings and fund working capital. We believe that our existing cash and cash equivalents, our anticipated cash flows from operating activities, and our available borrowings under our credit agreement will be sufficient to meet our anticipated cash needs over the next 12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fiscal 2013, 2012 and 2011:</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43,503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31,402</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(45,479)</w:t>
            </w:r>
          </w:p>
        </w:tc>
        <w:tc>
          <w:tcPr>
            <w:tcW w:w="3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(37,512)</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1,632</w:t>
            </w: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provided by our operating activities in fiscal 2013 was $43.5 million, an increase of $12.1 million over the prior fiscal year. Positive operating cash flow was primarily attributable to our net income excluding depreciation, amortization and other non-cash items of $53.2 million offset by $9.7 million of cash utilized to fund an increase in our working capital, which primarily related to an increase in accrued expenses and payables, partially offset by a decrease in trade accounts receivable.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Cash provided by our operating activities in fiscal 2012 was $31.4 million, an increase of $6.1 million over the prior fiscal year. Positive operating cash flow was primarily attributable to higher net income excluding depreciation, amortization and other non-cash items of $46.8 million offset by $15.4 million of cash utilized to fund an increase in our working capital, which primarily related to an increase in our trade accounts receivable.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used in investing activities for fiscal 2013 was $45.5 million, an increase of $8.0 million from fiscal 2012, primarily due to an increase in acquisition of business and purchases of property, plant and equipment. Acquisition of businesses, net of cash acquired included the acquisition of three companies for an aggregate of $33.1 million. Cash purchases of property, plant and equipment were $12.5 million and were primarily related to equipment used by our technicians.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used in investing activities for fiscal 2012 was $37.5 million, an increase of $1.0 million from fiscal 2011. Cash used in investing activities included our acquisition of eleven companies for an aggregate of $29.2 million, net of cash acquired. Cash purchases of property, plant and equipment were $9.6 million and were primarily related to equipment used by our technicians.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Net cash provided by financing activities in fiscal 2013 was $1.1 million, a decrease of $0.9 million from fiscal 2012. Net cash provided by financing activities related primarily to net borrowings under our revolving credit facility of $14.6 million, offset by repayments of our capital lease obligations and long-term debt of $7.0 million and $5.1 million, respectively.</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cash provided by financing activities in fiscal 2012 was $2.0 million, a decrease of $3.3 million from fiscal 2011. Net cash provided by financing activities related primarily to net borrowings under our revolving credit facility of $21.2 million and proceeds of $2.5 million received from the exercise of stock options, offset by repayments of our capital lease obligations, long-term debt, and other short-term borrowings of $7.0 million, $12.3 million, $1.9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on Changes in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fiscal 2013, 2012 and 2011, exchange rate changes increased our cash by $0.2 million, $1.6 million and $0.7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ectPr>
          <w:pgSz w:w="11900" w:h="16838" w:orient="portrait"/>
          <w:cols w:equalWidth="0" w:num="1">
            <w:col w:w="11420"/>
          </w:cols>
          <w:pgMar w:left="240" w:top="125" w:right="239" w:bottom="198" w:gutter="0" w:footer="0" w:header="0"/>
        </w:sectPr>
      </w:pPr>
    </w:p>
    <w:bookmarkStart w:id="33" w:name="page34"/>
    <w:bookmarkEnd w:id="33"/>
    <w:p>
      <w:pPr>
        <w:ind w:right="260"/>
        <w:spacing w:after="0" w:line="279" w:lineRule="auto"/>
        <w:rPr>
          <w:sz w:val="20"/>
          <w:szCs w:val="20"/>
          <w:color w:val="auto"/>
        </w:rPr>
      </w:pPr>
      <w:r>
        <w:rPr>
          <w:rFonts w:ascii="Arial" w:cs="Arial" w:eastAsia="Arial" w:hAnsi="Arial"/>
          <w:sz w:val="17"/>
          <w:szCs w:val="17"/>
          <w:color w:val="auto"/>
        </w:rPr>
        <w:t>As of May 31, 2013, we had cash and cash equivalents totaling $7.8 million and available borrowing capacity of $82.1 million under our current revolving credit facility. There were outstanding borrowings of $39.6 million and a total of $3.3 million of outstanding letters of credit under the existing revolving credit facility. We finance our operations primarily through our existing cash balances, cash collected from operations, bank borrowings and capital lease financing. We believe these sources are sufficient to fund our operations for the foreseeable future.</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December 2011, we entered into a Third Amended and Restated Credit Agreement (Credit Agreement), with Bank of America, N.A., as agent for the lenders and a lender, and JPMorgan Chase Bank, N.A., Keybank National Association and TD Bank, N.A., as lenders. The Credit Agreement provides us with a $125 million revolving line of credit, which, under certain circumstances, can be increased to $150 million. The Credit Agreement has a maturity date of December 20, 2016 and permits us to borrow up to $30 million in non-US dollar currencies and to use up to $10 million of the credit limit for the issuance of letters of credit. Loans under the Credit Agreement bear interest at LIBOR plus an applicable LIBOR margin ranging from 1% to 2%, or a base rate margin less a margin of 0.25% to 1.25%, at our option, or based upon our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sz w:val="20"/>
          <w:szCs w:val="20"/>
          <w:color w:val="auto"/>
        </w:rPr>
      </w:pPr>
    </w:p>
    <w:p>
      <w:pPr>
        <w:ind w:right="20" w:firstLine="8"/>
        <w:spacing w:after="0" w:line="270" w:lineRule="auto"/>
        <w:tabs>
          <w:tab w:leader="none" w:pos="2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We have the benefit of the lowest margin if our Funded Debt Leverage Ratio is equal to or less than 0.5 to 1, and the margin increases as the ratio increases, to the maximum margin if the ratio is greater than 2.5 to 1. We will also bear additional costs for market disruption, regulatory changes effecting the lenders’ funding costs, and default pricing of an additional 2% interest rate margin if the Funded Debt Leverage Ratio exceeds 3.0 to 1. Amounts borrowed under our Credit Agreement are secured by liens on substantially all of our assets.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Credit Agreement contains financial covenants requiring that we maintain a Funded Debt Leverage Ratio of less than 3.0 to 1 and an Interest Coverage Ratio of at least 3.0 to 1. Interest Coverage Ratio means the ratio, as of any date of determination, of (a) EBITDA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the 12 month period immediately preceding the date of determination, to (b)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our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our ability to acquire other businesses or companies except that the acquired business or company must be in our line of business, we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May 31, 2013,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our future sources of cash to include cash flow generated from our operating activities and borrowings under our revolving credit facility. Our revolving credit facility is available for cash advances required for working capital and for letters of credit to support our operations. We are currently funding our acquisitions through our available cash, borrowings under our revolving credit facility and seller notes. We have an effective shelf registration statement with the SEC for the issuance of up to approximately $64.2 million of securities, including shares of common and preferred stock, debt securities, warrants and units. Accordingly, we may also seek to obtain capital through the issuance of debt or equity securities, or a combination of both. As of August 1, 2013, there were outstanding borrowings of approximately $39.6 million and approximately $3.3 million of outstanding letters of credit under our revolving credit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3% to 4% of our total revenues on capital expenditures, excluding acquisitions, and expect to fund these expenditures through a combination of cash and lease financing. Our cash capital expenditures, excluding acquisitions, for fiscal 2013, 2012 and 2011 were approximately 2%, 2% and 3% of revenues, respectively.</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Our future acquisitions may also require capital. We acquired three companies in fiscal 2013 and eleven companies in fiscal 2012, with an initial cash outlay of $65.4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repayments and various other obligations as they arise.</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ectPr>
          <w:pgSz w:w="11900" w:h="16838" w:orient="portrait"/>
          <w:cols w:equalWidth="0" w:num="1">
            <w:col w:w="11420"/>
          </w:cols>
          <w:pgMar w:left="240" w:top="125" w:right="239" w:bottom="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do not enter into long-term minimum purchase commitments. Our principal commitments, in addition to those related to our long-term debt discussed below, consist of obligations under facility leases for office space and equipment leases and contingent consideration obligations in connection with our acquisitions.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contractual obligations as of May 31,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 &amp;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Beyond</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debt (1)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60,267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7,418</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 (2)</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19,069</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7,795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1,571</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10,627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 obligations</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24,631</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9,168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2,597</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2,597</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652"/>
        <w:spacing w:after="0" w:line="277" w:lineRule="auto"/>
        <w:tabs>
          <w:tab w:leader="none" w:pos="6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primarily of borrowings from our senior credit facility and seller notes payable in connection with our acquisitions and includes the current portion outstanding.</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estimated cash interest to be paid over the remaining terms of the leases.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fiscal 2013, 2012 and 2011,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that we make estimates and assumptions that affect the reported amounts of assets and liabilities and disclosure of contingent assets and liabilities at the date of financial statements and the reported amounts of revenues and expenses during the reporting period. The accounting policies that we believe require more significant estimates and assumptions include: revenue recognition, valuations of accounts receivable, long-lived assets, goodwill, and deferred tax assets and uncertain tax positions.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the following critical accounting policies comprise the more significant estimates and assumptions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 is generally recognized when persuasive evidence of an arrangement exists, services have been rendered or products have been delivered, the fee is fixed or determinable, and collectability is reasonably assured, as summarized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Revenue is primarily derived from providing services on a time and material basis. Service arrangements generally consist of inspection professionals working under contract for a fixed period of time or on a specific customer project. Revenue is generally recognized when the service is performed in accordance with terms of each customer arrangement, upon completion of the earnings process and when collection is reasonably assured. At the end of any reporting period, revenue is accrued for services that have been earned which have not yet been billed. Reimbursable costs, including those related to travel and out-of-pocket expenses, are included in revenue, and equivalent amounts of reimbursable costs are included in cost of services.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Systems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Sales of products and systems are recorded when the sales price is fixed and determinable and the risks and rewards of ownership are transferred (generally upon shipment) and when collectability is reasonably assured.</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These arrangements generally contain multiple elements or deliverables, such as hardware, software (that is essential to the functionality of the hardware) and related services. We recognize revenue for delivered elements as separate units of accounting, when the delivered elements have standalone value, uncertaintles regarding customer acceptance are resolved and there are no refund or return rights for the delivered elements. We establish the selling prices for each deliverable based on our vendor-specific objective evidence (“VSOE”), if available, third-party evidence, if VSOE is not available, or estimated selling price (“ESP”) if neither VSOE nor third-party evidence is available. We establish VSOE of selling price using the price charged for a deliverable when sold separately and, in rare instances, using the price established by management having the relevant authority. Third-party evidence of selling price is established</w:t>
      </w:r>
    </w:p>
    <w:p>
      <w:pPr>
        <w:sectPr>
          <w:pgSz w:w="11900" w:h="16838" w:orient="portrait"/>
          <w:cols w:equalWidth="0" w:num="1">
            <w:col w:w="11420"/>
          </w:cols>
          <w:pgMar w:left="240" w:top="121" w:right="239" w:bottom="0" w:gutter="0" w:footer="0" w:header="0"/>
        </w:sectPr>
      </w:pPr>
    </w:p>
    <w:bookmarkStart w:id="35" w:name="page36"/>
    <w:bookmarkEnd w:id="35"/>
    <w:p>
      <w:pPr>
        <w:ind w:right="160"/>
        <w:spacing w:after="0" w:line="293" w:lineRule="auto"/>
        <w:rPr>
          <w:sz w:val="20"/>
          <w:szCs w:val="20"/>
          <w:color w:val="auto"/>
        </w:rPr>
      </w:pPr>
      <w:r>
        <w:rPr>
          <w:rFonts w:ascii="Arial" w:cs="Arial" w:eastAsia="Arial" w:hAnsi="Arial"/>
          <w:sz w:val="16"/>
          <w:szCs w:val="16"/>
          <w:color w:val="auto"/>
        </w:rPr>
        <w:t>by evaluating largely similar and interchangeable competitor products or services in standalone sales to similarly situated customers. We determine ESP by considering internal factors such as margin objectives, pricing practices and controls, customer segment pricing strategies and the product life cycle. Consideration is also given to market conditions such as competitor pricing strategies and industry technology life cycles. When determining ESP, we apply management judgment to establish margin objectives and pricing strategies and to evaluate market conditions and product life cycles. Changes in the aforementioned factors may result in a different allocation of revenue to the deliverables in multiple element arrangements and therefore may change the pattern and timing of revenue recognition for these elements, but will not change the total revenue recognized for the arrangement.</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portion of our revenue is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our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Accounts receivable arise from services provided or products and systems sold to the Company’s customers. The Company records an allowance for doubtful accounts to provide for losses on accounts receivable due to a customer’s inability to pay. The allowance is typically estimated based on an analysis of the historical rate of credit losses or write-offs, specific concerns and known or expected trends. Such analysis is inherently subjective. The Company’s earnings will be impacted in the future to the extent that actual credit loss experience differs from amounts estimated. Changes in the financial condition of the Company’s customers or adverse developments in negotiations or legal proceedings to obtain payment could result in the actual loss exceeding the estimated allowance.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perform a review of long-lived assets for impairment when events or changes in circumstances indicate the carrying value of such assets may not be recoverable. If an indication of impairment is present, we compare the estimated undiscounted future cash flows to be generated by the asset to its carrying amount. If the undiscounted future cash flows are less than the carrying amount of the asset, we record an impairment loss equal to the excess of the asset’s carrying amount over its fair value. We estimate fair value based on valuation techniques such as a discounted cash flow analysis or a comparison to fair values of similar assets. As of May 31, 2013 and 2012, we had $68.4 million and $63.5 million in net property, plant and equipment, respectively, and $52.4 million and $34.5 million in intangible assets, net, respectively. There were no long-lived asset impairment charges recorded during the years ended May 31, 2013, 2012 or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net, outside of the U.S. totaled $113.4 million and $64.0 million as of May 31, 2013 and 2012,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48"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Goodwill represents the excess purchase price of acquired businesses over the fair values attributed to underlying net tangible assets and identifiable intangible assets. We test the carrying value of goodwill for impairment at a “reporting unit” level (which for the Company is represented by (i) our Services segment, (ii) our Products and Systems segment, and (iii) the European component and (iv) Brazilian component of our International segment), using a two-step approach, annually as of March 1, or whenever an event occurs or circumstances change that would more likely than not reduce the fair value of a reporting unit below its carrying amount. If the fair value of a reporting unit is less than its carrying value, this is an indicator that the goodwill assigned to that reporting unit may be impaired. In this case, a second step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the carrying value, we would be required to recognize an impairment loss for that excess. We consider the income and market approaches to estimating the fair value of our reporting units, which requires significant judgment in evaluation of, among other things, economic and industry trends, estimated future cash flows, discount rates and other factors.</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May 31, 2013, the carrying amount of our goodwill was approximately $115.3 million, of which approximately $40.8 million relates to our International segment. A significant portion of our international operations are concentrated in our Europe and Brazil reporting units. The economic environments in Europe and Brazil were difficult in 2013. As a result of a contraction in the Brazilian economy (specifically in the oil and gas industry), in the fourth quarter of fiscal 2013 we recognized goodwill impairment in our Brazil reporting unit of approximately $9.9 million. Significant deterioration in industry or economic trends, disruptions to our business, inability to effectively integrate acquired businesses, or other factors, may cause further impairment charges to goodwill in future periods. We believe that the estimated fair values of each of our reporting units were substantially in excess of their respective carrying amounts as of May 31, 2013.</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ectPr>
          <w:pgSz w:w="11900" w:h="16838" w:orient="portrait"/>
          <w:cols w:equalWidth="0" w:num="1">
            <w:col w:w="11400"/>
          </w:cols>
          <w:pgMar w:left="240" w:top="125" w:right="259" w:bottom="0" w:gutter="0" w:footer="0" w:header="0"/>
        </w:sectPr>
      </w:pPr>
    </w:p>
    <w:bookmarkStart w:id="36" w:name="page37"/>
    <w:bookmarkEnd w:id="36"/>
    <w:p>
      <w:pPr>
        <w:spacing w:after="0" w:line="2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Income taxes are accounted for under the asset and liability method. This process requires that we assess temporary differences between the book and tax basis of assets resulting from differing treatment between book and tax of certain items, such as depreciation. Deferred income tax assets and liabilities are recognized based on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valuation allowance is provided if it is more likely than not that some or all of the deferred income tax assets will not be realized. We consider all available evidence, both positive and negative, to determine whether, based on the weight of the evidence, a valuation allowance is needed. Evidence used includes information about our current financial position and our results of operations for the current and preceding years, as well as all currently available information about future years, including our anticipated future performance, the reversal of deferred tax liabilities and tax planning strategies.</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the years ended May 31, 2013 and 2012, we recognized deferred income tax benefits of $1.4 million and $0.4 million, respectively. With the exception of certain state and foreign deferred tax assets, we believe that it is more likely than not that we will have sufficient future taxable income to allow us to realize the benefits of our deferred tax assets. As of May 31, 2013 the Company had state and foreign net operating loss carry forwards (NOLs) available to offset future income of $1.5 million and $10.0 million, respectively. The deferred tax asset related to these NOL’s is $3.3 million. The Company maintains a valuation allowance of $2.7 million at May 31, 2013 of which $1.9 million relates to our state and foreign NOL’s.</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effective income tax rate was approximately 52%, 37% and 39% for fiscal 2013, 2012 and 2011, respectively. Excluding the goodwill impairment charge in fiscal 2013, our effective income tax rate was approximately 37%, 37% and 39% for fiscal 2013, 2012 and 2011, respectively. 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significantly over the next few years due to many variables including the amount and future geographic distribution of our pre-tax income, changes resulting from our acquisition strategy, and increases or decreases in our permanent differences.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February 2013, the Financial Accounting Standards Board (FASB) issued Accounting Standard Update (ASU) 2013-02, Reporting of Amounts Reclassified Out of Accumulated Other Comprehensive Income, which expands the disclosure requirements for amounts reclassified out of accumulated other comprehensive income. The update requires an entity to present either parenthetically on the face of the financial statement where net income is presented or in the notes to the financial statements, the effect of significant items reclassified in their entirety from accumulated other comprehensive income and identification of the respective line items effecting net income for instances when reclassification is required under GAAP. For items that are not required by GAAP to be reclassified in their entirety to net income, an entity is required to cross-reference to other disclosures as required by GAAP. The update does not change the current requirements for reporting net income or other comprehensive income in financial statements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is effective for annual and interim reporting periods beginning after December 15, 2012. The adoption of this pronouncement did not have a material impact on the Company’s consolidated financial statements.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July 2012, the FASB issued ASU 2012-02, Intangibles — Goodwill and Other (Topic 350): Testing Indefinite-Lived Intangible Assets for Impairment, that is intended to reduce the cost and complexity of the impairment test for indefinite-lived intangible assets by providing an entity with the option to first assess qualitatively whether it is necessary to perform the quantitative impairment test that is currently in place. An entity would not be required to quantitatively calculate the fair value of an indefinite-lived intangible asset unless the entity determines that it is more likely than not that its fair value is less than its carrying amount. ASU 2012-02 is effective for annual and interim impairment test beginning after September 15, 2012. The adoption of this pronouncement did not have a material impact on the Company’s consolidated financial statements.</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allows an entity to present the total of comprehensive income, the components of net income, and the components of other comprehensive income either in a single continuous statement of comprehensive income or in two separate but consecutive statements. This authoritative guidance eliminates the option to present the components of other comprehensive income as part of the statement of equity. ASU 2011-05 does not change the items that must be reported in other comprehensive income, when an item of other comprehensive income must be reclassified to net income, or the Company’s option to present components of other comprehensive income either net of related tax effects or before related tax effects, nor does it affect how earnings per share is calculated or presented. Effective June 1, 2012, the Company adopted the provisions of this updated accounting standard related to comprehensive income. The adoption of this pronouncement did not have a material impact on the Company’s consolidated financial statements.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had cash and cash equivalents of $7.8 million at May 31, 2013. These amounts are held for working capital purposes and were invested primarily in bank deposits, money market funds and short-term, interest-bearing, investment-grade securities. Due to the short-term nature of these investments, we believe that we do not have any material exposure to changes in the fair value of our investment portfolio as a result of changes in interest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foreign currency exposure related to our operations in foreign locations. This foreign currency exposure, particularly the Euro, British Pound Sterling, Brazilian Real, Russian Ruble, Japanese Yen, Canadian Dollar and the Indian Rupee, arises primarily 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w:t>
      </w:r>
    </w:p>
    <w:p>
      <w:pPr>
        <w:sectPr>
          <w:pgSz w:w="11900" w:h="16865" w:orient="portrait"/>
          <w:cols w:equalWidth="0" w:num="1">
            <w:col w:w="11420"/>
          </w:cols>
          <w:pgMar w:left="240" w:top="125" w:right="239" w:bottom="0" w:gutter="0" w:footer="0" w:header="0"/>
        </w:sectPr>
      </w:pPr>
    </w:p>
    <w:bookmarkStart w:id="37" w:name="page38"/>
    <w:bookmarkEnd w:id="37"/>
    <w:p>
      <w:pPr>
        <w:spacing w:after="0" w:line="13"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value in U.S. Dollars of our foreign currency denominated assets and liabilities, even if the value of these items has not changed in their original currency. We do not currently enter into forward exchange contracts to hedge exposures denominated in foreign currencies. An unfavorable 10% change in the average U.S. Dollar exchange rates for fiscal 2013 would cause a change in consolidated operating income of approximately $0.4 million and a favorable 10% change would cause a change of approximately $0.5 million. We may consider entering into hedging or forward exchange contracts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have not been significantly affected by inflation and changing prices.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1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We have audited the accompanying consolidated balance sheet of Mistras Group, Inc. and subsidiaries (the Company) as of May 31, 2013, and the related consolidated statements of income, comprehensive income, equity, and cash flows for the year then ended. We also have audited the Company’s internal control over financial reporting as of May 31, 2013,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in September 1992.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6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Mistras Group, Inc. and subsidiaries as of May 31, 2013, and the results of their operations and their cash flows for the year then ended, in conformity with U.S. generally accepted accounting principles. Also in our opinion, the Company maintained, in all material respects, effective internal control over financial reporting as of May 31, 2013,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September 1992.</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Mistras Group, Inc. acquired GMA Holding AG (GMA) in September 2012, and management excluded from its assessment of the effectiveness of the Company’s internal control over financial reporting as of May 31, 2013, GMA’s internal control over financial reporting, representing approximately 17% of total assets (including approximately 12% of total assets related to goodwill and intangible assets that were included within the scope of its assessment) and approximately 8% of total revenues, included in the Company’s consolidated financial statements as of and for the year ended May 31, 2013. Our audit of internal control over financial reporting also excluded an evaluation of the internal control over financial reporting of GMA.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38" w:name="page39"/>
    <w:bookmarkEnd w:id="38"/>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Mistras Group, Inc.:</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our opinion, the consolidated balance sheet as of May 31, 2012 and the related consolidated statements of income, comprehensive income, equity and cash flows for each of the two years in the period ended May 31, 2012 present fairly, in all material respects, the financial position of Mistras Group, Inc. and its subsidiaries at May 31, 2012, and the results of their operations and their cash flows for each of the two years in the period ended May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108,554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104,515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2,621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139,637</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68,419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52,428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115,270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906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329,816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47,839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6,766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72,216</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52,849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10,923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13,094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11,614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18,778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19,996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166,380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$0.01 par value, 200,000,000 shares authorized, 28,210,862 and 28,025,507 shares issued</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outstanding as of May 31, 2013 and May 31, 2012, respectively</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195,241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188,443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18,982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(4,452)</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376,660</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74" w:orient="portrait"/>
          <w:cols w:equalWidth="0" w:num="1">
            <w:col w:w="11420"/>
          </w:cols>
          <w:pgMar w:left="240" w:top="337" w:right="239" w:bottom="0" w:gutter="0" w:footer="0" w:header="0"/>
        </w:sectPr>
      </w:pPr>
    </w:p>
    <w:bookmarkStart w:id="39" w:name="page40"/>
    <w:bookmarkEnd w:id="3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487,268</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394,035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308,702</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42,014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29,887</w:t>
            </w: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529,282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338,589</w:t>
            </w:r>
          </w:p>
        </w:tc>
        <w:tc>
          <w:tcPr>
            <w:tcW w:w="100" w:type="dxa"/>
            <w:vAlign w:val="bottom"/>
            <w:tcBorders>
              <w:bottom w:val="single" w:sz="8" w:color="CCEEFF"/>
            </w:tcBorders>
          </w:tcPr>
          <w:p>
            <w:pPr>
              <w:spacing w:after="0"/>
              <w:rPr>
                <w:sz w:val="18"/>
                <w:szCs w:val="18"/>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346,769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271,676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209,512</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and systems sold</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16,276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12,468</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Depreciation related to services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16,963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14,929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12,576</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related to products and systems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 of revenues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380,911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307,185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235,186</w:t>
            </w:r>
          </w:p>
        </w:tc>
        <w:tc>
          <w:tcPr>
            <w:tcW w:w="100" w:type="dxa"/>
            <w:vAlign w:val="bottom"/>
            <w:tcBorders>
              <w:bottom w:val="single" w:sz="8" w:color="CCEEFF"/>
            </w:tcBorders>
          </w:tcPr>
          <w:p>
            <w:pPr>
              <w:spacing w:after="0"/>
              <w:rPr>
                <w:sz w:val="18"/>
                <w:szCs w:val="18"/>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103,403</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101,792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83,098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65,983</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engineering</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8,781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6,455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5,386</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expense, net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9,938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reserve</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3,132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2,773</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extinguishment of long-term debt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33,637</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26,838</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12,291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10,502</w:t>
            </w: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21,346</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16,336</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interests, net of taxes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5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Mistras Group, Inc.</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16,431</w:t>
            </w:r>
          </w:p>
        </w:tc>
        <w:tc>
          <w:tcPr>
            <w:tcW w:w="100" w:type="dxa"/>
            <w:vAlign w:val="bottom"/>
            <w:tcBorders>
              <w:bottom w:val="single" w:sz="8" w:color="CCEEFF"/>
            </w:tcBorders>
          </w:tcPr>
          <w:p>
            <w:pPr>
              <w:spacing w:after="0"/>
              <w:rPr>
                <w:sz w:val="21"/>
                <w:szCs w:val="21"/>
                <w:color w:val="auto"/>
              </w:rPr>
            </w:pPr>
          </w:p>
        </w:tc>
      </w:tr>
      <w:tr>
        <w:trPr>
          <w:trHeight w:val="170"/>
        </w:trPr>
        <w:tc>
          <w:tcPr>
            <w:tcW w:w="6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Earnings per common share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0.77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0.40</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26,724</w:t>
            </w: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29,106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28,685</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26,933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(1,407)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(3,361)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10,232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Comprehensive income attributable to Mistras Group, Inc.</w:t>
            </w: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10,241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18,003</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517" w:right="239" w:bottom="0" w:gutter="0" w:footer="0" w:header="0"/>
        </w:sectPr>
      </w:pPr>
    </w:p>
    <w:bookmarkStart w:id="40" w:name="page41"/>
    <w:bookmarkEnd w:id="4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Additional</w:t>
            </w:r>
          </w:p>
        </w:tc>
        <w:tc>
          <w:tcPr>
            <w:tcW w:w="6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Retained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4"/>
              </w:rPr>
              <w:t>Noncontrolling</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paid-in</w:t>
            </w:r>
          </w:p>
        </w:tc>
        <w:tc>
          <w:tcPr>
            <w:tcW w:w="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earnings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198"/>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Mistras Group,</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178"/>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Inc.</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Stockholders’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80" w:type="dxa"/>
            <w:vAlign w:val="bottom"/>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60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00"/>
              <w:spacing w:after="0" w:line="129" w:lineRule="exact"/>
              <w:rPr>
                <w:sz w:val="20"/>
                <w:szCs w:val="20"/>
                <w:color w:val="auto"/>
              </w:rPr>
            </w:pPr>
            <w:r>
              <w:rPr>
                <w:rFonts w:ascii="Arial" w:cs="Arial" w:eastAsia="Arial" w:hAnsi="Arial"/>
                <w:sz w:val="13"/>
                <w:szCs w:val="13"/>
                <w:b w:val="1"/>
                <w:bCs w:val="1"/>
                <w:color w:val="auto"/>
                <w:w w:val="87"/>
              </w:rPr>
              <w:t>capital</w:t>
            </w:r>
          </w:p>
        </w:tc>
        <w:tc>
          <w:tcPr>
            <w:tcW w:w="60" w:type="dxa"/>
            <w:vAlign w:val="bottom"/>
          </w:tcPr>
          <w:p>
            <w:pPr>
              <w:spacing w:after="0"/>
              <w:rPr>
                <w:sz w:val="11"/>
                <w:szCs w:val="11"/>
                <w:color w:val="auto"/>
              </w:rPr>
            </w:pPr>
          </w:p>
        </w:tc>
        <w:tc>
          <w:tcPr>
            <w:tcW w:w="96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89"/>
              </w:rPr>
              <w:t>deficit)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198"/>
              <w:spacing w:after="0" w:line="129" w:lineRule="exact"/>
              <w:rPr>
                <w:sz w:val="20"/>
                <w:szCs w:val="20"/>
                <w:color w:val="auto"/>
              </w:rPr>
            </w:pPr>
            <w:r>
              <w:rPr>
                <w:rFonts w:ascii="Arial" w:cs="Arial" w:eastAsia="Arial" w:hAnsi="Arial"/>
                <w:sz w:val="13"/>
                <w:szCs w:val="13"/>
                <w:b w:val="1"/>
                <w:bCs w:val="1"/>
                <w:color w:val="auto"/>
                <w:w w:val="83"/>
              </w:rPr>
              <w:t>income (loss)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980" w:type="dxa"/>
            <w:vAlign w:val="bottom"/>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Interest</w:t>
            </w:r>
          </w:p>
        </w:tc>
        <w:tc>
          <w:tcPr>
            <w:tcW w:w="80" w:type="dxa"/>
            <w:vAlign w:val="bottom"/>
          </w:tcPr>
          <w:p>
            <w:pPr>
              <w:spacing w:after="0"/>
              <w:rPr>
                <w:sz w:val="11"/>
                <w:szCs w:val="11"/>
                <w:color w:val="auto"/>
              </w:rPr>
            </w:pPr>
          </w:p>
        </w:tc>
        <w:tc>
          <w:tcPr>
            <w:tcW w:w="92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May 31, 2010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26,663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162,054</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(30,448)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(1,587)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130,286</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268</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130,554</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16,431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16,431</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(95)</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Other comprehensive income, net of tax</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1,890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1,890</w:t>
            </w:r>
          </w:p>
        </w:tc>
        <w:tc>
          <w:tcPr>
            <w:tcW w:w="8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1,905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common stock from secondary</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offering, net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990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14,672</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14,682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Share-based payments</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3,751</w:t>
            </w:r>
          </w:p>
        </w:tc>
        <w:tc>
          <w:tcPr>
            <w:tcW w:w="6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3,751</w:t>
            </w:r>
          </w:p>
        </w:tc>
        <w:tc>
          <w:tcPr>
            <w:tcW w:w="8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3,751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Excess tax benefit from share-based payment</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compensation</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95</w:t>
            </w:r>
          </w:p>
        </w:tc>
        <w:tc>
          <w:tcPr>
            <w:tcW w:w="6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95</w:t>
            </w:r>
          </w:p>
        </w:tc>
        <w:tc>
          <w:tcPr>
            <w:tcW w:w="8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Noncontrolling interest in subsidiary</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at May 31, 2011</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27,667</w:t>
            </w:r>
          </w:p>
        </w:tc>
        <w:tc>
          <w:tcPr>
            <w:tcW w:w="1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180,594</w:t>
            </w:r>
          </w:p>
        </w:tc>
        <w:tc>
          <w:tcPr>
            <w:tcW w:w="1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(14,017)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167,157</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329</w:t>
            </w: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167,486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21,353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21,353</w:t>
            </w:r>
          </w:p>
        </w:tc>
        <w:tc>
          <w:tcPr>
            <w:tcW w:w="8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21,346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loss, net of tax</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(3,350)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(3,350)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Share-based payments</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5,097</w:t>
            </w:r>
          </w:p>
        </w:tc>
        <w:tc>
          <w:tcPr>
            <w:tcW w:w="6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5,097</w:t>
            </w:r>
          </w:p>
        </w:tc>
        <w:tc>
          <w:tcPr>
            <w:tcW w:w="8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5,097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Net settlement on vesting of restricted stock</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units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(283)</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(283)</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tcPr>
          <w:p>
            <w:pPr>
              <w:spacing w:after="0" w:line="121" w:lineRule="exact"/>
              <w:rPr>
                <w:sz w:val="20"/>
                <w:szCs w:val="20"/>
                <w:color w:val="auto"/>
              </w:rPr>
            </w:pPr>
            <w:r>
              <w:rPr>
                <w:rFonts w:ascii="Arial" w:cs="Arial" w:eastAsia="Arial" w:hAnsi="Arial"/>
                <w:sz w:val="13"/>
                <w:szCs w:val="13"/>
                <w:color w:val="auto"/>
                <w:w w:val="96"/>
              </w:rPr>
              <w:t>Excess tax benefit from share-based payment</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60"/>
              <w:spacing w:after="0"/>
              <w:rPr>
                <w:sz w:val="20"/>
                <w:szCs w:val="20"/>
                <w:color w:val="auto"/>
              </w:rPr>
            </w:pPr>
            <w:r>
              <w:rPr>
                <w:rFonts w:ascii="Arial" w:cs="Arial" w:eastAsia="Arial" w:hAnsi="Arial"/>
                <w:sz w:val="13"/>
                <w:szCs w:val="13"/>
                <w:color w:val="auto"/>
              </w:rPr>
              <w:t>compensation</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554</w:t>
            </w:r>
          </w:p>
        </w:tc>
        <w:tc>
          <w:tcPr>
            <w:tcW w:w="6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554</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554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307</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2,481</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2,484</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ind w:left="160"/>
              <w:spacing w:after="0" w:line="135" w:lineRule="exact"/>
              <w:rPr>
                <w:sz w:val="20"/>
                <w:szCs w:val="20"/>
                <w:color w:val="auto"/>
              </w:rPr>
            </w:pPr>
            <w:r>
              <w:rPr>
                <w:rFonts w:ascii="Arial" w:cs="Arial" w:eastAsia="Arial" w:hAnsi="Arial"/>
                <w:sz w:val="13"/>
                <w:szCs w:val="13"/>
                <w:color w:val="auto"/>
              </w:rPr>
              <w:t>Noncontrolling interest in subsidiary</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(75)</w:t>
            </w: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at May 31, 2012</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28,026</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188,443</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7,336</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(3,047)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193,012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193,248</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11,646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11,646</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11,639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Other comprehensive loss, net of tax</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(1,405)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(1,405)</w:t>
            </w:r>
          </w:p>
        </w:tc>
        <w:tc>
          <w:tcPr>
            <w:tcW w:w="8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payments</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6,285</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6,285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6,285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tcPr>
          <w:p>
            <w:pPr>
              <w:spacing w:after="0" w:line="121" w:lineRule="exact"/>
              <w:rPr>
                <w:sz w:val="20"/>
                <w:szCs w:val="20"/>
                <w:color w:val="auto"/>
              </w:rPr>
            </w:pPr>
            <w:r>
              <w:rPr>
                <w:rFonts w:ascii="Arial" w:cs="Arial" w:eastAsia="Arial" w:hAnsi="Arial"/>
                <w:sz w:val="13"/>
                <w:szCs w:val="13"/>
                <w:color w:val="auto"/>
              </w:rPr>
              <w:t>Net settlement on vesting of restricted stock</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160"/>
              <w:spacing w:after="0"/>
              <w:rPr>
                <w:sz w:val="20"/>
                <w:szCs w:val="20"/>
                <w:color w:val="auto"/>
              </w:rPr>
            </w:pPr>
            <w:r>
              <w:rPr>
                <w:rFonts w:ascii="Arial" w:cs="Arial" w:eastAsia="Arial" w:hAnsi="Arial"/>
                <w:sz w:val="13"/>
                <w:szCs w:val="13"/>
                <w:color w:val="auto"/>
              </w:rPr>
              <w:t>units</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(810)</w:t>
            </w:r>
          </w:p>
        </w:tc>
        <w:tc>
          <w:tcPr>
            <w:tcW w:w="6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(809)</w:t>
            </w:r>
          </w:p>
        </w:tc>
        <w:tc>
          <w:tcPr>
            <w:tcW w:w="80" w:type="dxa"/>
            <w:vAlign w:val="bottom"/>
          </w:tcPr>
          <w:p>
            <w:pPr>
              <w:spacing w:after="0"/>
              <w:rPr>
                <w:sz w:val="12"/>
                <w:szCs w:val="1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Excess tax benefit from share-based payment</w:t>
            </w: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compensation</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495</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495</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85</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828</w:t>
            </w:r>
          </w:p>
        </w:tc>
        <w:tc>
          <w:tcPr>
            <w:tcW w:w="6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829</w:t>
            </w:r>
          </w:p>
        </w:tc>
        <w:tc>
          <w:tcPr>
            <w:tcW w:w="8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Balance at May 31, 2013</w:t>
            </w: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28,211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195,241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18,982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(4,452</w:t>
            </w:r>
          </w:p>
        </w:tc>
        <w:tc>
          <w:tcPr>
            <w:tcW w:w="100" w:type="dxa"/>
            <w:vAlign w:val="bottom"/>
            <w:tcBorders>
              <w:top w:val="single" w:sz="8" w:color="CCEEFF"/>
              <w:bottom w:val="single" w:sz="8" w:color="CCEEFF"/>
            </w:tcBorders>
            <w:shd w:val="clear" w:color="auto" w:fill="CCEEFF"/>
          </w:tcPr>
          <w:p>
            <w:pPr>
              <w:jc w:val="right"/>
              <w:ind w:right="1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210,053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227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210,280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11,639</w:t>
            </w:r>
          </w:p>
        </w:tc>
        <w:tc>
          <w:tcPr>
            <w:tcW w:w="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21,346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26,647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22,024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479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long-term debt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(Gain) loss on sale of assets</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6,285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5,097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Fair value adjustments to contingent consideration liabilities</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(3,727)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Foreign currency loss (gain)</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4,772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(18,030)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(5,478)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(3,036)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Purchase of intangible assets</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(993)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(33,122)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(29,216)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sale of equipment</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(5,075)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(12,346)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(repayments) borrowings from former revolver</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borrowings from current revolver</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14,568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(repayments) proceeds from other short-term borrowings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Payment of financing costs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7" w:right="2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capital contribution from noncontrolling interests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Purchase of remaining noncontrolling interest in subsidiary</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issuance of common stock</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14,682</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Payment of contingent consideration for business acquisitions</w:t>
            </w:r>
          </w:p>
        </w:tc>
        <w:tc>
          <w:tcPr>
            <w:tcW w:w="4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(1,892)</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Excess tax benefit from share-based payment compensation</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495</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829</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tcPr>
          <w:p>
            <w:pPr>
              <w:spacing w:after="0"/>
              <w:rPr>
                <w:sz w:val="18"/>
                <w:szCs w:val="18"/>
                <w:color w:val="auto"/>
              </w:rPr>
            </w:pPr>
          </w:p>
        </w:tc>
      </w:tr>
      <w:tr>
        <w:trPr>
          <w:trHeight w:val="21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2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(2,469)</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(5,158)</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Beginning of period</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8,410</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10,879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16,037</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3,144</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15,639</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14,871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9,257</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Equipment acquired through capital lease obligations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3,886</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9,504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6,403</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Issuance of notes payable and other debt obligations primarily related to acquisitions</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7,715</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Mistras Group, Inc. and its wholly and majority-owned subsidiaries. Where the Company’s ownership interest is less than 100%, the noncontrolling interests are reported in stockholders’ equity in the accompanying consolidated balance sheets. The noncontrolling interests in net income, net of tax, is classified separately in the accompanying consolidated statements of income.</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significant intercompany accounts and transactions have been eliminated in consolidation. Mistras Group, Inc.’s and its subsidiaries’ fiscal years end on May 31 except for the subsidiaries in the International segment, which end on April 30. Accordingly, the Company’s International segment subsidiaries are consolidated on a one-month lag. Therefore, in the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consolidated financial statements as of or for any period presented. Reference to a fiscal year means the fiscal year ended May 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fiscal 2013, the Company reclassified amounts related to interest accretion imputed on its acquisition-related contingent consideration liabilities from interest expense to acquisition-related expense, net, which is a component of income from operations. During fiscal 2012, the amount reclassified was $0.7 million. During fiscal 2011, there was no expense related to interest accretion imputed on our acquisition-related contingent consideration liabilities. See Note 8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discussion with regards to acquisition related expense, net.</w:t>
      </w:r>
    </w:p>
    <w:p>
      <w:pPr>
        <w:spacing w:after="0" w:line="183" w:lineRule="exact"/>
        <w:rPr>
          <w:sz w:val="20"/>
          <w:szCs w:val="20"/>
          <w:color w:val="auto"/>
        </w:rPr>
      </w:pPr>
    </w:p>
    <w:p>
      <w:pPr>
        <w:ind w:right="7860" w:firstLine="8"/>
        <w:spacing w:after="0" w:line="503" w:lineRule="auto"/>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Revenue Recognition</w:t>
      </w:r>
    </w:p>
    <w:p>
      <w:pPr>
        <w:spacing w:after="0" w:line="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Revenue is generally recognized when persuasive evidence of an arrangement exists, services have been rendered or products have been delivered, the fee is fixed or determinable, and collectability is reasonably assured. The following revenue recognition policies define the manner in which we account for specific transaction types:</w:t>
      </w:r>
    </w:p>
    <w:p>
      <w:pPr>
        <w:sectPr>
          <w:pgSz w:w="11900" w:h="16838" w:orient="portrait"/>
          <w:cols w:equalWidth="0" w:num="1">
            <w:col w:w="11420"/>
          </w:cols>
          <w:pgMar w:left="240" w:top="140" w:right="23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Services</w:t>
      </w:r>
    </w:p>
    <w:p>
      <w:pPr>
        <w:sectPr>
          <w:pgSz w:w="11900" w:h="16838" w:orient="portrait"/>
          <w:cols w:equalWidth="0" w:num="1">
            <w:col w:w="11420"/>
          </w:cols>
          <w:pgMar w:left="240" w:top="140" w:right="239" w:bottom="0" w:gutter="0" w:footer="0" w:header="0"/>
          <w:type w:val="continuous"/>
        </w:sectPr>
      </w:pPr>
    </w:p>
    <w:bookmarkStart w:id="42" w:name="page43"/>
    <w:bookmarkEnd w:id="42"/>
    <w:p>
      <w:pPr>
        <w:jc w:val="both"/>
        <w:ind w:right="580"/>
        <w:spacing w:after="0" w:line="264" w:lineRule="auto"/>
        <w:rPr>
          <w:sz w:val="20"/>
          <w:szCs w:val="20"/>
          <w:color w:val="auto"/>
        </w:rPr>
      </w:pPr>
      <w:r>
        <w:rPr>
          <w:rFonts w:ascii="Arial" w:cs="Arial" w:eastAsia="Arial" w:hAnsi="Arial"/>
          <w:sz w:val="18"/>
          <w:szCs w:val="18"/>
          <w:color w:val="auto"/>
        </w:rPr>
        <w:t>Revenue is primarily derived from providing services on a time and material basis. Service arrangements generally consist of inspection professionals working under contract for a fixed period of time or on a specific customer project. Revenue is generally recognized when the service is performed in accordance with terms of each customer arrangement, upon completion of the earnings process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when collection is reasonably assured. At the end of any reporting period, revenue is accrued for services that have been earned which have not yet been billed. Reimbursable costs, including those related to travel and out-of-pocket expenses, are included in revenue, and equivalent amounts of reimbursable costs are included in cost of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Systems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Sales of products and systems are recorded when the sales price is fixed and determinable and the risks and rewards of ownership are transferred generally upon shipment) and when collectability is reasonably assured.</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These arrangements generally contain multiple elements or deliverables, such as hardware software (that is essential to the functionality of the hardware) and related services. The Company recognizes revenue for delivered elements as separate units of accounting, when the delivered elements have standalone value, uncertainties regarding customer acceptance are resolved and there are no refund or return rights for the delivered elements. The Company establishes the selling prices for each deliverable based on its, vendor-specific objective evidence (“VSOE”), if available, third-party evidence, if VSOE is not available, or estimated selling price (“ESP”) if neither VSOE nor third-party evidence is available. The Company establishes VSOE of selling price using the price charged for a deliverable when sold separately and, in rare instances, using the price established by management having the relevant authority. Third-party evidence of selling price is established by evaluating largely similar and interchangeable competitor products or services in standalone sales to similarly situated customers. The Company determines ESP, by considering Internal factors such as margin objectives, pricing practices and controls, customer segment pricing strategies and the product life cycle. Consideration is also given to market conditions such as competitor pricing strategies and Industry technology life cycles. When determining ESP, the Company applies management judgment to establish margin objectives and pricing strategies and to evaluate market conditions and product life cycles. Changes in the aforementioned factors may result in a different allocation of revenue to the deliverables in multiple element arrangements and therefore may change the pattern and timing of revenue recognition for these elements, but will not change the total revenue recognized for the arrangement.</w:t>
      </w:r>
    </w:p>
    <w:p>
      <w:pPr>
        <w:spacing w:after="0" w:line="18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 portion of the Company’s revenue is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our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requires that the Company make estimates and assumptions that affect the reported amounts of assets and liabilities and disclosure of contingent assets and liabilities at the date of financial statements and the reported amounts of revenues and expenses during the reporting period. The accounting policies that the Company believes require more significant estimates and assumptions include: revenue recognition, valuations of accounts receivable, long lived assets, goodwill, and deferred tax assets and uncertain tax positions. The Company bases its estimates and assumption on historical experience, known or expected trends and various other assumptions that it believes to be reasonable. As future events and their effects cannot be determined with precision, actual results could differ significantly from these estimates, which may cause the Company’s future results to be significantly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are stated net of an allowance for doubtful accounts and sales allowances. Outstanding accounts receivable balances are reviewed periodically, and allowances are provided at such time that management believes it is probable that such balances will not be collected within a reasonable period of time. The Company extends credit to its customers based upon credit evaluations in the normal course of business, primarily with 30-day terms. Bad debts are provided for based on historical experience and management’s evaluation of outstanding accounts receivable. Accounts are generally written off when they are deemed uncollectible.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ectPr>
          <w:pgSz w:w="11900" w:h="16838" w:orient="portrait"/>
          <w:cols w:equalWidth="0" w:num="1">
            <w:col w:w="11420"/>
          </w:cols>
          <w:pgMar w:left="240" w:top="341" w:right="239" w:bottom="36" w:gutter="0" w:footer="0" w:header="0"/>
        </w:sectPr>
      </w:pPr>
    </w:p>
    <w:bookmarkStart w:id="43" w:name="page44"/>
    <w:bookmarkEnd w:id="43"/>
    <w:p>
      <w:pPr>
        <w:ind w:right="420"/>
        <w:spacing w:after="0" w:line="277" w:lineRule="auto"/>
        <w:rPr>
          <w:sz w:val="20"/>
          <w:szCs w:val="20"/>
          <w:color w:val="auto"/>
        </w:rPr>
      </w:pPr>
      <w:r>
        <w:rPr>
          <w:rFonts w:ascii="Arial" w:cs="Arial" w:eastAsia="Arial" w:hAnsi="Arial"/>
          <w:sz w:val="18"/>
          <w:szCs w:val="18"/>
          <w:color w:val="auto"/>
        </w:rPr>
        <w:t>Inventories are stated at the lower of cost, as determined by using the first-in, first-out method, or market. Work in process and finished goods inventory include material, direct labor, variable costs and overhead.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Costs that are related to the conceptual formulation and design of licensed programs are expensed as research and engineering. For programs the Company licenses to customers, the Company capitalizes costs that are incurred between the date technological feasibility has been established and the date that the product becomes available for sale. Capitalized amounts are amortized using the straight-line basis over three years, which is the estimated life of the related software. The Company performs periodic reviews to ensure that unamortized program costs remain recoverable from future revenues. Costs to support or service these licensed programs are expensed as the costs are incurred.</w:t>
      </w:r>
    </w:p>
    <w:p>
      <w:pPr>
        <w:spacing w:after="0" w:line="173"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Goodwill represents the excess purchase price of acquired businesses over the fair values attributed to underlying net tangible assets and identifiable intangible assets. We test the carrying value of goodwill for impairment at a “reporting unit” level (which for the Company is represented by (i) our Services segment, (ii) our Products and Systems segment, and (iii) the European component and (iv) Brazilian component of our International segment), using a two-step approach, annually as of March 1, or whenever an event occurs or circumstances change that would more likely than not reduce the fair value of a reporting unit below its carrying amount. If the fair value of a reporting unit is less than its carrying value, this is an indicator that the goodwill assigned to that reporting unit may be impaired. In this case, a second step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the carrying value, we would be required to recognize an impairment loss for that excess. We consider the income and market approaches to estimating the fair value of our reporting units, which requires significant judgment in evaluation of, among other things, economic and industry trends, estimated future cash flows, discount rates and other factors.</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May 31, 2013, the carrying amount of our goodwill was approximately $115.3 million, of which approximately $40.8 million relates to our International segment. A significant portion of our international operations are concentrated in our Europe and Brazil reporting units. The economic environments in Europe and Brazil were difficult in 2013. As a result of a contraction in the Brazilian economy (specifically in the oil and gas industry), in the fourth quarter of fiscal 2013 we recognized goodwill impairment in our Brazil reporting unit of approximately $9.9 million. Significant deterioration in industry or economic trends, disruptions to our business, inability to effectively integrate acquired businesses, or other factors, may cause further impairment charges to goodwill in future periods.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reviews the recoverability of its long-lived assets on a periodic basis in order to identify indicators of a possible impairment. The assessment for potential 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Collected from Customers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Taxes collected from customers and remitted to governmental authorities are presented in the consolidated statements of income on a net basis.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Engineering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Promotions and Marketing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costs for advertising, promotion and marketing programs are expensed as incurred and are included in selling, general and administrative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 was approximately $1.7 million, $1.1 million and $0.8 million for fiscal 2013, 2012 and 2011,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carrying amounts of cash and cash equivalents, accounts receivable, accounts payable and other financial current assets and liabilities approximate fair value based on the short-term nature of the items. The carrying value of long-term debt approximates fair value assessment. The fair value of the Company’s</w:t>
      </w:r>
    </w:p>
    <w:p>
      <w:pPr>
        <w:sectPr>
          <w:pgSz w:w="11900" w:h="16838" w:orient="portrait"/>
          <w:cols w:equalWidth="0" w:num="1">
            <w:col w:w="11380"/>
          </w:cols>
          <w:pgMar w:left="240" w:top="125" w:right="279" w:bottom="0" w:gutter="0" w:footer="0" w:header="0"/>
        </w:sectPr>
      </w:pPr>
    </w:p>
    <w:bookmarkStart w:id="44" w:name="page45"/>
    <w:bookmarkEnd w:id="44"/>
    <w:p>
      <w:pPr>
        <w:ind w:right="200"/>
        <w:spacing w:after="0" w:line="277" w:lineRule="auto"/>
        <w:rPr>
          <w:sz w:val="20"/>
          <w:szCs w:val="20"/>
          <w:color w:val="auto"/>
        </w:rPr>
      </w:pPr>
      <w:r>
        <w:rPr>
          <w:rFonts w:ascii="Arial" w:cs="Arial" w:eastAsia="Arial" w:hAnsi="Arial"/>
          <w:sz w:val="18"/>
          <w:szCs w:val="18"/>
          <w:color w:val="auto"/>
        </w:rPr>
        <w:t>notes payable and capital lease obligations approximate their carrying amounts as those obligations bear interest at rates which management believes would currently be available to the Company for similar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financial position and results of operations of the Company’s foreign subsidiaries are measured using their functional currencies, which in all cases, is their local currency.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income for the period and included in accumulated other comprehensive income within stockholders’ equity.</w:t>
      </w:r>
    </w:p>
    <w:p>
      <w:pPr>
        <w:spacing w:after="0" w:line="154"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Foreign currency (gains) and losses arising from transactions denominated in currencies other than the functional currency are included in net income reported in SG&amp;A expenses and were approximately $0.1 million, ($0.5) million and ($0.3) million in fiscal 2013, 2012 and 2011,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recognizes its derivatives as either assets or liabilities, measures those instruments at fair value and recognizes the changes in fair value of the derivative in net income or other comprehensive income, as appropriate. Prior to fiscal 2013, the Company hedged a portion of its variable rate interest payments on debt using interest rate swap contracts to convert variable payments into fixed payments. The Company did not apply hedge accounting to their interest rate swap contracts. Changes in the fair value of these instruments were reported as a component of interest expense. As of May 31, 2013 and 2012, the Company had no outstanding interest rate swap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has one customer, BP p.l.c. (BP), which accounted for 11%, 16% and 18% of revenues for fiscal 2013, 2012 and 2011, respectively. Accounts receivable from this customer was approximately 9% of total accounts receivable, net, at May 31, 2013 and 2012, respectively. The relationship with BP is comprised of separate contracts for non-destructive testing and inspection services with multiple affiliated entities within the broad BP organization. These contracts are typically negotiated locally with the specific location, are of varying lengths, have different start and end dates and differ in terms of the scope of work and nature of services provided. Most contracts are based on time and materials.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is self-insured for certain losses relating to workers’ compensation and health benefits claims. The Company maintains third-party excess insurance coverage for all workers compensation and health benefit claims in excess of approximately $0.3 million to reduce its exposure from such claims. Self-insured losses are accrued when it is probable that an uninsured claim has been incurred but not reported and the amount of the loss can be reasonably estimated at the balance sheet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upon the grant-date fair value of the award. The Company uses the “straight-line” attribution method for allocating compensation costs and recognizes the fair value of each stock option on a straight-line basis over the vesting period of the related awards.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uses the Black-Scholes option-pricing model to estimate the fair value of the share-based payment awards as of the grant date. The Black-Scholes model, is complex and dependent upon key assumptions including expected term and the estimated volatility of the Company’s stock price. Since the Company’s initial public offering (IPO) on October 7, 2009, the expected term of the Company’s stock options is generally determined using the simplified method. Expected stock price volatility is typically based on the daily historical trading data for a period equal to the expected term. Because the Company’s historical trading data only dates back to the IPO, the Company has estimated expected volatility using an analysis of the stock price volatility of comparable peer companies. Prior to the Company’s IPO, the exercise price equaled the estimated fair market value of the Company’s common stock, as determined by its board of directors. Since the Company’s IPO, the exercise price of stock option grants is determined using the closing market price of the Company’s common stock on the date of grant.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assumptions were used in valuing the options granted in fiscal years 2012 and 2011 (in fiscal 2013, no stock options were granted):</w:t>
      </w:r>
    </w:p>
    <w:p>
      <w:pPr>
        <w:spacing w:after="0" w:line="228"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For the years ended May 31,</w:t>
      </w:r>
    </w:p>
    <w:p>
      <w:pPr>
        <w:spacing w:after="0" w:line="10"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52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210"/>
        </w:trPr>
        <w:tc>
          <w:tcPr>
            <w:tcW w:w="5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w:t>
      </w:r>
    </w:p>
    <w:p>
      <w:pPr>
        <w:sectPr>
          <w:pgSz w:w="11900" w:h="16838" w:orient="portrait"/>
          <w:cols w:equalWidth="0" w:num="1">
            <w:col w:w="11420"/>
          </w:cols>
          <w:pgMar w:left="240" w:top="125" w:right="239" w:bottom="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Financial accounting standards prescribe a minimum recognition threshold a tax position is required to meet before being recognized in the financial statements. These standards also provide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February 2013, the FASB issued Accounting Standard Update (ASU) 2013-02, Reporting of Amounts Reclassified Out of Accumulated Other Comprehensive Income, which expands the disclosure requirements for amounts reclassified out of accumulated other comprehensive income. The update requires an entity to present either parenthetically on the face of the financial statement where net income is presented or in the notes to the financial statements, the effect of significant items reclassified in their entirety from accumulated other comprehensive income and identification of the respective line items effecting net income for instances when reclassification is required under GAAP. For items that are not required by GAAP to be reclassified in their entirety to net income, an entity is required to cross-reference to other disclosures as required by GAAP. The update does not change the current requirements for reporting net income or other comprehensive income in financial statements and is effective for annual and interim reporting periods beginning after December 15, 2012. The adoption of this pronouncement did not have a material impact on the Company’s consolidated financial statements.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July 2012, the FASB issued ASU 2012-02, Intangibles — Goodwill and Other (Topic 350): Testing Indefinite-Lived Intangible Assets for Impairment, that is intended to reduce the cost and complexity of the impairment test for indefinite-lived intangible assets by providing an entity with the option to first assess qualitatively whether it is necessary to perform the quantitative impairment test that is currently in place. An entity would not be required to quantitatively calculate the fair value of an indefinite-lived intangible asset unless the entity determines that it is more likely than not that its fair value is less than its carrying amount. ASU 2012-02 is effective for annual and interim impairment test beginning after September 15, 2012. The adoption of this pronouncement did not have a material impact on the Company’s consolidated financial statements.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allows an entity to present the total of comprehensive income, the components of net income, and the components of other comprehensive income either in a single continuous statement of comprehensive income or in two separate but consecutive statements. This guidance eliminates the option to present the components of other comprehensive income as part of the statement of equity. ASU 2011-05 does not change the items that must be reported in other comprehensive income, when an item of other comprehensive income must be reclassified to net income, or the Company’s option to present components of other comprehensive income either net of related tax effects or before related tax effects, nor does it affect how earnings per share is calculated or presented. Effective June 1, 2012, the Company adopted the provisions of this standard and such adoption did not have a material impact on the Company’s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is computed by dividing net income attributable to common shareholders by the weighted average number of shares outstanding during the period. Diluted earnings per share is computed by dividing net income attributable to common shareholders by the sum of (1) the weighted average number of shares of common stock outstanding during the period, and (2) the dilutive effect of assumed conversion of equity awards using the treasury stock method. With respect to the number of weighted 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11,646</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27,839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11,646</w:t>
            </w:r>
          </w:p>
        </w:tc>
        <w:tc>
          <w:tcPr>
            <w:tcW w:w="60" w:type="dxa"/>
            <w:vAlign w:val="bottom"/>
          </w:tcPr>
          <w:p>
            <w:pPr>
              <w:spacing w:after="0"/>
              <w:rPr>
                <w:sz w:val="18"/>
                <w:szCs w:val="18"/>
                <w:color w:val="auto"/>
              </w:rPr>
            </w:pP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21,353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16,431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28,141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27,839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outstanding</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Dilutive effect of restricted stock units outstanding</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29,106</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46" w:name="page47"/>
    <w:bookmarkEnd w:id="46"/>
    <w:p>
      <w:pPr>
        <w:ind w:right="580"/>
        <w:spacing w:after="0" w:line="277" w:lineRule="auto"/>
        <w:rPr>
          <w:sz w:val="20"/>
          <w:szCs w:val="20"/>
          <w:color w:val="auto"/>
        </w:rPr>
      </w:pPr>
      <w:r>
        <w:rPr>
          <w:rFonts w:ascii="Arial" w:cs="Arial" w:eastAsia="Arial" w:hAnsi="Arial"/>
          <w:sz w:val="18"/>
          <w:szCs w:val="18"/>
          <w:color w:val="auto"/>
        </w:rPr>
        <w:t>The following potential common shares related to options outstanding under the Company’s stock option plans were excluded from the computation of diluted earnings per share, as the effect would have been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For the year ended May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Potential common stock attributable to stock options outstanding</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4. Accounts Receivable, net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Accounts receivable consist of the following:</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w w:val="94"/>
              </w:rPr>
              <w:t>May 31,</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110,438</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106,821</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(1,884)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(2,306)</w:t>
            </w: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108,554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104,515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had $8.1 million and $4.0 million of unbilled revenues accrued for fiscal 2013 and 2012, respectively. Unbilled revenues for fiscal 2013 are expected to be billed in the first quarter fiscal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Work in progress</w:t>
            </w:r>
          </w:p>
        </w:tc>
        <w:tc>
          <w:tcPr>
            <w:tcW w:w="1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2,310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Services-related consumable supplies</w:t>
            </w:r>
          </w:p>
        </w:tc>
        <w:tc>
          <w:tcPr>
            <w:tcW w:w="1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2,507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40" w:type="dxa"/>
            <w:vAlign w:val="bottom"/>
            <w:vMerge w:val="restart"/>
          </w:tcPr>
          <w:p>
            <w:pPr>
              <w:jc w:val="right"/>
              <w:ind w:right="750"/>
              <w:spacing w:after="0"/>
              <w:rPr>
                <w:sz w:val="20"/>
                <w:szCs w:val="20"/>
                <w:color w:val="auto"/>
              </w:rPr>
            </w:pPr>
            <w:r>
              <w:rPr>
                <w:rFonts w:ascii="Arial" w:cs="Arial" w:eastAsia="Arial" w:hAnsi="Arial"/>
                <w:sz w:val="18"/>
                <w:szCs w:val="18"/>
                <w:color w:val="auto"/>
              </w:rPr>
              <w:t>64</w:t>
            </w: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52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8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0" w:type="dxa"/>
            <w:vAlign w:val="bottom"/>
            <w:gridSpan w:val="3"/>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8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3220" w:type="dxa"/>
            <w:vAlign w:val="bottom"/>
            <w:gridSpan w:val="2"/>
          </w:tcPr>
          <w:p>
            <w:pPr>
              <w:jc w:val="center"/>
              <w:ind w:left="1750"/>
              <w:spacing w:after="0"/>
              <w:rPr>
                <w:sz w:val="20"/>
                <w:szCs w:val="20"/>
                <w:color w:val="auto"/>
              </w:rPr>
            </w:pPr>
            <w:r>
              <w:rPr>
                <w:rFonts w:ascii="Arial" w:cs="Arial" w:eastAsia="Arial" w:hAnsi="Arial"/>
                <w:sz w:val="18"/>
                <w:szCs w:val="18"/>
                <w:color w:val="auto"/>
                <w:w w:val="91"/>
              </w:rPr>
              <w:t>30-40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20,973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16,950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3220" w:type="dxa"/>
            <w:vAlign w:val="bottom"/>
            <w:gridSpan w:val="2"/>
            <w:shd w:val="clear" w:color="auto" w:fill="CCEEFF"/>
          </w:tcPr>
          <w:p>
            <w:pPr>
              <w:jc w:val="center"/>
              <w:ind w:left="1730"/>
              <w:spacing w:after="0"/>
              <w:rPr>
                <w:sz w:val="20"/>
                <w:szCs w:val="20"/>
                <w:color w:val="auto"/>
              </w:rPr>
            </w:pPr>
            <w:r>
              <w:rPr>
                <w:rFonts w:ascii="Arial" w:cs="Arial" w:eastAsia="Arial" w:hAnsi="Arial"/>
                <w:sz w:val="18"/>
                <w:szCs w:val="18"/>
                <w:color w:val="auto"/>
                <w:w w:val="92"/>
              </w:rPr>
              <w:t>5-8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3220" w:type="dxa"/>
            <w:vAlign w:val="bottom"/>
            <w:gridSpan w:val="2"/>
          </w:tcPr>
          <w:p>
            <w:pPr>
              <w:jc w:val="center"/>
              <w:ind w:left="1730"/>
              <w:spacing w:after="0"/>
              <w:rPr>
                <w:sz w:val="20"/>
                <w:szCs w:val="20"/>
                <w:color w:val="auto"/>
              </w:rPr>
            </w:pPr>
            <w:r>
              <w:rPr>
                <w:rFonts w:ascii="Arial" w:cs="Arial" w:eastAsia="Arial" w:hAnsi="Arial"/>
                <w:sz w:val="18"/>
                <w:szCs w:val="18"/>
                <w:color w:val="auto"/>
                <w:w w:val="92"/>
              </w:rPr>
              <w:t>5-7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119,862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105,096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150,022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130,698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8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(81,603)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 net</w:t>
            </w:r>
          </w:p>
        </w:tc>
        <w:tc>
          <w:tcPr>
            <w:tcW w:w="1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68,419</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-2513965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-2513965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approximately $18.9 million, $16.4 million and $13.5 million for the years ended May 31, 2013, 2012 and 2011,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Products</w:t>
            </w:r>
          </w:p>
        </w:tc>
        <w:tc>
          <w:tcPr>
            <w:tcW w:w="30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 2012</w:t>
            </w:r>
          </w:p>
        </w:tc>
        <w:tc>
          <w:tcPr>
            <w:tcW w:w="8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24,481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25,884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preliminary purchase price allocations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Goodwill impairment</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(9,938)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color w:val="auto"/>
              </w:rPr>
              <w:t>Balance at May 31, 2013</w:t>
            </w:r>
          </w:p>
        </w:tc>
        <w:tc>
          <w:tcPr>
            <w:tcW w:w="5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61,285</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13,197</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115,270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the fourth quarter of fiscal 2013, as a result of a contraction in the Brazil economy, the Company experienced reduced demand for inspection services and a decline in recent and projected operating results. As a result of the completion of step one of the impairment analysis, the Company concluded that, as of March 1, 2013, the fair value of the Brazil reporting unit was below its respective carrying value and the step two analysis was performed. The Company recorded a goodwill impairment charge in the amount of $9.9 million related to Brazil which is reflected in the International segment in fiscal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Acquisitions</w:t>
      </w:r>
    </w:p>
    <w:p>
      <w:pPr>
        <w:sectPr>
          <w:pgSz w:w="11900" w:h="16838" w:orient="portrait"/>
          <w:cols w:equalWidth="0" w:num="1">
            <w:col w:w="11460"/>
          </w:cols>
          <w:pgMar w:left="240" w:top="125" w:right="199" w:bottom="0" w:gutter="0" w:footer="0" w:header="0"/>
        </w:sectPr>
      </w:pPr>
    </w:p>
    <w:bookmarkStart w:id="47" w:name="page48"/>
    <w:bookmarkEnd w:id="47"/>
    <w:p>
      <w:pPr>
        <w:ind w:right="240"/>
        <w:spacing w:after="0" w:line="270" w:lineRule="auto"/>
        <w:rPr>
          <w:sz w:val="20"/>
          <w:szCs w:val="20"/>
          <w:color w:val="auto"/>
        </w:rPr>
      </w:pPr>
      <w:r>
        <w:rPr>
          <w:rFonts w:ascii="Arial" w:cs="Arial" w:eastAsia="Arial" w:hAnsi="Arial"/>
          <w:sz w:val="17"/>
          <w:szCs w:val="17"/>
          <w:color w:val="auto"/>
        </w:rPr>
        <w:t>During fiscal 2013, the Company completed the acquisition of three asset protection companies specializing in destructive and non-destructive services and inspection, and in-house component inspection. Two of these companies are intended to complement the service offerings within the International segment and to expand Mistras’ footprint in Europe. The other company, located in Canada, is intended to complement the service offerings within the Services segment. In these acquisitions, the Company acquired 100% of the common stock of each acquiree in exchange for an aggregate of approximately $35.0 million in cash and $7.7 million in notes payable over three years and accounted for such transactions in accordance with the acquisition method of accounting for business combinations. In addition to the cash and debt consideration related to these acquisitions, the Company accrued a liability of approximately $8.3 million, which represents the estimated fair value of contingent consideration expected to be payable in the event that the acquired companies achieve specific performance metrics over the next five years of operations. The total potential contingent consideration for these acquisitions ranges from zero to $14.4 million as of May 31, 2013.</w:t>
      </w:r>
    </w:p>
    <w:p>
      <w:pPr>
        <w:spacing w:after="0" w:line="18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Assets and liabilities of the acquired businesses were included in the consolidated balance sheets as of May 31, 2013 based on their estimated fair value on the date of acquisition as determined in a purchase price allocation, using available information and making assumptions management believes are reasonable. The results of operations of each of the acquisitions completed in fiscal 2013 are included in each respective operating segment’s results of operations from the date of acquisition. The Company’s allocation of purchase price for these acquisitions is included in the table below. The following table summarizes the estimated fair value of the assets acquired and liabilities assumed at the date of acquisition for fiscal 2013 and 2012 acquisitions:</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3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Number of entities</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308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34,968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30,453</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notes issued</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7,715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8,330</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18"/>
                <w:szCs w:val="18"/>
                <w:color w:val="auto"/>
              </w:rPr>
            </w:pPr>
          </w:p>
        </w:tc>
      </w:tr>
      <w:tr>
        <w:trPr>
          <w:trHeight w:val="210"/>
        </w:trPr>
        <w:tc>
          <w:tcPr>
            <w:tcW w:w="49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Consideration transferred</w:t>
            </w:r>
          </w:p>
        </w:tc>
        <w:tc>
          <w:tcPr>
            <w:tcW w:w="308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51,013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44,426</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Current liabilities acquired</w:t>
            </w: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761</w:t>
            </w:r>
          </w:p>
        </w:tc>
        <w:tc>
          <w:tcPr>
            <w:tcW w:w="30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(5,773)</w:t>
            </w: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and other long-term liabilities</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(4,540)</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(9,106)</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8,945</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14,260</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(7,654)</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(1,746)</w:t>
            </w: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25,491</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11,934</w:t>
            </w:r>
          </w:p>
        </w:tc>
        <w:tc>
          <w:tcPr>
            <w:tcW w:w="100" w:type="dxa"/>
            <w:vAlign w:val="bottom"/>
          </w:tcPr>
          <w:p>
            <w:pPr>
              <w:spacing w:after="0"/>
              <w:rPr>
                <w:sz w:val="18"/>
                <w:szCs w:val="18"/>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28,010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34,857</w:t>
            </w:r>
          </w:p>
        </w:tc>
        <w:tc>
          <w:tcPr>
            <w:tcW w:w="100" w:type="dxa"/>
            <w:vAlign w:val="bottom"/>
            <w:shd w:val="clear" w:color="auto" w:fill="CCEEFF"/>
          </w:tcPr>
          <w:p>
            <w:pPr>
              <w:spacing w:after="0"/>
              <w:rPr>
                <w:sz w:val="18"/>
                <w:szCs w:val="18"/>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Net assets acquired</w:t>
            </w:r>
          </w:p>
        </w:tc>
        <w:tc>
          <w:tcPr>
            <w:tcW w:w="22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51,013</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44,426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amortization period for intangible assets acquired in fiscal 2013 ranges from two to twelve years. The Company recorded approximately $28.0 million of goodwill in connection with its fiscal 2013 acquisitions, reflecting the strategic fit and revenue and earnings growth potential of these businesses. For acquisitions completed prior to fiscal 2012, substantially all of the goodwill recognized is expected to be deductible for tax purposes. However, the goodwill recorded in fiscal 2013 and 2012 relates primarily to the acquisition of the common stock of the acquiree, which is generally not deductible for tax purposes.</w:t>
      </w:r>
    </w:p>
    <w:p>
      <w:pPr>
        <w:spacing w:after="0" w:line="15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Revenue included in the consolidated statement of operations for fiscal 2013 from these acquisitions for the period subsequent to the closing of each transaction was approximately $44.5 million. Aggregate income from operations included in the consolidated statement of operations for fiscal 2013 from these acquisitions for the period subsequent to the closing of each transaction was approximately $0.5 million.</w:t>
      </w:r>
    </w:p>
    <w:p>
      <w:pPr>
        <w:spacing w:after="0" w:line="166"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unaudited pro forma information for the periods set forth below gives effect to the fiscal 2013 acquisitions as if they had occurred at the beginning of each period presented. The pro forma information is presented for informational purposes only and is not necessarily indicative of the results of operations that actually would have been achieved had the acquisitions been consummated as of that time (unaudited, in thousands):</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years ended May 31,</w:t>
            </w:r>
          </w:p>
        </w:tc>
      </w:tr>
      <w:tr>
        <w:trPr>
          <w:trHeight w:val="142"/>
        </w:trPr>
        <w:tc>
          <w:tcPr>
            <w:tcW w:w="7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541,437</w:t>
            </w:r>
          </w:p>
        </w:tc>
        <w:tc>
          <w:tcPr>
            <w:tcW w:w="1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29,280</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34,557</w:t>
            </w:r>
          </w:p>
        </w:tc>
      </w:tr>
    </w:tbl>
    <w:p>
      <w:pPr>
        <w:spacing w:after="0" w:line="20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the course of its acquisition activity, the Company incurs costs in connection with due diligence, professional fees, and other expenses. Additionally, the Company adjusts the fair value of certain acquisition-related contingent consideration liabilities on a quarterly basis. These amounts are recorded as acquisition-related expense, net, on the consolidated statements of income and were as follows for fiscal 2013 and 2012: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For the years ended May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diligence, professional fees and other transaction costs</w:t>
            </w:r>
          </w:p>
        </w:tc>
        <w:tc>
          <w:tcPr>
            <w:tcW w:w="2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1,806</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w w:val="99"/>
              </w:rPr>
              <w:t>Adjustments to fair value of contingent consideration liabilities</w:t>
            </w:r>
          </w:p>
        </w:tc>
        <w:tc>
          <w:tcPr>
            <w:tcW w:w="2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(3,727)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expense, net</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(2,141</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00" w:type="dxa"/>
            <w:vAlign w:val="bottom"/>
            <w:vMerge w:val="restart"/>
          </w:tcPr>
          <w:p>
            <w:pPr>
              <w:jc w:val="right"/>
              <w:ind w:right="1570"/>
              <w:spacing w:after="0"/>
              <w:rPr>
                <w:sz w:val="20"/>
                <w:szCs w:val="20"/>
                <w:color w:val="auto"/>
              </w:rPr>
            </w:pPr>
            <w:r>
              <w:rPr>
                <w:rFonts w:ascii="Arial" w:cs="Arial" w:eastAsia="Arial" w:hAnsi="Arial"/>
                <w:sz w:val="18"/>
                <w:szCs w:val="18"/>
                <w:color w:val="auto"/>
              </w:rPr>
              <w:t>66</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492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41" w:right="199" w:bottom="167" w:gutter="0" w:footer="0" w:header="0"/>
        </w:sectPr>
      </w:pPr>
    </w:p>
    <w:bookmarkStart w:id="48" w:name="page49"/>
    <w:bookmarkEnd w:id="48"/>
    <w:p>
      <w:pPr>
        <w:spacing w:after="0" w:line="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contingent consideration liabilities are recorded on the balance sheet in accrued expenses and other liabilities. Acquisition-related expense, net for the Company’s fiscal 2011 acquisition activity was insignificant.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May 31,</w:t>
            </w: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7"/>
              <w:spacing w:after="0" w:line="142" w:lineRule="exact"/>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23"/>
                <w:szCs w:val="23"/>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Accumulated</w:t>
            </w:r>
          </w:p>
        </w:tc>
        <w:tc>
          <w:tcPr>
            <w:tcW w:w="240" w:type="dxa"/>
            <w:vAlign w:val="bottom"/>
          </w:tcPr>
          <w:p>
            <w:pPr>
              <w:spacing w:after="0"/>
              <w:rPr>
                <w:sz w:val="23"/>
                <w:szCs w:val="2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Amortization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5-7</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(27,422)</w:t>
            </w:r>
          </w:p>
        </w:tc>
        <w:tc>
          <w:tcPr>
            <w:tcW w:w="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42,479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Software/Technology</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14,336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(7,629)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6,707</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13,177</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(6,691)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Covenants not to</w:t>
            </w: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compete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(3,236)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2,696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(2,404)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(45,810</w:t>
            </w:r>
          </w:p>
        </w:tc>
        <w:tc>
          <w:tcPr>
            <w:tcW w:w="1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Amortization expense for the years ended May 31, 2013, 2012 and 2011 was approximately $7.7 million, $5.6 million and $5.0 million, respectively, including amortization of software/technology for the years ended May 31, 2013, 2012 and 2011 of $0.6 million, $0.3 million and $0.4 million, respectively.</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Amortization expense in each of the five years and thereafter subsequent to May 31, 2013 related to the Company’s intangible assets is expected to be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May 31,</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2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23,662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17,195</w:t>
            </w: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Contingent consideration</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5,144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2,371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worker compensation and health benefits</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3,678</w:t>
            </w: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2,623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5,390</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10,700</w:t>
            </w: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3"/>
          </w:tcPr>
          <w:p>
            <w:pPr>
              <w:ind w:left="640"/>
              <w:spacing w:after="0"/>
              <w:rPr>
                <w:sz w:val="20"/>
                <w:szCs w:val="20"/>
                <w:color w:val="auto"/>
              </w:rPr>
            </w:pPr>
            <w:r>
              <w:rPr>
                <w:rFonts w:ascii="Arial" w:cs="Arial" w:eastAsia="Arial" w:hAnsi="Arial"/>
                <w:sz w:val="18"/>
                <w:szCs w:val="18"/>
                <w:color w:val="auto"/>
              </w:rPr>
              <w:t>Total accrued expenses and other liabilities</w:t>
            </w:r>
          </w:p>
        </w:tc>
        <w:tc>
          <w:tcPr>
            <w:tcW w:w="23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47,839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39,334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20" w:type="dxa"/>
            <w:vAlign w:val="bottom"/>
            <w:vMerge w:val="restart"/>
          </w:tcPr>
          <w:p>
            <w:pPr>
              <w:jc w:val="right"/>
              <w:ind w:right="1530"/>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gridSpan w:val="2"/>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10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3"/>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00" w:type="dxa"/>
            <w:vAlign w:val="bottom"/>
            <w:gridSpan w:val="4"/>
          </w:tcPr>
          <w:p>
            <w:pPr>
              <w:spacing w:after="0"/>
              <w:rPr>
                <w:sz w:val="20"/>
                <w:szCs w:val="20"/>
                <w:color w:val="auto"/>
              </w:rPr>
            </w:pPr>
            <w:r>
              <w:rPr>
                <w:rFonts w:ascii="Arial" w:cs="Arial" w:eastAsia="Arial" w:hAnsi="Arial"/>
                <w:sz w:val="18"/>
                <w:szCs w:val="18"/>
                <w:b w:val="1"/>
                <w:bCs w:val="1"/>
                <w:color w:val="auto"/>
              </w:rPr>
              <w:t>11. Long-Term Debt</w:t>
            </w:r>
          </w:p>
        </w:tc>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00" w:type="dxa"/>
            <w:vAlign w:val="bottom"/>
            <w:gridSpan w:val="4"/>
          </w:tcPr>
          <w:p>
            <w:pPr>
              <w:spacing w:after="0"/>
              <w:rPr>
                <w:sz w:val="20"/>
                <w:szCs w:val="20"/>
                <w:color w:val="auto"/>
              </w:rPr>
            </w:pPr>
            <w:r>
              <w:rPr>
                <w:rFonts w:ascii="Arial" w:cs="Arial" w:eastAsia="Arial" w:hAnsi="Arial"/>
                <w:sz w:val="18"/>
                <w:szCs w:val="18"/>
                <w:color w:val="auto"/>
              </w:rPr>
              <w:t>Long-term debt consists of the following:</w:t>
            </w:r>
          </w:p>
        </w:tc>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May 31,</w:t>
            </w: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39,567</w:t>
            </w:r>
          </w:p>
        </w:tc>
        <w:tc>
          <w:tcPr>
            <w:tcW w:w="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Notes payable</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15,740</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12,532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2,697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3"/>
          </w:tcPr>
          <w:p>
            <w:pPr>
              <w:ind w:left="160"/>
              <w:spacing w:after="0"/>
              <w:rPr>
                <w:sz w:val="20"/>
                <w:szCs w:val="20"/>
                <w:color w:val="auto"/>
              </w:rPr>
            </w:pPr>
            <w:r>
              <w:rPr>
                <w:rFonts w:ascii="Arial" w:cs="Arial" w:eastAsia="Arial" w:hAnsi="Arial"/>
                <w:sz w:val="18"/>
                <w:szCs w:val="18"/>
                <w:color w:val="auto"/>
              </w:rPr>
              <w:t>Total debt</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60,267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40,229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(7,418)</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3"/>
          </w:tcPr>
          <w:p>
            <w:pPr>
              <w:ind w:left="160"/>
              <w:spacing w:after="0"/>
              <w:rPr>
                <w:sz w:val="20"/>
                <w:szCs w:val="20"/>
                <w:color w:val="auto"/>
              </w:rPr>
            </w:pPr>
            <w:r>
              <w:rPr>
                <w:rFonts w:ascii="Arial" w:cs="Arial" w:eastAsia="Arial" w:hAnsi="Arial"/>
                <w:sz w:val="18"/>
                <w:szCs w:val="18"/>
                <w:color w:val="auto"/>
              </w:rPr>
              <w:t>Long-term debt, net of current maturities</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52,849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34,258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-2282825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-2282825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December 2011, the Company entered into a Third Amended and Restated Credit Agreement (Credit Agreement) with Bank of America, N.A., as agent for the lenders and a lender, and JPMorgan Chase Bank, N.A., Keybank National Association and TD Bank, N.A., as lenders. The Credit Agreement provides the Company with a $125.0 million revolving line of credit, which, under certain circumstances, can be increased to $150.0 million. The Credit Agreement has a maturity date of December 20, 2016. The Company may borrow up to $30.0 million in non-U.S. Dollar currencies and use up to $10.0 million of the credit limit for the issuance of letters of credit. In December 2011, outstanding borrowings under the former credit agreement were repaid in full using proceeds</w:t>
      </w:r>
    </w:p>
    <w:p>
      <w:pPr>
        <w:sectPr>
          <w:pgSz w:w="11900" w:h="16847" w:orient="portrait"/>
          <w:cols w:equalWidth="0" w:num="1">
            <w:col w:w="11460"/>
          </w:cols>
          <w:pgMar w:left="240" w:top="125" w:right="199" w:bottom="0" w:gutter="0" w:footer="0" w:header="0"/>
        </w:sectPr>
      </w:pPr>
    </w:p>
    <w:bookmarkStart w:id="49" w:name="page50"/>
    <w:bookmarkEnd w:id="49"/>
    <w:p>
      <w:pPr>
        <w:ind w:right="400"/>
        <w:spacing w:after="0" w:line="277" w:lineRule="auto"/>
        <w:rPr>
          <w:sz w:val="20"/>
          <w:szCs w:val="20"/>
          <w:color w:val="auto"/>
        </w:rPr>
      </w:pPr>
      <w:r>
        <w:rPr>
          <w:rFonts w:ascii="Arial" w:cs="Arial" w:eastAsia="Arial" w:hAnsi="Arial"/>
          <w:sz w:val="18"/>
          <w:szCs w:val="18"/>
          <w:color w:val="auto"/>
        </w:rPr>
        <w:t>from the Credit Agreement. As of May 31, 2013, there were outstanding borrowings of $39.6 million and a total of $3.3 million of outstanding letters of credit under the current revolving credit facility.</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2%, or a base rate less a margin of 0.25% to 1.25%, at the option of the Company, or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2" w:lineRule="exact"/>
        <w:rPr>
          <w:sz w:val="20"/>
          <w:szCs w:val="20"/>
          <w:color w:val="auto"/>
        </w:rPr>
      </w:pPr>
    </w:p>
    <w:p>
      <w:pPr>
        <w:ind w:right="20" w:firstLine="8"/>
        <w:spacing w:after="0" w:line="290" w:lineRule="auto"/>
        <w:tabs>
          <w:tab w:leader="none" w:pos="2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2.5 to 1. The Company will also bear additional costs for market disruption, regulatory changes effecting the lenders’ funding costs, and default pricing of an additional 2% interest rate margin if the Funded Debt Leverage Ratio exceeds 3.0 to 1. Amounts borrowed under the Credit Agreement are secured by liens on substantially all of the assets of the Company.</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Credit Agreement contains financial covenants requiring that the Company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its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May 31, 2012, the Company capitalized approximately $0.6 million of costs related to the new credit agreement and expensed approximately $0.1 million of deferred financing costs related to its former credit facility. Also during the year, the Company recorded a $0.8 million gain related to the early extinguishment of debt assumed in an acquisition. The accelerated amounts expensed and gain on early extinguishment, net is classified as gain on extinguishment of long-term debt in the consolidated statements of income.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 Debt</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connection with acquisitions through fiscal 2013, the Company issued subordinated notes payable to the sellers. The maturity of these notes range from three to five years from the date of acquisition with stated interest rates ranging from 0% to 4%. The Company has discounted these obligations to reflect a 2% to 4% market interest. Unamortized discount on the notes was de minimus as of May 31, 2013 and approximately $0.1 million as of May 31, 2012. Amortization is recorded as interest expense in the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due under all borrowing agreements in each of the five years and thereafter subsequent to May 31, 2013 are as follows:</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7,418</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7,986</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40,399</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0"/>
        </w:trPr>
        <w:tc>
          <w:tcPr>
            <w:tcW w:w="8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Obligations under Capital Leases</w:t>
      </w:r>
    </w:p>
    <w:p>
      <w:pPr>
        <w:spacing w:after="0" w:line="22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leases certain office space, including its headquarters, and service equipment under capital leases, requiring monthly payments ranging from less than $1 thousand to $72 thousand, including effective interest rates that range from approximately 3% to 9% expiring through May 2019. The net book value of assets under capital lease obligations was $16.1 million and $5.9 million at May 31, 2013 and 2012,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Scheduled future minimum lease payments subsequent to May 31, 2013 are as follows: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8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Less: current portion of obligations under capital leases</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8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50" w:name="page51"/>
    <w:bookmarkEnd w:id="50"/>
    <w:p>
      <w:pPr>
        <w:spacing w:after="0" w:line="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 is party to various noncancelable lease agreements, primarily for its international and domestic office and lab space. Future minimum lease payments under noncancelable operating leases in each of the five years and thereafter subsequent to May 31, 2013 are as follows: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32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2015</w:t>
            </w:r>
          </w:p>
        </w:tc>
        <w:tc>
          <w:tcPr>
            <w:tcW w:w="3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2,254</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2017</w:t>
            </w:r>
          </w:p>
        </w:tc>
        <w:tc>
          <w:tcPr>
            <w:tcW w:w="3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Thereafter</w:t>
            </w:r>
          </w:p>
        </w:tc>
        <w:tc>
          <w:tcPr>
            <w:tcW w:w="3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r>
      <w:tr>
        <w:trPr>
          <w:trHeight w:val="21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was $7.2 million, $5.4 million and $4.2 million for the years ended May 31, 2013,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The costs of defense and amounts that may be recovered in such matters may be covered by insurance.</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January 2012, the Company received notice of a governmental investigation concerning our environmental incident which occurred in February 2011 outside on the premises of its Cudahy, California location. No human injury or property damage was reported or appears to have been caused as a result of this incident, while management cannot predict the ultimate outcome of this matter, based on its internal investigation to date, the Company does not believe the outcome will have a material effect on its financial condition or results of operations.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2013, the Company performed radiography work on the construction of a pipeline project in Georgia. The Company has received notice that the pipeline project owner contends that certain of the x-ray images the Company’s technicians prepared regarding the project did not meet the code quality interpretation standards required by API (American Petroleum Institute) 1103. The project owner is claiming damages as a result of the alleged quality defects of the Company’s x-ray images. This matter is in the early stages and no lawsuit has yet to be filed. At the present time, the Company is unable to determine the likely outcome or reasonably estimate the amount or range of potential liability related to this matter, and accordingly, has not established any reserves for this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 xml:space="preserve">The Company is liable for contingent consideration in connection with certain of its acquisitions. As of May 31, 2013, total potential acquisition-related contingent consideration ranged from zero to $24.6 million and would be payable upon the achievement of specific performance metrics by certain of the acquired companies over the next four years of operations. See Note 8 -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for further discussion of the Company’s acquisitions.</w:t>
      </w:r>
    </w:p>
    <w:p>
      <w:pPr>
        <w:spacing w:after="0" w:line="143" w:lineRule="exact"/>
        <w:rPr>
          <w:sz w:val="20"/>
          <w:szCs w:val="20"/>
          <w:color w:val="auto"/>
        </w:rPr>
      </w:pPr>
    </w:p>
    <w:p>
      <w:pPr>
        <w:ind w:left="680" w:hanging="672"/>
        <w:spacing w:after="0"/>
        <w:tabs>
          <w:tab w:leader="none" w:pos="6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May 31, 2013</w:t>
            </w: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2"/>
                <w:szCs w:val="12"/>
                <w:color w:val="auto"/>
              </w:rPr>
            </w:pPr>
          </w:p>
        </w:tc>
        <w:tc>
          <w:tcPr>
            <w:tcW w:w="114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1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15,438</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368" w:right="239" w:bottom="0" w:gutter="0" w:footer="0" w:header="0"/>
        </w:sectPr>
      </w:pPr>
    </w:p>
    <w:bookmarkStart w:id="51" w:name="page52"/>
    <w:bookmarkEnd w:id="51"/>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May 31, 2012</w:t>
            </w: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2"/>
                <w:szCs w:val="12"/>
                <w:color w:val="auto"/>
              </w:rPr>
            </w:pPr>
          </w:p>
        </w:tc>
        <w:tc>
          <w:tcPr>
            <w:tcW w:w="114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1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13,513</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13,513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acquisition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six months of continuous service. Under this plan, the Company matches 50% of the employee’s contributions up to 6% of the employee’s annual compensation, as defined by the plan. There is a five-year vesting schedule for the Company match. The Company’s contribution to the plan was approximately $2.3 million, $2.1 million and $1.9 million for the years ended May 31, 2013, 2012 and 2011, respectively.</w:t>
      </w:r>
    </w:p>
    <w:p>
      <w:pPr>
        <w:spacing w:after="0" w:line="173"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The Company participates with other employers in contributing to a union plan, which covers certain U.S. based union employees. The plan is not administered by the Company and contributions are determined in accordance with provisions of a collective bargaining agreement. The Company’s contributions to the plan were less than $0.1 million in each of the years ended May 31, 2013, 2012 and 2011. The Company has benefit plans covering certain employees in selected foreign countries. Amounts charged to expense under these plans were not significant in any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provision for income taxes is as follows:</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For the year ended May 31,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 from:</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U.S. operations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29,573</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27,951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22,422</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Foreign operations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(5,307)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00" w:type="dxa"/>
            <w:vAlign w:val="bottom"/>
            <w:shd w:val="clear" w:color="auto" w:fill="CCEEFF"/>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24,266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33,637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For the year ended May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Federal</w:t>
            </w:r>
          </w:p>
        </w:tc>
        <w:tc>
          <w:tcPr>
            <w:tcW w:w="234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9,035</w:t>
            </w:r>
          </w:p>
        </w:tc>
        <w:tc>
          <w:tcPr>
            <w:tcW w:w="80" w:type="dxa"/>
            <w:vAlign w:val="bottom"/>
          </w:tcPr>
          <w:p>
            <w:pPr>
              <w:spacing w:after="0"/>
              <w:rPr>
                <w:sz w:val="18"/>
                <w:szCs w:val="18"/>
                <w:color w:val="auto"/>
              </w:rPr>
            </w:pP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8,792</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States and local</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Foreign</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3,118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2,042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Reserve for uncertain tax positions</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Total current</w:t>
            </w:r>
          </w:p>
        </w:tc>
        <w:tc>
          <w:tcPr>
            <w:tcW w:w="14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14,032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Federal</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States and local</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Foreign</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w:t>
            </w:r>
          </w:p>
        </w:tc>
        <w:tc>
          <w:tcPr>
            <w:tcW w:w="1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change in valuation allowance</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(1,790)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deferred</w:t>
            </w:r>
          </w:p>
        </w:tc>
        <w:tc>
          <w:tcPr>
            <w:tcW w:w="1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12,627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to income tax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For the year ended May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Federal tax at statutory rate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1,174</w:t>
            </w:r>
          </w:p>
        </w:tc>
        <w:tc>
          <w:tcPr>
            <w:tcW w:w="3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1,213</w:t>
            </w: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799</w:t>
            </w: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Goodwill impairment</w:t>
            </w:r>
          </w:p>
        </w:tc>
        <w:tc>
          <w:tcPr>
            <w:tcW w:w="4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3,478</w:t>
            </w:r>
          </w:p>
        </w:tc>
        <w:tc>
          <w:tcPr>
            <w:tcW w:w="3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5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(1,790)</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64"/>
        </w:trPr>
        <w:tc>
          <w:tcPr>
            <w:tcW w:w="20" w:type="dxa"/>
            <w:vAlign w:val="bottom"/>
            <w:tcBorders>
              <w:top w:val="single" w:sz="8" w:color="CCEEFF"/>
            </w:tcBorders>
            <w:shd w:val="clear" w:color="auto" w:fill="CCEEFF"/>
          </w:tcPr>
          <w:p>
            <w:pPr>
              <w:spacing w:after="0"/>
              <w:rPr>
                <w:sz w:val="5"/>
                <w:szCs w:val="5"/>
                <w:color w:val="auto"/>
              </w:rPr>
            </w:pPr>
          </w:p>
        </w:tc>
        <w:tc>
          <w:tcPr>
            <w:tcW w:w="30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3" w:right="239" w:bottom="0" w:gutter="0" w:footer="0" w:header="0"/>
        </w:sectPr>
      </w:pPr>
    </w:p>
    <w:bookmarkStart w:id="52" w:name="page53"/>
    <w:bookmarkEnd w:id="52"/>
    <w:p>
      <w:pPr>
        <w:spacing w:after="0" w:line="101" w:lineRule="exact"/>
        <w:rPr>
          <w:sz w:val="20"/>
          <w:szCs w:val="20"/>
          <w:color w:val="auto"/>
        </w:rPr>
      </w:pPr>
    </w:p>
    <w:p>
      <w:pPr>
        <w:spacing w:after="0"/>
        <w:tabs>
          <w:tab w:leader="none" w:pos="3020" w:val="left"/>
          <w:tab w:leader="none" w:pos="3680" w:val="left"/>
          <w:tab w:leader="none" w:pos="5080" w:val="left"/>
          <w:tab w:leader="none" w:pos="5840" w:val="left"/>
          <w:tab w:leader="none" w:pos="6500" w:val="left"/>
          <w:tab w:leader="none" w:pos="7900" w:val="left"/>
          <w:tab w:leader="none" w:pos="8640" w:val="left"/>
          <w:tab w:leader="none" w:pos="9280" w:val="left"/>
          <w:tab w:leader="none" w:pos="10660" w:val="left"/>
        </w:tabs>
        <w:rPr>
          <w:sz w:val="20"/>
          <w:szCs w:val="20"/>
          <w:color w:val="auto"/>
        </w:rPr>
      </w:pPr>
      <w:r>
        <w:rPr>
          <w:rFonts w:ascii="Arial" w:cs="Arial" w:eastAsia="Arial" w:hAnsi="Arial"/>
          <w:sz w:val="18"/>
          <w:szCs w:val="18"/>
          <w:color w:val="auto"/>
        </w:rPr>
        <w:t>Total provision for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12,627</w:t>
      </w:r>
      <w:r>
        <w:rPr>
          <w:sz w:val="20"/>
          <w:szCs w:val="20"/>
          <w:color w:val="auto"/>
        </w:rPr>
        <w:tab/>
      </w:r>
      <w:r>
        <w:rPr>
          <w:rFonts w:ascii="Arial" w:cs="Arial" w:eastAsia="Arial" w:hAnsi="Arial"/>
          <w:sz w:val="18"/>
          <w:szCs w:val="18"/>
          <w:color w:val="auto"/>
        </w:rPr>
        <w:t>52.0%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12,291</w:t>
      </w:r>
      <w:r>
        <w:rPr>
          <w:sz w:val="20"/>
          <w:szCs w:val="20"/>
          <w:color w:val="auto"/>
        </w:rPr>
        <w:tab/>
      </w:r>
      <w:r>
        <w:rPr>
          <w:rFonts w:ascii="Arial" w:cs="Arial" w:eastAsia="Arial" w:hAnsi="Arial"/>
          <w:sz w:val="18"/>
          <w:szCs w:val="18"/>
          <w:color w:val="auto"/>
        </w:rPr>
        <w:t>36.5%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10,502</w:t>
      </w:r>
      <w:r>
        <w:rPr>
          <w:sz w:val="20"/>
          <w:szCs w:val="20"/>
          <w:color w:val="auto"/>
        </w:rPr>
        <w:tab/>
      </w:r>
      <w:r>
        <w:rPr>
          <w:rFonts w:ascii="Arial" w:cs="Arial" w:eastAsia="Arial" w:hAnsi="Arial"/>
          <w:sz w:val="16"/>
          <w:szCs w:val="16"/>
          <w:color w:val="auto"/>
        </w:rPr>
        <w:t>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 attributes resulting from differences between financial accounting amounts and income tax basis of assets and liabilities are as follows:</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5,220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4,690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deferred income tax assets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income tax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(7,142)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(9,277)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deferred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assesses the available positive and negative evidence to estimate if sufficient future taxable income will be generated to use the existing deferred tax assets. Evidence used includes information about the Company’s current financial position and results of operations for the current and preceding years, as well as available information about future years, the reversal of deferred tax liabilities and tax planning strategies. On the basis of this evaluation, as of</w:t>
      </w:r>
    </w:p>
    <w:p>
      <w:pPr>
        <w:ind w:right="20"/>
        <w:spacing w:after="0" w:line="261" w:lineRule="auto"/>
        <w:rPr>
          <w:sz w:val="20"/>
          <w:szCs w:val="20"/>
          <w:color w:val="auto"/>
        </w:rPr>
      </w:pPr>
      <w:r>
        <w:rPr>
          <w:rFonts w:ascii="Arial" w:cs="Arial" w:eastAsia="Arial" w:hAnsi="Arial"/>
          <w:sz w:val="18"/>
          <w:szCs w:val="18"/>
          <w:color w:val="auto"/>
        </w:rPr>
        <w:t>May 31, 2013, a valuation allowance of $2.7 million has been recorded to recognize only the portion of the deferred tax asset that more likely than not will be realized.</w:t>
      </w:r>
    </w:p>
    <w:p>
      <w:pPr>
        <w:spacing w:after="0" w:line="18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As of May 31, 2013, the Company has available state net operating losses of approximately $1.5 million with expiration dates starting in fiscal 2015. In addition, the company has net operating losses in certain foreign jurisdictions of approximately $10.0 million some of which have unlimited life and others expire beginning in fiscal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Company’s gross unrecognized tax benefits, excluding interest and penalties: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3"/>
              </w:rPr>
              <w:t>For the year ended May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w:t>
            </w: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the current fiscal year</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Decreases for tax positions related to prior years</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 acquisitions</w:t>
            </w: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Impact of foreign exchange fluctuation</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0"/>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31</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1,061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recorded the unrecognized tax benefits in other long-term liabilities in the consolidated balance sheets as of May 31, 2013, 2012 and 2011. As of May 31, 2013, 2012 and 2011, there were approximately $1.4 million, $1.2 million and $0.4 million of unrecognized tax benefits, respectively, including penalties and interest that if recognized would favorably affect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effective tax rate. Interest and penalties related to unrecognized tax benefits are recorded in income tax expense and are not significant for the years ending May 31, 2013, 2012 and 2011. The Company anticipates a decrease to its unrecognized tax benefits of approximately $0.6 million excluding interest and penalties within the next 12 months.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The Company is no longer subject to U.S. federal income tax examinations for years ending before May 31, 2010 and generally is no longer subject to state, local or foreign income tax examinations by tax authorities for years ending before May 31, 2009.</w:t>
      </w:r>
    </w:p>
    <w:p>
      <w:pPr>
        <w:spacing w:after="0" w:line="18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Company has not recognized U.S. tax expense on its undistributed international earnings or losses of its foreign subsidiaries since it intends to reinvest the earnings outside the United States. Net (loss) income of foreign subsidiaries was ($6.9) million and $4.3 million for fiscal 2013 and 2012, respectively. We have recognized no deferred tax liability for the remittance of such earnings to the U.S. since it is our intention to utilize those earnings in the foreign</w:t>
      </w:r>
    </w:p>
    <w:p>
      <w:pPr>
        <w:sectPr>
          <w:pgSz w:w="11900" w:h="16939" w:orient="portrait"/>
          <w:cols w:equalWidth="0" w:num="1">
            <w:col w:w="11400"/>
          </w:cols>
          <w:pgMar w:left="240" w:top="125" w:right="259" w:bottom="0" w:gutter="0" w:footer="0" w:header="0"/>
        </w:sectPr>
      </w:pPr>
    </w:p>
    <w:bookmarkStart w:id="53" w:name="page54"/>
    <w:bookmarkEnd w:id="53"/>
    <w:p>
      <w:pPr>
        <w:spacing w:after="0" w:line="1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operations. Determination of the amount of any unrecognized deferred income tax liability on this temporary difference is not practicable because of the complexities of the hypothetical calculation.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May 2011, the Company completed a secondary offering of 3,754,061 shares of common stock at a price of $16.00 per share. The Company sold 989,660 shares and 2,764,401 shares were sold by a selling stockholder. The Company received net proceeds of approximately $14.7 million from the offering. The Company used the net proceeds for general corporate purposes including the reduction of outstanding indebtedness, acquisitions, capital expenditures and working capital.</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Dividends on common stock will be paid when, and if, declared by the board of directors. Each holder of common stock is entitled to vote on all matters and is entitled to one vote for each share held.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 million shares of preferred stock are authorized; none are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September 2009, the Company’s board of directors and shareholders adopted and approved the 2009 Long-Term Incentive Plan (the 2009 Plan), which became effective upon the closing of the IPO. Awards granted under the 2009 Plan may be in the form of stock options, restricted stock units and other forms of stock-based incentives, including stock appreciation rights and deferred stock rights. The term of each incentive and non-qualified stock option is ten years. Vesting generally occurs over a period of four years, the expense for which is recorded on a straight-line basis over the requisite service period. The 2009 Plan allows for the grant of awards of up to approximately 2,286,000 shares of common stock, of which approximately 1,449,000 shares were available for future grants as of May 31, 2013. Prior to the Company’s IPO in October 2009, the Company had two stock option plans: (i) the 1995 Incentive Stock Option and Restricted Stock Purchase Plan (the 1995 Plan), and (ii) the 2007 Stock Option Plan (the 2007 Plan). No additional awards may be granted from these two plans. As of May 31, 2013, there was an aggregate of approximately 2,463,000 stock options outstanding and approximately 555,000 unvested restricted stock units outstanding under the 2009 Plan, the 2007 Plan, and the 1995 Plan.</w:t>
      </w:r>
    </w:p>
    <w:p>
      <w:pPr>
        <w:spacing w:after="0" w:line="18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For the fiscal years ended May 31, 2013, 2012 and 2011, the Company recognized share-based compensation expense related to stock option awards of approximately $3.1 million, $3.2 million and $3.3 million, respectively. As of May 31, 2013, there was approximately $0.7 million of unrecognized compensation costs, net of estimated forfeitures, related to stock option awards, which are expected to be recognized over a remaining weighted average period of 0.3 years. Cash proceeds from, and the aggregate intrinsic value of, stock options exercised during the years ended May 31, 2013, 2012 and 2011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For the year ended May 31,</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10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8"/>
              </w:rPr>
              <w:t>Aggregate intrinsic value of options exercised</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4,439</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74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6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May 31, 2013 is as follows (in thousands, except per share amounts):</w:t>
      </w:r>
    </w:p>
    <w:p>
      <w:pPr>
        <w:spacing w:after="0" w:line="162"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For the year ended May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560" w:type="dxa"/>
            <w:vAlign w:val="bottom"/>
            <w:tcBorders>
              <w:top w:val="single" w:sz="8" w:color="auto"/>
              <w:bottom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2013</w:t>
            </w:r>
          </w:p>
        </w:tc>
        <w:tc>
          <w:tcPr>
            <w:tcW w:w="9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9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3"/>
          </w:tcPr>
          <w:p>
            <w:pPr>
              <w:jc w:val="right"/>
              <w:ind w:right="85"/>
              <w:spacing w:after="0" w:line="142" w:lineRule="exact"/>
              <w:rPr>
                <w:sz w:val="20"/>
                <w:szCs w:val="20"/>
                <w:color w:val="auto"/>
              </w:rPr>
            </w:pPr>
            <w:r>
              <w:rPr>
                <w:rFonts w:ascii="Arial" w:cs="Arial" w:eastAsia="Arial" w:hAnsi="Arial"/>
                <w:sz w:val="14"/>
                <w:szCs w:val="14"/>
                <w:b w:val="1"/>
                <w:bCs w:val="1"/>
                <w:color w:val="auto"/>
              </w:rPr>
              <w:t>2011</w:t>
            </w:r>
          </w:p>
        </w:tc>
        <w:tc>
          <w:tcPr>
            <w:tcW w:w="9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ind w:right="99"/>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0"/>
                <w:szCs w:val="10"/>
                <w:color w:val="auto"/>
              </w:rPr>
            </w:pPr>
          </w:p>
        </w:tc>
        <w:tc>
          <w:tcPr>
            <w:tcW w:w="980" w:type="dxa"/>
            <w:vAlign w:val="bottom"/>
          </w:tcPr>
          <w:p>
            <w:pPr>
              <w:jc w:val="center"/>
              <w:ind w:right="119"/>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0"/>
                <w:szCs w:val="10"/>
                <w:color w:val="auto"/>
              </w:rPr>
            </w:pPr>
          </w:p>
        </w:tc>
        <w:tc>
          <w:tcPr>
            <w:tcW w:w="940" w:type="dxa"/>
            <w:vAlign w:val="bottom"/>
          </w:tcPr>
          <w:p>
            <w:pPr>
              <w:jc w:val="center"/>
              <w:ind w:right="119"/>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Expired or 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4"/>
              </w:rPr>
              <w:t>For the year ended May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6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80" w:type="dxa"/>
            <w:vAlign w:val="bottom"/>
            <w:gridSpan w:val="5"/>
          </w:tcPr>
          <w:p>
            <w:pPr>
              <w:spacing w:after="0" w:line="201" w:lineRule="exact"/>
              <w:rPr>
                <w:sz w:val="20"/>
                <w:szCs w:val="20"/>
                <w:color w:val="auto"/>
              </w:rPr>
            </w:pPr>
            <w:r>
              <w:rPr>
                <w:rFonts w:ascii="Arial" w:cs="Arial" w:eastAsia="Arial" w:hAnsi="Arial"/>
                <w:sz w:val="18"/>
                <w:szCs w:val="18"/>
                <w:color w:val="auto"/>
              </w:rPr>
              <w:t>Weighted average grant date fair value (per share) of</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500" w:type="dxa"/>
            <w:vAlign w:val="bottom"/>
            <w:gridSpan w:val="2"/>
          </w:tcPr>
          <w:p>
            <w:pPr>
              <w:ind w:left="180"/>
              <w:spacing w:after="0"/>
              <w:rPr>
                <w:sz w:val="20"/>
                <w:szCs w:val="20"/>
                <w:color w:val="auto"/>
              </w:rPr>
            </w:pPr>
            <w:r>
              <w:rPr>
                <w:rFonts w:ascii="Arial" w:cs="Arial" w:eastAsia="Arial" w:hAnsi="Arial"/>
                <w:sz w:val="18"/>
                <w:szCs w:val="18"/>
                <w:color w:val="auto"/>
              </w:rPr>
              <w:t>options granted during the period</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20"/>
                <w:szCs w:val="20"/>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w w:val="97"/>
              </w:rPr>
              <w:t>For the year ended May 31, 2013</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9"/>
          </w:tcPr>
          <w:p>
            <w:pPr>
              <w:jc w:val="right"/>
              <w:ind w:right="720"/>
              <w:spacing w:after="0" w:line="142" w:lineRule="exact"/>
              <w:rPr>
                <w:sz w:val="20"/>
                <w:szCs w:val="20"/>
                <w:color w:val="auto"/>
              </w:rPr>
            </w:pPr>
            <w:r>
              <w:rPr>
                <w:rFonts w:ascii="Arial" w:cs="Arial" w:eastAsia="Arial" w:hAnsi="Arial"/>
                <w:sz w:val="14"/>
                <w:szCs w:val="14"/>
                <w:b w:val="1"/>
                <w:bCs w:val="1"/>
                <w:color w:val="auto"/>
              </w:rPr>
              <w:t>Options Outstanding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6"/>
          </w:tcPr>
          <w:p>
            <w:pPr>
              <w:jc w:val="right"/>
              <w:ind w:right="583"/>
              <w:spacing w:after="0" w:line="142" w:lineRule="exact"/>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jc w:val="center"/>
              <w:ind w:left="186"/>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23"/>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left="186"/>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4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2"/>
                <w:szCs w:val="12"/>
                <w:color w:val="auto"/>
              </w:rPr>
            </w:pPr>
          </w:p>
        </w:tc>
        <w:tc>
          <w:tcPr>
            <w:tcW w:w="14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4480" w:type="dxa"/>
            <w:vAlign w:val="bottom"/>
            <w:gridSpan w:val="4"/>
            <w:vMerge w:val="continue"/>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88"/>
              </w:rPr>
              <w:t>$6.15-$13.08</w:t>
            </w:r>
          </w:p>
        </w:tc>
        <w:tc>
          <w:tcPr>
            <w:tcW w:w="3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$13.09-$22.35</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13.49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3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60"/>
          </w:cols>
          <w:pgMar w:left="240" w:top="125" w:right="199" w:bottom="0" w:gutter="0" w:footer="0" w:header="0"/>
        </w:sectPr>
      </w:pPr>
    </w:p>
    <w:bookmarkStart w:id="54" w:name="page55"/>
    <w:bookmarkEnd w:id="54"/>
    <w:p>
      <w:pPr>
        <w:spacing w:after="0" w:line="36" w:lineRule="exact"/>
        <w:rPr>
          <w:sz w:val="20"/>
          <w:szCs w:val="20"/>
          <w:color w:val="auto"/>
        </w:rPr>
      </w:pPr>
    </w:p>
    <w:p>
      <w:pPr>
        <w:spacing w:after="0"/>
        <w:tabs>
          <w:tab w:leader="none" w:pos="4460" w:val="left"/>
          <w:tab w:leader="none" w:pos="5120" w:val="left"/>
          <w:tab w:leader="none" w:pos="8760" w:val="left"/>
          <w:tab w:leader="none" w:pos="9400" w:val="left"/>
        </w:tabs>
        <w:rPr>
          <w:sz w:val="20"/>
          <w:szCs w:val="20"/>
          <w:color w:val="auto"/>
        </w:rPr>
      </w:pPr>
      <w:r>
        <w:rPr>
          <w:rFonts w:ascii="Arial" w:cs="Arial" w:eastAsia="Arial" w:hAnsi="Arial"/>
          <w:sz w:val="18"/>
          <w:szCs w:val="18"/>
          <w:color w:val="auto"/>
        </w:rPr>
        <w:t>Aggregate Intrinsic Value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20,813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16,384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recognized approximately $2.9 million, $1.9 million and $0.5 million in share-based compensation expense related to restricted stock unit awards during the fiscal years ended May 31, 2013, 2012 and 2011, respectively. As of May 31, 2013, there were approximately $7.8 million of unrecognized compensation costs, net of estimated forfeitures, related to restricted stock unit awards, which are expected to be recognized over a remaining weighted average period of 2.5 years.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years ended May 31, 2013 and 2012, the Company granted approximately 13,000 and 9,000 shares, respectively, of fully-vested common stock to its five non-employee directors, in connection with its non-employee director compensation plan. These shares had a grant date fair value of approximately $0.3 million and $0.2 million, respectively, which is included in the share-based compensation expense recorded during the years ended May 31, 2013 and 2012.</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years ended May 31, 2013 and 2012, approximately 123,000 and 52,000 restricted stock units vested, respectively. The fair value of these units upon vesting was $1.9 million and $0.5 million, respectively. Upon vesting, restricted stock units are generally net share-settled to cover the required withholding tax and the remaining amount is converted into an equivalent number of shares of common stock. The restricted stock units that vested in fiscal 2013 and 2012 were net-share settled such that the Company withheld shares with value equivalent to the employees’ minimum statutory obligation for the applicable income and other employment taxes, and remitted the cash to the appropriate taxing authorities. The Company withheld approximately 37,000 and 16,000 shares in fiscal 2013 and 2012, respectively, based on the value of the restricted stock units on their vesting date as determined by the Company’s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closing stock price. Total payments for the employees’ tax obligations to the taxing authorities were $0.8 million and $0.3 million and are reflected as a financing activity within the consolidated statements of cash flows. These net-share settlements had the effect of share repurchases by the Company as they reduced and retired the number of shares that would have otherwise been issued as a result of the vesting and did not represent an expense to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The Company leases its headquarters under a capital lease from a shareholder and officer of the Company requiring monthly payments through October 2014. Total rent payments made during fiscal 2013 were approximately $0.8 million. See Note 12 — </w:t>
      </w:r>
      <w:r>
        <w:rPr>
          <w:rFonts w:ascii="Arial" w:cs="Arial" w:eastAsia="Arial" w:hAnsi="Arial"/>
          <w:sz w:val="18"/>
          <w:szCs w:val="18"/>
          <w:i w:val="1"/>
          <w:iCs w:val="1"/>
          <w:color w:val="auto"/>
        </w:rPr>
        <w:t>Obligations under Capital Leases</w:t>
      </w:r>
      <w:r>
        <w:rPr>
          <w:rFonts w:ascii="Arial" w:cs="Arial" w:eastAsia="Arial" w:hAnsi="Arial"/>
          <w:sz w:val="18"/>
          <w:szCs w:val="18"/>
          <w:color w:val="auto"/>
        </w:rPr>
        <w:t xml:space="preserve"> for further detail related to capital leases.</w:t>
      </w:r>
    </w:p>
    <w:p>
      <w:pPr>
        <w:spacing w:after="0" w:line="1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has a lease for office space located in France, which is partly owned by a shareholder and officer, requiring monthly payments through January 2016. Total rent payments made during fiscal 2013 were approximately $0.2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660" w:right="260" w:hanging="328"/>
        <w:spacing w:after="0" w:line="264" w:lineRule="auto"/>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and a</w:t>
      </w:r>
      <w:r>
        <w:rPr>
          <w:rFonts w:ascii="Arial" w:cs="Arial" w:eastAsia="Arial" w:hAnsi="Arial"/>
          <w:sz w:val="18"/>
          <w:szCs w:val="18"/>
          <w:i w:val="1"/>
          <w:iCs w:val="1"/>
          <w:color w:val="auto"/>
        </w:rPr>
        <w:t xml:space="preserve"> </w:t>
      </w:r>
      <w:r>
        <w:rPr>
          <w:rFonts w:ascii="Arial" w:cs="Arial" w:eastAsia="Arial" w:hAnsi="Arial"/>
          <w:sz w:val="18"/>
          <w:szCs w:val="18"/>
          <w:color w:val="auto"/>
        </w:rPr>
        <w:t>rapidly expanding Canadian services business, consisting 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660" w:right="640" w:hanging="328"/>
        <w:spacing w:after="0" w:line="277" w:lineRule="auto"/>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rFonts w:ascii="Arial" w:cs="Arial" w:eastAsia="Arial" w:hAnsi="Arial"/>
          <w:sz w:val="18"/>
          <w:szCs w:val="18"/>
          <w:color w:val="auto"/>
        </w:rPr>
      </w:pPr>
    </w:p>
    <w:p>
      <w:pPr>
        <w:ind w:left="660" w:right="100" w:hanging="328"/>
        <w:spacing w:after="0" w:line="264" w:lineRule="auto"/>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segments to global markets, principally in</w:t>
      </w:r>
      <w:r>
        <w:rPr>
          <w:rFonts w:ascii="Arial" w:cs="Arial" w:eastAsia="Arial" w:hAnsi="Arial"/>
          <w:sz w:val="18"/>
          <w:szCs w:val="18"/>
          <w:i w:val="1"/>
          <w:iCs w:val="1"/>
          <w:color w:val="auto"/>
        </w:rPr>
        <w:t xml:space="preserve"> </w:t>
      </w:r>
      <w:r>
        <w:rPr>
          <w:rFonts w:ascii="Arial" w:cs="Arial" w:eastAsia="Arial" w:hAnsi="Arial"/>
          <w:sz w:val="18"/>
          <w:szCs w:val="18"/>
          <w:color w:val="auto"/>
        </w:rPr>
        <w:t>Europe, the Middle East, Africa, Asia and South America, but not to customers in China and South Korea, which are served by the Products and Systems segment. South America consists primarily of the Company’s Brazil operation.</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Costs incurred for general corporate services, including accounting, audit, legal, and certain offer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The accounting policies of the reportable segments are the same as those described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share-based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by segment for the periods shown was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74" w:orient="portrait"/>
          <w:cols w:equalWidth="0" w:num="1">
            <w:col w:w="11400"/>
          </w:cols>
          <w:pgMar w:left="240" w:top="341" w:right="259"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4"/>
              </w:rPr>
              <w:t>For the year ended May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380,851</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349,793</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283,139</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126,840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59,466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36,798</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33,301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40,083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26,105</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(11,710)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(7,453)</w:t>
            </w:r>
          </w:p>
        </w:tc>
      </w:tr>
      <w:tr>
        <w:trPr>
          <w:trHeight w:val="210"/>
        </w:trPr>
        <w:tc>
          <w:tcPr>
            <w:tcW w:w="5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Revenues by operating segment include intercompany transactions, which are eliminated in Corporate and eliminations. The Services segment had sales to other operating segments of $4.9 million, $2.8 million and $1.4 million for fiscal 2013, 2012 and 2011, respectively. The International segment had sales to other operating segments of $0.6 million, $0.9 million and $0.3 million for fiscal 2013, 2012 and 2011, respectively. The Products and Systems segment had sales to other operating segments of $6.0 million, $9.1 million and $4.4 million for fiscal 2013, 2012 and 2011, respectively.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For the year ended May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98,907</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94,413</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77,883</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32,319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12,922</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16,947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18,578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13,239</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r>
      <w:tr>
        <w:trPr>
          <w:trHeight w:val="210"/>
        </w:trPr>
        <w:tc>
          <w:tcPr>
            <w:tcW w:w="5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129,690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103,403</w:t>
            </w:r>
          </w:p>
        </w:tc>
        <w:tc>
          <w:tcPr>
            <w:tcW w:w="12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5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For the year ended May 31,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(loss) from operations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40,325</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39,932</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31,856</w:t>
            </w: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7,286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8,271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(10,907)</w:t>
            </w:r>
          </w:p>
        </w:tc>
      </w:tr>
      <w:tr>
        <w:trPr>
          <w:trHeight w:val="210"/>
        </w:trPr>
        <w:tc>
          <w:tcPr>
            <w:tcW w:w="5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12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9"/>
          </w:tcPr>
          <w:p>
            <w:pPr>
              <w:jc w:val="right"/>
              <w:ind w:right="290"/>
              <w:spacing w:after="0"/>
              <w:rPr>
                <w:sz w:val="20"/>
                <w:szCs w:val="20"/>
                <w:color w:val="auto"/>
              </w:rPr>
            </w:pPr>
            <w:r>
              <w:rPr>
                <w:rFonts w:ascii="Arial" w:cs="Arial" w:eastAsia="Arial" w:hAnsi="Arial"/>
                <w:sz w:val="14"/>
                <w:szCs w:val="14"/>
                <w:b w:val="1"/>
                <w:bCs w:val="1"/>
                <w:color w:val="auto"/>
                <w:w w:val="94"/>
              </w:rPr>
              <w:t>For the year ended May 31,</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18,296</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17,763</w:t>
            </w:r>
          </w:p>
        </w:tc>
        <w:tc>
          <w:tcPr>
            <w:tcW w:w="56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15,979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22,024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18,592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59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1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Intangible assets, net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14,527</w:t>
            </w:r>
          </w:p>
        </w:tc>
        <w:tc>
          <w:tcPr>
            <w:tcW w:w="12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17,180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200,326</w:t>
            </w:r>
          </w:p>
        </w:tc>
        <w:tc>
          <w:tcPr>
            <w:tcW w:w="12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204,209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138,108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82,579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37,948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43,914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329,816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w w:val="95"/>
              </w:rPr>
              <w:t>Revenue and long-lived assets by geographic area was as follows:</w:t>
            </w: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3"/>
              </w:rPr>
              <w:t>For the year ended May 31,</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280" w:type="dxa"/>
            <w:vAlign w:val="bottom"/>
            <w:tcBorders>
              <w:bottom w:val="single" w:sz="8" w:color="CCEEFF"/>
            </w:tcBorders>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347,423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336,081</w:t>
            </w:r>
          </w:p>
        </w:tc>
        <w:tc>
          <w:tcPr>
            <w:tcW w:w="12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277,585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40,337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25,338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106,416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42,820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25,192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529,282</w:t>
            </w: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-4237990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-4237990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May 31,</w:t>
            </w: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Long-lived assets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122,727</w:t>
            </w:r>
          </w:p>
        </w:tc>
        <w:tc>
          <w:tcPr>
            <w:tcW w:w="30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130,813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28,148</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37,109</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85,171</w:t>
            </w:r>
          </w:p>
        </w:tc>
        <w:tc>
          <w:tcPr>
            <w:tcW w:w="3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26,766</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r>
      <w:tr>
        <w:trPr>
          <w:trHeight w:val="210"/>
        </w:trPr>
        <w:tc>
          <w:tcPr>
            <w:tcW w:w="66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236,117</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194,815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Selected Quarterly Financial Information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quarterly results of operations for the years ended May 31, 2013 and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February 28,</w:t>
            </w:r>
          </w:p>
        </w:tc>
        <w:tc>
          <w:tcPr>
            <w:tcW w:w="8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3"/>
                <w:szCs w:val="13"/>
                <w:b w:val="1"/>
                <w:bCs w:val="1"/>
                <w:color w:val="auto"/>
              </w:rPr>
              <w:t>November 30,</w:t>
            </w: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August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3"/>
                <w:szCs w:val="1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February 29,</w:t>
            </w:r>
          </w:p>
        </w:tc>
        <w:tc>
          <w:tcPr>
            <w:tcW w:w="6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November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August 31,</w:t>
            </w:r>
          </w:p>
        </w:tc>
      </w:tr>
      <w:tr>
        <w:trPr>
          <w:trHeight w:val="153"/>
        </w:trPr>
        <w:tc>
          <w:tcPr>
            <w:tcW w:w="2880" w:type="dxa"/>
            <w:vAlign w:val="bottom"/>
            <w:gridSpan w:val="2"/>
          </w:tcPr>
          <w:p>
            <w:pPr>
              <w:spacing w:after="0"/>
              <w:rPr>
                <w:sz w:val="20"/>
                <w:szCs w:val="20"/>
                <w:color w:val="auto"/>
              </w:rPr>
            </w:pPr>
            <w:r>
              <w:rPr>
                <w:rFonts w:ascii="Arial" w:cs="Arial" w:eastAsia="Arial" w:hAnsi="Arial"/>
                <w:sz w:val="13"/>
                <w:szCs w:val="13"/>
                <w:b w:val="1"/>
                <w:bCs w:val="1"/>
                <w:color w:val="auto"/>
              </w:rPr>
              <w:t>Fiscal quarter ended</w:t>
            </w:r>
          </w:p>
        </w:tc>
        <w:tc>
          <w:tcPr>
            <w:tcW w:w="120" w:type="dxa"/>
            <w:vAlign w:val="bottom"/>
          </w:tcPr>
          <w:p>
            <w:pPr>
              <w:spacing w:after="0"/>
              <w:rPr>
                <w:sz w:val="13"/>
                <w:szCs w:val="13"/>
                <w:color w:val="auto"/>
              </w:rPr>
            </w:pPr>
          </w:p>
        </w:tc>
        <w:tc>
          <w:tcPr>
            <w:tcW w:w="680" w:type="dxa"/>
            <w:vAlign w:val="bottom"/>
          </w:tcPr>
          <w:p>
            <w:pPr>
              <w:jc w:val="right"/>
              <w:ind w:right="217"/>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257"/>
              <w:spacing w:after="0"/>
              <w:rPr>
                <w:sz w:val="20"/>
                <w:szCs w:val="20"/>
                <w:color w:val="auto"/>
              </w:rPr>
            </w:pPr>
            <w:r>
              <w:rPr>
                <w:rFonts w:ascii="Arial" w:cs="Arial" w:eastAsia="Arial" w:hAnsi="Arial"/>
                <w:sz w:val="13"/>
                <w:szCs w:val="13"/>
                <w:b w:val="1"/>
                <w:bCs w:val="1"/>
                <w:color w:val="auto"/>
              </w:rPr>
              <w:t>2013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217"/>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217"/>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57"/>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217"/>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r>
      <w:tr>
        <w:trPr>
          <w:trHeight w:val="129"/>
        </w:trPr>
        <w:tc>
          <w:tcPr>
            <w:tcW w:w="2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Revenues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144,505</w:t>
            </w:r>
          </w:p>
        </w:tc>
        <w:tc>
          <w:tcPr>
            <w:tcW w:w="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133,661</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137,729</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113,387</w:t>
            </w:r>
          </w:p>
        </w:tc>
        <w:tc>
          <w:tcPr>
            <w:tcW w:w="1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127,090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104,118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114,220</w:t>
            </w: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91,447</w:t>
            </w:r>
          </w:p>
        </w:tc>
      </w:tr>
      <w:tr>
        <w:trPr>
          <w:trHeight w:val="135"/>
        </w:trPr>
        <w:tc>
          <w:tcPr>
            <w:tcW w:w="28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Cost of revenues</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101,254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94,736</w:t>
            </w: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91,529</w:t>
            </w:r>
          </w:p>
        </w:tc>
        <w:tc>
          <w:tcPr>
            <w:tcW w:w="10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75,526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85,252</w:t>
            </w:r>
          </w:p>
        </w:tc>
        <w:tc>
          <w:tcPr>
            <w:tcW w:w="10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70,574</w:t>
            </w:r>
          </w:p>
        </w:tc>
        <w:tc>
          <w:tcPr>
            <w:tcW w:w="6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75,263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60,527</w:t>
            </w:r>
          </w:p>
        </w:tc>
      </w:tr>
      <w:tr>
        <w:trPr>
          <w:trHeight w:val="135"/>
        </w:trPr>
        <w:tc>
          <w:tcPr>
            <w:tcW w:w="28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Depreciation</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4,708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4,719</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4,295</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4,144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4,367</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3,960</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3,742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3,500</w:t>
            </w:r>
          </w:p>
        </w:tc>
      </w:tr>
      <w:tr>
        <w:trPr>
          <w:trHeight w:val="129"/>
        </w:trPr>
        <w:tc>
          <w:tcPr>
            <w:tcW w:w="2880" w:type="dxa"/>
            <w:vAlign w:val="bottom"/>
            <w:gridSpan w:val="2"/>
          </w:tcPr>
          <w:p>
            <w:pPr>
              <w:ind w:left="180"/>
              <w:spacing w:after="0" w:line="129" w:lineRule="exact"/>
              <w:rPr>
                <w:sz w:val="20"/>
                <w:szCs w:val="20"/>
                <w:color w:val="auto"/>
              </w:rPr>
            </w:pPr>
            <w:r>
              <w:rPr>
                <w:rFonts w:ascii="Arial" w:cs="Arial" w:eastAsia="Arial" w:hAnsi="Arial"/>
                <w:sz w:val="13"/>
                <w:szCs w:val="13"/>
                <w:color w:val="auto"/>
              </w:rPr>
              <w:t>Gross profit</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38,543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34,206</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41,905</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33,717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37,471</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29,584</w:t>
            </w: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35,215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27,420</w:t>
            </w:r>
          </w:p>
        </w:tc>
        <w:tc>
          <w:tcPr>
            <w:tcW w:w="100" w:type="dxa"/>
            <w:vAlign w:val="bottom"/>
          </w:tcPr>
          <w:p>
            <w:pPr>
              <w:spacing w:after="0"/>
              <w:rPr>
                <w:sz w:val="11"/>
                <w:szCs w:val="11"/>
                <w:color w:val="auto"/>
              </w:rPr>
            </w:pPr>
          </w:p>
        </w:tc>
      </w:tr>
      <w:tr>
        <w:trPr>
          <w:trHeight w:val="135"/>
        </w:trPr>
        <w:tc>
          <w:tcPr>
            <w:tcW w:w="28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Selling, general and administrative expenses</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27,729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27,209</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23,362</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23,492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23,533</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20,806</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19,378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19,381</w:t>
            </w:r>
          </w:p>
        </w:tc>
      </w:tr>
      <w:tr>
        <w:trPr>
          <w:trHeight w:val="135"/>
        </w:trPr>
        <w:tc>
          <w:tcPr>
            <w:tcW w:w="28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Research and engineering</w:t>
            </w:r>
          </w:p>
        </w:tc>
        <w:tc>
          <w:tcPr>
            <w:tcW w:w="12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754</w:t>
            </w: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530</w:t>
            </w:r>
          </w:p>
        </w:tc>
        <w:tc>
          <w:tcPr>
            <w:tcW w:w="10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290</w:t>
            </w:r>
          </w:p>
        </w:tc>
        <w:tc>
          <w:tcPr>
            <w:tcW w:w="10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578</w:t>
            </w:r>
          </w:p>
        </w:tc>
        <w:tc>
          <w:tcPr>
            <w:tcW w:w="6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589</w:t>
            </w:r>
          </w:p>
        </w:tc>
      </w:tr>
      <w:tr>
        <w:trPr>
          <w:trHeight w:val="135"/>
        </w:trPr>
        <w:tc>
          <w:tcPr>
            <w:tcW w:w="28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2,246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2,167</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1,895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1,668</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1,805</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1,479</w:t>
            </w:r>
          </w:p>
        </w:tc>
      </w:tr>
      <w:tr>
        <w:trPr>
          <w:trHeight w:val="135"/>
        </w:trPr>
        <w:tc>
          <w:tcPr>
            <w:tcW w:w="28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Acquisition-related expense, net</w:t>
            </w:r>
          </w:p>
        </w:tc>
        <w:tc>
          <w:tcPr>
            <w:tcW w:w="12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(1,212)</w:t>
            </w: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971</w:t>
            </w:r>
          </w:p>
        </w:tc>
        <w:tc>
          <w:tcPr>
            <w:tcW w:w="10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973</w:t>
            </w:r>
          </w:p>
        </w:tc>
        <w:tc>
          <w:tcPr>
            <w:tcW w:w="6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8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Goodwill impairment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9,938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35"/>
        </w:trPr>
        <w:tc>
          <w:tcPr>
            <w:tcW w:w="288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Income (loss) from operations</w:t>
            </w:r>
          </w:p>
        </w:tc>
        <w:tc>
          <w:tcPr>
            <w:tcW w:w="12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4,982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15,747</w:t>
            </w:r>
          </w:p>
        </w:tc>
        <w:tc>
          <w:tcPr>
            <w:tcW w:w="10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7,706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11,009</w:t>
            </w:r>
          </w:p>
        </w:tc>
        <w:tc>
          <w:tcPr>
            <w:tcW w:w="10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5,422</w:t>
            </w:r>
          </w:p>
        </w:tc>
        <w:tc>
          <w:tcPr>
            <w:tcW w:w="6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13,696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5,971</w:t>
            </w:r>
          </w:p>
        </w:tc>
      </w:tr>
      <w:tr>
        <w:trPr>
          <w:trHeight w:val="121"/>
        </w:trPr>
        <w:tc>
          <w:tcPr>
            <w:tcW w:w="2880" w:type="dxa"/>
            <w:vAlign w:val="bottom"/>
            <w:gridSpan w:val="2"/>
            <w:shd w:val="clear" w:color="auto" w:fill="CCEEFF"/>
          </w:tcPr>
          <w:p>
            <w:pPr>
              <w:ind w:left="180"/>
              <w:spacing w:after="0" w:line="121" w:lineRule="exact"/>
              <w:rPr>
                <w:sz w:val="20"/>
                <w:szCs w:val="20"/>
                <w:color w:val="auto"/>
              </w:rPr>
            </w:pPr>
            <w:r>
              <w:rPr>
                <w:rFonts w:ascii="Arial" w:cs="Arial" w:eastAsia="Arial" w:hAnsi="Arial"/>
                <w:sz w:val="13"/>
                <w:szCs w:val="13"/>
                <w:color w:val="auto"/>
              </w:rPr>
              <w:t>Net income (loss) attributable to Mistras</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Group, Inc.</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(4,549)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9,163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4,281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7,132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3,037</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7,956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3,228</w:t>
            </w:r>
          </w:p>
        </w:tc>
      </w:tr>
      <w:tr>
        <w:trPr>
          <w:trHeight w:val="135"/>
        </w:trPr>
        <w:tc>
          <w:tcPr>
            <w:tcW w:w="2880" w:type="dxa"/>
            <w:vAlign w:val="bottom"/>
            <w:gridSpan w:val="2"/>
          </w:tcPr>
          <w:p>
            <w:pPr>
              <w:spacing w:after="0" w:line="135" w:lineRule="exact"/>
              <w:rPr>
                <w:sz w:val="20"/>
                <w:szCs w:val="20"/>
                <w:color w:val="auto"/>
              </w:rPr>
            </w:pPr>
            <w:r>
              <w:rPr>
                <w:rFonts w:ascii="Arial" w:cs="Arial" w:eastAsia="Arial" w:hAnsi="Arial"/>
                <w:sz w:val="13"/>
                <w:szCs w:val="13"/>
                <w:color w:val="auto"/>
              </w:rPr>
              <w:t>Earnings per common share: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0.10</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0.33</w:t>
            </w: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0.15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0.25</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0.11</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0.29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0.12</w:t>
            </w:r>
          </w:p>
        </w:tc>
      </w:tr>
      <w:tr>
        <w:trPr>
          <w:trHeight w:val="160"/>
        </w:trPr>
        <w:tc>
          <w:tcPr>
            <w:tcW w:w="2880" w:type="dxa"/>
            <w:vAlign w:val="bottom"/>
            <w:gridSpan w:val="2"/>
          </w:tcPr>
          <w:p>
            <w:pPr>
              <w:ind w:left="18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0.11</w:t>
            </w:r>
          </w:p>
        </w:tc>
        <w:tc>
          <w:tcPr>
            <w:tcW w:w="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0.32</w:t>
            </w:r>
          </w:p>
        </w:tc>
        <w:tc>
          <w:tcPr>
            <w:tcW w:w="1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0.15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0.25</w:t>
            </w:r>
          </w:p>
        </w:tc>
        <w:tc>
          <w:tcPr>
            <w:tcW w:w="10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0.11</w:t>
            </w:r>
          </w:p>
        </w:tc>
        <w:tc>
          <w:tcPr>
            <w:tcW w:w="6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0.28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0.11</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Pursuant to Rule 13a-15(b) under the Exchange Act, our management carried out an evaluation, under the supervision and with the participation of our Chief Executive Officer and our Executive Vice President and Chief Financial Officer, of the effectiveness of the design and operation of our disclosure controls (as defined in Rule 13a-15(e) of the Exchange Act) and procedures. Based upon that evaluation, our Chief Executive Officer and our Executive Vice President and Chief Financial Officer concluded that, as of May 31, 2013, our disclosure controls and procedures were effective.</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Chairman, President and Chief Executive Officer and our Executive Vice President and Chief Financial Officer and Treasurer,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5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May 31, 2013. In making this assessment, management used the criteria set forth by the Committee of Sponsoring Organizations of the Treadway Commission (COSO) in the original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in 1992</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that assessment, our management concluded that, as of May 31, 2013,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w:t>
      </w:r>
    </w:p>
    <w:p>
      <w:pPr>
        <w:spacing w:after="0" w:line="187"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We acquired GMA-Holding AG (GMA) in September 2012 and management elected to exclude from its assessment of the effectiveness of the Company’s internal control over financial reporting as of May 31, 2013, GMA’s internal control over financial reporting. GMA representing approximately 17% of total assets (including approximately 12% of total assets related to goodwill and intangible assets that were included within the scope of its assessment) and approximately 8% of total revenues included in the Company’s consolidated financial statements as of and for the year end May 31, 2013.</w:t>
      </w:r>
    </w:p>
    <w:p>
      <w:pPr>
        <w:spacing w:after="0" w:line="15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May 31, 2013, has been audited by KPMG LLP, an independent registered public accounting firm, as stated in their report which appears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ectPr>
          <w:pgSz w:w="11900" w:h="16838" w:orient="portrait"/>
          <w:cols w:equalWidth="0" w:num="1">
            <w:col w:w="11420"/>
          </w:cols>
          <w:pgMar w:left="240" w:top="118" w:right="239" w:bottom="167" w:gutter="0" w:footer="0" w:header="0"/>
        </w:sectPr>
      </w:pPr>
    </w:p>
    <w:bookmarkStart w:id="57" w:name="page58"/>
    <w:bookmarkEnd w:id="57"/>
    <w:p>
      <w:pPr>
        <w:ind w:right="4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year ended May 31, 2013 that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information required by Item 10 is incorporated herein by reference to the information contained in our definitive proxy statement related to the 2013 annual shareholders meeting. The information concerning our executive officers required by this Item 10 is provided under the caption “Executive Officers of the Registrant” in Part I 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information required by this Item 11 is incorporated by reference to the information contained in our definitive proxy statement related to the 2013 annual shareholders meeting.</w:t>
      </w:r>
    </w:p>
    <w:p>
      <w:pPr>
        <w:spacing w:after="0" w:line="16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information required by Item 12 regarding Security Ownership of Certain Beneficial Owners and Management and Related Stockholders is incorporated by reference to the information contained in our definitive proxy statement related to the 2013 annual meeting of shareholders.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The following table provides certain information as of May 31, 2013 concerning the shares of our common stock that may be issued under existing equity compensation 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Number of Securities</w:t>
            </w:r>
          </w:p>
        </w:tc>
        <w:tc>
          <w:tcPr>
            <w:tcW w:w="140" w:type="dxa"/>
            <w:vAlign w:val="bottom"/>
          </w:tcPr>
          <w:p>
            <w:pPr>
              <w:spacing w:after="0"/>
              <w:rPr>
                <w:sz w:val="14"/>
                <w:szCs w:val="14"/>
                <w:color w:val="auto"/>
              </w:rPr>
            </w:pPr>
          </w:p>
        </w:tc>
        <w:tc>
          <w:tcPr>
            <w:tcW w:w="198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0"/>
              </w:rPr>
              <w:t>Weighted Average</w:t>
            </w:r>
          </w:p>
        </w:tc>
        <w:tc>
          <w:tcPr>
            <w:tcW w:w="2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4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40" w:type="dxa"/>
            <w:vAlign w:val="bottom"/>
          </w:tcPr>
          <w:p>
            <w:pPr>
              <w:spacing w:after="0"/>
              <w:rPr>
                <w:sz w:val="12"/>
                <w:szCs w:val="12"/>
                <w:color w:val="auto"/>
              </w:rPr>
            </w:pPr>
          </w:p>
        </w:tc>
        <w:tc>
          <w:tcPr>
            <w:tcW w:w="19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71"/>
        </w:trPr>
        <w:tc>
          <w:tcPr>
            <w:tcW w:w="4540" w:type="dxa"/>
            <w:vAlign w:val="bottom"/>
            <w:gridSpan w:val="3"/>
            <w:vMerge w:val="continue"/>
          </w:tcPr>
          <w:p>
            <w:pPr>
              <w:spacing w:after="0"/>
              <w:rPr>
                <w:sz w:val="14"/>
                <w:szCs w:val="14"/>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Outstanding Options</w:t>
            </w:r>
          </w:p>
        </w:tc>
        <w:tc>
          <w:tcPr>
            <w:tcW w:w="140" w:type="dxa"/>
            <w:vAlign w:val="bottom"/>
          </w:tcPr>
          <w:p>
            <w:pPr>
              <w:spacing w:after="0"/>
              <w:rPr>
                <w:sz w:val="14"/>
                <w:szCs w:val="14"/>
                <w:color w:val="auto"/>
              </w:rPr>
            </w:pPr>
          </w:p>
        </w:tc>
        <w:tc>
          <w:tcPr>
            <w:tcW w:w="19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3"/>
              </w:rPr>
              <w:t>Outstanding Options</w:t>
            </w: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480" w:type="dxa"/>
            <w:vAlign w:val="bottom"/>
            <w:tcBorders>
              <w:top w:val="single" w:sz="8" w:color="auto"/>
            </w:tcBorders>
            <w:gridSpan w:val="6"/>
          </w:tcPr>
          <w:p>
            <w:pPr>
              <w:jc w:val="center"/>
              <w:ind w:left="1841"/>
              <w:spacing w:after="0"/>
              <w:rPr>
                <w:sz w:val="20"/>
                <w:szCs w:val="20"/>
                <w:color w:val="auto"/>
              </w:rPr>
            </w:pPr>
            <w:r>
              <w:rPr>
                <w:rFonts w:ascii="Arial" w:cs="Arial" w:eastAsia="Arial" w:hAnsi="Arial"/>
                <w:sz w:val="14"/>
                <w:szCs w:val="14"/>
                <w:b w:val="1"/>
                <w:bCs w:val="1"/>
                <w:color w:val="auto"/>
                <w:w w:val="90"/>
              </w:rPr>
              <w:t>(in thousands, except exercise price data)</w:t>
            </w:r>
          </w:p>
        </w:tc>
        <w:tc>
          <w:tcPr>
            <w:tcW w:w="1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2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 (1)</w:t>
            </w: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2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  Includes all the Company’s plans: 1995 Incentive Stock Option and Restricted Stock Plan, 2007 Stock Option Plan and 2009 Long-Term Incentive Plan.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Item 13 is incorporated by reference to the information contained in our definitive proxy statement related to the 2013 annual shareholders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Item 14 is incorporated by reference to the information contained in our definitive proxy statement related to the 2013 annual shareholders meeting.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60" w:type="dxa"/>
            <w:vAlign w:val="bottom"/>
            <w:gridSpan w:val="4"/>
          </w:tcPr>
          <w:p>
            <w:pPr>
              <w:ind w:left="500"/>
              <w:spacing w:after="0"/>
              <w:rPr>
                <w:sz w:val="20"/>
                <w:szCs w:val="20"/>
                <w:color w:val="auto"/>
              </w:rPr>
            </w:pPr>
            <w:r>
              <w:rPr>
                <w:rFonts w:ascii="Arial" w:cs="Arial" w:eastAsia="Arial" w:hAnsi="Arial"/>
                <w:sz w:val="18"/>
                <w:szCs w:val="18"/>
                <w:b w:val="1"/>
                <w:bCs w:val="1"/>
                <w:color w:val="auto"/>
              </w:rPr>
              <w:t>PART IV</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20" w:type="dxa"/>
            <w:vAlign w:val="bottom"/>
            <w:gridSpan w:val="6"/>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20" w:type="dxa"/>
            <w:vAlign w:val="bottom"/>
            <w:gridSpan w:val="6"/>
          </w:tcPr>
          <w:p>
            <w:pPr>
              <w:spacing w:after="0"/>
              <w:rPr>
                <w:sz w:val="20"/>
                <w:szCs w:val="20"/>
                <w:color w:val="auto"/>
              </w:rPr>
            </w:pPr>
            <w:r>
              <w:rPr>
                <w:rFonts w:ascii="Arial" w:cs="Arial" w:eastAsia="Arial" w:hAnsi="Arial"/>
                <w:sz w:val="18"/>
                <w:szCs w:val="18"/>
                <w:color w:val="auto"/>
              </w:rPr>
              <w:t>(1) The following financial statements are filed herewith in Item 8 of Part II above:</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0" w:type="dxa"/>
            <w:vAlign w:val="bottom"/>
            <w:vMerge w:val="restart"/>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Reports of independent registered public accounting firms</w:t>
              </w:r>
            </w:hyperlink>
          </w:p>
        </w:tc>
        <w:tc>
          <w:tcPr>
            <w:tcW w:w="6320" w:type="dxa"/>
            <w:vAlign w:val="bottom"/>
            <w:gridSpan w:val="5"/>
            <w:vMerge w:val="restart"/>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200" w:type="dxa"/>
            <w:vAlign w:val="bottom"/>
            <w:tcBorders>
              <w:bottom w:val="single" w:sz="8" w:color="0000EE"/>
            </w:tcBorders>
            <w:vMerge w:val="continue"/>
          </w:tcPr>
          <w:p>
            <w:pPr>
              <w:spacing w:after="0"/>
              <w:rPr>
                <w:sz w:val="13"/>
                <w:szCs w:val="13"/>
                <w:color w:val="auto"/>
              </w:rPr>
            </w:pPr>
          </w:p>
        </w:tc>
        <w:tc>
          <w:tcPr>
            <w:tcW w:w="6320" w:type="dxa"/>
            <w:vAlign w:val="bottom"/>
            <w:gridSpan w:val="5"/>
            <w:vMerge w:val="continue"/>
          </w:tcPr>
          <w:p>
            <w:pPr>
              <w:spacing w:after="0"/>
              <w:rPr>
                <w:sz w:val="13"/>
                <w:szCs w:val="13"/>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520" w:type="dxa"/>
            <w:vAlign w:val="bottom"/>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Consolidated Balance sheets as of May 31, 2013 and May 31, 2012</w:t>
              </w:r>
            </w:hyperlink>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8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income for the years ended May 31, 2013, 2012 and 2011</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Consolidated Statements of comprehensive income for the years ended May 31, 2013, 2012 and 2011</w:t>
              </w:r>
            </w:hyperlink>
          </w:p>
        </w:tc>
        <w:tc>
          <w:tcPr>
            <w:tcW w:w="320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520" w:type="dxa"/>
            <w:vAlign w:val="bottom"/>
            <w:gridSpan w:val="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equity for the years ended May 31, 2013, 2012 and 2011</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cash flows for the years ended May 31, 2013, 2012 and 2011</w:t>
              </w:r>
            </w:hyperlink>
          </w:p>
        </w:tc>
        <w:tc>
          <w:tcPr>
            <w:tcW w:w="242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96"/>
        </w:trPr>
        <w:tc>
          <w:tcPr>
            <w:tcW w:w="8840" w:type="dxa"/>
            <w:vAlign w:val="bottom"/>
            <w:gridSpan w:val="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Notes to consolidated financial statements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3040" w:type="dxa"/>
            <w:vAlign w:val="bottom"/>
            <w:shd w:val="clear" w:color="auto" w:fill="0000EE"/>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18"/>
          <w:szCs w:val="18"/>
          <w:color w:val="auto"/>
        </w:rPr>
      </w:pPr>
    </w:p>
    <w:p>
      <w:pPr>
        <w:ind w:left="340" w:right="320"/>
        <w:spacing w:after="0" w:line="277" w:lineRule="auto"/>
        <w:rPr>
          <w:rFonts w:ascii="Arial" w:cs="Arial" w:eastAsia="Arial" w:hAnsi="Arial"/>
          <w:sz w:val="18"/>
          <w:szCs w:val="18"/>
          <w:color w:val="auto"/>
        </w:rPr>
      </w:pPr>
      <w:r>
        <w:rPr>
          <w:rFonts w:ascii="Arial" w:cs="Arial" w:eastAsia="Arial" w:hAnsi="Arial"/>
          <w:sz w:val="18"/>
          <w:szCs w:val="18"/>
          <w:color w:val="auto"/>
        </w:rPr>
        <w:t>All other schedules are omitted because of the absence of conditions under which they are required or because the required information is given in the financial statements or notes thereto.</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4"/>
                <w:szCs w:val="14"/>
                <w:color w:val="auto"/>
              </w:rPr>
            </w:pPr>
          </w:p>
        </w:tc>
        <w:tc>
          <w:tcPr>
            <w:tcW w:w="9640" w:type="dxa"/>
            <w:vAlign w:val="bottom"/>
          </w:tcPr>
          <w:p>
            <w:pPr>
              <w:ind w:left="44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Second Amended and Restated Certificate of Incorporation (filed as exhibit 3.1 to Registration Statement on Form S-1 (Amendment</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Amended and Restated Bylaws (filed as exhibit 3.2 to Registration Statement on Form S-1 (Amendment No. 4) filed 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3"/>
              </w:rPr>
              <w:t>Specimen certificate evidencing shares of common stock (filed as exhibit 4.1 to Registration Statement on Form S-1 (Amendment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No. 5) filed on September 23,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2"/>
              </w:rPr>
              <w:t>Third Amended and Restated Credit Agreement dated December 21, 2011 (filed as exhibit 10.1 to Quarterly Report on Form 10-Q</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filed April 9, 2012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5"/>
              </w:rPr>
              <w:t>Second Amended and Restated Credit Agreement dated as of July 22, 2009 (filed as exhibit 10.3 to Registration Statement 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7"/>
              </w:rPr>
              <w:t>Form S-1 (Amendment No. 6) filed on October 6,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0"/>
              </w:rPr>
              <w:t>Amendment dated as of December 14, 2009, to the Second Amended and Restated Credit Agreement (filed as exhibit 10.1 to Current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Report on Form 8-K filed December 18, 2009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Form of Indemnification Agreement for directors and officers (filed as exhibit 10.1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10.5†</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0"/>
              </w:rPr>
              <w:t>Employment Agreement between the Company and Sotirios J. Vahaviolos (filed as exhibit 10.4 to Registration Statement on Form S-</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1 (Amendment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10.6†</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1"/>
              </w:rPr>
              <w:t>Amendment to Employment Agreement, dated July 14, 2010, between the Company and Sotirios J. Vahaviolos (filed as exhibit 10.1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to Quarterly Report on Form 10-Q filed on October 14, 2010 and incorporated herein by</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2"/>
          </w:tcPr>
          <w:p>
            <w:pPr>
              <w:ind w:left="412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reference)</w:t>
            </w:r>
          </w:p>
        </w:tc>
        <w:tc>
          <w:tcPr>
            <w:tcW w:w="40" w:type="dxa"/>
            <w:vAlign w:val="bottom"/>
          </w:tcPr>
          <w:p>
            <w:pPr>
              <w:spacing w:after="0"/>
              <w:rPr>
                <w:sz w:val="24"/>
                <w:szCs w:val="24"/>
                <w:color w:val="auto"/>
              </w:rPr>
            </w:pP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10.7†</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3"/>
              </w:rPr>
              <w:t>1995 Incentive Stock Option and Restricted Stock Purchase Plan (filed as exhibit 99.1 to the Registration Statement on Form S-8</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filed on February 3, 2010 (Registration No. 333-164688) and incorporated herein by reference)</w:t>
            </w:r>
          </w:p>
        </w:tc>
        <w:tc>
          <w:tcPr>
            <w:tcW w:w="40" w:type="dxa"/>
            <w:vAlign w:val="bottom"/>
          </w:tcPr>
          <w:p>
            <w:pPr>
              <w:spacing w:after="0"/>
              <w:rPr>
                <w:sz w:val="20"/>
                <w:szCs w:val="20"/>
                <w:color w:val="auto"/>
              </w:rPr>
            </w:pP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10.8†</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9"/>
              </w:rPr>
              <w:t>2007 Stock Option Plan and form of Stock Option Agreement (filed as exhibit 10.5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10.9†</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2009 Long-Term Incentive Plan (filed as exhibit 10.6 to Registration Statement on Form S-1 (Amendment No. 4) filed 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10.10†</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6"/>
              </w:rPr>
              <w:t>Form of 2009 Long-Term Incentive Plan Stock Option Agreement (filed as exhibit 10.7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10.11†</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3"/>
              </w:rPr>
              <w:t>Form of 2009 Long-Term Incentive Plan Restricted Stock Agreement (filed as exhibit 10.8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10.12†</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2"/>
              </w:rPr>
              <w:t>Form of Restricted Stock Unit Certificate for awards under 2009 Long-Term Incentive Plan (filed as exhibit 10.1 to Quarterly Report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on Form 10-Q filed on January 13, 2011 and incorporated herein by reference)</w:t>
            </w:r>
          </w:p>
        </w:tc>
        <w:tc>
          <w:tcPr>
            <w:tcW w:w="40" w:type="dxa"/>
            <w:vAlign w:val="bottom"/>
          </w:tcPr>
          <w:p>
            <w:pPr>
              <w:spacing w:after="0"/>
              <w:rPr>
                <w:sz w:val="20"/>
                <w:szCs w:val="20"/>
                <w:color w:val="auto"/>
              </w:rPr>
            </w:pP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10.13†</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8"/>
              </w:rPr>
              <w:t>Compensation Plan for Non-Employee Directors (July 2010) (filed as exhibit 10.2 to Quarterly Report on Form 10-Q filed 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October 14, 2010 and incorporated herein by reference)</w:t>
            </w:r>
          </w:p>
        </w:tc>
        <w:tc>
          <w:tcPr>
            <w:tcW w:w="40" w:type="dxa"/>
            <w:vAlign w:val="bottom"/>
          </w:tcPr>
          <w:p>
            <w:pPr>
              <w:spacing w:after="0"/>
              <w:rPr>
                <w:sz w:val="20"/>
                <w:szCs w:val="20"/>
                <w:color w:val="auto"/>
              </w:rPr>
            </w:pPr>
          </w:p>
        </w:tc>
      </w:tr>
      <w:tr>
        <w:trPr>
          <w:trHeight w:val="418"/>
        </w:trPr>
        <w:tc>
          <w:tcPr>
            <w:tcW w:w="1500" w:type="dxa"/>
            <w:vAlign w:val="bottom"/>
            <w:gridSpan w:val="3"/>
          </w:tcPr>
          <w:p>
            <w:pPr>
              <w:spacing w:after="0"/>
              <w:rPr>
                <w:sz w:val="20"/>
                <w:szCs w:val="20"/>
                <w:color w:val="auto"/>
              </w:rPr>
            </w:pPr>
            <w:r>
              <w:rPr>
                <w:rFonts w:ascii="Arial" w:cs="Arial" w:eastAsia="Arial" w:hAnsi="Arial"/>
                <w:sz w:val="18"/>
                <w:szCs w:val="18"/>
                <w:color w:val="auto"/>
              </w:rPr>
              <w:t>10.14†</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w w:val="98"/>
              </w:rPr>
              <w:t>Compensation Plan for Non-Employee Directors (June 2011) (filed as exhibit 10.13 to Annual Report on Form 10-K filed 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August 12, 2011 and incorporated herein by reference)</w:t>
            </w:r>
          </w:p>
        </w:tc>
        <w:tc>
          <w:tcPr>
            <w:tcW w:w="40" w:type="dxa"/>
            <w:vAlign w:val="bottom"/>
          </w:tcPr>
          <w:p>
            <w:pPr>
              <w:spacing w:after="0"/>
              <w:rPr>
                <w:sz w:val="20"/>
                <w:szCs w:val="20"/>
                <w:color w:val="auto"/>
              </w:rPr>
            </w:pPr>
          </w:p>
        </w:tc>
      </w:tr>
      <w:tr>
        <w:trPr>
          <w:trHeight w:val="432"/>
        </w:trPr>
        <w:tc>
          <w:tcPr>
            <w:tcW w:w="1500" w:type="dxa"/>
            <w:vAlign w:val="bottom"/>
            <w:gridSpan w:val="3"/>
          </w:tcPr>
          <w:p>
            <w:pPr>
              <w:spacing w:after="0"/>
              <w:rPr>
                <w:sz w:val="20"/>
                <w:szCs w:val="20"/>
                <w:color w:val="auto"/>
              </w:rPr>
            </w:pPr>
            <w:r>
              <w:rPr>
                <w:rFonts w:ascii="Arial" w:cs="Arial" w:eastAsia="Arial" w:hAnsi="Arial"/>
                <w:sz w:val="18"/>
                <w:szCs w:val="18"/>
                <w:color w:val="auto"/>
              </w:rPr>
              <w:t>10.15†*</w:t>
            </w: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Mistras Group Severance Plan (April 2013)</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Subsidiaries of the Registrant</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Consent of KPMG LLP</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4"/>
                <w:szCs w:val="24"/>
                <w:color w:val="auto"/>
              </w:rPr>
            </w:pPr>
          </w:p>
        </w:tc>
        <w:tc>
          <w:tcPr>
            <w:tcW w:w="9920" w:type="dxa"/>
            <w:vAlign w:val="bottom"/>
            <w:gridSpan w:val="2"/>
          </w:tcPr>
          <w:p>
            <w:pPr>
              <w:ind w:left="280"/>
              <w:spacing w:after="0"/>
              <w:rPr>
                <w:sz w:val="20"/>
                <w:szCs w:val="20"/>
                <w:color w:val="auto"/>
              </w:rPr>
            </w:pPr>
            <w:r>
              <w:rPr>
                <w:rFonts w:ascii="Arial" w:cs="Arial" w:eastAsia="Arial" w:hAnsi="Arial"/>
                <w:sz w:val="18"/>
                <w:szCs w:val="18"/>
                <w:color w:val="auto"/>
              </w:rPr>
              <w:t>Consent of PricewaterhouseCoopers LLP</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-5052695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-5052695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59" w:name="page60"/>
    <w:bookmarkEnd w:id="59"/>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24.1*</w:t>
            </w:r>
          </w:p>
        </w:tc>
        <w:tc>
          <w:tcPr>
            <w:tcW w:w="8400" w:type="dxa"/>
            <w:vAlign w:val="bottom"/>
          </w:tcPr>
          <w:p>
            <w:pPr>
              <w:ind w:left="420"/>
              <w:spacing w:after="0"/>
              <w:rPr>
                <w:sz w:val="20"/>
                <w:szCs w:val="20"/>
                <w:color w:val="auto"/>
              </w:rPr>
            </w:pPr>
            <w:r>
              <w:rPr>
                <w:rFonts w:ascii="Arial" w:cs="Arial" w:eastAsia="Arial" w:hAnsi="Arial"/>
                <w:sz w:val="18"/>
                <w:szCs w:val="18"/>
                <w:color w:val="auto"/>
              </w:rPr>
              <w:t>Power of Attorney (included as part of the signature page to this report)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8400" w:type="dxa"/>
            <w:vAlign w:val="bottom"/>
          </w:tcPr>
          <w:p>
            <w:pPr>
              <w:ind w:left="420"/>
              <w:spacing w:after="0"/>
              <w:rPr>
                <w:sz w:val="20"/>
                <w:szCs w:val="20"/>
                <w:color w:val="auto"/>
              </w:rPr>
            </w:pPr>
            <w:r>
              <w:rPr>
                <w:rFonts w:ascii="Arial" w:cs="Arial" w:eastAsia="Arial" w:hAnsi="Arial"/>
                <w:sz w:val="18"/>
                <w:szCs w:val="18"/>
                <w:color w:val="auto"/>
                <w:w w:val="91"/>
              </w:rPr>
              <w:t>Certification of Chief Executive Officer pursuant to Rule 13a-14(a) under the Securities Exchange Act of 1934</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8400" w:type="dxa"/>
            <w:vAlign w:val="bottom"/>
          </w:tcPr>
          <w:p>
            <w:pPr>
              <w:ind w:left="420"/>
              <w:spacing w:after="0"/>
              <w:rPr>
                <w:sz w:val="20"/>
                <w:szCs w:val="20"/>
                <w:color w:val="auto"/>
              </w:rPr>
            </w:pPr>
            <w:r>
              <w:rPr>
                <w:rFonts w:ascii="Arial" w:cs="Arial" w:eastAsia="Arial" w:hAnsi="Arial"/>
                <w:sz w:val="18"/>
                <w:szCs w:val="18"/>
                <w:color w:val="auto"/>
                <w:w w:val="92"/>
              </w:rPr>
              <w:t>Certification of Chief Financial Officer pursuant to Rule 13a-14(a) under the Securities Exchange Act of 1934</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8400" w:type="dxa"/>
            <w:vAlign w:val="bottom"/>
          </w:tcPr>
          <w:p>
            <w:pPr>
              <w:ind w:left="4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8400" w:type="dxa"/>
            <w:vAlign w:val="bottom"/>
          </w:tcPr>
          <w:p>
            <w:pPr>
              <w:ind w:left="4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101.INS***</w:t>
            </w:r>
          </w:p>
        </w:tc>
        <w:tc>
          <w:tcPr>
            <w:tcW w:w="8400" w:type="dxa"/>
            <w:vAlign w:val="bottom"/>
          </w:tcPr>
          <w:p>
            <w:pPr>
              <w:ind w:left="420"/>
              <w:spacing w:after="0"/>
              <w:rPr>
                <w:sz w:val="20"/>
                <w:szCs w:val="20"/>
                <w:color w:val="auto"/>
              </w:rPr>
            </w:pPr>
            <w:r>
              <w:rPr>
                <w:rFonts w:ascii="Arial" w:cs="Arial" w:eastAsia="Arial" w:hAnsi="Arial"/>
                <w:sz w:val="18"/>
                <w:szCs w:val="18"/>
                <w:color w:val="auto"/>
              </w:rPr>
              <w:t>XBRL Instance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101.SCH***</w:t>
            </w:r>
          </w:p>
        </w:tc>
        <w:tc>
          <w:tcPr>
            <w:tcW w:w="8400" w:type="dxa"/>
            <w:vAlign w:val="bottom"/>
          </w:tcPr>
          <w:p>
            <w:pPr>
              <w:ind w:left="420"/>
              <w:spacing w:after="0"/>
              <w:rPr>
                <w:sz w:val="20"/>
                <w:szCs w:val="20"/>
                <w:color w:val="auto"/>
              </w:rPr>
            </w:pPr>
            <w:r>
              <w:rPr>
                <w:rFonts w:ascii="Arial" w:cs="Arial" w:eastAsia="Arial" w:hAnsi="Arial"/>
                <w:sz w:val="18"/>
                <w:szCs w:val="18"/>
                <w:color w:val="auto"/>
              </w:rPr>
              <w:t>XBRL Schema Document</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101.CAL***</w:t>
            </w:r>
          </w:p>
        </w:tc>
        <w:tc>
          <w:tcPr>
            <w:tcW w:w="8400" w:type="dxa"/>
            <w:vAlign w:val="bottom"/>
          </w:tcPr>
          <w:p>
            <w:pPr>
              <w:ind w:left="420"/>
              <w:spacing w:after="0"/>
              <w:rPr>
                <w:sz w:val="20"/>
                <w:szCs w:val="20"/>
                <w:color w:val="auto"/>
              </w:rPr>
            </w:pPr>
            <w:r>
              <w:rPr>
                <w:rFonts w:ascii="Arial" w:cs="Arial" w:eastAsia="Arial" w:hAnsi="Arial"/>
                <w:sz w:val="18"/>
                <w:szCs w:val="18"/>
                <w:color w:val="auto"/>
              </w:rPr>
              <w:t>XBRL Calculation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101.LAB</w:t>
            </w:r>
          </w:p>
        </w:tc>
        <w:tc>
          <w:tcPr>
            <w:tcW w:w="8400" w:type="dxa"/>
            <w:vAlign w:val="bottom"/>
          </w:tcPr>
          <w:p>
            <w:pPr>
              <w:ind w:left="420"/>
              <w:spacing w:after="0"/>
              <w:rPr>
                <w:sz w:val="20"/>
                <w:szCs w:val="20"/>
                <w:color w:val="auto"/>
              </w:rPr>
            </w:pPr>
            <w:r>
              <w:rPr>
                <w:rFonts w:ascii="Arial" w:cs="Arial" w:eastAsia="Arial" w:hAnsi="Arial"/>
                <w:sz w:val="18"/>
                <w:szCs w:val="18"/>
                <w:color w:val="auto"/>
              </w:rPr>
              <w:t>XBRL Labels Linkbase Document</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101.PRE***</w:t>
            </w:r>
          </w:p>
        </w:tc>
        <w:tc>
          <w:tcPr>
            <w:tcW w:w="8400" w:type="dxa"/>
            <w:vAlign w:val="bottom"/>
          </w:tcPr>
          <w:p>
            <w:pPr>
              <w:ind w:left="420"/>
              <w:spacing w:after="0"/>
              <w:rPr>
                <w:sz w:val="20"/>
                <w:szCs w:val="20"/>
                <w:color w:val="auto"/>
              </w:rPr>
            </w:pPr>
            <w:r>
              <w:rPr>
                <w:rFonts w:ascii="Arial" w:cs="Arial" w:eastAsia="Arial" w:hAnsi="Arial"/>
                <w:sz w:val="18"/>
                <w:szCs w:val="18"/>
                <w:color w:val="auto"/>
              </w:rPr>
              <w:t>XBRL Presentation Linkbase Document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101.DEF***</w:t>
            </w:r>
          </w:p>
        </w:tc>
        <w:tc>
          <w:tcPr>
            <w:tcW w:w="8400" w:type="dxa"/>
            <w:vAlign w:val="bottom"/>
          </w:tcPr>
          <w:p>
            <w:pPr>
              <w:ind w:left="420"/>
              <w:spacing w:after="0"/>
              <w:rPr>
                <w:sz w:val="20"/>
                <w:szCs w:val="20"/>
                <w:color w:val="auto"/>
              </w:rPr>
            </w:pPr>
            <w:r>
              <w:rPr>
                <w:rFonts w:ascii="Arial" w:cs="Arial" w:eastAsia="Arial" w:hAnsi="Arial"/>
                <w:sz w:val="18"/>
                <w:szCs w:val="18"/>
                <w:color w:val="auto"/>
              </w:rPr>
              <w:t>XBRL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5100" w:firstLine="8"/>
        <w:spacing w:after="0" w:line="258" w:lineRule="auto"/>
        <w:tabs>
          <w:tab w:leader="none" w:pos="1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8"/>
        <w:spacing w:after="0" w:line="264"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Users of this data are advised that,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 under these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MISTRAS GROUP, INC.</w:t>
      </w:r>
    </w:p>
    <w:p>
      <w:pPr>
        <w:spacing w:after="0" w:line="23" w:lineRule="exact"/>
        <w:rPr>
          <w:sz w:val="20"/>
          <w:szCs w:val="20"/>
          <w:color w:val="auto"/>
        </w:rPr>
      </w:pPr>
    </w:p>
    <w:p>
      <w:pPr>
        <w:ind w:left="5780"/>
        <w:spacing w:after="0"/>
        <w:tabs>
          <w:tab w:leader="none" w:pos="6280" w:val="left"/>
        </w:tabs>
        <w:rPr>
          <w:sz w:val="20"/>
          <w:szCs w:val="20"/>
          <w:color w:val="auto"/>
        </w:rPr>
      </w:pPr>
      <w:r>
        <w:rPr>
          <w:rFonts w:ascii="Arial" w:cs="Arial" w:eastAsia="Arial" w:hAnsi="Arial"/>
          <w:sz w:val="18"/>
          <w:szCs w:val="18"/>
          <w:color w:val="auto"/>
        </w:rPr>
        <w:t>By:</w:t>
        <w:tab/>
        <w:t>/s/ SOTIRIOS J. VAHAVIOLOS</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2013</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the undersigned directors and officers of Mistras Group, Inc., hereby severally constitute Sotirios J. Vahaviolos, Francis T. Joyce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power of attorney may only be revoked by a written document executed by the undersigned that expressly revokes this power by referring to the date and subject hereof.</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Signature</w:t>
            </w:r>
          </w:p>
        </w:tc>
        <w:tc>
          <w:tcPr>
            <w:tcW w:w="300" w:type="dxa"/>
            <w:vAlign w:val="bottom"/>
          </w:tcPr>
          <w:p>
            <w:pPr>
              <w:spacing w:after="0"/>
              <w:rPr>
                <w:sz w:val="14"/>
                <w:szCs w:val="14"/>
                <w:color w:val="auto"/>
              </w:rPr>
            </w:pPr>
          </w:p>
        </w:tc>
        <w:tc>
          <w:tcPr>
            <w:tcW w:w="45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Title</w:t>
            </w:r>
          </w:p>
        </w:tc>
        <w:tc>
          <w:tcPr>
            <w:tcW w:w="300" w:type="dxa"/>
            <w:vAlign w:val="bottom"/>
          </w:tcPr>
          <w:p>
            <w:pPr>
              <w:spacing w:after="0"/>
              <w:rPr>
                <w:sz w:val="14"/>
                <w:szCs w:val="14"/>
                <w:color w:val="auto"/>
              </w:rPr>
            </w:pPr>
          </w:p>
        </w:tc>
        <w:tc>
          <w:tcPr>
            <w:tcW w:w="266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Date</w:t>
            </w:r>
          </w:p>
        </w:tc>
      </w:tr>
      <w:tr>
        <w:trPr>
          <w:trHeight w:val="42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/s/Sotirios J. Vahaviolos</w:t>
            </w:r>
          </w:p>
        </w:tc>
        <w:tc>
          <w:tcPr>
            <w:tcW w:w="30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Chairman, President and Chief Executive</w:t>
            </w:r>
          </w:p>
        </w:tc>
        <w:tc>
          <w:tcPr>
            <w:tcW w:w="2960" w:type="dxa"/>
            <w:vAlign w:val="bottom"/>
            <w:gridSpan w:val="2"/>
          </w:tcPr>
          <w:p>
            <w:pPr>
              <w:ind w:left="300"/>
              <w:spacing w:after="0"/>
              <w:rPr>
                <w:sz w:val="20"/>
                <w:szCs w:val="20"/>
                <w:color w:val="auto"/>
              </w:rPr>
            </w:pPr>
            <w:r>
              <w:rPr>
                <w:rFonts w:ascii="Arial" w:cs="Arial" w:eastAsia="Arial" w:hAnsi="Arial"/>
                <w:sz w:val="18"/>
                <w:szCs w:val="18"/>
                <w:color w:val="auto"/>
              </w:rPr>
              <w:t>August 14, 2013</w:t>
            </w: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rPr>
              <w:t>Sotirios J. Vahaviolos</w:t>
            </w:r>
          </w:p>
        </w:tc>
        <w:tc>
          <w:tcPr>
            <w:tcW w:w="30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Officer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and Director</w:t>
            </w:r>
          </w:p>
        </w:tc>
        <w:tc>
          <w:tcPr>
            <w:tcW w:w="30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3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Francis T. Joyce</w:t>
            </w:r>
          </w:p>
        </w:tc>
        <w:tc>
          <w:tcPr>
            <w:tcW w:w="30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Executive Vice President, Chief Financial</w:t>
            </w:r>
          </w:p>
        </w:tc>
        <w:tc>
          <w:tcPr>
            <w:tcW w:w="2960" w:type="dxa"/>
            <w:vAlign w:val="bottom"/>
            <w:gridSpan w:val="2"/>
          </w:tcPr>
          <w:p>
            <w:pPr>
              <w:ind w:left="300"/>
              <w:spacing w:after="0"/>
              <w:rPr>
                <w:sz w:val="20"/>
                <w:szCs w:val="20"/>
                <w:color w:val="auto"/>
              </w:rPr>
            </w:pPr>
            <w:r>
              <w:rPr>
                <w:rFonts w:ascii="Arial" w:cs="Arial" w:eastAsia="Arial" w:hAnsi="Arial"/>
                <w:sz w:val="18"/>
                <w:szCs w:val="18"/>
                <w:color w:val="auto"/>
              </w:rPr>
              <w:t>August 14, 2013</w:t>
            </w: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rPr>
              <w:t>Francis T. Joyce</w:t>
            </w:r>
          </w:p>
        </w:tc>
        <w:tc>
          <w:tcPr>
            <w:tcW w:w="30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Officer and Treasurer (</w:t>
            </w:r>
            <w:r>
              <w:rPr>
                <w:rFonts w:ascii="Arial" w:cs="Arial" w:eastAsia="Arial" w:hAnsi="Arial"/>
                <w:sz w:val="18"/>
                <w:szCs w:val="18"/>
                <w:i w:val="1"/>
                <w:iCs w:val="1"/>
                <w:color w:val="auto"/>
              </w:rPr>
              <w:t>Principal Financial and</w:t>
            </w:r>
          </w:p>
        </w:tc>
        <w:tc>
          <w:tcPr>
            <w:tcW w:w="30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3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/s/Daniel M. Dickinson</w:t>
            </w:r>
          </w:p>
        </w:tc>
        <w:tc>
          <w:tcPr>
            <w:tcW w:w="30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960" w:type="dxa"/>
            <w:vAlign w:val="bottom"/>
            <w:gridSpan w:val="2"/>
          </w:tcPr>
          <w:p>
            <w:pPr>
              <w:ind w:left="300"/>
              <w:spacing w:after="0"/>
              <w:rPr>
                <w:sz w:val="20"/>
                <w:szCs w:val="20"/>
                <w:color w:val="auto"/>
              </w:rPr>
            </w:pPr>
            <w:r>
              <w:rPr>
                <w:rFonts w:ascii="Arial" w:cs="Arial" w:eastAsia="Arial" w:hAnsi="Arial"/>
                <w:sz w:val="18"/>
                <w:szCs w:val="18"/>
                <w:color w:val="auto"/>
              </w:rPr>
              <w:t>August 14, 2013</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Daniel M. Dickinson</w:t>
            </w:r>
          </w:p>
        </w:tc>
        <w:tc>
          <w:tcPr>
            <w:tcW w:w="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Forese</w:t>
            </w:r>
          </w:p>
        </w:tc>
        <w:tc>
          <w:tcPr>
            <w:tcW w:w="30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960" w:type="dxa"/>
            <w:vAlign w:val="bottom"/>
            <w:gridSpan w:val="2"/>
          </w:tcPr>
          <w:p>
            <w:pPr>
              <w:ind w:left="300"/>
              <w:spacing w:after="0"/>
              <w:rPr>
                <w:sz w:val="20"/>
                <w:szCs w:val="20"/>
                <w:color w:val="auto"/>
              </w:rPr>
            </w:pPr>
            <w:r>
              <w:rPr>
                <w:rFonts w:ascii="Arial" w:cs="Arial" w:eastAsia="Arial" w:hAnsi="Arial"/>
                <w:sz w:val="18"/>
                <w:szCs w:val="18"/>
                <w:color w:val="auto"/>
              </w:rPr>
              <w:t>August 14, 2013</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James J. Forese</w:t>
            </w:r>
          </w:p>
        </w:tc>
        <w:tc>
          <w:tcPr>
            <w:tcW w:w="3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tcPr>
          <w:p>
            <w:pPr>
              <w:spacing w:after="0"/>
              <w:rPr>
                <w:sz w:val="19"/>
                <w:szCs w:val="19"/>
                <w:color w:val="auto"/>
              </w:rPr>
            </w:pPr>
          </w:p>
        </w:tc>
      </w:tr>
    </w:tbl>
    <w:p>
      <w:pPr>
        <w:sectPr>
          <w:pgSz w:w="11900" w:h="16925" w:orient="portrait"/>
          <w:cols w:equalWidth="0" w:num="1">
            <w:col w:w="11420"/>
          </w:cols>
          <w:pgMar w:left="240" w:top="341" w:right="23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H. Glanton</w:t>
            </w:r>
          </w:p>
        </w:tc>
        <w:tc>
          <w:tcPr>
            <w:tcW w:w="14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6380" w:type="dxa"/>
            <w:vAlign w:val="bottom"/>
          </w:tcPr>
          <w:p>
            <w:pPr>
              <w:ind w:left="3680"/>
              <w:spacing w:after="0"/>
              <w:rPr>
                <w:sz w:val="20"/>
                <w:szCs w:val="20"/>
                <w:color w:val="auto"/>
              </w:rPr>
            </w:pPr>
            <w:r>
              <w:rPr>
                <w:rFonts w:ascii="Arial" w:cs="Arial" w:eastAsia="Arial" w:hAnsi="Arial"/>
                <w:sz w:val="18"/>
                <w:szCs w:val="18"/>
                <w:color w:val="auto"/>
              </w:rPr>
              <w:t>August 14, 2013</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Richard H. Glanton</w:t>
            </w:r>
          </w:p>
        </w:tc>
        <w:tc>
          <w:tcPr>
            <w:tcW w:w="142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/s/Ellen T. Ruff</w:t>
            </w:r>
          </w:p>
        </w:tc>
        <w:tc>
          <w:tcPr>
            <w:tcW w:w="14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6380" w:type="dxa"/>
            <w:vAlign w:val="bottom"/>
          </w:tcPr>
          <w:p>
            <w:pPr>
              <w:ind w:left="3680"/>
              <w:spacing w:after="0"/>
              <w:rPr>
                <w:sz w:val="20"/>
                <w:szCs w:val="20"/>
                <w:color w:val="auto"/>
              </w:rPr>
            </w:pPr>
            <w:r>
              <w:rPr>
                <w:rFonts w:ascii="Arial" w:cs="Arial" w:eastAsia="Arial" w:hAnsi="Arial"/>
                <w:sz w:val="18"/>
                <w:szCs w:val="18"/>
                <w:color w:val="auto"/>
              </w:rPr>
              <w:t>August 14, 2013</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Ellen T. Ruff</w:t>
            </w:r>
          </w:p>
        </w:tc>
        <w:tc>
          <w:tcPr>
            <w:tcW w:w="142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Lange</w:t>
            </w:r>
          </w:p>
        </w:tc>
        <w:tc>
          <w:tcPr>
            <w:tcW w:w="14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6380" w:type="dxa"/>
            <w:vAlign w:val="bottom"/>
          </w:tcPr>
          <w:p>
            <w:pPr>
              <w:ind w:left="3680"/>
              <w:spacing w:after="0"/>
              <w:rPr>
                <w:sz w:val="20"/>
                <w:szCs w:val="20"/>
                <w:color w:val="auto"/>
              </w:rPr>
            </w:pPr>
            <w:r>
              <w:rPr>
                <w:rFonts w:ascii="Arial" w:cs="Arial" w:eastAsia="Arial" w:hAnsi="Arial"/>
                <w:sz w:val="18"/>
                <w:szCs w:val="18"/>
                <w:color w:val="auto"/>
              </w:rPr>
              <w:t>August 14, 2013</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Michael J. Lange</w:t>
            </w:r>
          </w:p>
        </w:tc>
        <w:tc>
          <w:tcPr>
            <w:tcW w:w="142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/s/Manuel N. Stamatakis</w:t>
            </w:r>
          </w:p>
        </w:tc>
        <w:tc>
          <w:tcPr>
            <w:tcW w:w="1420" w:type="dxa"/>
            <w:vAlign w:val="bottom"/>
          </w:tcPr>
          <w:p>
            <w:pPr>
              <w:ind w:left="300"/>
              <w:spacing w:after="0"/>
              <w:rPr>
                <w:sz w:val="20"/>
                <w:szCs w:val="20"/>
                <w:color w:val="auto"/>
              </w:rPr>
            </w:pPr>
            <w:r>
              <w:rPr>
                <w:rFonts w:ascii="Arial" w:cs="Arial" w:eastAsia="Arial" w:hAnsi="Arial"/>
                <w:sz w:val="18"/>
                <w:szCs w:val="18"/>
                <w:color w:val="auto"/>
              </w:rPr>
              <w:t>Director</w:t>
            </w:r>
          </w:p>
        </w:tc>
        <w:tc>
          <w:tcPr>
            <w:tcW w:w="6380" w:type="dxa"/>
            <w:vAlign w:val="bottom"/>
          </w:tcPr>
          <w:p>
            <w:pPr>
              <w:ind w:left="3680"/>
              <w:spacing w:after="0"/>
              <w:rPr>
                <w:sz w:val="20"/>
                <w:szCs w:val="20"/>
                <w:color w:val="auto"/>
              </w:rPr>
            </w:pPr>
            <w:r>
              <w:rPr>
                <w:rFonts w:ascii="Arial" w:cs="Arial" w:eastAsia="Arial" w:hAnsi="Arial"/>
                <w:sz w:val="18"/>
                <w:szCs w:val="18"/>
                <w:color w:val="auto"/>
              </w:rPr>
              <w:t>August 14, 2013</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Manuel N. Stamatakis</w:t>
            </w:r>
          </w:p>
        </w:tc>
        <w:tc>
          <w:tcPr>
            <w:tcW w:w="142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418"/>
        </w:trPr>
        <w:tc>
          <w:tcPr>
            <w:tcW w:w="3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380" w:type="dxa"/>
            <w:vAlign w:val="bottom"/>
          </w:tcPr>
          <w:p>
            <w:pPr>
              <w:ind w:left="540"/>
              <w:spacing w:after="0"/>
              <w:rPr>
                <w:sz w:val="20"/>
                <w:szCs w:val="20"/>
                <w:color w:val="auto"/>
              </w:rPr>
            </w:pPr>
            <w:r>
              <w:rPr>
                <w:rFonts w:ascii="Arial" w:cs="Arial" w:eastAsia="Arial" w:hAnsi="Arial"/>
                <w:sz w:val="18"/>
                <w:szCs w:val="18"/>
                <w:color w:val="auto"/>
              </w:rPr>
              <w:t>84</w:t>
            </w:r>
          </w:p>
        </w:tc>
      </w:tr>
      <w:tr>
        <w:trPr>
          <w:trHeight w:val="132"/>
        </w:trPr>
        <w:tc>
          <w:tcPr>
            <w:tcW w:w="366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63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61" w:name="page62"/>
    <w:bookmarkEnd w:id="61"/>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Due to the competitive nature of the NDT business and the need for executive and managerial talent in the industry, executives and managers of Mistras Group, Inc. (“</w:t>
      </w:r>
      <w:r>
        <w:rPr>
          <w:rFonts w:ascii="Arial" w:cs="Arial" w:eastAsia="Arial" w:hAnsi="Arial"/>
          <w:sz w:val="17"/>
          <w:szCs w:val="17"/>
          <w:u w:val="single" w:color="auto"/>
          <w:color w:val="auto"/>
        </w:rPr>
        <w:t>Mistras</w:t>
      </w:r>
      <w:r>
        <w:rPr>
          <w:rFonts w:ascii="Arial" w:cs="Arial" w:eastAsia="Arial" w:hAnsi="Arial"/>
          <w:sz w:val="17"/>
          <w:szCs w:val="17"/>
          <w:color w:val="auto"/>
        </w:rPr>
        <w:t>”) and its subsidiaries (Mistras and its subsidiaries are collectively referred to as the “</w:t>
      </w:r>
      <w:r>
        <w:rPr>
          <w:rFonts w:ascii="Arial" w:cs="Arial" w:eastAsia="Arial" w:hAnsi="Arial"/>
          <w:sz w:val="17"/>
          <w:szCs w:val="17"/>
          <w:u w:val="single" w:color="auto"/>
          <w:color w:val="auto"/>
        </w:rPr>
        <w:t>Company</w:t>
      </w:r>
      <w:r>
        <w:rPr>
          <w:rFonts w:ascii="Arial" w:cs="Arial" w:eastAsia="Arial" w:hAnsi="Arial"/>
          <w:sz w:val="17"/>
          <w:szCs w:val="17"/>
          <w:color w:val="auto"/>
        </w:rPr>
        <w:t>”) have been and will continue to be recruited by other companies. In order to attract and retain executive and managerial talent, the Compensation Committee of the Board of Directors of Mistras, in consultation with management, has implemented this severance plan (the “</w:t>
      </w:r>
      <w:r>
        <w:rPr>
          <w:rFonts w:ascii="Arial" w:cs="Arial" w:eastAsia="Arial" w:hAnsi="Arial"/>
          <w:sz w:val="17"/>
          <w:szCs w:val="17"/>
          <w:u w:val="single" w:color="auto"/>
          <w:color w:val="auto"/>
        </w:rPr>
        <w:t>Plan</w:t>
      </w:r>
      <w:r>
        <w:rPr>
          <w:rFonts w:ascii="Arial" w:cs="Arial" w:eastAsia="Arial" w:hAnsi="Arial"/>
          <w:sz w:val="17"/>
          <w:szCs w:val="17"/>
          <w:color w:val="auto"/>
        </w:rPr>
        <w:t>”). This Plan is designed to provide its participants with some level of continued income and benefits upon the termination of their employment with the Company under certain circumstances.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Participants who receive the benefit of this Plan (“</w:t>
      </w:r>
      <w:r>
        <w:rPr>
          <w:rFonts w:ascii="Arial" w:cs="Arial" w:eastAsia="Arial" w:hAnsi="Arial"/>
          <w:sz w:val="18"/>
          <w:szCs w:val="18"/>
          <w:u w:val="single" w:color="auto"/>
          <w:color w:val="auto"/>
        </w:rPr>
        <w:t>Participants</w:t>
      </w:r>
      <w:r>
        <w:rPr>
          <w:rFonts w:ascii="Arial" w:cs="Arial" w:eastAsia="Arial" w:hAnsi="Arial"/>
          <w:sz w:val="18"/>
          <w:szCs w:val="18"/>
          <w:color w:val="auto"/>
        </w:rPr>
        <w:t>”) are U.S. based full time employees of the Company who 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Executive Officers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Presidents and Corporate Vice Presidents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managers or divisional vice presidents selected by the CEO and approved by the Compensation Committee</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any Participant is party to an individual agreement with the Company that provides for severance benefits in the event of termination of employment with the Company, the individual will not be eligible to participate in the Plan until the termination or expiration of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Circumstance for Severance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Severance benefits are payable to a Participant pursuant to this Plan in the following circumstances:</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Participant’s employment with the Company is terminated by the Company without Cause, with “Cause” being any of the following:</w:t>
      </w:r>
    </w:p>
    <w:p>
      <w:pPr>
        <w:spacing w:after="0" w:line="225"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Participant is convicted of or pleads nolo contendere to a felony;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Participant is indicted for the commission of a felony against the Company that has a materially adverse effect on the Company’s business;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Participant commits fraud or a material act or omission involving dishonesty with respect to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Participant willfully fails or refuses to carry out the material responsibilities of his or her employment;</w:t>
      </w:r>
    </w:p>
    <w:p>
      <w:pPr>
        <w:spacing w:after="0" w:line="225" w:lineRule="exact"/>
        <w:rPr>
          <w:rFonts w:ascii="Arial" w:cs="Arial" w:eastAsia="Arial" w:hAnsi="Arial"/>
          <w:sz w:val="18"/>
          <w:szCs w:val="18"/>
          <w:color w:val="auto"/>
        </w:rPr>
      </w:pPr>
    </w:p>
    <w:p>
      <w:pPr>
        <w:ind w:right="1220" w:firstLine="332"/>
        <w:spacing w:after="0" w:line="528" w:lineRule="auto"/>
        <w:tabs>
          <w:tab w:leader="none" w:pos="6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Participant commits a willful act (or failure to act) that constitutes gross negligence which is materially injurious to the Company; or [April 2013]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660" w:right="240" w:hanging="328"/>
        <w:spacing w:after="0" w:line="277" w:lineRule="auto"/>
        <w:tabs>
          <w:tab w:leader="none" w:pos="6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Participant willfully violates a material policy of the Company, including policies on business ethics and conduct, and policies on the use of inside information and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willful act or omission by a Participant means an act or omission not in good faith and without reasonable belief that the action or omission was in the best interest of the Company.</w:t>
      </w:r>
    </w:p>
    <w:p>
      <w:pPr>
        <w:spacing w:after="0" w:line="17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for Good Reason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Participant’s employment with the Company is terminated by the Participant for “Good Reason,” with “Good Reason” being any of the following:</w:t>
      </w:r>
    </w:p>
    <w:p>
      <w:pPr>
        <w:spacing w:after="0" w:line="237" w:lineRule="exact"/>
        <w:rPr>
          <w:sz w:val="20"/>
          <w:szCs w:val="20"/>
          <w:color w:val="auto"/>
        </w:rPr>
      </w:pPr>
    </w:p>
    <w:p>
      <w:pPr>
        <w:ind w:left="660" w:right="140" w:hanging="328"/>
        <w:spacing w:after="0" w:line="308" w:lineRule="auto"/>
        <w:tabs>
          <w:tab w:leader="none" w:pos="65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is a material adverse change in Participant’s status or position, including a material diminution of his or her position, duties, responsibilities or authority or the assignment to him of duties or responsibilities that are materially inconsistent with his status or position;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reduction in Participant’s annual base salary or failure to pay same;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reduction in Participant’s total target incentive award opportunities during a fiscal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relocation of Participant’s principal place of employment by more than 50 miles from the then current location;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Participant is directed by the Board of Directors of Mistras or a higher level officer of the Company to engage in conduct that is unethical or illegal;</w:t>
      </w:r>
    </w:p>
    <w:p>
      <w:pPr>
        <w:spacing w:after="0" w:line="248" w:lineRule="exact"/>
        <w:rPr>
          <w:rFonts w:ascii="Arial" w:cs="Arial" w:eastAsia="Arial" w:hAnsi="Arial"/>
          <w:sz w:val="16"/>
          <w:szCs w:val="16"/>
          <w:color w:val="auto"/>
        </w:rPr>
      </w:pPr>
    </w:p>
    <w:p>
      <w:pPr>
        <w:ind w:left="660" w:right="380" w:hanging="328"/>
        <w:spacing w:after="0" w:line="277" w:lineRule="auto"/>
        <w:tabs>
          <w:tab w:leader="none" w:pos="65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connection with a Change in Control (as defined below), the failure or refusal by the successor or acquiring company to expressly assume the obligations of the Company under this Plan at the time of the Change in Control;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is a material adverse change to this Plan.</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Plan does not apply to the termination of employment under any other circumstances or for any reason except as expressly enumerated above. This Plan does not apply to the termination of a Participant’s employment due to the Participant’s death or disability. Disability means the Participant cannot perform,</w:t>
      </w:r>
    </w:p>
    <w:p>
      <w:pPr>
        <w:sectPr>
          <w:pgSz w:w="11900" w:h="16908" w:orient="portrait"/>
          <w:cols w:equalWidth="0" w:num="1">
            <w:col w:w="11420"/>
          </w:cols>
          <w:pgMar w:left="240" w:top="121" w:right="239" w:bottom="0" w:gutter="0" w:footer="0" w:header="0"/>
        </w:sectPr>
      </w:pPr>
    </w:p>
    <w:bookmarkStart w:id="62" w:name="page63"/>
    <w:bookmarkEnd w:id="62"/>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reasonable accommodations, the essential and customary functions and responsibilities of his or her position for 150 consecutive calendar days or 150 or more calendar days in any 365 consecutive calendar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Conditions to Receive Severance</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order to receive any benefits under this Plan, a Participant must sign a release agreement as a condition for severance benefits. The release agreement will provide the Company, its affiliates, and all officers, directors, employees and other representatives of the Company and its affiliates with a full release of any claims the Participant may have against them. In addition, the release agreement will have customary confidential requirements, non-compete/non-solicitation restrictions during the period a Participant is receiving severance payments (the “Restricted Period”), an acknowledgement of the Company’s ownership of intellectual property, and a requirement to return all Company property.</w:t>
      </w:r>
    </w:p>
    <w:p>
      <w:pPr>
        <w:spacing w:after="0" w:line="17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order for the release agreement to be binding and effective, the Participant must sign the release agreement and return it to the Company within 21 days after he or she receives it and not have rescinded it within any applicable rescission period, which will generally be 7 days unless a longer period 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required by law. The Company will endeavor to provide the Participant with the release agreement within 10 days after his or her termination of employment.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229" w:lineRule="exact"/>
        <w:rPr>
          <w:sz w:val="20"/>
          <w:szCs w:val="20"/>
          <w:color w:val="auto"/>
        </w:rPr>
      </w:pPr>
    </w:p>
    <w:p>
      <w:pPr>
        <w:ind w:left="580" w:hanging="329"/>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Change in Control</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a Participant’s employment is terminated by the Company without Cause or a Participant terminates employment for Good Reason in a situation not involving a Change in Control, as defined below, the following shall be the paid to the Participant: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Chief Executive Officer: 18 months base salary plus a pro rata portion of the annual cash bonus for the year in which Participant is terminated. The bonus amount shall be at the payout rate based upon Company performance at Participant’s target bonus opportunity.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Executive Officers: 12 months base salary plus a pro rata portion of the annual cash bonus for the year in which Participant is terminated. The bonus amount shall be at the payout rate based upon Company performance at Participant’s target bonus opportunity.</w:t>
      </w:r>
    </w:p>
    <w:p>
      <w:pPr>
        <w:spacing w:after="0" w:line="170"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Senior Vice President and Vice Presidents: 9 months base salary plus a pro rata portion of the annual cash bonus for the year in which Participant is terminated. The bonus amount shall be at the payout rate based upon Company performance at Participant’s target bonus opportunity.</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other Participants: 6 months base salary plus a pro rata portion of the annual cash bonus for the year in which employee is terminated. The bonus amount shall be at the payout rate based upon Company performance at Participant’s target bonus opportunity.</w:t>
      </w:r>
    </w:p>
    <w:p>
      <w:pPr>
        <w:spacing w:after="0" w:line="17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annual cash bonus for the most recently completed fiscal year shall be payable as if a Participant was still employed with the Company at time the bonuses are paid, should termination occur after the end of the fiscal year and before payment of the annual bonus.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Control</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 Participant’s employment is terminated by the Company without Cause or a Participant terminates employment for Good Reason, in either case within 6 months before or 2 years after a Change in Control, as defined below, the following shall be the paid to the Participant: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24 months base salary plus 2 years of annual cash bonus at Participant’s target bonus opportunity.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Executive Officers: 18 months base salary plus 1-1/2 years of annual cash bonus at Participant’s target bonus opportunity.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Vice Presidents: 12 months base salary plus 1 year of annual cash bonus at Participant’s target bonus opportunity.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Participants: 9 months base salary plus 75% of one year of annual cash bonus at Participant’s target bonus opportunity.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annual cash bonus for the most recently completed fiscal year shall be payable as if a Participant was still employed with the Company at time the bonuses are paid, should termination occur after the end of the fiscal year and before payment of the annual bonus.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purposes of this Plan, a “Change in Control” shall be deemed to have occurred if (a) any person (within the meaning of Section 13(d)(3) or 14(d)(2) of the Securities Exchange Act of 1934 (“Exchange Act”)) becomes the beneficial owner (within the meaning of Exchange Act Rule 13d-3) of securities of Mistras (not including in the securities beneficially owned by such person any securities acquired directly from Mistras or its affiliates) representing 40% or more of the combined voting power of the Mistras’ then outstanding voting securities, other than (1) Sotirios Vahaviolos, (2) Mistras, (3) any employee benefit plan of Mistras, (4) any entity owned directly or indirectly by the shareholders of Mistras in substantially the same proportion as their ownership of stock of Mistras, or (5) any person who becomes a beneficial owner directly or indirectly of securities of Mistras pursuant to a transaction described in (b) below which meets the exceptions in (b) (1) - (3) below; or (b) there shall have been consummated a consolidation, merger or reorganization of Mistras, unless (1) the stockholders of Mistras immediately before such consolidation, merger or reorganization own, directly or indirectly, at least a majority of the combined voting power of the outstanding voting securities of Mistras or other entity resulting from such consolidation, merger or reorganization, (2) individuals who were members of the Board of Directors of Mistras (the “Board”) immediately prior to the execution of the agreement providing for such consolidation, merger or reorganization constitute a majority of the board of directors of the surviving corporation or of a corporation directly or indirectly beneficially owning a majority of the voting securities of the surviving corporation, and (3) no person beneficially owns more than 50% of the combined voting power of the then</w:t>
      </w:r>
    </w:p>
    <w:p>
      <w:pPr>
        <w:sectPr>
          <w:pgSz w:w="11900" w:h="16930" w:orient="portrait"/>
          <w:cols w:equalWidth="0" w:num="1">
            <w:col w:w="11420"/>
          </w:cols>
          <w:pgMar w:left="240" w:top="125" w:right="239" w:bottom="0" w:gutter="0" w:footer="0" w:header="0"/>
        </w:sectPr>
      </w:pPr>
    </w:p>
    <w:bookmarkStart w:id="63" w:name="page64"/>
    <w:bookmarkEnd w:id="63"/>
    <w:p>
      <w:pPr>
        <w:spacing w:after="0" w:line="1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outstanding voting securities of the surviving corporation (other than a person who is (A) Mistras or a subsidiary of Mistras, (B) an employee benefit plan maintained by Mistras, the surviving corporation or any subsidiary, or (C) the beneficial owner of 50% or more of the combined voting power of the outstanding voting securities of Mistras immediately prior to such consolidation, merger or reorganization); or (c) individuals who are directors or director nominees of Mistras as of January 1, 2013 (the “Incumbent Board”) cease for any reason to constitute a majority of the Board, provided that any individual becoming a director subsequent to January 1, 2013 whose appointment or nomination for election by Mistras’ stockholders, was approved by a vote of at least two-thirds of the Incumbent Board shall be considered as though such individual was a member of the Incumbent Board; or (d) the stockholders of Mistras approve the complete liquidation or dissolution of Mistras, or a sale or other disposition of all or substantially all of the assets of Mistras (other than to an entity described in (a)(5) above).</w:t>
      </w:r>
    </w:p>
    <w:p>
      <w:pPr>
        <w:spacing w:after="0" w:line="19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Severance payments under this Plan shall be paid pursuant to the Company’s normal payroll cycle in which the Participant was paid immediately prior to the termination of employment. Each payment shall be treated as a separate payment for purposes of Section 409A of the Internal Revenue Code (or any successor provision). Payments will begin being paid as promptly as reasonably possible following the Participant’s return of the signed release agreement and the expiration of any relevant rescission period. If a Participant has the ability to enable payments hereunder to commence in the year employment is terminated or the following year, based upon the amount of time the Participant takes to return the signed release, payments will not commence until the year following termination of employment. If a Participant is entitled to payment pursuant to this Plan of deferred compensation subject to section 409A prior to six months after such Participant’s termination of employment, such payments will be deferred and paid in a lump sum after the end of such six-month period. Any such delay shall not affect the timing of other payments under this Plan.</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Severance not Earnings</w:t>
      </w:r>
      <w:r>
        <w:rPr>
          <w:rFonts w:ascii="Arial" w:cs="Arial" w:eastAsia="Arial" w:hAnsi="Arial"/>
          <w:sz w:val="18"/>
          <w:szCs w:val="18"/>
          <w:color w:val="auto"/>
        </w:rPr>
        <w:t xml:space="preserve">. Amounts payable under this Plan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included as earnings under any other Company plan, such Mistras 401(k) Savings Plan contributions subject to matching.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Benefits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u w:val="single" w:color="auto"/>
          <w:color w:val="auto"/>
        </w:rPr>
        <w:t>Medical Coverage</w:t>
      </w:r>
      <w:r>
        <w:rPr>
          <w:rFonts w:ascii="Arial" w:cs="Arial" w:eastAsia="Arial" w:hAnsi="Arial"/>
          <w:sz w:val="17"/>
          <w:szCs w:val="17"/>
          <w:color w:val="auto"/>
        </w:rPr>
        <w:t>. If a Participant is enrolled in a Company-sponsored medical plan at the time his or her employment is terminated, he or she may continue to participate in the medical plan for up to twelve (12) months following termination at the active employee rate. After the 12 months of active rate coverage, the Participant will be eligible to continue to participate in the medical plan for up to an additional 18 months at full cost under COBRA.</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u w:val="single" w:color="auto"/>
          <w:color w:val="auto"/>
        </w:rPr>
        <w:t>Life Insurance</w:t>
      </w:r>
      <w:r>
        <w:rPr>
          <w:rFonts w:ascii="Arial" w:cs="Arial" w:eastAsia="Arial" w:hAnsi="Arial"/>
          <w:sz w:val="18"/>
          <w:szCs w:val="18"/>
          <w:color w:val="auto"/>
        </w:rPr>
        <w:t>. A Participant may continue his or her group term life insurance coverage existing at the time employment is terminated at the active employee rate for up to 12 months following termination.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For purposes of benefits under this plan, base salary shall mean the highest annualized rate of base salary in effect for the Participant during the 12 month period preceding termination of employment.</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Benefits under all Company benefit plans and programs will terminate in accordance with the terms of those plans as they are normally applied to employees who resign or are terminated from their employment with the Company.</w:t>
      </w:r>
    </w:p>
    <w:p>
      <w:pPr>
        <w:spacing w:after="0" w:line="17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If a Participant’s employment is terminated by the Company without Cause or the Participant terminates employment for Good Reason, not in connection with a Change in Control, then during the Restricted Period (so long as the Participant is complying with the confidentiality requirements and the non-compete and non-solicitation restrictions in his or her release agreement), all equity awards will continue to vest, and with respect to any outstanding performance-based awards for which a measuring period ends before the end of such Restricted Period, the amount of any awards payable or vesting will be determined at the end of the applicable performance period as if the Participant’s employment had continued. Any vested stock options shall expire 90 days after the end of the Restricted Period.</w:t>
      </w:r>
    </w:p>
    <w:p>
      <w:pPr>
        <w:spacing w:after="0" w:line="19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If a Participant’s employment is terminated by the Company without Cause or the Participant terminates employment for Good Reason within 6 months before or 2 years after a Change in Control, all equity-based incentive awards granted to the Participant which were not paid out or fully vested in connection with the Change in Control shall become fully vested immediately, with the payout under any performance-based awards being equal to the target amount.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Compensation Committee of the Board (the “Committee”) shall administer this Plan and shall delegate administration of the Plan to a designated Plan Administrator (“Plan Administrator”). The Plan Administrator shall be initially the Vice President, Human Resources, until such time as another Plan Administrator is designated by the Committee. In addition, the Plan Administrator shall make, in his or her reasonable discretion, all determinations arising in the administration, construction, or interpretation of the Plan, including the rights to construe disputed Plan terms and provisions. All such determinations shall be conclusive and binding on all persons, except as otherwise provided by law. The Plan Administrator is authorized to approve exceptions to this Plan, in his or her reasonable discretion, within the limits prescribed by Section 409A of the Internal Revenue Code and other applicable laws. This Plan is intended to constitute separation pay for purposes of Section 409A of the Internal Revenue Code and ERISA to the extent permissible and is otherwise intended to be a deferred compensation plan maintained primarily for a select group of management or highly compensated employees and to comply with section 409A of the Code, and shall be interpreted strictly in accordance with such foregoing intent.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Company reserves the right to decide whether the circumstances justify the payment of benefits under this Plan in any particular case, and the decision of the Company is final.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Claims Procedure</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If a dispute arises between the Plan Administrator and a Participant or beneficiary over the amount of benefits payable under the Plan, the Participant or beneficiary may file a claim for benefits by notifying the Plan Administrator in writing of his or her claim. The Plan Administrator will review and adjudicate</w:t>
      </w:r>
    </w:p>
    <w:p>
      <w:pPr>
        <w:sectPr>
          <w:pgSz w:w="11900" w:h="16975" w:orient="portrait"/>
          <w:cols w:equalWidth="0" w:num="1">
            <w:col w:w="11400"/>
          </w:cols>
          <w:pgMar w:left="240" w:top="125" w:right="259" w:bottom="0" w:gutter="0" w:footer="0" w:header="0"/>
        </w:sectPr>
      </w:pPr>
    </w:p>
    <w:bookmarkStart w:id="64" w:name="page65"/>
    <w:bookmarkEnd w:id="64"/>
    <w:p>
      <w:pPr>
        <w:jc w:val="both"/>
        <w:ind w:right="60"/>
        <w:spacing w:after="0" w:line="259" w:lineRule="auto"/>
        <w:rPr>
          <w:sz w:val="20"/>
          <w:szCs w:val="20"/>
          <w:color w:val="auto"/>
        </w:rPr>
      </w:pPr>
      <w:r>
        <w:rPr>
          <w:rFonts w:ascii="Arial" w:cs="Arial" w:eastAsia="Arial" w:hAnsi="Arial"/>
          <w:sz w:val="18"/>
          <w:szCs w:val="18"/>
          <w:color w:val="auto"/>
        </w:rPr>
        <w:t>the claim. If the claimant and the Plan Administrator are unable to reach a mutually satisfactory resolution of the dispute, it will be submitted to arbitration under the rules of the American Arbitration Association. Each Participant agrees by continuing in his or her position which makes the Participant eligible to be a Participant, that arbitration will be the sole means of resolving disputes arising under the Plan and waives, on behalf of the Participant and any of his or her beneficiaries, any right to litigate any such dispute in a court of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&amp; Termination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Plan may be amended or terminated by the Company at any time for any reason, with or without notice. The Company reserves the right, by action of the Compensation Committee of the Board, or by any duly appointed successor committee or authorized delegate of the Board, to amend, modify, suspend or terminate this Plan and to disqualify employees from eligibility under the Plan at any time for any reason or for no reason with or without notice. Any such action is not contingent upon the financial condition of Mistras.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5" w:name="page66"/>
    <w:bookmarkEnd w:id="65"/>
    <w:p>
      <w:pPr>
        <w:ind w:left="10480"/>
        <w:spacing w:after="0"/>
        <w:rPr>
          <w:sz w:val="20"/>
          <w:szCs w:val="20"/>
          <w:color w:val="auto"/>
        </w:rPr>
      </w:pPr>
      <w:r>
        <w:rPr>
          <w:rFonts w:ascii="Arial" w:cs="Arial" w:eastAsia="Arial" w:hAnsi="Arial"/>
          <w:sz w:val="17"/>
          <w:szCs w:val="17"/>
          <w:b w:val="1"/>
          <w:bCs w:val="1"/>
          <w:color w:val="auto"/>
        </w:rPr>
        <w:t>Exhibit 21.1</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subsidiaries of the Company. The list omits some subsidiaries which, in the aggregate, would not constitute a significant subsidiary.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Other Names under which</w:t>
            </w:r>
          </w:p>
        </w:tc>
        <w:tc>
          <w:tcPr>
            <w:tcW w:w="2840" w:type="dxa"/>
            <w:vAlign w:val="bottom"/>
          </w:tcPr>
          <w:p>
            <w:pPr>
              <w:ind w:left="960"/>
              <w:spacing w:after="0"/>
              <w:rPr>
                <w:sz w:val="20"/>
                <w:szCs w:val="20"/>
                <w:color w:val="auto"/>
              </w:rPr>
            </w:pPr>
            <w:r>
              <w:rPr>
                <w:rFonts w:ascii="Arial" w:cs="Arial" w:eastAsia="Arial" w:hAnsi="Arial"/>
                <w:sz w:val="14"/>
                <w:szCs w:val="14"/>
                <w:b w:val="1"/>
                <w:bCs w:val="1"/>
                <w:color w:val="auto"/>
              </w:rPr>
              <w:t>Jurisdiction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3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Subsidiary Does Business</w:t>
            </w:r>
          </w:p>
        </w:tc>
        <w:tc>
          <w:tcPr>
            <w:tcW w:w="2840" w:type="dxa"/>
            <w:vAlign w:val="bottom"/>
          </w:tcPr>
          <w:p>
            <w:pPr>
              <w:ind w:left="1000"/>
              <w:spacing w:after="0"/>
              <w:rPr>
                <w:sz w:val="20"/>
                <w:szCs w:val="20"/>
                <w:color w:val="auto"/>
              </w:rPr>
            </w:pPr>
            <w:r>
              <w:rPr>
                <w:rFonts w:ascii="Arial" w:cs="Arial" w:eastAsia="Arial" w:hAnsi="Arial"/>
                <w:sz w:val="14"/>
                <w:szCs w:val="14"/>
                <w:b w:val="1"/>
                <w:bCs w:val="1"/>
                <w:color w:val="auto"/>
              </w:rPr>
              <w:t>Organization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CISMIS Springfield Corp.</w:t>
            </w:r>
          </w:p>
        </w:tc>
        <w:tc>
          <w:tcPr>
            <w:tcW w:w="30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Conam Inspection and Engineering Services, Inc.</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DIAPAC Ltd.</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Envirocoustics A.B.E.E.</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Greece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Canada Inc.</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Mistras GMA Holdings GmbH</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Germany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Group B.V.</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Mistras Group GmbH</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Germany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Group Limited</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Mistras Group S.A.</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International Holdings Inc.</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Mistras Metaltec Inc.</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Optimus Inc.</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Mistras Quebec Holdings Inc.</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NDT do Brasil Ltd.</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Nippon Physical Acoustics Ltd.</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Brazil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Physical Acoustics Argentina S.A.</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Physical Acoustics Corporation</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Physical Acoustics India Private Ltd.</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Physical Acoustics South America LTDA</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Brazil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Quality Services Laboratories, Inc.</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QSL NDT Inc.</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QSL NDT Alberta Inc.</w:t>
            </w:r>
          </w:p>
        </w:tc>
        <w:tc>
          <w:tcPr>
            <w:tcW w:w="3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ThermTech Services, Inc.</w:t>
            </w:r>
          </w:p>
        </w:tc>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Florida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47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2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on Form S-8 (No. 333-164688) and Form S-3 (No.333-173513) of Mistras Group, Inc. of our report dated August 14, 2013, with respect to the consolidated balance sheet of Mistras Group, Inc. and subsidiaries as of May 31, 2013, and the related consolidated statements of income, comprehensive income, equity and cash flows for the year ended May 31, 2013, and the effectiveness of internal control over financial reporting as of May 31, 2013, which report appears in the May 31, 2013 annual report on Form 10-K of Mistras Group, Inc. Our report includes an explanatory paragraph indicating that management excluded from its assessment of the effectiveness of the Company’s internal control over financial reporting as of May 31, 2013, internal control over financial reporting associated with its subsidiary, Mistras Group GmbH (GMA), representing approximately 17% of total assets (including approximately 12% of total assets related to goodwill and intangible assets that were included within the scope of its assessment) and approximately 8% of total revenues, included in the Company’s consolidated financial statements as of and for the year ended May 31, 2013. Our audit of internal control over financial reporting also excluded an evaluation of the internal control over financial reporting of GMA.</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333-173513) and on Form S-8 (No. 333-164688) of Mistras Group, Inc. of our report dated August 14, 2012 for the financial statements as of and for each of the two years in the period ended May 31, 2012, which appears in this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3"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14, 2013</w:t>
      </w:r>
    </w:p>
    <w:p>
      <w:pPr>
        <w:spacing w:after="0" w:line="225" w:lineRule="exact"/>
        <w:rPr>
          <w:sz w:val="20"/>
          <w:szCs w:val="20"/>
          <w:color w:val="auto"/>
        </w:rPr>
      </w:pPr>
    </w:p>
    <w:p>
      <w:pPr>
        <w:ind w:left="5780"/>
        <w:spacing w:after="0"/>
        <w:tabs>
          <w:tab w:leader="none" w:pos="6220" w:val="left"/>
        </w:tabs>
        <w:rPr>
          <w:sz w:val="20"/>
          <w:szCs w:val="20"/>
          <w:color w:val="auto"/>
        </w:rPr>
      </w:pPr>
      <w:r>
        <w:rPr>
          <w:rFonts w:ascii="Arial" w:cs="Arial" w:eastAsia="Arial" w:hAnsi="Arial"/>
          <w:sz w:val="18"/>
          <w:szCs w:val="18"/>
          <w:color w:val="auto"/>
        </w:rPr>
        <w:t>By:</w:t>
        <w:tab/>
        <w:t>/s/ SOTIRIOS J. VAHAVIOLOS</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Francis T. Joyce, certify that:</w:t>
      </w:r>
    </w:p>
    <w:p>
      <w:pPr>
        <w:spacing w:after="0" w:line="225"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3"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14, 2013</w:t>
      </w:r>
    </w:p>
    <w:p>
      <w:pPr>
        <w:spacing w:after="0" w:line="225" w:lineRule="exact"/>
        <w:rPr>
          <w:sz w:val="20"/>
          <w:szCs w:val="20"/>
          <w:color w:val="auto"/>
        </w:rPr>
      </w:pPr>
    </w:p>
    <w:p>
      <w:pPr>
        <w:ind w:left="578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FRANCIS T. JOYCE</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Treasurer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May 31, 2013, I, Sotirios Vahaviolos, Chairman, President, and Chief Executive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left="440" w:right="60" w:firstLine="8"/>
        <w:spacing w:after="0" w:line="277"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May 31, 2013,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440" w:right="620" w:firstLine="8"/>
        <w:spacing w:after="0" w:line="277"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May 31, 2013,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May 31, 2013, pursuant to 18 U.S.C.</w:t>
      </w:r>
    </w:p>
    <w:p>
      <w:pPr>
        <w:spacing w:after="0" w:line="46" w:lineRule="exact"/>
        <w:rPr>
          <w:sz w:val="20"/>
          <w:szCs w:val="20"/>
          <w:color w:val="auto"/>
        </w:rPr>
      </w:pPr>
    </w:p>
    <w:p>
      <w:pPr>
        <w:ind w:right="180" w:firstLine="8"/>
        <w:spacing w:after="0" w:line="323" w:lineRule="auto"/>
        <w:tabs>
          <w:tab w:leader="none" w:pos="135" w:val="left"/>
        </w:tabs>
        <w:numPr>
          <w:ilvl w:val="0"/>
          <w:numId w:val="50"/>
        </w:numPr>
        <w:rPr>
          <w:rFonts w:ascii="Arial" w:cs="Arial" w:eastAsia="Arial" w:hAnsi="Arial"/>
          <w:sz w:val="16"/>
          <w:szCs w:val="16"/>
          <w:color w:val="auto"/>
        </w:rPr>
      </w:pPr>
      <w:r>
        <w:rPr>
          <w:rFonts w:ascii="Arial" w:cs="Arial" w:eastAsia="Arial" w:hAnsi="Arial"/>
          <w:sz w:val="16"/>
          <w:szCs w:val="16"/>
          <w:color w:val="auto"/>
        </w:rPr>
        <w:t>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August 14, 2013</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SOTIRIOS VAHAVIOLOS</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Sotirios Vahaviolos</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1" w:name="page72"/>
    <w:bookmarkEnd w:id="71"/>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May 31, 2013, I, Francis T. Joyce, Principal Financial and Accounting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left="440" w:right="60" w:firstLine="8"/>
        <w:spacing w:after="0" w:line="277"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May 31, 2013,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440" w:right="620" w:firstLine="8"/>
        <w:spacing w:after="0" w:line="277"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May 31, 2013,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May 31, 2013, pursuant to 18 U.S.C.</w:t>
      </w:r>
    </w:p>
    <w:p>
      <w:pPr>
        <w:spacing w:after="0" w:line="46" w:lineRule="exact"/>
        <w:rPr>
          <w:sz w:val="20"/>
          <w:szCs w:val="20"/>
          <w:color w:val="auto"/>
        </w:rPr>
      </w:pPr>
    </w:p>
    <w:p>
      <w:pPr>
        <w:ind w:right="180" w:firstLine="8"/>
        <w:spacing w:after="0" w:line="323" w:lineRule="auto"/>
        <w:tabs>
          <w:tab w:leader="none" w:pos="1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August 14, 2013</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FRANCIS T. JOYCE</w:t>
            </w:r>
          </w:p>
        </w:tc>
        <w:tc>
          <w:tcPr>
            <w:tcW w:w="40" w:type="dxa"/>
            <w:vAlign w:val="bottom"/>
          </w:tcPr>
          <w:p>
            <w:pPr>
              <w:spacing w:after="0"/>
              <w:rPr>
                <w:sz w:val="20"/>
                <w:szCs w:val="20"/>
                <w:color w:val="auto"/>
              </w:rPr>
            </w:pPr>
          </w:p>
        </w:tc>
      </w:tr>
      <w:tr>
        <w:trPr>
          <w:trHeight w:val="195"/>
        </w:trPr>
        <w:tc>
          <w:tcPr>
            <w:tcW w:w="57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3"/>
              </w:rPr>
              <w:t>FRANCIS T. JOYCE</w:t>
            </w:r>
          </w:p>
        </w:tc>
        <w:tc>
          <w:tcPr>
            <w:tcW w:w="40" w:type="dxa"/>
            <w:vAlign w:val="bottom"/>
          </w:tcPr>
          <w:p>
            <w:pPr>
              <w:spacing w:after="0"/>
              <w:rPr>
                <w:sz w:val="16"/>
                <w:szCs w:val="16"/>
                <w:color w:val="auto"/>
              </w:rPr>
            </w:pPr>
          </w:p>
        </w:tc>
      </w:tr>
      <w:tr>
        <w:trPr>
          <w:trHeight w:val="216"/>
        </w:trPr>
        <w:tc>
          <w:tcPr>
            <w:tcW w:w="57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Executive Vice President, Chief Financial Officer, and Treasurer</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lvl w:ilvl="1">
      <w:lvlJc w:val="left"/>
      <w:lvlText w:val="·"/>
      <w:numFmt w:val="bullet"/>
      <w:start w:val="1"/>
    </w:lvl>
  </w:abstractNum>
  <w:abstractNum w:abstractNumId="10">
    <w:nsid w:val="737B8DDC"/>
    <w:multiLevelType w:val="hybridMultilevel"/>
    <w:lvl w:ilvl="0">
      <w:lvlJc w:val="left"/>
      <w:lvlText w:val="·"/>
      <w:numFmt w:val="bullet"/>
      <w:start w:val="1"/>
    </w:lvl>
    <w:lvl w:ilvl="1">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lowerLetter"/>
      <w:start w:val="5"/>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2"/>
    </w:lvl>
  </w:abstractNum>
  <w:abstractNum w:abstractNumId="33">
    <w:nsid w:val="2A487CB0"/>
    <w:multiLevelType w:val="hybridMultilevel"/>
    <w:lvl w:ilvl="0">
      <w:lvlJc w:val="left"/>
      <w:lvlText w:val="(%1)"/>
      <w:numFmt w:val="lowerLetter"/>
      <w:start w:val="5"/>
    </w:lvl>
  </w:abstractNum>
  <w:abstractNum w:abstractNumId="34">
    <w:nsid w:val="1D4ED43B"/>
    <w:multiLevelType w:val="hybridMultilevel"/>
    <w:lvl w:ilvl="0">
      <w:lvlJc w:val="left"/>
      <w:lvlText w:val="%1."/>
      <w:numFmt w:val="decimal"/>
      <w:start w:val="14"/>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2"/>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decimal"/>
      <w:start w:val="2"/>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2"/>
    </w:lvl>
  </w:abstractNum>
  <w:abstractNum w:abstractNumId="45">
    <w:nsid w:val="684A481A"/>
    <w:multiLevelType w:val="hybridMultilevel"/>
    <w:lvl w:ilvl="0">
      <w:lvlJc w:val="left"/>
      <w:lvlText w:val="%1."/>
      <w:numFmt w:val="decimal"/>
      <w:start w:val="3"/>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2019-12-07T18:32:26Z</dcterms:created>
  <dcterms:modified xsi:type="dcterms:W3CDTF">2019-12-07T18:32:26Z</dcterms:modified>
</cp:coreProperties>
</file>