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3"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340" w:hanging="2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34290</wp:posOffset>
            </wp:positionV>
            <wp:extent cx="31629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47625</wp:posOffset>
            </wp:positionV>
            <wp:extent cx="31629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6260" w:type="dxa"/>
            <w:vAlign w:val="bottom"/>
            <w:gridSpan w:val="2"/>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22-3341267</w:t>
            </w:r>
          </w:p>
        </w:tc>
        <w:tc>
          <w:tcPr>
            <w:tcW w:w="0" w:type="dxa"/>
            <w:vAlign w:val="bottom"/>
          </w:tcPr>
          <w:p>
            <w:pPr>
              <w:spacing w:after="0"/>
              <w:rPr>
                <w:sz w:val="1"/>
                <w:szCs w:val="1"/>
                <w:color w:val="auto"/>
              </w:rPr>
            </w:pPr>
          </w:p>
        </w:tc>
      </w:tr>
      <w:tr>
        <w:trPr>
          <w:trHeight w:val="256"/>
        </w:trPr>
        <w:tc>
          <w:tcPr>
            <w:tcW w:w="6260" w:type="dxa"/>
            <w:vAlign w:val="bottom"/>
            <w:gridSpan w:val="2"/>
          </w:tcPr>
          <w:p>
            <w:pPr>
              <w:jc w:val="center"/>
              <w:ind w:right="3370"/>
              <w:spacing w:after="0"/>
              <w:rPr>
                <w:sz w:val="20"/>
                <w:szCs w:val="20"/>
                <w:color w:val="auto"/>
              </w:rPr>
            </w:pPr>
            <w:r>
              <w:rPr>
                <w:rFonts w:ascii="Arial" w:cs="Arial" w:eastAsia="Arial" w:hAnsi="Arial"/>
                <w:sz w:val="18"/>
                <w:szCs w:val="18"/>
                <w:i w:val="1"/>
                <w:iCs w:val="1"/>
                <w:color w:val="auto"/>
                <w:w w:val="94"/>
              </w:rPr>
              <w:t>(State or other jurisdiction of</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6260" w:type="dxa"/>
            <w:vAlign w:val="bottom"/>
            <w:gridSpan w:val="2"/>
          </w:tcPr>
          <w:p>
            <w:pPr>
              <w:jc w:val="center"/>
              <w:ind w:right="3350"/>
              <w:spacing w:after="0"/>
              <w:rPr>
                <w:sz w:val="20"/>
                <w:szCs w:val="20"/>
                <w:color w:val="auto"/>
              </w:rPr>
            </w:pPr>
            <w:r>
              <w:rPr>
                <w:rFonts w:ascii="Arial" w:cs="Arial" w:eastAsia="Arial" w:hAnsi="Arial"/>
                <w:sz w:val="18"/>
                <w:szCs w:val="18"/>
                <w:i w:val="1"/>
                <w:iCs w:val="1"/>
                <w:color w:val="auto"/>
                <w:w w:val="94"/>
              </w:rPr>
              <w:t>incorporation or organization)</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4"/>
              </w:rPr>
              <w:t>Identification No.)</w:t>
            </w:r>
          </w:p>
        </w:tc>
        <w:tc>
          <w:tcPr>
            <w:tcW w:w="0" w:type="dxa"/>
            <w:vAlign w:val="bottom"/>
          </w:tcPr>
          <w:p>
            <w:pPr>
              <w:spacing w:after="0"/>
              <w:rPr>
                <w:sz w:val="1"/>
                <w:szCs w:val="1"/>
                <w:color w:val="auto"/>
              </w:rPr>
            </w:pPr>
          </w:p>
        </w:tc>
      </w:tr>
      <w:tr>
        <w:trPr>
          <w:trHeight w:val="472"/>
        </w:trPr>
        <w:tc>
          <w:tcPr>
            <w:tcW w:w="6260" w:type="dxa"/>
            <w:vAlign w:val="bottom"/>
            <w:gridSpan w:val="2"/>
          </w:tcPr>
          <w:p>
            <w:pPr>
              <w:jc w:val="center"/>
              <w:ind w:right="3370"/>
              <w:spacing w:after="0"/>
              <w:rPr>
                <w:sz w:val="20"/>
                <w:szCs w:val="20"/>
                <w:color w:val="auto"/>
              </w:rPr>
            </w:pPr>
            <w:r>
              <w:rPr>
                <w:rFonts w:ascii="Arial" w:cs="Arial" w:eastAsia="Arial" w:hAnsi="Arial"/>
                <w:sz w:val="18"/>
                <w:szCs w:val="18"/>
                <w:b w:val="1"/>
                <w:bCs w:val="1"/>
                <w:color w:val="auto"/>
                <w:w w:val="91"/>
              </w:rPr>
              <w:t>195 Clarksville Road</w:t>
            </w:r>
          </w:p>
        </w:tc>
        <w:tc>
          <w:tcPr>
            <w:tcW w:w="14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08550</w:t>
            </w:r>
          </w:p>
        </w:tc>
        <w:tc>
          <w:tcPr>
            <w:tcW w:w="0" w:type="dxa"/>
            <w:vAlign w:val="bottom"/>
          </w:tcPr>
          <w:p>
            <w:pPr>
              <w:spacing w:after="0"/>
              <w:rPr>
                <w:sz w:val="1"/>
                <w:szCs w:val="1"/>
                <w:color w:val="auto"/>
              </w:rPr>
            </w:pPr>
          </w:p>
        </w:tc>
      </w:tr>
      <w:tr>
        <w:trPr>
          <w:trHeight w:val="234"/>
        </w:trPr>
        <w:tc>
          <w:tcPr>
            <w:tcW w:w="6260" w:type="dxa"/>
            <w:vAlign w:val="bottom"/>
            <w:gridSpan w:val="2"/>
          </w:tcPr>
          <w:p>
            <w:pPr>
              <w:jc w:val="center"/>
              <w:ind w:right="3370"/>
              <w:spacing w:after="0"/>
              <w:rPr>
                <w:sz w:val="20"/>
                <w:szCs w:val="20"/>
                <w:color w:val="auto"/>
              </w:rPr>
            </w:pPr>
            <w:r>
              <w:rPr>
                <w:rFonts w:ascii="Arial" w:cs="Arial" w:eastAsia="Arial" w:hAnsi="Arial"/>
                <w:sz w:val="18"/>
                <w:szCs w:val="18"/>
                <w:b w:val="1"/>
                <w:bCs w:val="1"/>
                <w:color w:val="auto"/>
                <w:w w:val="89"/>
              </w:rPr>
              <w:t>Princeton Junction, New Jersey</w:t>
            </w: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60" w:type="dxa"/>
            <w:vAlign w:val="bottom"/>
            <w:gridSpan w:val="2"/>
          </w:tcPr>
          <w:p>
            <w:pPr>
              <w:jc w:val="center"/>
              <w:ind w:right="337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4"/>
              </w:rPr>
              <w:t>(Zip Code)</w:t>
            </w:r>
          </w:p>
        </w:tc>
        <w:tc>
          <w:tcPr>
            <w:tcW w:w="0" w:type="dxa"/>
            <w:vAlign w:val="bottom"/>
          </w:tcPr>
          <w:p>
            <w:pPr>
              <w:spacing w:after="0"/>
              <w:rPr>
                <w:sz w:val="1"/>
                <w:szCs w:val="1"/>
                <w:color w:val="auto"/>
              </w:rPr>
            </w:pPr>
          </w:p>
        </w:tc>
      </w:tr>
      <w:tr>
        <w:trPr>
          <w:trHeight w:val="567"/>
        </w:trPr>
        <w:tc>
          <w:tcPr>
            <w:tcW w:w="6260" w:type="dxa"/>
            <w:vAlign w:val="bottom"/>
            <w:gridSpan w:val="2"/>
          </w:tcPr>
          <w:p>
            <w:pPr>
              <w:jc w:val="right"/>
              <w:ind w:right="1370"/>
              <w:spacing w:after="0"/>
              <w:rPr>
                <w:sz w:val="20"/>
                <w:szCs w:val="20"/>
                <w:color w:val="auto"/>
              </w:rPr>
            </w:pPr>
            <w:r>
              <w:rPr>
                <w:rFonts w:ascii="Arial" w:cs="Arial" w:eastAsia="Arial" w:hAnsi="Arial"/>
                <w:sz w:val="18"/>
                <w:szCs w:val="18"/>
                <w:b w:val="1"/>
                <w:bCs w:val="1"/>
                <w:color w:val="auto"/>
              </w:rPr>
              <w:t>(609) 716-4000</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60" w:type="dxa"/>
            <w:vAlign w:val="bottom"/>
          </w:tcPr>
          <w:p>
            <w:pPr>
              <w:spacing w:after="0"/>
              <w:rPr>
                <w:sz w:val="24"/>
                <w:szCs w:val="24"/>
                <w:color w:val="auto"/>
              </w:rPr>
            </w:pPr>
          </w:p>
        </w:tc>
        <w:tc>
          <w:tcPr>
            <w:tcW w:w="4500" w:type="dxa"/>
            <w:vAlign w:val="bottom"/>
          </w:tcPr>
          <w:p>
            <w:pPr>
              <w:jc w:val="right"/>
              <w:ind w:right="30"/>
              <w:spacing w:after="0"/>
              <w:rPr>
                <w:sz w:val="20"/>
                <w:szCs w:val="20"/>
                <w:color w:val="auto"/>
              </w:rPr>
            </w:pPr>
            <w:r>
              <w:rPr>
                <w:rFonts w:ascii="Arial" w:cs="Arial" w:eastAsia="Arial" w:hAnsi="Arial"/>
                <w:sz w:val="18"/>
                <w:szCs w:val="18"/>
                <w:i w:val="1"/>
                <w:iCs w:val="1"/>
                <w:color w:val="auto"/>
              </w:rPr>
              <w:t>(Registrant’s telephone number, including area code)</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45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458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0"/>
              </w:rPr>
              <w:t>Title of each class</w:t>
            </w:r>
          </w:p>
        </w:tc>
        <w:tc>
          <w:tcPr>
            <w:tcW w:w="214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i w:val="1"/>
                <w:iCs w:val="1"/>
                <w:color w:val="auto"/>
                <w:w w:val="88"/>
              </w:rPr>
              <w:t>Name of each exchange on which registered</w:t>
            </w:r>
          </w:p>
        </w:tc>
      </w:tr>
      <w:tr>
        <w:trPr>
          <w:trHeight w:val="27"/>
        </w:trPr>
        <w:tc>
          <w:tcPr>
            <w:tcW w:w="2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Common Stock, $0.01 par value</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MG</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6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sectPr>
      </w:pPr>
    </w:p>
    <w:p>
      <w:pPr>
        <w:spacing w:after="0" w:line="8"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 x</w:t>
      </w:r>
    </w:p>
    <w:p>
      <w:pPr>
        <w:spacing w:after="0" w:line="46" w:lineRule="exact"/>
        <w:rPr>
          <w:sz w:val="24"/>
          <w:szCs w:val="24"/>
          <w:color w:val="auto"/>
        </w:rPr>
      </w:pPr>
    </w:p>
    <w:p>
      <w:pPr>
        <w:sectPr>
          <w:pgSz w:w="11900" w:h="16838" w:orient="portrait"/>
          <w:cols w:equalWidth="0" w:num="2">
            <w:col w:w="6260" w:space="720"/>
            <w:col w:w="4260"/>
          </w:cols>
          <w:pgMar w:left="320" w:top="229" w:right="33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00" w:lineRule="exact"/>
        <w:rPr>
          <w:sz w:val="24"/>
          <w:szCs w:val="24"/>
          <w:color w:val="auto"/>
        </w:rPr>
      </w:pPr>
    </w:p>
    <w:p>
      <w:pPr>
        <w:sectPr>
          <w:pgSz w:w="11900" w:h="16838" w:orient="portrait"/>
          <w:cols w:equalWidth="0" w:num="2">
            <w:col w:w="6260" w:space="720"/>
            <w:col w:w="4260"/>
          </w:cols>
          <w:pgMar w:left="320" w:top="229" w:right="339" w:bottom="0" w:gutter="0" w:footer="0" w:header="0"/>
          <w:type w:val="continuous"/>
        </w:sectPr>
      </w:pPr>
    </w:p>
    <w:p>
      <w:pPr>
        <w:spacing w:after="0" w:line="15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229" w:right="339" w:bottom="0" w:gutter="0" w:footer="0" w:header="0"/>
          <w:type w:val="continuous"/>
        </w:sectPr>
      </w:pPr>
    </w:p>
    <w:bookmarkStart w:id="1" w:name="page2"/>
    <w:bookmarkEnd w:id="1"/>
    <w:p>
      <w:pPr>
        <w:jc w:val="right"/>
        <w:spacing w:after="0" w:line="207" w:lineRule="exact"/>
        <w:rPr>
          <w:sz w:val="20"/>
          <w:szCs w:val="20"/>
          <w:color w:val="auto"/>
        </w:rPr>
      </w:pPr>
      <w:r>
        <w:rPr>
          <w:rFonts w:ascii="Arial" w:cs="Arial" w:eastAsia="Arial" w:hAnsi="Arial"/>
          <w:sz w:val="18"/>
          <w:szCs w:val="18"/>
          <w:color w:val="auto"/>
        </w:rPr>
        <w:t xml:space="preserve">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As of May 11, 2020, the registrant had 29,074,110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10520" w:type="dxa"/>
            <w:vAlign w:val="bottom"/>
            <w:gridSpan w:val="1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I—FINANCIAL INFORMATION</w:t>
              </w:r>
            </w:hyperlink>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45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as of March </w:t>
              </w:r>
            </w:hyperlink>
            <w:r>
              <w:rPr>
                <w:rFonts w:ascii="Arial" w:cs="Arial" w:eastAsia="Arial" w:hAnsi="Arial"/>
                <w:sz w:val="18"/>
                <w:szCs w:val="18"/>
                <w:color w:val="0000FF"/>
              </w:rPr>
              <w:t>31</w:t>
            </w:r>
            <w:hyperlink w:anchor="page4">
              <w:r>
                <w:rPr>
                  <w:rFonts w:ascii="Arial" w:cs="Arial" w:eastAsia="Arial" w:hAnsi="Arial"/>
                  <w:sz w:val="18"/>
                  <w:szCs w:val="18"/>
                  <w:color w:val="0000FF"/>
                </w:rPr>
                <w:t xml:space="preserve">, </w:t>
              </w:r>
            </w:hyperlink>
            <w:r>
              <w:rPr>
                <w:rFonts w:ascii="Arial" w:cs="Arial" w:eastAsia="Arial" w:hAnsi="Arial"/>
                <w:sz w:val="18"/>
                <w:szCs w:val="18"/>
                <w:u w:val="single" w:color="auto"/>
                <w:color w:val="0000FF"/>
              </w:rPr>
              <w:t>2020</w:t>
            </w:r>
            <w:r>
              <w:rPr>
                <w:rFonts w:ascii="Arial" w:cs="Arial" w:eastAsia="Arial" w:hAnsi="Arial"/>
                <w:sz w:val="18"/>
                <w:szCs w:val="18"/>
                <w:color w:val="0000FF"/>
              </w:rPr>
              <w:t xml:space="preserve"> </w:t>
            </w:r>
            <w:hyperlink w:anchor="page4">
              <w:r>
                <w:rPr>
                  <w:rFonts w:ascii="Arial" w:cs="Arial" w:eastAsia="Arial" w:hAnsi="Arial"/>
                  <w:sz w:val="18"/>
                  <w:szCs w:val="18"/>
                  <w:u w:val="single" w:color="auto"/>
                  <w:color w:val="0000FF"/>
                </w:rPr>
                <w:t xml:space="preserve">(unaudited) and December 31, </w:t>
              </w:r>
            </w:hyperlink>
            <w:r>
              <w:rPr>
                <w:rFonts w:ascii="Arial" w:cs="Arial" w:eastAsia="Arial" w:hAnsi="Arial"/>
                <w:sz w:val="18"/>
                <w:szCs w:val="18"/>
                <w:color w:val="0000FF"/>
              </w:rPr>
              <w:t>2019</w:t>
            </w:r>
          </w:p>
        </w:tc>
        <w:tc>
          <w:tcPr>
            <w:tcW w:w="6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w w:val="91"/>
              </w:rPr>
            </w:pPr>
            <w:hyperlink w:anchor="page4">
              <w:r>
                <w:rPr>
                  <w:rFonts w:ascii="Arial" w:cs="Arial" w:eastAsia="Arial" w:hAnsi="Arial"/>
                  <w:sz w:val="18"/>
                  <w:szCs w:val="18"/>
                  <w:u w:val="single" w:color="auto"/>
                  <w:color w:val="0000FF"/>
                  <w:w w:val="91"/>
                </w:rPr>
                <w:t>Unaudited Condensed Consolidated Statements of Income (Loss) for the three</w:t>
              </w:r>
              <w:r>
                <w:rPr>
                  <w:rFonts w:ascii="Arial" w:cs="Arial" w:eastAsia="Arial" w:hAnsi="Arial"/>
                  <w:sz w:val="18"/>
                  <w:szCs w:val="18"/>
                  <w:color w:val="0000FF"/>
                  <w:w w:val="91"/>
                </w:rPr>
                <w:t xml:space="preserve"> months ended March 3</w:t>
              </w:r>
            </w:hyperlink>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w:t>
            </w:r>
            <w:hyperlink w:anchor="page4">
              <w:r>
                <w:rPr>
                  <w:rFonts w:ascii="Arial" w:cs="Arial" w:eastAsia="Arial" w:hAnsi="Arial"/>
                  <w:sz w:val="18"/>
                  <w:szCs w:val="18"/>
                  <w:color w:val="0000FF"/>
                  <w:w w:val="91"/>
                </w:rPr>
                <w:t>2020 and March</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400" w:type="dxa"/>
            <w:vAlign w:val="bottom"/>
            <w:gridSpan w:val="3"/>
          </w:tcPr>
          <w:p>
            <w:pPr>
              <w:spacing w:after="0" w:line="156" w:lineRule="exact"/>
              <w:rPr>
                <w:rFonts w:ascii="Arial" w:cs="Arial" w:eastAsia="Arial" w:hAnsi="Arial"/>
                <w:sz w:val="18"/>
                <w:szCs w:val="18"/>
                <w:color w:val="0000FF"/>
              </w:rPr>
            </w:pPr>
            <w:r>
              <w:rPr>
                <w:rFonts w:ascii="Arial" w:cs="Arial" w:eastAsia="Arial" w:hAnsi="Arial"/>
                <w:sz w:val="18"/>
                <w:szCs w:val="18"/>
                <w:color w:val="0000FF"/>
              </w:rPr>
              <w:t>31</w:t>
            </w:r>
            <w:hyperlink w:anchor="page4">
              <w:r>
                <w:rPr>
                  <w:rFonts w:ascii="Arial" w:cs="Arial" w:eastAsia="Arial" w:hAnsi="Arial"/>
                  <w:sz w:val="18"/>
                  <w:szCs w:val="18"/>
                  <w:color w:val="0000FF"/>
                </w:rPr>
                <w:t xml:space="preserve">, </w:t>
              </w:r>
              <w:r>
                <w:rPr>
                  <w:rFonts w:ascii="Arial" w:cs="Arial" w:eastAsia="Arial" w:hAnsi="Arial"/>
                  <w:sz w:val="18"/>
                  <w:szCs w:val="18"/>
                  <w:u w:val="single" w:color="auto"/>
                  <w:color w:val="0000FF"/>
                </w:rPr>
                <w:t>2019</w:t>
              </w:r>
            </w:hyperlink>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6"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w w:val="92"/>
              </w:rPr>
            </w:pPr>
            <w:hyperlink w:anchor="page5">
              <w:r>
                <w:rPr>
                  <w:rFonts w:ascii="Arial" w:cs="Arial" w:eastAsia="Arial" w:hAnsi="Arial"/>
                  <w:sz w:val="18"/>
                  <w:szCs w:val="18"/>
                  <w:u w:val="single" w:color="auto"/>
                  <w:color w:val="0000FF"/>
                  <w:w w:val="92"/>
                </w:rPr>
                <w:t>Unaudited Condensed Consolidated Statements of Comprehensive Income (Loss) for the three</w:t>
              </w:r>
              <w:r>
                <w:rPr>
                  <w:rFonts w:ascii="Arial" w:cs="Arial" w:eastAsia="Arial" w:hAnsi="Arial"/>
                  <w:sz w:val="18"/>
                  <w:szCs w:val="18"/>
                  <w:color w:val="0000FF"/>
                  <w:w w:val="92"/>
                </w:rPr>
                <w:t xml:space="preserve"> months ended March 31,</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6860" w:type="dxa"/>
            <w:vAlign w:val="bottom"/>
            <w:gridSpan w:val="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2020 and March 31, </w:t>
              </w:r>
              <w:r>
                <w:rPr>
                  <w:rFonts w:ascii="Arial" w:cs="Arial" w:eastAsia="Arial" w:hAnsi="Arial"/>
                  <w:sz w:val="18"/>
                  <w:szCs w:val="18"/>
                  <w:u w:val="single" w:color="auto"/>
                  <w:color w:val="0000FF"/>
                </w:rPr>
                <w:t>2019</w:t>
              </w:r>
            </w:hyperlink>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gridSpan w:val="2"/>
          </w:tcPr>
          <w:p>
            <w:pPr>
              <w:spacing w:after="0"/>
              <w:rPr>
                <w:sz w:val="13"/>
                <w:szCs w:val="13"/>
                <w:color w:val="auto"/>
              </w:rPr>
            </w:pPr>
          </w:p>
        </w:tc>
        <w:tc>
          <w:tcPr>
            <w:tcW w:w="860" w:type="dxa"/>
            <w:vAlign w:val="bottom"/>
            <w:tcBorders>
              <w:top w:val="single" w:sz="8" w:color="0000FF"/>
            </w:tcBorders>
            <w:gridSpan w:val="2"/>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w w:val="90"/>
              </w:rPr>
            </w:pPr>
            <w:hyperlink w:anchor="page6">
              <w:r>
                <w:rPr>
                  <w:rFonts w:ascii="Arial" w:cs="Arial" w:eastAsia="Arial" w:hAnsi="Arial"/>
                  <w:sz w:val="18"/>
                  <w:szCs w:val="18"/>
                  <w:u w:val="single" w:color="auto"/>
                  <w:color w:val="0000FF"/>
                  <w:w w:val="90"/>
                </w:rPr>
                <w:t>Unaudited Condensed Consolidated Statements of Equity for the three</w:t>
              </w:r>
              <w:r>
                <w:rPr>
                  <w:rFonts w:ascii="Arial" w:cs="Arial" w:eastAsia="Arial" w:hAnsi="Arial"/>
                  <w:sz w:val="18"/>
                  <w:szCs w:val="18"/>
                  <w:color w:val="0000FF"/>
                  <w:w w:val="90"/>
                </w:rPr>
                <w:t xml:space="preserve"> months ended March </w:t>
              </w:r>
            </w:hyperlink>
            <w:r>
              <w:rPr>
                <w:rFonts w:ascii="Arial" w:cs="Arial" w:eastAsia="Arial" w:hAnsi="Arial"/>
                <w:sz w:val="18"/>
                <w:szCs w:val="18"/>
                <w:color w:val="0000FF"/>
                <w:w w:val="90"/>
              </w:rPr>
              <w:t>31</w:t>
            </w:r>
            <w:hyperlink w:anchor="page6">
              <w:r>
                <w:rPr>
                  <w:rFonts w:ascii="Arial" w:cs="Arial" w:eastAsia="Arial" w:hAnsi="Arial"/>
                  <w:sz w:val="18"/>
                  <w:szCs w:val="18"/>
                  <w:color w:val="0000FF"/>
                  <w:w w:val="90"/>
                </w:rPr>
                <w:t xml:space="preserve">, 2020 and March </w:t>
              </w:r>
            </w:hyperlink>
            <w:r>
              <w:rPr>
                <w:rFonts w:ascii="Arial" w:cs="Arial" w:eastAsia="Arial" w:hAnsi="Arial"/>
                <w:sz w:val="18"/>
                <w:szCs w:val="18"/>
                <w:color w:val="0000FF"/>
                <w:w w:val="90"/>
              </w:rPr>
              <w:t>31</w:t>
            </w:r>
            <w:hyperlink w:anchor="page6">
              <w:r>
                <w:rPr>
                  <w:rFonts w:ascii="Arial" w:cs="Arial" w:eastAsia="Arial" w:hAnsi="Arial"/>
                  <w:sz w:val="18"/>
                  <w:szCs w:val="18"/>
                  <w:color w:val="0000FF"/>
                  <w:w w:val="90"/>
                </w:rPr>
                <w:t xml:space="preserve">, </w:t>
              </w:r>
            </w:hyperlink>
            <w:r>
              <w:rPr>
                <w:rFonts w:ascii="Arial" w:cs="Arial" w:eastAsia="Arial" w:hAnsi="Arial"/>
                <w:sz w:val="18"/>
                <w:szCs w:val="18"/>
                <w:u w:val="single" w:color="auto"/>
                <w:color w:val="0000FF"/>
                <w:w w:val="90"/>
              </w:rPr>
              <w:t>2019</w:t>
            </w:r>
          </w:p>
        </w:tc>
        <w:tc>
          <w:tcPr>
            <w:tcW w:w="6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760" w:type="dxa"/>
            <w:vAlign w:val="bottom"/>
            <w:gridSpan w:val="3"/>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color w:val="0000FF"/>
                <w:w w:val="91"/>
              </w:rPr>
            </w:pPr>
            <w:hyperlink w:anchor="page7">
              <w:r>
                <w:rPr>
                  <w:rFonts w:ascii="Arial" w:cs="Arial" w:eastAsia="Arial" w:hAnsi="Arial"/>
                  <w:sz w:val="18"/>
                  <w:szCs w:val="18"/>
                  <w:color w:val="0000FF"/>
                  <w:w w:val="91"/>
                </w:rPr>
                <w:t>Unaudited Condensed Consolidated Statements of Cash Flows for the three months ended March 31, 2020 and March 31,</w:t>
              </w:r>
            </w:hyperlink>
          </w:p>
        </w:tc>
        <w:tc>
          <w:tcPr>
            <w:tcW w:w="660" w:type="dxa"/>
            <w:vAlign w:val="bottom"/>
            <w:vMerge w:val="restart"/>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2019</w:t>
              </w:r>
            </w:hyperlink>
          </w:p>
        </w:tc>
        <w:tc>
          <w:tcPr>
            <w:tcW w:w="1040" w:type="dxa"/>
            <w:vAlign w:val="bottom"/>
            <w:tcBorders>
              <w:top w:val="single" w:sz="8" w:color="0000FF"/>
            </w:tcBorders>
          </w:tcPr>
          <w:p>
            <w:pPr>
              <w:spacing w:after="0"/>
              <w:rPr>
                <w:sz w:val="13"/>
                <w:szCs w:val="13"/>
                <w:color w:val="auto"/>
              </w:rPr>
            </w:pPr>
          </w:p>
        </w:tc>
        <w:tc>
          <w:tcPr>
            <w:tcW w:w="266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0"/>
        </w:trPr>
        <w:tc>
          <w:tcPr>
            <w:tcW w:w="1620" w:type="dxa"/>
            <w:vAlign w:val="bottom"/>
          </w:tcPr>
          <w:p>
            <w:pPr>
              <w:spacing w:after="0"/>
              <w:rPr>
                <w:sz w:val="24"/>
                <w:szCs w:val="24"/>
                <w:color w:val="auto"/>
              </w:rPr>
            </w:pPr>
          </w:p>
        </w:tc>
        <w:tc>
          <w:tcPr>
            <w:tcW w:w="8900" w:type="dxa"/>
            <w:vAlign w:val="bottom"/>
            <w:gridSpan w:val="18"/>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Unaudited Condensed Consolidated Financial Statements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Controls and Procedures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499"/>
        </w:trPr>
        <w:tc>
          <w:tcPr>
            <w:tcW w:w="10520" w:type="dxa"/>
            <w:vAlign w:val="bottom"/>
            <w:gridSpan w:val="19"/>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PART II—OTHER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Legal Proceedings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Risk Factors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2.</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3.</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Defaults Upon Senior Securities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4.</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Mine Safety Disclosures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500"/>
        </w:trPr>
        <w:tc>
          <w:tcPr>
            <w:tcW w:w="1620" w:type="dxa"/>
            <w:vAlign w:val="bottom"/>
          </w:tcPr>
          <w:p>
            <w:pPr>
              <w:ind w:left="5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5.</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Other Information</w:t>
              </w:r>
            </w:hyperlink>
          </w:p>
        </w:tc>
        <w:tc>
          <w:tcPr>
            <w:tcW w:w="6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499"/>
        </w:trPr>
        <w:tc>
          <w:tcPr>
            <w:tcW w:w="1620" w:type="dxa"/>
            <w:vAlign w:val="bottom"/>
          </w:tcPr>
          <w:p>
            <w:pPr>
              <w:ind w:left="5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6.</w:t>
              </w:r>
            </w:hyperlink>
          </w:p>
        </w:tc>
        <w:tc>
          <w:tcPr>
            <w:tcW w:w="8900" w:type="dxa"/>
            <w:vAlign w:val="bottom"/>
            <w:gridSpan w:val="1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Exhibits</w:t>
              </w:r>
            </w:hyperlink>
          </w:p>
        </w:tc>
        <w:tc>
          <w:tcPr>
            <w:tcW w:w="6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499"/>
        </w:trPr>
        <w:tc>
          <w:tcPr>
            <w:tcW w:w="1620" w:type="dxa"/>
            <w:vAlign w:val="bottom"/>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SIGNATURES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6"/>
              </w:rPr>
              <w:t>March 31,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17,027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15,016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135,997</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13,413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14,729</w:t>
            </w:r>
          </w:p>
        </w:tc>
      </w:tr>
      <w:tr>
        <w:trPr>
          <w:trHeight w:val="237"/>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168,818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179,155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94,971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98,607</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109,537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282,410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1,786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49,538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48,383</w:t>
            </w:r>
          </w:p>
        </w:tc>
      </w:tr>
      <w:tr>
        <w:trPr>
          <w:trHeight w:val="264"/>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583,545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719,878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15,033</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75,156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81,389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6,593</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4,131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2,094</w:t>
            </w:r>
          </w:p>
        </w:tc>
      </w:tr>
      <w:tr>
        <w:trPr>
          <w:trHeight w:val="237"/>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101,420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109,240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248,120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12,401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13,043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21,290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40,424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42,163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433,856</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7900" w:type="dxa"/>
            <w:vAlign w:val="bottom"/>
          </w:tcPr>
          <w:p>
            <w:pPr>
              <w:ind w:left="140"/>
              <w:spacing w:after="0"/>
              <w:rPr>
                <w:sz w:val="20"/>
                <w:szCs w:val="20"/>
                <w:color w:val="auto"/>
              </w:rPr>
            </w:pPr>
            <w:r>
              <w:rPr>
                <w:rFonts w:ascii="Arial" w:cs="Arial" w:eastAsia="Arial" w:hAnsi="Arial"/>
                <w:sz w:val="18"/>
                <w:szCs w:val="18"/>
                <w:color w:val="auto"/>
              </w:rPr>
              <w:t>Preferred stock, 10,000,000 shares authorized</w:t>
            </w:r>
          </w:p>
        </w:tc>
        <w:tc>
          <w:tcPr>
            <w:tcW w:w="220" w:type="dxa"/>
            <w:vAlign w:val="bottom"/>
          </w:tcPr>
          <w:p>
            <w:pPr>
              <w:spacing w:after="0"/>
              <w:rPr>
                <w:sz w:val="23"/>
                <w:szCs w:val="23"/>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Common stock, $0.01 par value, 200,000,000 shares authorized, 29,042,069 and 28,945,472 shares issued</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289</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230,472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229,205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Retained earnings (deficit)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77,613</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(21,285)</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285,822</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200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286,022</w:t>
            </w:r>
          </w:p>
        </w:tc>
      </w:tr>
      <w:tr>
        <w:trPr>
          <w:trHeight w:val="264"/>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583,545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719,878</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7"/>
                <w:szCs w:val="17"/>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2019</w:t>
            </w:r>
          </w:p>
        </w:tc>
      </w:tr>
      <w:tr>
        <w:trPr>
          <w:trHeight w:val="67"/>
        </w:trPr>
        <w:tc>
          <w:tcPr>
            <w:tcW w:w="79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380" w:type="dxa"/>
            <w:vAlign w:val="bottom"/>
            <w:tcBorders>
              <w:top w:val="single" w:sz="8" w:color="auto"/>
            </w:tcBorders>
          </w:tcPr>
          <w:p>
            <w:pPr>
              <w:spacing w:after="0"/>
              <w:rPr>
                <w:sz w:val="5"/>
                <w:szCs w:val="5"/>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176,787</w:t>
            </w: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113,324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122,417</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5,496</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40,644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48,874</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41,763</w:t>
            </w: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5,491</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2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534</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engineering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857</w:t>
            </w: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4,172</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453</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(111,228)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(4,396)</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3,527</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Loss before provision (benefit) for income taxes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(114,017)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(7,923)</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(98,522)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(5,286)</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r>
      <w:tr>
        <w:trPr>
          <w:trHeight w:val="26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Mistras Group,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(98,509)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(5,293)</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28,574</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28,963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28,574</w:t>
            </w:r>
          </w:p>
        </w:tc>
      </w:tr>
      <w:tr>
        <w:trPr>
          <w:trHeight w:val="27"/>
        </w:trPr>
        <w:tc>
          <w:tcPr>
            <w:tcW w:w="7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7"/>
                <w:szCs w:val="17"/>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2019</w:t>
            </w:r>
          </w:p>
        </w:tc>
      </w:tr>
      <w:tr>
        <w:trPr>
          <w:trHeight w:val="94"/>
        </w:trPr>
        <w:tc>
          <w:tcPr>
            <w:tcW w:w="79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(5,286)</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(17,009)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2,131</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(115,531)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(3,155)</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r>
      <w:tr>
        <w:trPr>
          <w:trHeight w:val="263"/>
        </w:trPr>
        <w:tc>
          <w:tcPr>
            <w:tcW w:w="7940" w:type="dxa"/>
            <w:vAlign w:val="bottom"/>
          </w:tcPr>
          <w:p>
            <w:pPr>
              <w:ind w:left="20"/>
              <w:spacing w:after="0"/>
              <w:rPr>
                <w:sz w:val="20"/>
                <w:szCs w:val="20"/>
                <w:color w:val="auto"/>
              </w:rPr>
            </w:pPr>
            <w:r>
              <w:rPr>
                <w:rFonts w:ascii="Arial" w:cs="Arial" w:eastAsia="Arial" w:hAnsi="Arial"/>
                <w:sz w:val="18"/>
                <w:szCs w:val="18"/>
                <w:color w:val="auto"/>
              </w:rPr>
              <w:t>Comprehensive loss attributable to Mistras Group,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(115,512)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(3,164)</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68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13"/>
                <w:szCs w:val="13"/>
                <w:color w:val="auto"/>
              </w:rPr>
            </w:pPr>
          </w:p>
        </w:tc>
        <w:tc>
          <w:tcPr>
            <w:tcW w:w="202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line="117"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4"/>
                <w:szCs w:val="4"/>
                <w:color w:val="auto"/>
              </w:rPr>
            </w:pPr>
          </w:p>
        </w:tc>
        <w:tc>
          <w:tcPr>
            <w:tcW w:w="114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89"/>
              </w:rPr>
              <w:t>Inc.</w:t>
            </w: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earnings</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paid-in capital</w:t>
            </w: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(deficit)</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40"/>
        </w:trPr>
        <w:tc>
          <w:tcPr>
            <w:tcW w:w="214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229,205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77,613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285,822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(98,509)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(98,509)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(98,522)</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Other comprehensive loss, net of tax</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(17,009)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(17,009)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(17,015)</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rPr>
              <w:t>Share-based payments</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1,425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1,425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1,425</w:t>
            </w:r>
          </w:p>
        </w:tc>
        <w:tc>
          <w:tcPr>
            <w:tcW w:w="0" w:type="dxa"/>
            <w:vAlign w:val="bottom"/>
          </w:tcPr>
          <w:p>
            <w:pPr>
              <w:spacing w:after="0"/>
              <w:rPr>
                <w:sz w:val="1"/>
                <w:szCs w:val="1"/>
                <w:color w:val="auto"/>
              </w:rPr>
            </w:pPr>
          </w:p>
        </w:tc>
      </w:tr>
      <w:tr>
        <w:trPr>
          <w:trHeight w:val="190"/>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Net settlement of restricted stock units</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2020</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29,042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230,472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(20,896)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(38,294)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171,572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181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171,753</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4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28,563</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226,616</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71,553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(27,557)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270,897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271,074</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(5,286)</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w w:val="91"/>
              </w:rPr>
              <w:t>Other comprehensive income, net of tax</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2,131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2,131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2,133</w:t>
            </w:r>
          </w:p>
        </w:tc>
        <w:tc>
          <w:tcPr>
            <w:tcW w:w="0" w:type="dxa"/>
            <w:vAlign w:val="bottom"/>
          </w:tcPr>
          <w:p>
            <w:pPr>
              <w:spacing w:after="0"/>
              <w:rPr>
                <w:sz w:val="1"/>
                <w:szCs w:val="1"/>
                <w:color w:val="auto"/>
              </w:rPr>
            </w:pPr>
          </w:p>
        </w:tc>
      </w:tr>
      <w:tr>
        <w:trPr>
          <w:trHeight w:val="197"/>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payments</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1,427</w:t>
            </w:r>
          </w:p>
        </w:tc>
        <w:tc>
          <w:tcPr>
            <w:tcW w:w="0" w:type="dxa"/>
            <w:vAlign w:val="bottom"/>
          </w:tcPr>
          <w:p>
            <w:pPr>
              <w:spacing w:after="0"/>
              <w:rPr>
                <w:sz w:val="1"/>
                <w:szCs w:val="1"/>
                <w:color w:val="auto"/>
              </w:rPr>
            </w:pPr>
          </w:p>
        </w:tc>
      </w:tr>
      <w:tr>
        <w:trPr>
          <w:trHeight w:val="181"/>
        </w:trPr>
        <w:tc>
          <w:tcPr>
            <w:tcW w:w="2140" w:type="dxa"/>
            <w:vAlign w:val="bottom"/>
          </w:tcPr>
          <w:p>
            <w:pPr>
              <w:ind w:left="20"/>
              <w:spacing w:after="0"/>
              <w:rPr>
                <w:sz w:val="20"/>
                <w:szCs w:val="20"/>
                <w:color w:val="auto"/>
              </w:rPr>
            </w:pPr>
            <w:r>
              <w:rPr>
                <w:rFonts w:ascii="Arial" w:cs="Arial" w:eastAsia="Arial" w:hAnsi="Arial"/>
                <w:sz w:val="13"/>
                <w:szCs w:val="13"/>
                <w:color w:val="auto"/>
                <w:w w:val="95"/>
              </w:rPr>
              <w:t>Net settlement of restricted stock units</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91"/>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2019</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28,627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227,790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66,260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(25,426)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268,910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186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269,096</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w:t>
      </w:r>
    </w:p>
    <w:p>
      <w:pPr>
        <w:spacing w:after="0" w:line="4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42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2019</w:t>
            </w:r>
          </w:p>
        </w:tc>
      </w:tr>
      <w:tr>
        <w:trPr>
          <w:trHeight w:val="237"/>
        </w:trPr>
        <w:tc>
          <w:tcPr>
            <w:tcW w:w="736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0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(5,286)</w:t>
            </w:r>
          </w:p>
        </w:tc>
      </w:tr>
      <w:tr>
        <w:trPr>
          <w:trHeight w:val="197"/>
        </w:trPr>
        <w:tc>
          <w:tcPr>
            <w:tcW w:w="7360" w:type="dxa"/>
            <w:vAlign w:val="bottom"/>
          </w:tcPr>
          <w:p>
            <w:pPr>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9,668</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Impairment charges</w:t>
            </w:r>
          </w:p>
        </w:tc>
        <w:tc>
          <w:tcPr>
            <w:tcW w:w="2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106,062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244</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Share-based compensation expense</w:t>
            </w:r>
          </w:p>
        </w:tc>
        <w:tc>
          <w:tcPr>
            <w:tcW w:w="2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1,356</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Bad debt provision for troubled customers, net of recoveries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5,491</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Fair value adjustments to contingent consideration</w:t>
            </w:r>
          </w:p>
        </w:tc>
        <w:tc>
          <w:tcPr>
            <w:tcW w:w="22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305</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(gain) loss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(163)</w:t>
            </w:r>
          </w:p>
        </w:tc>
      </w:tr>
      <w:tr>
        <w:trPr>
          <w:trHeight w:val="208"/>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7,884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4,904</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(5,425)</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Accrued expenses and other liabilities</w:t>
            </w:r>
          </w:p>
        </w:tc>
        <w:tc>
          <w:tcPr>
            <w:tcW w:w="22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(3,315)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(3,189)</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1,965</w:t>
            </w:r>
          </w:p>
        </w:tc>
      </w:tr>
      <w:tr>
        <w:trPr>
          <w:trHeight w:val="190"/>
        </w:trPr>
        <w:tc>
          <w:tcPr>
            <w:tcW w:w="736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6,107</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8,177</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96"/>
        </w:trPr>
        <w:tc>
          <w:tcPr>
            <w:tcW w:w="7360" w:type="dxa"/>
            <w:vAlign w:val="bottom"/>
          </w:tcPr>
          <w:p>
            <w:pPr>
              <w:ind w:left="120"/>
              <w:spacing w:after="0"/>
              <w:rPr>
                <w:sz w:val="20"/>
                <w:szCs w:val="20"/>
                <w:color w:val="auto"/>
              </w:rPr>
            </w:pPr>
            <w:r>
              <w:rPr>
                <w:rFonts w:ascii="Arial" w:cs="Arial" w:eastAsia="Arial" w:hAnsi="Arial"/>
                <w:sz w:val="14"/>
                <w:szCs w:val="14"/>
                <w:color w:val="auto"/>
              </w:rPr>
              <w:t>Purchase of property, plant and equipment</w:t>
            </w:r>
          </w:p>
        </w:tc>
        <w:tc>
          <w:tcPr>
            <w:tcW w:w="22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(4,301)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(5,637)</w:t>
            </w:r>
          </w:p>
        </w:tc>
      </w:tr>
      <w:tr>
        <w:trPr>
          <w:trHeight w:val="209"/>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 of intangible 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r>
      <w:tr>
        <w:trPr>
          <w:trHeight w:val="197"/>
        </w:trPr>
        <w:tc>
          <w:tcPr>
            <w:tcW w:w="73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sale of equipment</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724</w:t>
            </w:r>
          </w:p>
        </w:tc>
      </w:tr>
      <w:tr>
        <w:trPr>
          <w:trHeight w:val="202"/>
        </w:trPr>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(5,001)</w:t>
            </w:r>
          </w:p>
        </w:tc>
      </w:tr>
      <w:tr>
        <w:trPr>
          <w:trHeight w:val="196"/>
        </w:trPr>
        <w:tc>
          <w:tcPr>
            <w:tcW w:w="736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finance lease obligations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(1,124)</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Proceeds from borrowings of long-term debt</w:t>
            </w:r>
          </w:p>
        </w:tc>
        <w:tc>
          <w:tcPr>
            <w:tcW w:w="2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121</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long-term debt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(1,694)</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Proceeds from revolver</w:t>
            </w:r>
          </w:p>
        </w:tc>
        <w:tc>
          <w:tcPr>
            <w:tcW w:w="220" w:type="dxa"/>
            <w:vAlign w:val="bottom"/>
          </w:tcPr>
          <w:p>
            <w:pPr>
              <w:spacing w:after="0"/>
              <w:rPr>
                <w:sz w:val="17"/>
                <w:szCs w:val="17"/>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6,500</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revolver</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Payment of financing costs</w:t>
            </w:r>
          </w:p>
        </w:tc>
        <w:tc>
          <w:tcPr>
            <w:tcW w:w="22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 of contingent consideration for business acquisitions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Taxes paid related to net share settlement of share-based awards</w:t>
            </w:r>
          </w:p>
        </w:tc>
        <w:tc>
          <w:tcPr>
            <w:tcW w:w="220" w:type="dxa"/>
            <w:vAlign w:val="bottom"/>
          </w:tcPr>
          <w:p>
            <w:pPr>
              <w:spacing w:after="0"/>
              <w:rPr>
                <w:sz w:val="17"/>
                <w:szCs w:val="17"/>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(284)</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exercise of stock options</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w:t>
            </w:r>
          </w:p>
        </w:tc>
      </w:tr>
      <w:tr>
        <w:trPr>
          <w:trHeight w:val="190"/>
        </w:trPr>
        <w:tc>
          <w:tcPr>
            <w:tcW w:w="736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(3,949)</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r>
      <w:tr>
        <w:trPr>
          <w:trHeight w:val="190"/>
        </w:trPr>
        <w:tc>
          <w:tcPr>
            <w:tcW w:w="7360" w:type="dxa"/>
            <w:vAlign w:val="bottom"/>
          </w:tcPr>
          <w:p>
            <w:pPr>
              <w:spacing w:after="0"/>
              <w:rPr>
                <w:sz w:val="20"/>
                <w:szCs w:val="20"/>
                <w:color w:val="auto"/>
              </w:rPr>
            </w:pPr>
            <w:r>
              <w:rPr>
                <w:rFonts w:ascii="Arial" w:cs="Arial" w:eastAsia="Arial" w:hAnsi="Arial"/>
                <w:sz w:val="14"/>
                <w:szCs w:val="14"/>
                <w:b w:val="1"/>
                <w:bCs w:val="1"/>
                <w:color w:val="auto"/>
              </w:rPr>
              <w:t>Net change in cash and cash equivalents</w:t>
            </w:r>
          </w:p>
        </w:tc>
        <w:tc>
          <w:tcPr>
            <w:tcW w:w="220" w:type="dxa"/>
            <w:vAlign w:val="bottom"/>
          </w:tcPr>
          <w:p>
            <w:pPr>
              <w:spacing w:after="0"/>
              <w:rPr>
                <w:sz w:val="16"/>
                <w:szCs w:val="16"/>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(944)</w:t>
            </w:r>
          </w:p>
        </w:tc>
      </w:tr>
      <w:tr>
        <w:trPr>
          <w:trHeight w:val="203"/>
        </w:trPr>
        <w:tc>
          <w:tcPr>
            <w:tcW w:w="73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15,016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25,544</w:t>
            </w:r>
          </w:p>
        </w:tc>
      </w:tr>
      <w:tr>
        <w:trPr>
          <w:trHeight w:val="196"/>
        </w:trPr>
        <w:tc>
          <w:tcPr>
            <w:tcW w:w="7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24,600</w:t>
            </w:r>
          </w:p>
        </w:tc>
      </w:tr>
      <w:tr>
        <w:trPr>
          <w:trHeight w:val="202"/>
        </w:trPr>
        <w:tc>
          <w:tcPr>
            <w:tcW w:w="7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paid</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7"/>
        </w:trPr>
        <w:tc>
          <w:tcPr>
            <w:tcW w:w="7360" w:type="dxa"/>
            <w:vAlign w:val="bottom"/>
          </w:tcPr>
          <w:p>
            <w:pPr>
              <w:ind w:left="120"/>
              <w:spacing w:after="0"/>
              <w:rPr>
                <w:sz w:val="20"/>
                <w:szCs w:val="20"/>
                <w:color w:val="auto"/>
              </w:rPr>
            </w:pPr>
            <w:r>
              <w:rPr>
                <w:rFonts w:ascii="Arial" w:cs="Arial" w:eastAsia="Arial" w:hAnsi="Arial"/>
                <w:sz w:val="14"/>
                <w:szCs w:val="14"/>
                <w:color w:val="auto"/>
              </w:rPr>
              <w:t>Interest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2,726</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3,428</w:t>
            </w: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1,091</w:t>
            </w:r>
          </w:p>
        </w:tc>
      </w:tr>
      <w:tr>
        <w:trPr>
          <w:trHeight w:val="197"/>
        </w:trPr>
        <w:tc>
          <w:tcPr>
            <w:tcW w:w="7360" w:type="dxa"/>
            <w:vAlign w:val="bottom"/>
          </w:tcPr>
          <w:p>
            <w:pPr>
              <w:spacing w:after="0"/>
              <w:rPr>
                <w:sz w:val="20"/>
                <w:szCs w:val="20"/>
                <w:color w:val="auto"/>
              </w:rPr>
            </w:pPr>
            <w:r>
              <w:rPr>
                <w:rFonts w:ascii="Arial" w:cs="Arial" w:eastAsia="Arial" w:hAnsi="Arial"/>
                <w:sz w:val="14"/>
                <w:szCs w:val="14"/>
                <w:b w:val="1"/>
                <w:bCs w:val="1"/>
                <w:color w:val="auto"/>
              </w:rPr>
              <w:t>Noncash investing and financing</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8"/>
        </w:trPr>
        <w:tc>
          <w:tcPr>
            <w:tcW w:w="7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 acquired through finance lease obligations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1,086</w:t>
            </w:r>
          </w:p>
        </w:tc>
      </w:tr>
    </w:tbl>
    <w:p>
      <w:pPr>
        <w:spacing w:after="0" w:line="33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public infrastructure and commercial aerospace components.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March 2020, the World Health Organization declared the outbreak of a novel coronavirus (COVID-19) as a pandemic, which continues to spread throughout the United States. The COVID-19 pandemic has caused significant volatility in domestic and international markets. There is on-going uncertainty around the breadth and duration of business disruptions related to COVID-19, as well as its impact on the U.S. and international economies. In addition, oil prices have dropped significantly, and airline traffic has experienced a significant decline. These declines were driven by the uncertainty surrounding the COVID-19 pandemic and, in the case of the oil and gas market, other macroeconomic events such as the geopolitical tensions between OPEC and Russia, which also resulted in a significant drop in oil prices.</w:t>
      </w:r>
    </w:p>
    <w:p>
      <w:pPr>
        <w:spacing w:after="0" w:line="21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COVID-19 pandemic and significant drop in oil prices has adversely affected the Company's workforce and operations, as well as the operations of its customers, suppliers and contractors. These negative factors have also resulted in significant volatility and uncertainty in the markets in which the Company operates. To successfully navigate through this unprecedented period, the Company continues to focus on the following key priorities:</w:t>
      </w:r>
    </w:p>
    <w:p>
      <w:pPr>
        <w:spacing w:after="0" w:line="23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Ensuring the health and safety of its employees and those of its customers and suppliers;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business continuity and financial strength and stability;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Serving its customers as they provide essential products and services to the world.</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While the Company cannot fully assess the impact that the COVID-19 pandemic or the significant drop in oil prices will have on its operations at this time, there are certain impacts that the Company has identified:</w:t>
      </w:r>
    </w:p>
    <w:p>
      <w:pPr>
        <w:spacing w:after="0" w:line="251" w:lineRule="exact"/>
        <w:rPr>
          <w:sz w:val="20"/>
          <w:szCs w:val="20"/>
          <w:color w:val="auto"/>
        </w:rPr>
      </w:pPr>
    </w:p>
    <w:p>
      <w:pPr>
        <w:ind w:left="660" w:right="220" w:hanging="328"/>
        <w:spacing w:after="0" w:line="27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financial market volatility that resulted from COVID-19 and the drop in oil prices required the Company to reassess the goodwill it had recorded related to various prior acquisitions under the guidance of ASC 350. The Company determined that the fair values of various reporting units were less than their carrying values (including goodwill). As a result, the Company recorded an impairment charge related to goodwill of approximately $77.1 million in the three months ended March 31, 2020. See Note 8–</w:t>
      </w:r>
      <w:r>
        <w:rPr>
          <w:rFonts w:ascii="Arial" w:cs="Arial" w:eastAsia="Arial" w:hAnsi="Arial"/>
          <w:sz w:val="17"/>
          <w:szCs w:val="17"/>
          <w:i w:val="1"/>
          <w:iCs w:val="1"/>
          <w:color w:val="auto"/>
        </w:rPr>
        <w:t>Goodwill</w:t>
      </w:r>
      <w:r>
        <w:rPr>
          <w:rFonts w:ascii="Arial" w:cs="Arial" w:eastAsia="Arial" w:hAnsi="Arial"/>
          <w:sz w:val="17"/>
          <w:szCs w:val="17"/>
          <w:color w:val="auto"/>
        </w:rPr>
        <w:t>.</w:t>
      </w:r>
    </w:p>
    <w:p>
      <w:pPr>
        <w:spacing w:after="0" w:line="9" w:lineRule="exact"/>
        <w:rPr>
          <w:rFonts w:ascii="Arial" w:cs="Arial" w:eastAsia="Arial" w:hAnsi="Arial"/>
          <w:sz w:val="17"/>
          <w:szCs w:val="17"/>
          <w:color w:val="auto"/>
        </w:rPr>
      </w:pPr>
    </w:p>
    <w:p>
      <w:pPr>
        <w:ind w:left="660" w:right="20" w:hanging="328"/>
        <w:spacing w:after="0" w:line="27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same financial market volatility required the Company to reassess the tangible and intangible assets recorded under the guidance of ASC 360. The Company determined that the fair values of certain asset groups were less than their carrying values (excluding goodwill). As a result, the Company recorded impairment charges related to intangible assets of approximately $28.8 million and a right-of-use asset of approximately $0.2 million in the three months ended March 31, 2020. See Note 9–</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and Note 13–</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9" w:lineRule="exact"/>
        <w:rPr>
          <w:rFonts w:ascii="Arial" w:cs="Arial" w:eastAsia="Arial" w:hAnsi="Arial"/>
          <w:sz w:val="17"/>
          <w:szCs w:val="17"/>
          <w:color w:val="auto"/>
        </w:rPr>
      </w:pPr>
    </w:p>
    <w:p>
      <w:pPr>
        <w:ind w:left="660" w:right="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March 31, 2020, the Company was in compliance with the terms of its $300 million revolving line of credit and $100 million senior secured term loan A facility provided by its banking group. Given the uncertainty of the Company's projected cash flows as a result of the impact of the COVID-19 pandemic and the drop in oil prices, the Company entered into an amendment on May 15, 2020 with its banking group that, among other provisions, modifies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60" w:right="420"/>
        <w:spacing w:after="0" w:line="263" w:lineRule="auto"/>
        <w:rPr>
          <w:sz w:val="20"/>
          <w:szCs w:val="20"/>
          <w:color w:val="auto"/>
        </w:rPr>
      </w:pPr>
      <w:r>
        <w:rPr>
          <w:rFonts w:ascii="Arial" w:cs="Arial" w:eastAsia="Arial" w:hAnsi="Arial"/>
          <w:sz w:val="18"/>
          <w:szCs w:val="18"/>
          <w:color w:val="auto"/>
        </w:rPr>
        <w:t>the current financial covenants. The Company believes that it is probable, based on the amended covenants, that the Company will be able to comply with the amended covenants and fulfil its obligations under the credit agreement; however, such matters cannot be predicted with certainty. See Note 11–</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To respond to the economic downturn resulting from the COVID-19 pandemic and the drop in oil prices, the Company has initiated a cost reduction and efficiency program. All named executive officers of the Company have voluntarily taken temporary salary reductions ranging from 25% to 45% of their base salary. In addition, the Company instituted a reduction for its other salaried employees, at lower percentages, and suspended the Company's voluntary match under the Company sponsored savings plans for its U.S. and Canadian employees. These reductions are for the second quarter of 2020. If the economic downturn continues beyond the second quarter and there is no sign of economic recovery for the Company or its industry, the Company will assess whether to change these cost saving measures. In addition, the Company’s non-employee directors voluntarily agreed to a $3,750 reduction in their second quarter 2020 payment.</w:t>
      </w:r>
    </w:p>
    <w:p>
      <w:pPr>
        <w:spacing w:after="0" w:line="21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 is currently unable to predict with certainty the overall impact that the COVID-19 pandemic and drop in oil prices may have on its business, results of operations, or liquidity. The Company may be impacted by the pandemic and drop in oil prices in other ways which the Company cannot yet determine. The Company will continue to monitor market conditions and respond accordingly.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years ending December 31, 2020 and December 31, 2019.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2019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months ended March 31, 2020 and 2019, no customer represented 10% or more of the Company's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i w:val="1"/>
          <w:iCs w:val="1"/>
          <w:color w:val="auto"/>
        </w:rPr>
        <w:t>Summary of Significant Accounting Policies and Practices</w:t>
      </w:r>
      <w:r>
        <w:rPr>
          <w:rFonts w:ascii="Arial" w:cs="Arial" w:eastAsia="Arial" w:hAnsi="Arial"/>
          <w:sz w:val="18"/>
          <w:szCs w:val="18"/>
          <w:color w:val="auto"/>
        </w:rPr>
        <w:t xml:space="preserve"> in the 2019 Annual Report. On an ongoing basis, the Company evaluates its estimates and assumptions, including among other things, those related to revenue recognition, long-lived assets, goodwill and acquisitions. Since the date of the 2019 Annual Report, there have been no material changes to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 ASC 740-270, Income Taxes-Interim Reporting, requires the Company to use an estimated annual effective tax rate (EAETR) for calculating its tax provision for interim periods. At each interim period, the Company is required, with certain exceptions and limitations, to estimate its forecasted worldwide EAETR, which is applied to the Company's year-to-date consolidated ordinary income or loss resulting in the year-to-date income tax provision before considering items not included in ordinary income or loss. The tax effects of events or transactions not considered to represent ordinary income or loss are accounted for discretely in the interim period and are not included in the determination of the EAETR.</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response to the COVID-19 pandemic, the Coronavirus Aid, Relief and Economic Security Act (“CARES Act”) was signed into law on March 27, 2020. The CARES Act, among other things, includes tax provisions relating to deferment of employer’s social security payments, net operating loss utilization and carryback periods, modifications to the net interest deduction limitations and technical corrections to tax depreciation methods for qualified improvement property (QIP). The ultimate impact of the CARES Act may differ from the estimated impact the Company recorded during this interim period due to changes in interpretations and guidance that may be issued and actions the Company may take in response to the CARES Act. The Company will continue to assess the impact that various provisions will have on its business.</w:t>
      </w:r>
    </w:p>
    <w:p>
      <w:pPr>
        <w:spacing w:after="0" w:line="2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continues to evaluate its deferred tax assets each period to determine if a valuation allowance is required based on whether it is more likely than not that some portion of these deferred tax assets will not be realized. As of March 31, 2020, management concluded that it is more likely than not that a substantial portion of the Company's deferred tax assets will be realized. As part of the Company's analysis, it considered both positive and negative factors that impact profitability and whether those factors would lead to a change in the estimate of the Company's deferred tax assets that may be realized in the future. In the current period, the Company began to see impacts on its business as a result of the COVID-19 pandemic. The Company will continue to monitor the impacts of the COVID-19 pandemic on its business, and any sustained or prolonged reductions in future earnings periods may change the Company's conclusions on whether it is more likely than not to realize portions of the Company's deferred tax assets.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effective income tax rate was approximately 14% and 33% for the three months ended March 31, 2020 and 2019, respectively. The effective income tax rate for the three months ended March 31, 2020 was lower than the statutory rate primarily due to impairments recorded during the interim period for which no income tax benefits will be realized by us. However, this unfavorable impact on the Company's effective income tax rate was partially offset by income tax benefits of the CARES Act. The CARES Act provides a five-year carryback of net operating losses generated in years 2018-2020. As the statutory federal income tax rate applicable to certain years within the carryback period is 35%, carryback to those years of the Company's estimated 2020 annual tax loss provides a tax benefit in excess of the current federal statutory rate of 21%, resulting in an increased income tax benefit. The Company projects that the income tax effects of the CARES Act will result in additional income tax benefit recognized throughout the 2020 tax year as part of the estimated annual effective tax rate, and a cash refund in 2021 of taxes paid in prior years. The effective income tax rate for the three months ended March 31, 2019 was higher than the statutory rate due to the impact of discrete items, the global intangible low-taxes income (GILTI), and executive compensation, and other provisions resulting from the December 22, 2017 passage of the Tax Cuts and Jobs Act and foreign tax rates different than statutory rates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ASU 2019-12 simplifies the accounting for income taxes by eliminating certain exceptions related to the approach for intra-period tax allocation, the methodology for calculating income taxes in an interim period, and the recognition of deferred tax liabilities related to outside basis differences. The standard is effective for interim and annual periods beginning January 1, 2021, with certain amendments applied prospectively and others requiring retrospective application. Early adoption is permitted, with any adjustments reflected as of the beginning of the fiscal year of adoption. If early adoption is elected, all changes as a result of the standard must be adopted in the same period. The Company is currently evaluating the impact of this guidance on its consolidated financial position, results of operations, and cash flows.</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the impact of this guidance on its consolidated financial position, results of operations, and cash flows.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majority of the Company's revenues are derived from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the Company's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the Company's contracts have multiple performance obligations, most commonly due to the contract providing both goods and services. For contracts with multiple performance obligations, the Company allocates the contract’s transaction price to each performance obligation using its best estimate of the standalone selling price of each distinct good or service in the contract. The primary method used to estimate standalone selling price is a relative selling price based on price lists.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recognized over time as work progresses is related to its service deliverables, which includes providing testing, inspection and mechanical services to the Company's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majority of the Company's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majority of the Company's revenues are short-term in nature. The Company has many master service agreements (MSAs) that specify an overall framework and contract terms when the Company and customers agree upon services or products to be provided. The actual contracting to provide services or furnish products is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92,498</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14,652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22,214</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18,274</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7,646</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8,127</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7,538</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3,168</w:t>
            </w:r>
          </w:p>
        </w:tc>
      </w:tr>
      <w:tr>
        <w:trPr>
          <w:trHeight w:val="263"/>
        </w:trPr>
        <w:tc>
          <w:tcPr>
            <w:tcW w:w="36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128,873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29,067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159,465</w:t>
            </w:r>
          </w:p>
        </w:tc>
      </w:tr>
      <w:tr>
        <w:trPr>
          <w:trHeight w:val="21"/>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11"/>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Three Months Ended March 31, 2019</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Products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Corp/Elim</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&amp; Gas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101,385</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Aerospace &amp; Defense</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12,794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24,755</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21,630</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Power generation &amp; Transmission</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9,064</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Process Industries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8,566</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Infrastructure, Research &amp; Engineering</w:t>
            </w: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6,170</w:t>
            </w: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5,217</w:t>
            </w:r>
          </w:p>
        </w:tc>
      </w:tr>
      <w:tr>
        <w:trPr>
          <w:trHeight w:val="264"/>
        </w:trPr>
        <w:tc>
          <w:tcPr>
            <w:tcW w:w="36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140,298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35,162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176,787</w:t>
            </w:r>
          </w:p>
        </w:tc>
      </w:tr>
      <w:tr>
        <w:trPr>
          <w:trHeight w:val="20"/>
        </w:trPr>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4"/>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4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110,583</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18,735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20,365</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26,304</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2,213</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128,873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29,067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159,465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792"/>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2019</w:t>
            </w:r>
          </w:p>
        </w:tc>
        <w:tc>
          <w:tcPr>
            <w:tcW w:w="30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80" w:type="dxa"/>
            <w:vAlign w:val="bottom"/>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49"/>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114,100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Other Americas</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26,708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28,947</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31,626</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2,114</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140,298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35,162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176,787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Condensed Consolidated Balance Sheets at the end of each reporting period within accounts receivables or accrued expenses and other current liabilities.</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recognized during the three months ended March 31, 2020 and 2019 that was included in the contract liability balance at the beginning of such year was $1.6 million and $1.8 million, respectively. Changes in the contract asset and liability balances during these periods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Compensation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awards granted under the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For the three months ended March 31, 2020 and 2019, the Company did not recognize any share-based compensation expense related to stock option awards, as all outstanding stock options awards were then already fully vested. No unrecognized compensation costs remained related to stock option awards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the stock option activity, weighted-average exercise prices and options outstanding as of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w:t>
      </w:r>
    </w:p>
    <w:p>
      <w:pPr>
        <w:spacing w:after="0" w:line="40"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23495</wp:posOffset>
            </wp:positionV>
            <wp:extent cx="4063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6"/>
              </w:rPr>
              <w:t>2020</w:t>
            </w: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110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100" w:type="dxa"/>
            <w:vAlign w:val="bottom"/>
          </w:tcPr>
          <w:p>
            <w:pPr>
              <w:jc w:val="center"/>
              <w:ind w:left="328"/>
              <w:spacing w:after="0" w:line="135"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48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0"/>
              </w:rPr>
              <w:t>Options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5"/>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20"/>
              <w:spacing w:after="0"/>
              <w:rPr>
                <w:sz w:val="20"/>
                <w:szCs w:val="20"/>
                <w:color w:val="auto"/>
              </w:rPr>
            </w:pPr>
            <w:r>
              <w:rPr>
                <w:rFonts w:ascii="Arial" w:cs="Arial" w:eastAsia="Arial" w:hAnsi="Arial"/>
                <w:sz w:val="18"/>
                <w:szCs w:val="18"/>
                <w:color w:val="auto"/>
              </w:rPr>
              <w:t>Expired or forfeited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the three months ended March 31, 2020 and March 31, 2019, the Company recognized share-based compensation expense related to restricted stock unit awards of $1.1 million and $0.9 million, respectively. As of March 31, 2020, there was $5.8 million of unrecognized compensation costs, net of estimated forfeitures, related to restricted stock unit awards, which is expected to be recognized over a remaining weighted-average period of 2.2 years. Upon vesting, restricted stock units are generally net share-settled to cover the required withholding tax and the remaining amount is converted into an equivalent number of shares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6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6"/>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24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1020" w:type="dxa"/>
            <w:vAlign w:val="bottom"/>
          </w:tcPr>
          <w:p>
            <w:pPr>
              <w:jc w:val="right"/>
              <w:ind w:right="82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693</w:t>
            </w:r>
          </w:p>
        </w:tc>
      </w:tr>
    </w:tbl>
    <w:p>
      <w:pPr>
        <w:spacing w:after="0" w:line="364"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A summary of the fully-vested common stock the Company issued to its six non-employee directors, in connection with its non-employee director compensation plan, is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6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6"/>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1060" w:type="dxa"/>
            <w:vAlign w:val="bottom"/>
          </w:tcPr>
          <w:p>
            <w:pPr>
              <w:jc w:val="right"/>
              <w:ind w:right="862"/>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200</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as follows:</w:t>
      </w:r>
    </w:p>
    <w:p>
      <w:pPr>
        <w:spacing w:after="0" w:line="55"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23495</wp:posOffset>
            </wp:positionV>
            <wp:extent cx="40633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2019</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960" w:type="dxa"/>
            <w:vAlign w:val="bottom"/>
            <w:vMerge w:val="restart"/>
          </w:tcPr>
          <w:p>
            <w:pPr>
              <w:ind w:left="600"/>
              <w:spacing w:after="0"/>
              <w:rPr>
                <w:sz w:val="20"/>
                <w:szCs w:val="20"/>
                <w:color w:val="auto"/>
              </w:rPr>
            </w:pPr>
            <w:r>
              <w:rPr>
                <w:rFonts w:ascii="Arial" w:cs="Arial" w:eastAsia="Arial" w:hAnsi="Arial"/>
                <w:sz w:val="14"/>
                <w:szCs w:val="14"/>
                <w:b w:val="1"/>
                <w:bCs w:val="1"/>
                <w:color w:val="auto"/>
                <w:w w:val="97"/>
              </w:rPr>
              <w:t>Units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Grant-Date</w:t>
            </w:r>
          </w:p>
        </w:tc>
        <w:tc>
          <w:tcPr>
            <w:tcW w:w="14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Outstanding at beginning of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559</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00"/>
              <w:spacing w:after="0"/>
              <w:rPr>
                <w:sz w:val="20"/>
                <w:szCs w:val="20"/>
                <w:color w:val="auto"/>
              </w:rPr>
            </w:pPr>
            <w:r>
              <w:rPr>
                <w:rFonts w:ascii="Arial" w:cs="Arial" w:eastAsia="Arial" w:hAnsi="Arial"/>
                <w:sz w:val="18"/>
                <w:szCs w:val="18"/>
                <w:color w:val="auto"/>
              </w:rPr>
              <w:t>Released</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63"/>
        </w:trPr>
        <w:tc>
          <w:tcPr>
            <w:tcW w:w="47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9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8"/>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 For 2019, three metrics, as defined: (1) Operating Income, (2) Adjusted EBITDAS (defined as net income attributable to MISTRAS Group, Inc.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 and (3) Revenue. There also is a discretionary portion of the PRSUs based on individual performance, granted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equity-classified.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55"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23495</wp:posOffset>
            </wp:positionV>
            <wp:extent cx="40633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2019</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0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Grant-Date</w:t>
            </w:r>
          </w:p>
        </w:tc>
        <w:tc>
          <w:tcPr>
            <w:tcW w:w="14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3"/>
        </w:trPr>
        <w:tc>
          <w:tcPr>
            <w:tcW w:w="5780" w:type="dxa"/>
            <w:vAlign w:val="bottom"/>
            <w:gridSpan w:val="2"/>
          </w:tcPr>
          <w:p>
            <w:pPr>
              <w:spacing w:after="0"/>
              <w:rPr>
                <w:sz w:val="20"/>
                <w:szCs w:val="20"/>
                <w:color w:val="auto"/>
              </w:rPr>
            </w:pPr>
            <w:r>
              <w:rPr>
                <w:rFonts w:ascii="Arial" w:cs="Arial" w:eastAsia="Arial" w:hAnsi="Arial"/>
                <w:sz w:val="18"/>
                <w:szCs w:val="18"/>
                <w:color w:val="auto"/>
              </w:rPr>
              <w:t>Outstanding at beginning of period:</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Granted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Performance condition adjustments</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3"/>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three months ended March 31, 2020 and March 31, 2019, the Compensation Committee approved the final calculation of the award metrics for calendar year 2019 and calendar year 2018, respectively. As a result, the calendar year 2019 PRSUs increased by approximately 1,000 units and the calendar year 2018 PRSUs decreased by approximately 3,000 units.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three months ended March 31, 2020 and March 31, 2019, the Company recognized aggregate share-based compensation expense related to the awards described above of approximately $0.3 million and $0.2 million, respectively. At March 31, 2020, there was $1.2 million of total unrecognized compensation costs related to approximately 242,000 non-vested PRSUs, which is expected to be recognized over a remaining weighted-average period of 1.9 years.</w:t>
      </w:r>
    </w:p>
    <w:p>
      <w:pPr>
        <w:spacing w:after="0" w:line="11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2020, the Compensation Committee is changing the criteria to four metrics with no discretionary portion. Revenue and Adjusted EBITDAS are being retained, and two additional metrics, free cash flow as a percentage of revenue and return on average book equity, will replace Operating Income. These two newly-added metrics are relative metrics, the performance of which are based upon how the Company performs relative to a peer group. However, due to the COVID-19 pandemic and the health and economic upheaval it has created, no targets have been established yet for the Revenue and Adjusted EBITDAS metrics for 2020. In addition, the Company does not have sufficient shares remaining in the 2016 Plan for the 2020 target grants, so no grants will be made unless and until the Company's shareholders approve a proposed amendment to the 2016 Plan to increase the number of shares authorized for issuance under the plan. Approval of the proposed amendment is being sought at the 2020 annual shareholders meeting scheduled for May 19, 2020. As such, no shares have been granted, in the first quarter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of 2020, as noted in the table above. The Company expects these awards to be finalized and approved by its Compensation Committee during the second quarter of 2020 if shareholders approve the proposed amendment to the 2016 Plan.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(loss) per Share</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Basic earnings (loss)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320" w:type="dxa"/>
            <w:vAlign w:val="bottom"/>
          </w:tcPr>
          <w:p>
            <w:pPr>
              <w:jc w:val="right"/>
              <w:ind w:right="192"/>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40"/>
        </w:trPr>
        <w:tc>
          <w:tcPr>
            <w:tcW w:w="80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attributable to Mistras Group, Inc.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28,963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28,574</w:t>
            </w:r>
          </w:p>
        </w:tc>
        <w:tc>
          <w:tcPr>
            <w:tcW w:w="0" w:type="dxa"/>
            <w:vAlign w:val="bottom"/>
          </w:tcPr>
          <w:p>
            <w:pPr>
              <w:spacing w:after="0"/>
              <w:rPr>
                <w:sz w:val="1"/>
                <w:szCs w:val="1"/>
                <w:color w:val="auto"/>
              </w:rPr>
            </w:pPr>
          </w:p>
        </w:tc>
      </w:tr>
      <w:tr>
        <w:trPr>
          <w:trHeight w:val="237"/>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Basic earnings (loss) per share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Net loss attributable to Mistras Group, Inc.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(98,509)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28,963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28,574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outstanding</w:t>
            </w:r>
            <w:r>
              <w:rPr>
                <w:rFonts w:ascii="Arial" w:cs="Arial" w:eastAsia="Arial" w:hAnsi="Arial"/>
                <w:sz w:val="23"/>
                <w:szCs w:val="23"/>
                <w:color w:val="auto"/>
                <w:vertAlign w:val="superscript"/>
              </w:rPr>
              <w:t>(1), (2)</w:t>
            </w:r>
          </w:p>
        </w:tc>
        <w:tc>
          <w:tcPr>
            <w:tcW w:w="2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8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 outstanding</w:t>
            </w:r>
            <w:r>
              <w:rPr>
                <w:rFonts w:ascii="Arial" w:cs="Arial" w:eastAsia="Arial" w:hAnsi="Arial"/>
                <w:sz w:val="23"/>
                <w:szCs w:val="23"/>
                <w:color w:val="auto"/>
                <w:vertAlign w:val="superscript"/>
              </w:rPr>
              <w:t>(1), (2)</w:t>
            </w:r>
          </w:p>
        </w:tc>
        <w:tc>
          <w:tcPr>
            <w:tcW w:w="200" w:type="dxa"/>
            <w:vAlign w:val="bottom"/>
          </w:tcPr>
          <w:p>
            <w:pPr>
              <w:spacing w:after="0"/>
              <w:rPr>
                <w:sz w:val="23"/>
                <w:szCs w:val="23"/>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80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28,963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28,574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8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351"/>
        </w:trPr>
        <w:tc>
          <w:tcPr>
            <w:tcW w:w="8080" w:type="dxa"/>
            <w:vAlign w:val="bottom"/>
          </w:tcPr>
          <w:p>
            <w:pPr>
              <w:spacing w:after="0"/>
              <w:rPr>
                <w:sz w:val="20"/>
                <w:szCs w:val="20"/>
                <w:color w:val="auto"/>
              </w:rPr>
            </w:pPr>
            <w:r>
              <w:rPr>
                <w:rFonts w:ascii="Arial" w:cs="Arial" w:eastAsia="Arial" w:hAnsi="Arial"/>
                <w:sz w:val="18"/>
                <w:szCs w:val="18"/>
                <w:color w:val="auto"/>
              </w:rPr>
              <w:t>_______________</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43"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2020, 99 shares related to restricted stock were excluded from the calculation of diluted EPS due to the net loss for the period.</w:t>
      </w:r>
    </w:p>
    <w:p>
      <w:pPr>
        <w:spacing w:after="0" w:line="1" w:lineRule="exact"/>
        <w:rPr>
          <w:rFonts w:ascii="Arial" w:cs="Arial" w:eastAsia="Arial" w:hAnsi="Arial"/>
          <w:sz w:val="21"/>
          <w:szCs w:val="21"/>
          <w:color w:val="auto"/>
          <w:vertAlign w:val="superscript"/>
        </w:rPr>
      </w:pPr>
    </w:p>
    <w:p>
      <w:pPr>
        <w:ind w:left="180" w:right="520" w:hanging="172"/>
        <w:spacing w:after="0" w:line="219" w:lineRule="auto"/>
        <w:tabs>
          <w:tab w:leader="none" w:pos="199"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2019, 212 and 168 shares related to stock options and restricted stock, respectively, were excluded from the calculation of diluted EPS due to the net loss for the period.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did not complete any acquisitions during the three months ended March 31, 2020 or 2019, respectively. During September 2019, the Company completed one acquisition that provides pipeline integrity management software and services to energy transportation companies. The Company acquired all the equity interest of the acquiree in exchange for aggregate consideration of $4.4 million in cash, contingent consideration of up to</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$4.3 million to be earned based upon the acquired business achieving specific performance metrics over the initial three years of operations from the acquisition date and working capital adjustments. The goodwill recorded is primarily attributable to expected synergies and is generally fully deductible for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tax purposes. The Company is still in the process of completing its valuation of the assets acquired and liabilities assumed. The Company accounted for this transaction in accordance with the acquisition method of accounting for business combinations.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estimated fair value of the assets acquired and liabilities assumed, the Company's allocation of purchase price and any subsequent adjustments made for the September 2019 acquisition: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4,380</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Working capital adjustments</w:t>
            </w: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w:t>
            </w: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1,142</w:t>
            </w:r>
          </w:p>
        </w:tc>
      </w:tr>
      <w:tr>
        <w:trPr>
          <w:trHeight w:val="263"/>
        </w:trPr>
        <w:tc>
          <w:tcPr>
            <w:tcW w:w="9920" w:type="dxa"/>
            <w:vAlign w:val="bottom"/>
          </w:tcPr>
          <w:p>
            <w:pPr>
              <w:ind w:left="120"/>
              <w:spacing w:after="0"/>
              <w:rPr>
                <w:sz w:val="20"/>
                <w:szCs w:val="20"/>
                <w:color w:val="auto"/>
              </w:rPr>
            </w:pPr>
            <w:r>
              <w:rPr>
                <w:rFonts w:ascii="Arial" w:cs="Arial" w:eastAsia="Arial" w:hAnsi="Arial"/>
                <w:sz w:val="18"/>
                <w:szCs w:val="18"/>
                <w:color w:val="auto"/>
              </w:rPr>
              <w:t>Total consideration</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5,370</w:t>
            </w:r>
          </w:p>
        </w:tc>
      </w:tr>
      <w:tr>
        <w:trPr>
          <w:trHeight w:val="20"/>
        </w:trPr>
        <w:tc>
          <w:tcPr>
            <w:tcW w:w="9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9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Current net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142</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65</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3,594</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1,535</w:t>
            </w:r>
          </w:p>
        </w:tc>
      </w:tr>
      <w:tr>
        <w:trPr>
          <w:trHeight w:val="27"/>
        </w:trPr>
        <w:tc>
          <w:tcPr>
            <w:tcW w:w="9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9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5,370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months ended March 31, 2020 and 2019:</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9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305</w:t>
            </w:r>
          </w:p>
        </w:tc>
      </w:tr>
      <w:tr>
        <w:trPr>
          <w:trHeight w:val="27"/>
        </w:trPr>
        <w:tc>
          <w:tcPr>
            <w:tcW w:w="7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2019</w:t>
            </w:r>
          </w:p>
        </w:tc>
      </w:tr>
      <w:tr>
        <w:trPr>
          <w:trHeight w:val="40"/>
        </w:trPr>
        <w:tc>
          <w:tcPr>
            <w:tcW w:w="80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132,905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144,282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(7,775)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(8,285)</w:t>
            </w:r>
          </w:p>
        </w:tc>
      </w:tr>
      <w:tr>
        <w:trPr>
          <w:trHeight w:val="27"/>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125,130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135,997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Company had $19.1 million and $22.2 million of unbilled revenues accrued as of March 31, 2020 and December 31, 2019, respectively. These amounts are included in the trade accounts receivable balances above. Unbilled revenues are generally billed in the subsequent quarter to their revenue recognition.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was contracted to perform inspections of welds on various pipeline projects in Texas for a customer. As of March 31, 2020, approximately $1.4 million of past due receivables were outstanding from this customer. The Company received notice from the customer in December 2019, alleging that the work performed was not in compliance with the contract. The Company filed a lawsuit to recover the $1.4 million and other amounts due to the Company and the customer filed a counterclaim, alleging breach of contract and seeking its damages. Accordingly, the Company recorded a full reserve in the amount of $1.4 million during the second half of 2019 for these past due receivables. There have not been any changes during 2020. See Note 14–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for additional details.</w:t>
      </w: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fourth quarter of 2018, the Company recorded a reserve of $0.7 million for a renewable energy industry customer, based in part on the available information about the financial difficulties of the customer. During the first quarter of 2019, the Company recorded an additional charge of $5.7 million to fully reserve for the amount of the exposure related to this customer. This customer filed for a voluntary insolvency proceeding on April 9, 2019. During the second quarter of 2019, the Company reversed $1.0 million of this reserve based on additional information obtained during the quarter. There have not been any changes since the second quarter of 2019.</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2019, the Company sold to an unaffiliated third party, without recourse, its remaining outstanding receivables owed from a customer which filed for bankruptcy, and for which the Company had initially recorded a charge during the second quarter of 2017. During the first quarter of 2019, the Company recorded a recovery of $0.2 million and during the second quarter of 2019, the Company recorded a recovery $1.7 million, related to a bad debt provision for the receivables due from this customer. This matter is considered fully resolved.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4"/>
                <w:szCs w:val="14"/>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4"/>
                <w:szCs w:val="14"/>
                <w:color w:val="auto"/>
              </w:rPr>
            </w:pPr>
          </w:p>
        </w:tc>
        <w:tc>
          <w:tcPr>
            <w:tcW w:w="13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6980" w:type="dxa"/>
            <w:vAlign w:val="bottom"/>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24,211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24,537</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17,443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17,227</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225,230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225,974</w:t>
            </w: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270,410</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(174,569)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(171,803)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94,971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98,607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for both the three months ended March 31, 2020 and 2019 was approximately $6.1 million.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Products and Systems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35,195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282,410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(77,089)</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Adjustments to preliminary purchase price allocations</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(9,032)</w:t>
            </w:r>
          </w:p>
        </w:tc>
      </w:tr>
      <w:tr>
        <w:trPr>
          <w:trHeight w:val="264"/>
        </w:trPr>
        <w:tc>
          <w:tcPr>
            <w:tcW w:w="482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181,986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14,303</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196,289</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During the first quarter of 2020, the Company’s market capitalization declined significantly compared to the fourth quarter of 2019. The Company’s closing stock price was $4.26 on March 31, 2020. Over the same period, the equity value of the Company’s peer group, and the overall U.S. stock market also declined significantly amid market volatility. In addition, oil prices have dropped significantly. These declines were driven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for each reporting unit as of March 31, 2020 (“testing date”). The Company also performed an analysis to determine any impairment of long-lived assets (see Note 9–</w:t>
      </w:r>
      <w:r>
        <w:rPr>
          <w:rFonts w:ascii="Arial" w:cs="Arial" w:eastAsia="Arial" w:hAnsi="Arial"/>
          <w:sz w:val="17"/>
          <w:szCs w:val="17"/>
          <w:i w:val="1"/>
          <w:iCs w:val="1"/>
          <w:color w:val="auto"/>
        </w:rPr>
        <w:t>Intangible assets</w:t>
      </w:r>
      <w:r>
        <w:rPr>
          <w:rFonts w:ascii="Arial" w:cs="Arial" w:eastAsia="Arial" w:hAnsi="Arial"/>
          <w:sz w:val="17"/>
          <w:szCs w:val="17"/>
          <w:color w:val="auto"/>
        </w:rPr>
        <w:t>) as well based on the triggering events noted above.</w:t>
      </w:r>
    </w:p>
    <w:p>
      <w:pPr>
        <w:spacing w:after="0" w:line="207"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9"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Under the income approach, the fair value for each of the reporting units was determined based on the present value of estimated future cash flows, discounted at an appropriate risk-adjusted rate. The Company used internal forecasts, updated for recent events, to estimate future cash flows with cash flows beyond the specific operating plans estimated using a terminal value calculation, which incorporates historical and forecasted trends, including an estimate of long-term future growth rates, based on the Company’s most recent views of the long-term outlook for each reporting unit. The internal forecasts include assumptions about future market recovery, including the expected demand for the Company’s goods and services. Due to the inherent uncertainties involved in making estimates and assumptions, actual results may differ from those assumed in the forecasts. The Company derived the discount rates using a capital asset pricing model and analyzing published rates for industries relevant to the reporting units to estimate the cost of equity financing. The Company used discount rates that are commensurate with the risks and uncertainties inherent in the respective businesses and in the internally developed forecasts, updated for recent events.</w:t>
      </w:r>
    </w:p>
    <w:p>
      <w:pPr>
        <w:spacing w:after="0" w:line="21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market approach valuations were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Based upon the results of the interim quantitative goodwill impairment test, the Company recorded an aggregate impairment charge of $77.1 million, which included $57.2 million in the services reporting unit within the Services segment,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condensed consolidated statements of income (loss) for the three months ended March 31, 2020.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cumulative goodwill impairment as of March 31, 2020 was $100.2 million, of which $57.2 million related to the Services segment, $29.8 million related to the International segment and $13.2 million related to the Products and Systems segment. The Company's cumulative goodwill impairment as of December 31, 2019 was $23.1 million, of which $13.2 million related to the Products and Systems segment and $9.9 million related to the International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89"/>
        </w:trPr>
        <w:tc>
          <w:tcPr>
            <w:tcW w:w="17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Customer relationships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111,825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(68,262)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41,357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113,861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(67,853)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46,008</w:t>
            </w:r>
          </w:p>
        </w:tc>
        <w:tc>
          <w:tcPr>
            <w:tcW w:w="0" w:type="dxa"/>
            <w:vAlign w:val="bottom"/>
          </w:tcPr>
          <w:p>
            <w:pPr>
              <w:spacing w:after="0"/>
              <w:rPr>
                <w:sz w:val="1"/>
                <w:szCs w:val="1"/>
                <w:color w:val="auto"/>
              </w:rPr>
            </w:pPr>
          </w:p>
        </w:tc>
      </w:tr>
      <w:tr>
        <w:trPr>
          <w:trHeight w:val="270"/>
        </w:trPr>
        <w:tc>
          <w:tcPr>
            <w:tcW w:w="1720" w:type="dxa"/>
            <w:vAlign w:val="bottom"/>
          </w:tcPr>
          <w:p>
            <w:pPr>
              <w:ind w:left="20"/>
              <w:spacing w:after="0"/>
              <w:rPr>
                <w:sz w:val="20"/>
                <w:szCs w:val="20"/>
                <w:color w:val="auto"/>
              </w:rPr>
            </w:pPr>
            <w:r>
              <w:rPr>
                <w:rFonts w:ascii="Arial" w:cs="Arial" w:eastAsia="Arial" w:hAnsi="Arial"/>
                <w:sz w:val="18"/>
                <w:szCs w:val="18"/>
                <w:color w:val="auto"/>
                <w:w w:val="99"/>
              </w:rPr>
              <w:t>Software/Technology</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73,493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(20,220)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(25,874)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27,399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55"/>
              <w:spacing w:after="0"/>
              <w:rPr>
                <w:sz w:val="20"/>
                <w:szCs w:val="20"/>
                <w:color w:val="auto"/>
              </w:rPr>
            </w:pPr>
            <w:r>
              <w:rPr>
                <w:rFonts w:ascii="Arial" w:cs="Arial" w:eastAsia="Arial" w:hAnsi="Arial"/>
                <w:sz w:val="18"/>
                <w:szCs w:val="18"/>
                <w:color w:val="auto"/>
              </w:rPr>
              <w:t>77,914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(18,756)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59,158</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compete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12,624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(11,662)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12,795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(11,630)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0"/>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2-12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10,768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10,813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208,710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(107,897)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72,019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215,383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(105,846)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109,537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As described in Note 8–</w:t>
      </w:r>
      <w:r>
        <w:rPr>
          <w:rFonts w:ascii="Arial" w:cs="Arial" w:eastAsia="Arial" w:hAnsi="Arial"/>
          <w:sz w:val="16"/>
          <w:szCs w:val="16"/>
          <w:i w:val="1"/>
          <w:iCs w:val="1"/>
          <w:color w:val="auto"/>
        </w:rPr>
        <w:t>Goodwill</w:t>
      </w:r>
      <w:r>
        <w:rPr>
          <w:rFonts w:ascii="Arial" w:cs="Arial" w:eastAsia="Arial" w:hAnsi="Arial"/>
          <w:sz w:val="16"/>
          <w:szCs w:val="16"/>
          <w:color w:val="auto"/>
        </w:rPr>
        <w:t>, there were negative market indicators that were determined to be triggering events indicating a potential impairment of certain long-lived assets within asset groups in the Services, International, Products and Corporate segments. The asset groups are groupings of assets and liabilities determined at the lowest level for which identifiable cash flows are largely independent of the cash flows of other assets and liabilities.</w:t>
      </w:r>
    </w:p>
    <w:p>
      <w:pPr>
        <w:ind w:right="120"/>
        <w:spacing w:after="0" w:line="264" w:lineRule="auto"/>
        <w:rPr>
          <w:sz w:val="20"/>
          <w:szCs w:val="20"/>
          <w:color w:val="auto"/>
        </w:rPr>
      </w:pPr>
      <w:r>
        <w:rPr>
          <w:rFonts w:ascii="Arial" w:cs="Arial" w:eastAsia="Arial" w:hAnsi="Arial"/>
          <w:sz w:val="16"/>
          <w:szCs w:val="16"/>
          <w:color w:val="auto"/>
        </w:rPr>
        <w:t>Recoverability testing indicated that certain intangible assets and right of use assets (See Note 13–</w:t>
      </w:r>
      <w:r>
        <w:rPr>
          <w:rFonts w:ascii="Arial" w:cs="Arial" w:eastAsia="Arial" w:hAnsi="Arial"/>
          <w:sz w:val="16"/>
          <w:szCs w:val="16"/>
          <w:i w:val="1"/>
          <w:iCs w:val="1"/>
          <w:color w:val="auto"/>
        </w:rPr>
        <w:t>Leases</w:t>
      </w:r>
      <w:r>
        <w:rPr>
          <w:rFonts w:ascii="Arial" w:cs="Arial" w:eastAsia="Arial" w:hAnsi="Arial"/>
          <w:sz w:val="16"/>
          <w:szCs w:val="16"/>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included $25.9 million to software/technology, $2.2 million to customer relationships, $0.5 million to other intangibles and</w:t>
      </w:r>
    </w:p>
    <w:p>
      <w:pPr>
        <w:spacing w:after="0" w:line="1" w:lineRule="exact"/>
        <w:rPr>
          <w:sz w:val="20"/>
          <w:szCs w:val="20"/>
          <w:color w:val="auto"/>
        </w:rPr>
      </w:pPr>
    </w:p>
    <w:p>
      <w:pPr>
        <w:ind w:right="560"/>
        <w:spacing w:after="0" w:line="243" w:lineRule="auto"/>
        <w:rPr>
          <w:sz w:val="20"/>
          <w:szCs w:val="20"/>
          <w:color w:val="auto"/>
        </w:rPr>
      </w:pPr>
      <w:r>
        <w:rPr>
          <w:rFonts w:ascii="Arial" w:cs="Arial" w:eastAsia="Arial" w:hAnsi="Arial"/>
          <w:sz w:val="18"/>
          <w:szCs w:val="18"/>
          <w:color w:val="auto"/>
        </w:rPr>
        <w:t>$0.2 million to covenants not to compete, all of which are in the Services reporting unit within the Services segment and are included in Impairment charges on the condensed consolidated statements of income for the three months ended March 31, 2020.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March 31, 2020 and March 31, 2019 was approximately $3.4 million and $3.6 million, respectively.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2019</w:t>
            </w:r>
          </w:p>
        </w:tc>
      </w:tr>
      <w:tr>
        <w:trPr>
          <w:trHeight w:val="40"/>
        </w:trPr>
        <w:tc>
          <w:tcPr>
            <w:tcW w:w="80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30,072</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2,614</w:t>
            </w: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4,467</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5,860</w:t>
            </w: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2,519</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20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10,133</w:t>
            </w: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25,724</w:t>
            </w:r>
          </w:p>
        </w:tc>
      </w:tr>
      <w:tr>
        <w:trPr>
          <w:trHeight w:val="237"/>
        </w:trPr>
        <w:tc>
          <w:tcPr>
            <w:tcW w:w="806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75,156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81,389</w:t>
            </w:r>
          </w:p>
        </w:tc>
      </w:tr>
      <w:tr>
        <w:trPr>
          <w:trHeight w:val="27"/>
        </w:trPr>
        <w:tc>
          <w:tcPr>
            <w:tcW w:w="8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2019</w:t>
            </w:r>
          </w:p>
        </w:tc>
      </w:tr>
      <w:tr>
        <w:trPr>
          <w:trHeight w:val="40"/>
        </w:trPr>
        <w:tc>
          <w:tcPr>
            <w:tcW w:w="80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156,600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151,773</w:t>
            </w:r>
          </w:p>
        </w:tc>
      </w:tr>
      <w:tr>
        <w:trPr>
          <w:trHeight w:val="270"/>
        </w:trPr>
        <w:tc>
          <w:tcPr>
            <w:tcW w:w="8060" w:type="dxa"/>
            <w:vAlign w:val="bottom"/>
          </w:tcPr>
          <w:p>
            <w:pPr>
              <w:ind w:left="20"/>
              <w:spacing w:after="0"/>
              <w:rPr>
                <w:sz w:val="20"/>
                <w:szCs w:val="20"/>
                <w:color w:val="auto"/>
              </w:rPr>
            </w:pPr>
            <w:r>
              <w:rPr>
                <w:rFonts w:ascii="Arial" w:cs="Arial" w:eastAsia="Arial" w:hAnsi="Arial"/>
                <w:sz w:val="18"/>
                <w:szCs w:val="18"/>
                <w:color w:val="auto"/>
              </w:rPr>
              <w:t>Senior secured term loan, net of debt issuance costs of $0.1 million</w:t>
            </w:r>
          </w:p>
        </w:tc>
        <w:tc>
          <w:tcPr>
            <w:tcW w:w="200" w:type="dxa"/>
            <w:vAlign w:val="bottom"/>
          </w:tcPr>
          <w:p>
            <w:pPr>
              <w:spacing w:after="0"/>
              <w:rPr>
                <w:sz w:val="23"/>
                <w:szCs w:val="23"/>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93,674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94,919</w:t>
            </w: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8,021</w:t>
            </w:r>
          </w:p>
        </w:tc>
      </w:tr>
      <w:tr>
        <w:trPr>
          <w:trHeight w:val="237"/>
        </w:trPr>
        <w:tc>
          <w:tcPr>
            <w:tcW w:w="806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258,026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254,713</w:t>
            </w: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(6,593)</w:t>
            </w:r>
          </w:p>
        </w:tc>
      </w:tr>
      <w:tr>
        <w:trPr>
          <w:trHeight w:val="263"/>
        </w:trPr>
        <w:tc>
          <w:tcPr>
            <w:tcW w:w="8060" w:type="dxa"/>
            <w:vAlign w:val="bottom"/>
          </w:tcPr>
          <w:p>
            <w:pPr>
              <w:ind w:left="12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250,786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248,120</w:t>
            </w:r>
          </w:p>
        </w:tc>
      </w:tr>
      <w:tr>
        <w:trPr>
          <w:trHeight w:val="21"/>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Company's revolving credit agreement with its banking group ("Credit Agreement") provides the Company with a $300 million revolving line of credit. In addition, the Credit Agreement provides the Company with a $100 million senior secured term loan A facility. Both the revolving line of credit and the term loan A facility under the Credit Agreement have a maturity date of December 12, 2023. The Company may borrow up to $100 million in non-U.S. Dollar currencies and use up to $20 million of the credit limit for the issuance of letters of credit. As of March 31, 2020, the Company had borrowings of $250.3 million and a total of $3.7 million of letters of credit outstanding under the Credit Agreement. The Company has capitalized costs associated with debt modifications of $1.3 million as of March 31, 2020, which is included in Other assets on the Condensed Consolidated Balance Sheets.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Loans under the Credit Agreement bear interest at the London Interbank Offered Rate ("LIBOR") plus an applicable LIBOR margin ranging from 1% to 2.25%,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$10.0 million in the four consecutive quarters immediately preceding the date of 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3.75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certain of its subsidiaries.</w:t>
      </w:r>
    </w:p>
    <w:p>
      <w:pPr>
        <w:spacing w:after="0" w:line="18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4.25 to 1 through December 31, 2018, reducing to a maximum permitted ratio of 4.0 to 1 as of March 31, 2019 through June 30, 2020, a maximum permitted ratio of 3.75 to 1 as of September 30, 2020 and a maximum permitted ratio of 3.50 to 1 as of December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(as defined in the Credit Agreement) paid in cash during the period, -to- (b) the sum of (i)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U.S. generally accepted accounting principles ("GAAP") and to the extent paid in cash during the period,</w:t>
      </w:r>
    </w:p>
    <w:p>
      <w:pPr>
        <w:spacing w:after="0" w:line="3" w:lineRule="exact"/>
        <w:rPr>
          <w:sz w:val="20"/>
          <w:szCs w:val="20"/>
          <w:color w:val="auto"/>
        </w:rPr>
      </w:pPr>
    </w:p>
    <w:p>
      <w:pPr>
        <w:ind w:left="5540" w:right="1900" w:hanging="5532"/>
        <w:spacing w:after="0" w:line="932"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principal amount of all redemptions or similar acquisitions for value of outstanding debt for borrowed money or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regularly scheduled principal payments made during the period, but excluding any such payments to the extent refinanced through the incurrence of additional Indebtedness otherwise expressly permitted under the Credit Agreement, and (iii) payments made during the period under all leases that have been or should be, in accordance with GAAP as in effect for the Company's 2017 audited financial statement, recorded as capitalized leases.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 but prior to the first time the Company makes an election to increase the Funded Debt Leverage Ratio to 4.0 to 1 in connection with an acquisition, the Company must obtain the consent of lenders (in their sole discretion) holding at least 66-2/3% of the credit exposure under the Credit Agreement.</w:t>
      </w:r>
    </w:p>
    <w:p>
      <w:pPr>
        <w:spacing w:after="0" w:line="20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its stock, enter into a new line of business, enter into transactions with affiliates and enter into burdensome agreements. The Credit Agreement does not limit the Company’s ability to acquire other businesses or companies except that for acquisitions completed prior to April 1, 2021, (a) the aggregate consideration for all acquisitions made on or after March 9, 2020 and prior to April 1, 2021 cannot exceed $5.0 million, and (b) prior to the first of any such acquisition, the Company must have demonstrated a Funded Debt Leverage Ratio of not greater than 3.0 to 1.0 for two consecutive fiscal quarters immediately prior to such acquisition. The acquired business or company must be in the Company's line of business and, if the acquired business is a separate subsidiary, in certain circumstances the lenders will receive the benefit of a guaranty of the subsidiary and liens on its assets and a pledge of its stock.</w:t>
      </w:r>
    </w:p>
    <w:p>
      <w:pPr>
        <w:spacing w:after="0" w:line="1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March 31, 2020, the Company was in compliance with the terms of the Credit Agreement and will continuously monitor its compliance with the covenants contained in its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On May 15, 2020, the Company entered into the Third Amendment (the “Amendment”), dated May 15, 2020, to the Credit Agreement, dated December 13, 2018, with its banking group under the Credit Agreement. Due to the uncertain impact of the COVID-19 pandemic and the significant drop in oil prices, the Company determined that it would not meet the financial covenants in the Credit Agreement for upcoming quarters. Accordingly, the Amendment modifies the financial covenants to provide for: i) elimination of the Funded Debt Leverage Ratio (as defined in the Credit Agreement) for the quarters ended June 30 and September 30, 2020 and increases the Funded Debt Leverage ratio to no greater than 5.25 to 1 beginning for the quarter ending December 31, 2020 and decreasing each successive quarter to no greater than 3.50 to 1 for the quarter ended September 30, 2021, and all quarterly periods thereafter; ii) an elimination of the minimum Fixed Charge Coverage Ratio (as defined in the Credit Agreement), a decrease to 1.0 to 1 for the quarter ending March 31, 2021 and returning to 1.25 to 1 for the quarter ending June 30, 2021 and thereafter; iii) the addition of a minimum EBITDA covenant requiring $3.44 million for the three months ending June 30, 2020, $24.25 million for the six months ending September 30, 2020, and $38.55 million for the nine months ending December 31, 2020, with no requirement thereafter; and iv) the addition of a minimum Liquidity (as defined in the Amendment) covenant of not less than $20.0 million at all times through September 30, 2020 and ceasing thereafter. In addition, the Amendment reduced the revolving line of credit to $175.0 million, set a LIBOR floor of 1.0% applicable to all LIBOR loans, and increased the LIBOR margin range to 1.50% to 4.15%, in addition to certain other modifications of the Credit Agreement. The Amendment also requires that the Company promptly prepay the outstanding amount under the revolving credit facility in an amount equal to the difference between (a) the aggregate sum of cash and cash equivalents of the Company and its subsidiaries held in the United States minus (b) $10.0 million if, for a period of two (2) consecutive business days, (i) the outstanding amount under the revolving credit facility exceeds $75.0 million and (ii) the such cash and cash equivalents exceeds $10.0 million.</w:t>
      </w:r>
    </w:p>
    <w:p>
      <w:pPr>
        <w:spacing w:after="0" w:line="196"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Amendment also provides that the Company may not make any acquisitions prior to June 30, 2021, and thereafter only if the Company's Funded Debt Leverage Ratio is less than 2.50 to 1 and after giving effect to such acquisition, its pro forma Funded Debt Leverage Ratio will not be greater than 3.25 to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it is probable, based on the amended covenants, that the Company will be able to comply with the</w:t>
      </w:r>
    </w:p>
    <w:p>
      <w:pPr>
        <w:spacing w:after="0" w:line="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financial covenants in the Credit Agreement as modified by the Amendment and that sufficient credit remains available under the Credit Agreement to meet the Company's liquidity needs. However, due to the uncertainties being caused by the COVID-19 pandemic and the significant drop in oil prices, such matters cannot be predicted with certainty.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Company's other debt includes local bank financing provided at the local subsidiary level used to support working capital requirements and fund capital expenditures. At March 31, 2020, there was an aggregate of approximately $7.8 million outstanding, payable at various times through 2029. Monthly payments range from $1 thousand to $17 thousand and interest rates range from 0.4% to 3.5%.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2,365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Payments</w:t>
            </w:r>
          </w:p>
        </w:tc>
        <w:tc>
          <w:tcPr>
            <w:tcW w:w="36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Revaluation</w:t>
            </w:r>
          </w:p>
        </w:tc>
        <w:tc>
          <w:tcPr>
            <w:tcW w:w="36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261</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w:t>
            </w:r>
          </w:p>
        </w:tc>
      </w:tr>
      <w:tr>
        <w:trPr>
          <w:trHeight w:val="263"/>
        </w:trPr>
        <w:tc>
          <w:tcPr>
            <w:tcW w:w="80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2,699</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62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5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Sheets includes the following related to operating leases: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6"/>
                <w:szCs w:val="16"/>
                <w:color w:val="auto"/>
              </w:rPr>
            </w:pP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2019</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ROU assets</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45,817</w:t>
            </w:r>
          </w:p>
        </w:tc>
      </w:tr>
      <w:tr>
        <w:trPr>
          <w:trHeight w:val="392"/>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ROU - current</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10,133</w:t>
            </w:r>
          </w:p>
        </w:tc>
      </w:tr>
      <w:tr>
        <w:trPr>
          <w:trHeight w:val="243"/>
        </w:trPr>
        <w:tc>
          <w:tcPr>
            <w:tcW w:w="4000" w:type="dxa"/>
            <w:vAlign w:val="bottom"/>
            <w:gridSpan w:val="2"/>
          </w:tcPr>
          <w:p>
            <w:pPr>
              <w:ind w:left="120"/>
              <w:spacing w:after="0"/>
              <w:rPr>
                <w:sz w:val="20"/>
                <w:szCs w:val="20"/>
                <w:color w:val="auto"/>
              </w:rPr>
            </w:pPr>
            <w:r>
              <w:rPr>
                <w:rFonts w:ascii="Arial" w:cs="Arial" w:eastAsia="Arial" w:hAnsi="Arial"/>
                <w:sz w:val="18"/>
                <w:szCs w:val="18"/>
                <w:color w:val="auto"/>
              </w:rPr>
              <w:t>ROU liability - long-term</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35,927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36,750</w:t>
            </w:r>
          </w:p>
        </w:tc>
      </w:tr>
      <w:tr>
        <w:trPr>
          <w:trHeight w:val="27"/>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ROU liabilities</w:t>
            </w:r>
          </w:p>
        </w:tc>
        <w:tc>
          <w:tcPr>
            <w:tcW w:w="3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45,874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46,883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Included within the balance of operating leases is a lease for the Company’s headquarters which is with a related party. The ROU liability for this facility was approximately $4.3 million and $4.5 million as of March 31, 2020 and December 31, 2019, respectively. Total rent payments for this facility were approximately $0.3 million and $0.2 million for the three months ended March 31, 2020 and March 31, 2019, respectively.</w:t>
      </w:r>
    </w:p>
    <w:p>
      <w:pPr>
        <w:spacing w:after="0" w:line="9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total ROU assets attributable to finance leases were approximately $17.9 million and $19.2 million as of March 31, 2020 and December 31, 2019, respectively, which is included in Property, plant, and equipment, net on the Condensed Consolidated Balance Sheets.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described in Note 9–</w:t>
      </w:r>
      <w:r>
        <w:rPr>
          <w:rFonts w:ascii="Arial" w:cs="Arial" w:eastAsia="Arial" w:hAnsi="Arial"/>
          <w:sz w:val="18"/>
          <w:szCs w:val="18"/>
          <w:i w:val="1"/>
          <w:iCs w:val="1"/>
          <w:color w:val="auto"/>
        </w:rPr>
        <w:t>Intangible Assets</w:t>
      </w:r>
      <w:r>
        <w:rPr>
          <w:rFonts w:ascii="Arial" w:cs="Arial" w:eastAsia="Arial" w:hAnsi="Arial"/>
          <w:sz w:val="18"/>
          <w:szCs w:val="18"/>
          <w:color w:val="auto"/>
        </w:rPr>
        <w:t>,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 the Services segment which is included in Impairment charges on the condensed consolidated statements of income (loss)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3120" w:type="dxa"/>
            <w:vAlign w:val="bottom"/>
          </w:tcPr>
          <w:p>
            <w:pPr>
              <w:spacing w:after="0"/>
              <w:rPr>
                <w:sz w:val="17"/>
                <w:szCs w:val="17"/>
                <w:color w:val="auto"/>
              </w:rPr>
            </w:pPr>
          </w:p>
        </w:tc>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2019</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4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7"/>
        </w:trPr>
        <w:tc>
          <w:tcPr>
            <w:tcW w:w="31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ROU assets</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1,292</w:t>
            </w:r>
          </w:p>
        </w:tc>
      </w:tr>
      <w:tr>
        <w:trPr>
          <w:trHeight w:val="243"/>
        </w:trPr>
        <w:tc>
          <w:tcPr>
            <w:tcW w:w="312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197</w:t>
            </w:r>
          </w:p>
        </w:tc>
      </w:tr>
      <w:tr>
        <w:trPr>
          <w:trHeight w:val="27"/>
        </w:trPr>
        <w:tc>
          <w:tcPr>
            <w:tcW w:w="31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3,023</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220" w:type="dxa"/>
            <w:vAlign w:val="bottom"/>
          </w:tcPr>
          <w:p>
            <w:pPr>
              <w:spacing w:after="0"/>
              <w:rPr>
                <w:sz w:val="21"/>
                <w:szCs w:val="21"/>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133</w:t>
            </w:r>
          </w:p>
        </w:tc>
      </w:tr>
      <w:tr>
        <w:trPr>
          <w:trHeight w:val="27"/>
        </w:trPr>
        <w:tc>
          <w:tcPr>
            <w:tcW w:w="31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 Selling, general &amp;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272</w:t>
            </w:r>
          </w:p>
        </w:tc>
      </w:tr>
      <w:tr>
        <w:trPr>
          <w:trHeight w:val="237"/>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4,917</w:t>
            </w:r>
          </w:p>
        </w:tc>
      </w:tr>
      <w:tr>
        <w:trPr>
          <w:trHeight w:val="27"/>
        </w:trPr>
        <w:tc>
          <w:tcPr>
            <w:tcW w:w="31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
        </w:trPr>
        <w:tc>
          <w:tcPr>
            <w:tcW w:w="31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related to leases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7"/>
                <w:szCs w:val="17"/>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31, 2019</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for finance leases</w:t>
            </w: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 financing cash flows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1,249</w:t>
            </w:r>
          </w:p>
        </w:tc>
      </w:tr>
      <w:tr>
        <w:trPr>
          <w:trHeight w:val="243"/>
        </w:trPr>
        <w:tc>
          <w:tcPr>
            <w:tcW w:w="7860" w:type="dxa"/>
            <w:vAlign w:val="bottom"/>
          </w:tcPr>
          <w:p>
            <w:pPr>
              <w:ind w:left="300"/>
              <w:spacing w:after="0"/>
              <w:rPr>
                <w:sz w:val="20"/>
                <w:szCs w:val="20"/>
                <w:color w:val="auto"/>
              </w:rPr>
            </w:pPr>
            <w:r>
              <w:rPr>
                <w:rFonts w:ascii="Arial" w:cs="Arial" w:eastAsia="Arial" w:hAnsi="Arial"/>
                <w:sz w:val="18"/>
                <w:szCs w:val="18"/>
                <w:color w:val="auto"/>
              </w:rPr>
              <w:t>Finance - operating cash flows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197</w:t>
            </w: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 operating cash flows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3,079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1,086</w:t>
            </w:r>
          </w:p>
        </w:tc>
      </w:tr>
      <w:tr>
        <w:trPr>
          <w:trHeight w:val="243"/>
        </w:trPr>
        <w:tc>
          <w:tcPr>
            <w:tcW w:w="786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5"/>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1,348</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lease term (in years)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shd w:val="clear" w:color="auto" w:fill="CCEEFF"/>
          </w:tcPr>
          <w:p>
            <w:pPr>
              <w:spacing w:after="0"/>
              <w:rPr>
                <w:sz w:val="23"/>
                <w:szCs w:val="23"/>
                <w:color w:val="auto"/>
              </w:rPr>
            </w:pPr>
          </w:p>
        </w:tc>
        <w:tc>
          <w:tcPr>
            <w:tcW w:w="8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04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4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6.0 %</w:t>
            </w:r>
          </w:p>
        </w:tc>
        <w:tc>
          <w:tcPr>
            <w:tcW w:w="20" w:type="dxa"/>
            <w:vAlign w:val="bottom"/>
          </w:tcPr>
          <w:p>
            <w:pPr>
              <w:spacing w:after="0"/>
              <w:rPr>
                <w:sz w:val="21"/>
                <w:szCs w:val="21"/>
                <w:color w:val="auto"/>
              </w:rPr>
            </w:pPr>
          </w:p>
        </w:tc>
      </w:tr>
      <w:tr>
        <w:trPr>
          <w:trHeight w:val="742"/>
        </w:trPr>
        <w:tc>
          <w:tcPr>
            <w:tcW w:w="806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March 31, 2020 were as follows: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Finance</w:t>
            </w:r>
          </w:p>
        </w:tc>
        <w:tc>
          <w:tcPr>
            <w:tcW w:w="28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r>
      <w:tr>
        <w:trPr>
          <w:trHeight w:val="249"/>
        </w:trPr>
        <w:tc>
          <w:tcPr>
            <w:tcW w:w="20" w:type="dxa"/>
            <w:vAlign w:val="bottom"/>
          </w:tcPr>
          <w:p>
            <w:pPr>
              <w:spacing w:after="0"/>
              <w:rPr>
                <w:sz w:val="21"/>
                <w:szCs w:val="21"/>
                <w:color w:val="auto"/>
              </w:rPr>
            </w:pPr>
          </w:p>
        </w:tc>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9,348</w:t>
            </w:r>
          </w:p>
        </w:tc>
        <w:tc>
          <w:tcPr>
            <w:tcW w:w="20" w:type="dxa"/>
            <w:vAlign w:val="bottom"/>
          </w:tcPr>
          <w:p>
            <w:pPr>
              <w:spacing w:after="0"/>
              <w:rPr>
                <w:sz w:val="21"/>
                <w:szCs w:val="2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10,558</w:t>
            </w:r>
          </w:p>
        </w:tc>
        <w:tc>
          <w:tcPr>
            <w:tcW w:w="20" w:type="dxa"/>
            <w:vAlign w:val="bottom"/>
          </w:tcPr>
          <w:p>
            <w:pPr>
              <w:spacing w:after="0"/>
              <w:rPr>
                <w:sz w:val="21"/>
                <w:szCs w:val="21"/>
                <w:color w:val="auto"/>
              </w:rPr>
            </w:pPr>
          </w:p>
        </w:tc>
      </w:tr>
      <w:tr>
        <w:trPr>
          <w:trHeight w:val="27"/>
        </w:trPr>
        <w:tc>
          <w:tcPr>
            <w:tcW w:w="8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8,472</w:t>
            </w:r>
          </w:p>
        </w:tc>
        <w:tc>
          <w:tcPr>
            <w:tcW w:w="20" w:type="dxa"/>
            <w:vAlign w:val="bottom"/>
          </w:tcPr>
          <w:p>
            <w:pPr>
              <w:spacing w:after="0"/>
              <w:rPr>
                <w:sz w:val="21"/>
                <w:szCs w:val="2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7,038</w:t>
            </w:r>
          </w:p>
        </w:tc>
        <w:tc>
          <w:tcPr>
            <w:tcW w:w="20" w:type="dxa"/>
            <w:vAlign w:val="bottom"/>
          </w:tcPr>
          <w:p>
            <w:pPr>
              <w:spacing w:after="0"/>
              <w:rPr>
                <w:sz w:val="21"/>
                <w:szCs w:val="21"/>
                <w:color w:val="auto"/>
              </w:rPr>
            </w:pPr>
          </w:p>
        </w:tc>
      </w:tr>
      <w:tr>
        <w:trPr>
          <w:trHeight w:val="27"/>
        </w:trPr>
        <w:tc>
          <w:tcPr>
            <w:tcW w:w="8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5,478</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13,729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54,623</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Less: Present value discount</w:t>
            </w:r>
          </w:p>
        </w:tc>
        <w:tc>
          <w:tcPr>
            <w:tcW w:w="32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(8,749)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16,248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45,874</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March 31, 2020,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has filed a lawsuit in the District Court of Bexar County, Texas, 37th Judicial District, in an action captioned Mistras Group, Inc. v. Epic Y-Grade Pipeline LP, to recover the</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would incur a withdrawal liability related to these multi-employer pension plans. Accordingly, the Company recorded a charge of $5.9 million during 2018 and $0.8 million during 2019 for this potential withdrawal liability. The Company’s subsidiary reached an agreement with one of the pension funds in September 2019 and made a final payment of $0.9 million in complete satisfaction of the withdrawal liability of the subsidiary. Excluding the settlement payment, the Company made monthly payments totaling $3.3 million through the time of the final settlement payment, for total payments of $4.2 million. The balance of the estimated total amount of this potential liability as of March 31, 2020 is approximately $2.5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would not renew several of these leasing services contracts when they expired beginning in 2019. Due to the limit on the length of service allowed under the German Labor Lease Act, employees are being transitioned off the customer contracts. The German subsidiary has terminated, or will terminate, some these employees, creating a severance obligation to the terminated employees, and has transitioned, or will transition other employees to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Company's other customers. During December 2019, the Company executed an agreement to sell the rights of certain customer contracts for total consideration of approximately $0.1 million, effective January 1, 2020. No other assets or liabilities other than those employee benefits related to employees working on the customer contracts were included in the sale. As of March 31, 2020, the Company has approximately $0.6 million of accrued estimated severance payment obligations, which takes into account the Company's estimate with respect to the employees that have been or will be transitioned to the German subsidiaries' other customers. The $0.6 million of estimated obligations is net of $0.3 million in payments and $0.6 million in reversals due to employees being transitioned to customer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March 31, 2020, total potential acquisition-related contingent consideration ranged from zero to approximately $5.7 million and would be payable upon the achievement of specific performance metrics by certain of the acquired companies over the next 2.42 years.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2018, the Company sold a subsidiary in the Products and Systems segment. As part of the sale, the Company entered into a three-year agreement to purchase products from the buyer, with a cumulative commitment of $2.3 million, of which $1.4 million is remaining as of March 31, 2020. The agreement is based on third-party pricing and the Company's planned purchase requirements over the three year purchase period to meet the minimum contractual purchases.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hanging="244"/>
        <w:spacing w:after="0" w:line="259" w:lineRule="auto"/>
        <w:tabs>
          <w:tab w:leader="none" w:pos="89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PCMS software and pipeline related software and data analysis solutions are included in this segment.</w:t>
      </w:r>
    </w:p>
    <w:p>
      <w:pPr>
        <w:spacing w:after="0" w:line="186" w:lineRule="exact"/>
        <w:rPr>
          <w:rFonts w:ascii="Arial" w:cs="Arial" w:eastAsia="Arial" w:hAnsi="Arial"/>
          <w:sz w:val="18"/>
          <w:szCs w:val="18"/>
          <w:i w:val="1"/>
          <w:iCs w:val="1"/>
          <w:color w:val="auto"/>
        </w:rPr>
      </w:pPr>
    </w:p>
    <w:p>
      <w:pPr>
        <w:ind w:left="900" w:right="160" w:hanging="244"/>
        <w:spacing w:after="0" w:line="263"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183" w:lineRule="exact"/>
        <w:rPr>
          <w:rFonts w:ascii="Arial" w:cs="Arial" w:eastAsia="Arial" w:hAnsi="Arial"/>
          <w:sz w:val="18"/>
          <w:szCs w:val="18"/>
          <w:color w:val="auto"/>
        </w:rPr>
      </w:pPr>
    </w:p>
    <w:p>
      <w:pPr>
        <w:ind w:left="900" w:right="180" w:hanging="244"/>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March 31, 2019</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128,873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140,298</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29,067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35,162</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3,432</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(2,105)</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159,465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176,787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r>
      <w:tr>
        <w:trPr>
          <w:trHeight w:val="522"/>
        </w:trPr>
        <w:tc>
          <w:tcPr>
            <w:tcW w:w="8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March 31, 2019</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37,365</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10,360</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1,239</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(90)</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40,644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48,874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r>
      <w:tr>
        <w:trPr>
          <w:trHeight w:val="521"/>
        </w:trPr>
        <w:tc>
          <w:tcPr>
            <w:tcW w:w="8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March 31, 2019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4,053</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(20,419)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(215)</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(6,906)</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(111,228)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320" w:type="dxa"/>
            <w:vAlign w:val="bottom"/>
          </w:tcPr>
          <w:p>
            <w:pPr>
              <w:jc w:val="right"/>
              <w:ind w:right="193"/>
              <w:spacing w:after="0"/>
              <w:rPr>
                <w:sz w:val="20"/>
                <w:szCs w:val="20"/>
                <w:color w:val="auto"/>
              </w:rPr>
            </w:pPr>
            <w:r>
              <w:rPr>
                <w:rFonts w:ascii="Arial" w:cs="Arial" w:eastAsia="Arial" w:hAnsi="Arial"/>
                <w:sz w:val="14"/>
                <w:szCs w:val="14"/>
                <w:b w:val="1"/>
                <w:bCs w:val="1"/>
                <w:color w:val="auto"/>
              </w:rPr>
              <w:t>March 31, 2019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7,268</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2,089</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290</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21</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8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9,467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9,668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2019</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98,284</w:t>
            </w: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9,157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9,814</w:t>
            </w: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1,181</w:t>
            </w: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258</w:t>
            </w:r>
          </w:p>
        </w:tc>
      </w:tr>
      <w:tr>
        <w:trPr>
          <w:trHeight w:val="27"/>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72,019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109,537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764"/>
        </w:trPr>
        <w:tc>
          <w:tcPr>
            <w:tcW w:w="8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24"/>
                <w:szCs w:val="24"/>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2019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427,165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537,518</w:t>
            </w: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125,684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153,380</w:t>
            </w: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16,028</w:t>
            </w: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14,693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12,952</w:t>
            </w:r>
          </w:p>
        </w:tc>
      </w:tr>
      <w:tr>
        <w:trPr>
          <w:trHeight w:val="27"/>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583,545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719,878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–Revenue,</w:t>
      </w:r>
      <w:r>
        <w:rPr>
          <w:rFonts w:ascii="Arial" w:cs="Arial" w:eastAsia="Arial" w:hAnsi="Arial"/>
          <w:sz w:val="18"/>
          <w:szCs w:val="18"/>
          <w:color w:val="auto"/>
        </w:rPr>
        <w:t xml:space="preserve"> for revenues by geographic area for the three months ended March 31, 2020 and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Management’s Discussion and Analysis (“MD&amp;A”) provides a discussion of our results of operations and financial position for the three months ended March 31, 2020 and March 31, 2019. The MD&amp;A should be read together with our condensed consolidated financial statements and related notes included in Item 1 in this Quarterly Report on Form 10-Q and our audited consolidated financial statements and related notes included in our Annual Report on Form 10-K for the year ended December 31, 2019, filed with the Securities and Exchange Commission on March 27, 2020 (“2019 Annual Report”). Unless otherwise specified or the context otherwise requires, “Mistras,” “the Company,” “we,” “us” and “our” refer to Mistras Group, Inc. and its consolidated subsidiaries. The MD&amp;A includes the following sections:</w:t>
      </w:r>
    </w:p>
    <w:p>
      <w:pPr>
        <w:spacing w:after="0" w:line="19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2019 Annual Report as well as those discussed in this Quarterly Report on Form 10-Q and in our other filings with the SEC.</w:t>
      </w:r>
    </w:p>
    <w:p>
      <w:pPr>
        <w:spacing w:after="0" w:line="19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At the time of this report, the COVID-19 pandemic is continuing to have a negative impact on us and our key markets and is causing significant economic disruption worldwide. Our discussion above is qualified by the unknown impact that the COVID-19 pandemic will continue to have on our business and the economy in general, including the duration of the health risk the COVID-19 pandemic will cause and the resulting economic disruption.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offer our customers “OneSource for Asset Protection Solutions</w:t>
      </w:r>
      <w:r>
        <w:rPr>
          <w:rFonts w:ascii="Arial" w:cs="Arial" w:eastAsia="Arial" w:hAnsi="Arial"/>
          <w:sz w:val="20"/>
          <w:szCs w:val="20"/>
          <w:color w:val="auto"/>
          <w:vertAlign w:val="superscript"/>
        </w:rPr>
        <w:t>®</w:t>
      </w:r>
      <w:r>
        <w:rPr>
          <w:rFonts w:ascii="Arial" w:cs="Arial" w:eastAsia="Arial" w:hAnsi="Arial"/>
          <w:sz w:val="16"/>
          <w:szCs w:val="16"/>
          <w:color w:val="auto"/>
        </w:rPr>
        <w:t>" and are a leading global provider of technology-enabled asset protection solutions used to evaluate the structural integrity and reliability of critical energy, commercial aerospace and defense, industrial and public infrastructure. We combine industry-leading products and technologies, expertise in mechanical integrity (MI), Non-Destructive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comprehensive “OneSource” portfolio of customized solutions, utilizing a proven systematic method that creates a closed-loop lifecycle for addressing continuous asset protection and improvement, helps us to deliver value to our customers.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63" w:lineRule="exact"/>
        <w:rPr>
          <w:sz w:val="20"/>
          <w:szCs w:val="20"/>
          <w:color w:val="auto"/>
        </w:rPr>
      </w:pPr>
    </w:p>
    <w:p>
      <w:pPr>
        <w:ind w:left="660" w:right="400" w:hanging="328"/>
        <w:spacing w:after="0" w:line="24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PCMS software and pipeline related software and data analysis solutions are included in this segment.</w:t>
      </w:r>
    </w:p>
    <w:p>
      <w:pPr>
        <w:spacing w:after="0" w:line="25" w:lineRule="exact"/>
        <w:rPr>
          <w:rFonts w:ascii="Arial" w:cs="Arial" w:eastAsia="Arial" w:hAnsi="Arial"/>
          <w:sz w:val="18"/>
          <w:szCs w:val="18"/>
          <w:color w:val="auto"/>
        </w:rPr>
      </w:pPr>
    </w:p>
    <w:p>
      <w:pPr>
        <w:ind w:left="660" w:right="20" w:hanging="328"/>
        <w:spacing w:after="0" w:line="29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growing network of state-of-the-art, in-house laboratories. These solutions typically include NDT and inspection services, and can also include a wide range of mechanical services, including heat tracing, pre-inspection insulation stripping, coating applications, re-insulation, and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20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that we believe will enhance our advantages over our competition.</w:t>
      </w:r>
    </w:p>
    <w:p>
      <w:pPr>
        <w:spacing w:after="0" w:line="19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believe long-term growth can be realized in all of our target markets. We expect the timing of our oil and gas customers inspection spend to be impacted by oil price fluctuations. In addition, we have increased our capabilities and the size of our customer base through the development of applied technologies and managed support services, organic growth and the integration of acquired companies. Recent acquisitions have provided us with additional products, technologies, resources and customers that we believe will enhance our advantages over our competition.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2020, the World Health Organization declared the outbreak of a novel coronavirus (COVID-19) as a pandemic, which continues to spread throughout the United States. The COVID-19 pandemic has caused significant volatility in domestic and international markets. There is on-going uncertainty around the breadth and duration of business disruptions related to COVID-19, as well as its impact on the U.S. and international economies. In addition, oil prices have dropped significantly and airline traffic has also dropped significantly. These declines were driven by the uncertainty surrounding the COVID-19 pandemic and, in the case of the oil and gas market, other macroeconomic events such as the geopolitical tensions between OPEC and Russia, which also resulted in a significant drop in oil prices.</w:t>
      </w: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COVID-19 pandemic and significant drop in oil prices has adversely affected our workforce and operations, as well as the operations of our customers, suppliers and contractors. These negative factors have also resulted in significant volatility and uncertainty in the markets in which we operate. To successfully navigate through this unprecedented period, we continue to focus on the following key priorities:</w:t>
      </w:r>
    </w:p>
    <w:p>
      <w:pPr>
        <w:spacing w:after="0" w:line="2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Ensuring the health and safety of our employees and those of our customers and suppliers;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business continuity and financial strength and stability;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Serving our customers as they provide essential products and services to the world.</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While we cannot fully assess the impact that the COVID-19 pandemic or the significant drop in oil prices will have on all of our operations at this time, there are certain impacts that we have identified:</w:t>
      </w:r>
    </w:p>
    <w:p>
      <w:pPr>
        <w:spacing w:after="0" w:line="251" w:lineRule="exact"/>
        <w:rPr>
          <w:sz w:val="20"/>
          <w:szCs w:val="20"/>
          <w:color w:val="auto"/>
        </w:rPr>
      </w:pPr>
    </w:p>
    <w:p>
      <w:pPr>
        <w:ind w:left="660" w:right="200" w:hanging="328"/>
        <w:spacing w:after="0" w:line="299"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market volatility that resulted from COVID-19 and the drop in oil prices required that we reassess the goodwill we had recorded related to various prior acquisitions under the guidance of ASC 350. We determined that the fair values of various reporting units were less than their carrying values (including goodwill). As a result, we recorded an impairment charge related to goodwill of approximately $77.1 million in the three months ended March 31, 2020. See Note 8–</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in the condensed consolidated financial statements.</w:t>
      </w:r>
    </w:p>
    <w:p>
      <w:pPr>
        <w:spacing w:after="0" w:line="1" w:lineRule="exact"/>
        <w:rPr>
          <w:rFonts w:ascii="Arial" w:cs="Arial" w:eastAsia="Arial" w:hAnsi="Arial"/>
          <w:sz w:val="16"/>
          <w:szCs w:val="16"/>
          <w:color w:val="auto"/>
        </w:rPr>
      </w:pPr>
    </w:p>
    <w:p>
      <w:pPr>
        <w:ind w:left="660" w:right="120" w:hanging="328"/>
        <w:spacing w:after="0" w:line="299"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same financial market volatility required the we reassess the tangible and intangible assets recorded under the guidance of ASC 360. We determined that the fair values of certain asset groups were less than their carrying values (excluding goodwill). As a result, we recorded impairment charges related to intangible assets of approximately $28.8 million and a right-of-use asset of approximately $0.2 million in the three months ended March 31, 2020. See Note 9–</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and Note 13–</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condensed consolidated financial statements.</w:t>
      </w:r>
    </w:p>
    <w:p>
      <w:pPr>
        <w:spacing w:after="0" w:line="1" w:lineRule="exact"/>
        <w:rPr>
          <w:rFonts w:ascii="Arial" w:cs="Arial" w:eastAsia="Arial" w:hAnsi="Arial"/>
          <w:sz w:val="16"/>
          <w:szCs w:val="16"/>
          <w:color w:val="auto"/>
        </w:rPr>
      </w:pPr>
    </w:p>
    <w:p>
      <w:pPr>
        <w:ind w:left="660" w:right="28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March 31, 2020, we were in compliance with the terms of our $300 million revolving line of credit and $100 million senior secured term loan A facility provided by our banking group. Given the uncertainty of our projected cash flows as a result of the impact of the COVID-19 pandemic and the drop in oil prices, we entered into an amendment on May 15, 2020 with our banking group that, among other provisions, modifies the current financial covenants. It is probable, based on the amended covenants, that we will comply with the amended covenants and fulfil our obligations under the credit agreement; however, such matters cannot be predicted with certainty. See Note11–</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condensed consolidated financial statements.</w:t>
      </w:r>
    </w:p>
    <w:p>
      <w:pPr>
        <w:spacing w:after="0" w:line="2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respond to the economic downturn resulting from the COVID-19 pandemic and the drop in oil prices, we have initiated a cost reduction and efficiency program. All of our named executive officers have voluntarily taken temporary salary reductions ranging from 25% to 45% of their base salary. In addition, we instituted a reduction for our other salaried employees, at lower percentages, and suspended our voluntary match under our sponsored savings plans for our U.S. and Canadian employees. These reductions are for the second quarter of 2020. If the economic downturn continues beyond the second quarter and there is no sign of economic recovery for us or our industry, we will assess whether to continue these cost saving measures. In addition, our non-employee directors voluntarily agreed to a $3,750 reduction in their second quarter 2020 payment.</w:t>
      </w:r>
    </w:p>
    <w:p>
      <w:pPr>
        <w:spacing w:after="0" w:line="20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are currently unable to predict with certainty the overall impact that the COVID-19 pandemic and drop in oil prices may have on our business, results of operations, or liquidity. We will likely be impacted by the pandemic and drop in oil prices in other ways which we cannot yet determine. We will continue to monitor market conditions and respond accordingly. Refer to Item 1A. Risk Factors in Part I of our 2019 Annual Report on Form 10-K ("2019 Annual Report") for the year ended December 31, 2019, filed with the Securities and Exchange Commission ("SEC") on March 27,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special items is not used to determine incentive compensation for executives or employees, nor is it a replacement for GAAP and/or necessarily comparable to the non-GAAP financial measures of other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months ended March 31, 2020 and March 31, 2019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7"/>
                <w:szCs w:val="17"/>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159,465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176,787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40,644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48,874</w:t>
            </w:r>
          </w:p>
        </w:tc>
        <w:tc>
          <w:tcPr>
            <w:tcW w:w="18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Gross profit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151,872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53,270</w:t>
            </w:r>
          </w:p>
        </w:tc>
        <w:tc>
          <w:tcPr>
            <w:tcW w:w="18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Operating expenses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21"/>
                <w:szCs w:val="21"/>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(111,228)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(4,396)</w:t>
            </w:r>
          </w:p>
        </w:tc>
        <w:tc>
          <w:tcPr>
            <w:tcW w:w="18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Loss from Operations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3,527</w:t>
            </w:r>
          </w:p>
        </w:tc>
        <w:tc>
          <w:tcPr>
            <w:tcW w:w="180" w:type="dxa"/>
            <w:vAlign w:val="bottom"/>
          </w:tcPr>
          <w:p>
            <w:pPr>
              <w:spacing w:after="0"/>
              <w:rPr>
                <w:sz w:val="21"/>
                <w:szCs w:val="2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(114,017)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Benefit for income taxes</w:t>
            </w:r>
          </w:p>
        </w:tc>
        <w:tc>
          <w:tcPr>
            <w:tcW w:w="220" w:type="dxa"/>
            <w:vAlign w:val="bottom"/>
          </w:tcPr>
          <w:p>
            <w:pPr>
              <w:spacing w:after="0"/>
              <w:rPr>
                <w:sz w:val="21"/>
                <w:szCs w:val="21"/>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(15,495)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(2,637)</w:t>
            </w:r>
          </w:p>
        </w:tc>
        <w:tc>
          <w:tcPr>
            <w:tcW w:w="180" w:type="dxa"/>
            <w:vAlign w:val="bottom"/>
          </w:tcPr>
          <w:p>
            <w:pPr>
              <w:spacing w:after="0"/>
              <w:rPr>
                <w:sz w:val="21"/>
                <w:szCs w:val="2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(98,522)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220" w:type="dxa"/>
            <w:vAlign w:val="bottom"/>
          </w:tcPr>
          <w:p>
            <w:pPr>
              <w:spacing w:after="0"/>
              <w:rPr>
                <w:sz w:val="21"/>
                <w:szCs w:val="21"/>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Mistras Group,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(98,509)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80" w:type="dxa"/>
            <w:vAlign w:val="bottom"/>
            <w:tcBorders>
              <w:bottom w:val="single" w:sz="8" w:color="auto"/>
            </w:tcBorders>
            <w:shd w:val="clear" w:color="auto" w:fill="CCEEFF"/>
          </w:tcPr>
          <w:p>
            <w:pPr>
              <w:spacing w:after="0"/>
              <w:rPr>
                <w:sz w:val="24"/>
                <w:szCs w:val="24"/>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was $159.5 million for the three months ended March 31, 2020 , a decrease of $17.3 million, or 9.8%, compared with the three months ended March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months ended March 31, 2020 and March 31, 2019 were as follows:</w:t>
      </w:r>
    </w:p>
    <w:p>
      <w:pPr>
        <w:spacing w:after="0" w:line="298"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23495</wp:posOffset>
            </wp:positionV>
            <wp:extent cx="20059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March 31, 2019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140,298</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29,067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35,162</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3,432</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(2,105)</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159,465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176,787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three months ended March 31, 2020, total revenue decreased 9.8% due to a combination of low double-digit organic decline and the low single-digit unfavorable impact of foreign exchange rates, partially offset by low single-digit acquisition growth. The decrease in revenue was primarily the result of the impact of COVID-19, as many of our customers cut back operations. Services segment revenues decreased 8.1%, driven by high single-digit organic decline, partially offset by the low-single digit acquisition growth. International segment revenues decreased 17.3%, driven by double-digit organic decline and the mid-single-digit unfavorable impact of foreign exchange rates. Products and Systems segment revenues decreased by 18.1%, due predominantly to the organic decline.</w:t>
      </w:r>
    </w:p>
    <w:p>
      <w:pPr>
        <w:spacing w:after="0" w:line="21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Oil and gas customer revenues comprised approximately 58% and 57% of total revenues for the three months ended March 31, 2020 and 2019, respectively. Aerospace and defense customer revenues comprised approximately 14% of total revenues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both the three months ended March 31, 2020 and 2019. The Company’s top ten customers comprised approximately 34% of total revenues for the three months ended March 31, 2020, as compared to 38% for the three months ended March 31, 2019, with no customer accounting for 10% or more of total revenues in either three-month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$8.2 million, or 16.8%, in the three months ended March 31, 2020, on a decrease in sales of 9.8%.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March 31, 2020 and March 31, 2019 was as follows:</w:t>
      </w:r>
    </w:p>
    <w:p>
      <w:pPr>
        <w:spacing w:after="0" w:line="271"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23495</wp:posOffset>
            </wp:positionV>
            <wp:extent cx="2091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Borders>
              <w:bottom w:val="single" w:sz="8" w:color="auto"/>
            </w:tcBorders>
          </w:tcPr>
          <w:p>
            <w:pPr>
              <w:spacing w:after="0"/>
              <w:rPr>
                <w:sz w:val="16"/>
                <w:szCs w:val="16"/>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32,237</w:t>
            </w: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25.0</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26.6</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27.6</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29.5</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Products and Systems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60"/>
              <w:spacing w:after="0"/>
              <w:rPr>
                <w:sz w:val="20"/>
                <w:szCs w:val="20"/>
                <w:color w:val="auto"/>
              </w:rPr>
            </w:pPr>
            <w:r>
              <w:rPr>
                <w:rFonts w:ascii="Arial" w:cs="Arial" w:eastAsia="Arial" w:hAnsi="Arial"/>
                <w:sz w:val="18"/>
                <w:szCs w:val="18"/>
                <w:i w:val="1"/>
                <w:iCs w:val="1"/>
                <w:color w:val="auto"/>
              </w:rPr>
              <w:t>% of segment revenue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13.1</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36.1</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87"/>
              </w:rPr>
              <w:t>%</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and 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79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40,644</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48,874</w:t>
            </w:r>
          </w:p>
        </w:tc>
        <w:tc>
          <w:tcPr>
            <w:tcW w:w="18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 of total revenue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r>
      <w:tr>
        <w:trPr>
          <w:trHeight w:val="27"/>
        </w:trPr>
        <w:tc>
          <w:tcPr>
            <w:tcW w:w="7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Gross profit margin was 25.5% and 27.6% for the three month periods ended March 31, 2020 and 2019, respectively. COVID-19 and the significant drop in oil prices have had a significant impact on the decline as sales volumes and sales mix were both unfavorably impacted. Services segment gross profit margins had a year-on-year decline of 160 basis points to 25.0% during the three months ended March 31, 2020, due primarily to unfavorable mix of sales and lower sales volume. International segment gross margins had a year-on-year decline of 190 basis points to 27.6% during the three months ended March 31, 2020, due primarily to unfavorable sales mix and reduced volumes. Products and Systems segment gross margin had a year-on-year decrease in gross profit margin to 13.1% during the three months ended March 31, 2020 due to decreased sales volume and unfavorable sales 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months ended March 31, 2020 and 2019 was as follows: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7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 2019</w:t>
            </w:r>
          </w:p>
        </w:tc>
        <w:tc>
          <w:tcPr>
            <w:tcW w:w="200" w:type="dxa"/>
            <w:vAlign w:val="bottom"/>
            <w:tcBorders>
              <w:bottom w:val="single" w:sz="8" w:color="auto"/>
            </w:tcBorders>
          </w:tcPr>
          <w:p>
            <w:pPr>
              <w:spacing w:after="0"/>
              <w:rPr>
                <w:sz w:val="17"/>
                <w:szCs w:val="17"/>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41,558</w:t>
            </w:r>
          </w:p>
        </w:tc>
        <w:tc>
          <w:tcPr>
            <w:tcW w:w="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5,491</w:t>
            </w:r>
          </w:p>
        </w:tc>
        <w:tc>
          <w:tcPr>
            <w:tcW w:w="2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106,062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engineering</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4,172</w:t>
            </w:r>
          </w:p>
        </w:tc>
        <w:tc>
          <w:tcPr>
            <w:tcW w:w="2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6"/>
        </w:trPr>
        <w:tc>
          <w:tcPr>
            <w:tcW w:w="79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151,872</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53,270</w:t>
            </w:r>
          </w:p>
        </w:tc>
        <w:tc>
          <w:tcPr>
            <w:tcW w:w="20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 of total revenue</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r>
      <w:tr>
        <w:trPr>
          <w:trHeight w:val="27"/>
        </w:trPr>
        <w:tc>
          <w:tcPr>
            <w:tcW w:w="7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Operating expenses increased $98.6 million, or 185%, for the three months ended March 31, 2020 compared to the three months ended March 31, 2019, due predominantly to impairment charges of $106.1 million in 2020 as more fully described in Note 8–</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and Note 9–</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to these condensed consolidated financial statements. Excluding the 2020 impairment charges, operating expenses decreased due to lower bad debt, pension withdrawal and acquisition-related expenses for the three months ended March 31, 2020 compared to the three months ended March 31, 2019. During the first quarter of 2019, we recorded a charge of $5.7 million to fully reserve for the amount of exposure related to a renewable energy industry customer of our Services Division, which customer subsequently filed for a voluntary insolvency proceeding on April 9,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shows a reconciliation of the income (loss) from operations to income (loss) before special items for each of our three segments and for the Company in total: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320" w:type="dxa"/>
            <w:vAlign w:val="bottom"/>
          </w:tcPr>
          <w:p>
            <w:pPr>
              <w:jc w:val="right"/>
              <w:ind w:right="191"/>
              <w:spacing w:after="0"/>
              <w:rPr>
                <w:sz w:val="20"/>
                <w:szCs w:val="20"/>
                <w:color w:val="auto"/>
              </w:rPr>
            </w:pPr>
            <w:r>
              <w:rPr>
                <w:rFonts w:ascii="Arial" w:cs="Arial" w:eastAsia="Arial" w:hAnsi="Arial"/>
                <w:sz w:val="14"/>
                <w:szCs w:val="14"/>
                <w:b w:val="1"/>
                <w:bCs w:val="1"/>
                <w:color w:val="auto"/>
              </w:rPr>
              <w:t>March 31, 2019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Services: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operations (GAAP)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4,053</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4,755</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534</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305</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special items (non-GAAP)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9,647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operations (GAAP)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736</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Reorganization and other costs (benefit)</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156</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before special items (non-GAAP)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operations (GAAP)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r>
      <w:tr>
        <w:trPr>
          <w:trHeight w:val="237"/>
        </w:trPr>
        <w:tc>
          <w:tcPr>
            <w:tcW w:w="8080" w:type="dxa"/>
            <w:vAlign w:val="bottom"/>
          </w:tcPr>
          <w:p>
            <w:pPr>
              <w:ind w:left="120"/>
              <w:spacing w:after="0"/>
              <w:rPr>
                <w:sz w:val="20"/>
                <w:szCs w:val="20"/>
                <w:color w:val="auto"/>
              </w:rPr>
            </w:pPr>
            <w:r>
              <w:rPr>
                <w:rFonts w:ascii="Arial" w:cs="Arial" w:eastAsia="Arial" w:hAnsi="Arial"/>
                <w:sz w:val="18"/>
                <w:szCs w:val="18"/>
                <w:color w:val="auto"/>
              </w:rPr>
              <w:t>Loss before special items (non-GAAP)</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Loss from operations (GAAP)</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(7,635)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(6,906)</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Acquisition-related expense, net</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148</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before special items (non-GAAP)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5"/>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from operations (GAAP)</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(111,228)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(4,396)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80" w:type="dxa"/>
            <w:vAlign w:val="bottom"/>
          </w:tcPr>
          <w:p>
            <w:pPr>
              <w:ind w:left="120"/>
              <w:spacing w:after="0"/>
              <w:rPr>
                <w:sz w:val="20"/>
                <w:szCs w:val="20"/>
                <w:color w:val="auto"/>
              </w:rPr>
            </w:pPr>
            <w:r>
              <w:rPr>
                <w:rFonts w:ascii="Arial" w:cs="Arial" w:eastAsia="Arial" w:hAnsi="Arial"/>
                <w:sz w:val="18"/>
                <w:szCs w:val="18"/>
                <w:color w:val="auto"/>
              </w:rPr>
              <w:t>Bad debt provision for troubled customers, net of recoveries</w:t>
            </w:r>
          </w:p>
        </w:tc>
        <w:tc>
          <w:tcPr>
            <w:tcW w:w="2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5,491</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Pension withdrawal expense</w:t>
            </w:r>
          </w:p>
        </w:tc>
        <w:tc>
          <w:tcPr>
            <w:tcW w:w="2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534</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Reorganization and other costs (benefit)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216</w:t>
            </w:r>
          </w:p>
        </w:tc>
      </w:tr>
      <w:tr>
        <w:trPr>
          <w:trHeight w:val="243"/>
        </w:trPr>
        <w:tc>
          <w:tcPr>
            <w:tcW w:w="8080" w:type="dxa"/>
            <w:vAlign w:val="bottom"/>
          </w:tcPr>
          <w:p>
            <w:pPr>
              <w:ind w:left="120"/>
              <w:spacing w:after="0"/>
              <w:rPr>
                <w:sz w:val="20"/>
                <w:szCs w:val="20"/>
                <w:color w:val="auto"/>
              </w:rPr>
            </w:pPr>
            <w:r>
              <w:rPr>
                <w:rFonts w:ascii="Arial" w:cs="Arial" w:eastAsia="Arial" w:hAnsi="Arial"/>
                <w:sz w:val="18"/>
                <w:szCs w:val="18"/>
                <w:color w:val="auto"/>
              </w:rPr>
              <w:t>Acquisition-related expense (benefit), net</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453</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before special items (non-GAAP)</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2,298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three months ended March 31, 2020, loss from operations (GAAP) increased $106.8 million, compared with the three months ended March 31, 2019, while income (loss) before special items (non-GAAP) decreased $8.0 million, or 349%. As a percentage of revenues, income (loss) before special items decreased by 490 basis points to (3.6)% in the three months ended March 31, 2020 from 1.3% in the three months ended March 31, 2019. During the three months ended March 31, 2020, the COVID-19 outbreak and significant drop in oil prices has adversely affected our workforce and operations, as well as the operations of our customers, suppliers and contractors and was the primary reason for the impairment charges. These negative factors have resulted in significant volatility and uncertainty in the markets in which we operate. We are currently unable to predict or determine the overall impact that the COVID-19 pandemic and drop in oil prices may have on our business, results of operations, or liquidity. Refer to Item 1A. Risk Factors in Part I of our 2019 Form 10-K, and the additional risk factors included in Part II, Item 1.A. of this Form 10-Q for further discussion.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Interest expense was approximately $2.8 million and $3.5 million for the three months ended March 31, 2020 and 2019, respectively. The decrease was due to lower average level of borrowings on our Credit Agreement attributable primarily to payments on borrowings for the acquisition completed during the fourth quarter of 2018, and to a lesser extent, from a decrease in the base borrowing 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effective income tax rate was approximately 14% and 33% for the three months ended March 31, 2020 and 2019, respectively. The effective income tax rate for the three months ended March 31, 2020 was lower than the statutory rate primarily due to impairments recorded during the interim period for which no income tax benefits will be realized by us. However, this unfavorable impact on our effective income tax rate was partially offset by income tax benefits of the CARES Act enacted on March 27, 2020. The CARES Act provides a five-year carryback of net operating losses generated in years 2018-2020. As the statutory federal income tax rate applicable to certain years within the carryback period is 35%, carryback to those years of our estimated 2020 annual tax loss provides a tax benefit in excess of the current federal statutory rate of 21%, resulting in an increased income tax benefit. We project that the income tax effects of the CARES Act will result in additional income tax benefit recognized throughout the 2020 tax year as part of the estimated annual effective tax rate, and a cash refund in 2021 of taxes paid in prior years. The effective income tax rate for the three months ended March 31, 2019 was higher than the statutory rate due to the impact of discrete items, the global intangible low-taxes income, and executive compensation, and other provisions resulting from the December 22, 2017 passage of the Tax Cuts and Jobs Act and foreign tax rates different than statutory rates in the U.S.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7"/>
                <w:szCs w:val="17"/>
                <w:color w:val="auto"/>
              </w:rPr>
            </w:pPr>
          </w:p>
        </w:tc>
        <w:tc>
          <w:tcPr>
            <w:tcW w:w="1340" w:type="dxa"/>
            <w:vAlign w:val="bottom"/>
          </w:tcPr>
          <w:p>
            <w:pPr>
              <w:jc w:val="right"/>
              <w:ind w:right="213"/>
              <w:spacing w:after="0"/>
              <w:rPr>
                <w:sz w:val="20"/>
                <w:szCs w:val="20"/>
                <w:color w:val="auto"/>
              </w:rPr>
            </w:pPr>
            <w:r>
              <w:rPr>
                <w:rFonts w:ascii="Arial" w:cs="Arial" w:eastAsia="Arial" w:hAnsi="Arial"/>
                <w:sz w:val="14"/>
                <w:szCs w:val="14"/>
                <w:b w:val="1"/>
                <w:bCs w:val="1"/>
                <w:color w:val="auto"/>
              </w:rPr>
              <w:t>March 31, 2019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8,177</w:t>
            </w: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(5,001)</w:t>
            </w:r>
          </w:p>
        </w:tc>
      </w:tr>
      <w:tr>
        <w:trPr>
          <w:trHeight w:val="27"/>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(3,949)</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(171)</w:t>
            </w:r>
          </w:p>
        </w:tc>
      </w:tr>
      <w:tr>
        <w:trPr>
          <w:trHeight w:val="27"/>
        </w:trPr>
        <w:tc>
          <w:tcPr>
            <w:tcW w:w="8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three months ended March 31, 2020, cash provided by operating activities was $6.1 million, representing a year-on-year decrease of $2.1 million, or 25%. The decrease was primarily attributable to movements in working capital.</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three months ended March 31, 2020, cash used in investing activities was $4.2 million, compared with $5.0 million in 2019. The decrease is primarily attributable to a reduction in capital expenditures to $4.4 million for the three months ended March 31, 2020 compared with $5.7 million in the comparable 2019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provided by financing activities was $0.5 million for the three months ended March 31, 2020, compared to net cash used of $3.9 million for the three months ended March 31, 2019. During the three months ended March 31, 2020, we borrowed an additional $6.0 million, net of payments, on our revolving credit facility as compared to 2019 and, in addition, made payments of $1.3 million and $0.5 million for acquisition-related contingent consideration and financing costs,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net reduction of $0.4 million in the three months ended March 31, 2020, compared to a net reduction of $0.2 million for the three months ended March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terms of our Credit Agreement have not changed from those set forth in Part II, Item 7 of our 2019 Annual Report under the Section “Liquidity and Capital Resources”, under the heading “Cash Balance and Credit Facility Borrowings,” and in Note 11–</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these condensed consolidated financial statements in this Quarterly Report, under the heading “Senior Credit Facility.”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2020, we had cash and cash equivalents totaling $17.0 million and available borrowing capacity of $139.7 million under our Credit Agreement with borrowings of $250.3 million and $3.7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March 31, 2020, the Company was in compliance with the terms of the Credit Agreement and will continuously monitor its compliance with the covenants contained in its Credit Agreement.</w:t>
      </w:r>
    </w:p>
    <w:p>
      <w:pPr>
        <w:spacing w:after="0" w:line="1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response to the uncertain impact of the COVID-19 pandemic and the significant drop in oil prices on our projected cash flows and ability to continue compliance with the terms of the Credit Agreement, on May 15, 2020, we amended the Credit Agreement as more fully described in Note 11–</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w:t>
      </w:r>
      <w:r>
        <w:rPr>
          <w:rFonts w:ascii="Arial" w:cs="Arial" w:eastAsia="Arial" w:hAnsi="Arial"/>
          <w:sz w:val="18"/>
          <w:szCs w:val="18"/>
          <w:color w:val="auto"/>
        </w:rPr>
        <w:t>to these condensed consolidated financial statements in this Quarterly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2019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three months ended March 31,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2019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2019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March 31, 2020, our disclosure controls and procedures were not effective, due to material weaknesses in our internal control over financial reporting as discussed below.</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Management previously disclosed material weaknesses in internal control over financial reporting in our 2019 Annual Report pertaining to financial reporting processes and internal control related to accounting for income taxes. The Company remains committed to an effective internal control environment and management believes that these actions, and the improvements management expects to achieve as a result, will remediate the material weakness. However, the material weaknesses will not be considered remediated until the controls operate for a sufficient period of time and management has concluded through testing that these controls operate effectively. The Company continues to execute on the remediation plans as outlined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management, with oversight from the Audit Committee of the Board of Directors, is actively engaged in remediation efforts to address the identified material weaknesses over income taxes. These efforts include:</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Accelerate the risk assessment process related to changes in the business;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the design of controls surrounding the preparation and review of the income tax provision, and enhance the automation of the income tax processes and controls to allow for a timelier completion and review of internal controls; and</w:t>
      </w:r>
    </w:p>
    <w:p>
      <w:pPr>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Accelerate all key activities within the income tax accounting and reporting process and controls by further increasing and expanding the capabilities of the income tax accounting resources in order to devote additional time and resources to the consolidated income tax accounting and reporting processes and controls.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March 31, 2020 that materially affected, or are reasonably likely to materially affect, our internal control over financial reporting, other than as set forth in the remediation plan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See Note 14–</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this Quarterly Report for a description of our legal proceedings. There have been no material developments with regard to any matters disclosed under Part I, Item 3 "Legal Proceedings" in our 2019 Annual Report, except as disclosed in such Note 14–</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2019 Annual Report. There have been no material changes to the risk factors previously disclosed in the 2019 Annual Report, except for the addition of the following 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adversely affected and in the future periods is expected to continue to adversely affect our business and operations.</w:t>
      </w:r>
    </w:p>
    <w:p>
      <w:pPr>
        <w:spacing w:after="0" w:line="2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pandemic is adversely affecting, and is expected to continue to adversely affect, our business and operations and the business and operations of our customers. We have experienced and expect to continue to experience, unpredictable reductions in demand for our services and products. In response to the COVID-19 pandemic, companies within the oil and gas and aerospace industries (including our customers) have announced spending cuts and/or slowdowns (or temporary cessation) in production which, in turn, may result in decreases in awards of new contracts or adjustments, reductions, suspensions or cancellations of existing contracts. In addition, as a result of the COVID-19 pandemic, some of our customers have been and could continue to be negatively impacted as a result of disruption in demand, which has led to delays and could lead to defaults on collections of receivables from them. Such continued delays could negatively impact our business, results of operations and financial condition.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continued spread of COVID-19 may result in a decrease in business and/or cause our customers to be unable to meet existing payment or other obligations to us, particularly in the event of a spread of COVID-19 in our market areas. The continued spread of COVID-19 could also negatively impact</w:t>
      </w:r>
    </w:p>
    <w:p>
      <w:pPr>
        <w:jc w:val="both"/>
        <w:spacing w:after="0" w:line="243" w:lineRule="auto"/>
        <w:rPr>
          <w:sz w:val="20"/>
          <w:szCs w:val="20"/>
          <w:color w:val="auto"/>
        </w:rPr>
      </w:pPr>
      <w:r>
        <w:rPr>
          <w:rFonts w:ascii="Arial" w:cs="Arial" w:eastAsia="Arial" w:hAnsi="Arial"/>
          <w:sz w:val="18"/>
          <w:szCs w:val="18"/>
          <w:color w:val="auto"/>
        </w:rPr>
        <w:t>the availability of our key personnel necessary to conduct our business. In addition, any significant disruption of global financial markets, reducing our ability to access capital, could negatively affect our liquidity. Because the severity, magnitude and duration of the COVID-19 pandemic and its economic consequences are uncertain, rapidly changing and difficult to predict, the impact on our business, financial condition and results of operations remains uncertain and difficult to predict. While we expect the COVID-19 pandemic to have an adverse effect on our business, financial condition, liquidity, cash flow and results of operations, we are unable to predict the extent, nature or duration of these impacts at this time, although we expect such negative impacts for the remainder of the fiscal year and perhaps longer.</w:t>
      </w:r>
    </w:p>
    <w:p>
      <w:pPr>
        <w:spacing w:after="0" w:line="21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the economic disruption caused by the COVID-19 pandemic increases in magnitude or continues longer than expected, we may have difficulty meeting the financial covenants in our credit agreement with our banks.</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Company expected that the economic disruption being caused by the COVID-19 pandemic would likely cause our results in upcoming quarters to be less than are required to meet the financial covenants in our credit agreement with our banks. We obtained an amendment to our credit agreement which included, among other terms, modifications to the financial covenants in the credit agreement. We believe we will be able to meet the amended financial covenants. However, due to the uncertainties and risks created by the COVID-19 pandemic, no assurance can be given that we will comply with these covenants, particularly if the pandemic increases in intensity or its duration is longer than expected. If we are not able to meet the financial covenants in our credit agreement in future quarters, we will be in default, which would give the lenders the right to terminate the agreement, not allow us to borrow on our</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line of credit, call all of our loans to be due and payable, and exercise any other remedies available to the lenders. If we do default on our credit agreement and the lenders elect to not grant us a waiver or amendment and/or to commence exercising their remedies and we are unable to obtain other funding sources, our operations will be materially impacted and we may not be able to continue operating as a going concern. If we do obtain alternate funding sources, this alternate financing could be on substantially different and adverse terms than our existing credit agreement, materially impacting our operations and profitability, and otherwise could significantly dilute our existing shareholders and have other materially adverse effects on us and our shareholders.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right="8620" w:hanging="652"/>
        <w:spacing w:after="0" w:line="500" w:lineRule="auto"/>
        <w:tabs>
          <w:tab w:leader="none" w:pos="267"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800" w:hanging="652"/>
        <w:spacing w:after="0" w:line="498" w:lineRule="auto"/>
        <w:tabs>
          <w:tab w:leader="none" w:pos="267"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5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Total Number of Shares (or</w:t>
            </w:r>
          </w:p>
        </w:tc>
        <w:tc>
          <w:tcPr>
            <w:tcW w:w="200" w:type="dxa"/>
            <w:vAlign w:val="bottom"/>
          </w:tcPr>
          <w:p>
            <w:pPr>
              <w:spacing w:after="0"/>
              <w:rPr>
                <w:sz w:val="14"/>
                <w:szCs w:val="14"/>
                <w:color w:val="auto"/>
              </w:rPr>
            </w:pPr>
          </w:p>
        </w:tc>
        <w:tc>
          <w:tcPr>
            <w:tcW w:w="17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7"/>
              </w:rPr>
              <w:t>Average Price Paid per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Approximate Dollar Value of Shares</w:t>
            </w:r>
          </w:p>
        </w:tc>
        <w:tc>
          <w:tcPr>
            <w:tcW w:w="0" w:type="dxa"/>
            <w:vAlign w:val="bottom"/>
          </w:tcPr>
          <w:p>
            <w:pPr>
              <w:spacing w:after="0"/>
              <w:rPr>
                <w:sz w:val="1"/>
                <w:szCs w:val="1"/>
                <w:color w:val="auto"/>
              </w:rPr>
            </w:pPr>
          </w:p>
        </w:tc>
      </w:tr>
      <w:tr>
        <w:trPr>
          <w:trHeight w:val="148"/>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Month Ending</w:t>
            </w:r>
          </w:p>
        </w:tc>
        <w:tc>
          <w:tcPr>
            <w:tcW w:w="2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 Announced</w:t>
            </w:r>
          </w:p>
        </w:tc>
        <w:tc>
          <w:tcPr>
            <w:tcW w:w="24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that May Yet Be Purchased Under the</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vMerge w:val="continue"/>
          </w:tcPr>
          <w:p>
            <w:pPr>
              <w:spacing w:after="0"/>
              <w:rPr>
                <w:sz w:val="16"/>
                <w:szCs w:val="16"/>
                <w:color w:val="auto"/>
              </w:rPr>
            </w:pPr>
          </w:p>
        </w:tc>
        <w:tc>
          <w:tcPr>
            <w:tcW w:w="24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Units) Purchased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Share (or Unit)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49"/>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31, 2020</w:t>
            </w:r>
          </w:p>
        </w:tc>
        <w:tc>
          <w:tcPr>
            <w:tcW w:w="2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00" w:type="dxa"/>
            <w:vAlign w:val="bottom"/>
          </w:tcPr>
          <w:p>
            <w:pPr>
              <w:ind w:left="20"/>
              <w:spacing w:after="0"/>
              <w:rPr>
                <w:sz w:val="20"/>
                <w:szCs w:val="20"/>
                <w:color w:val="auto"/>
              </w:rPr>
            </w:pPr>
            <w:r>
              <w:rPr>
                <w:rFonts w:ascii="Arial" w:cs="Arial" w:eastAsia="Arial" w:hAnsi="Arial"/>
                <w:sz w:val="18"/>
                <w:szCs w:val="18"/>
                <w:color w:val="auto"/>
              </w:rPr>
              <w:t>February 29, 2020</w:t>
            </w:r>
          </w:p>
        </w:tc>
        <w:tc>
          <w:tcPr>
            <w:tcW w:w="2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380" w:type="dxa"/>
            <w:vAlign w:val="bottom"/>
          </w:tcPr>
          <w:p>
            <w:pPr>
              <w:ind w:left="2000"/>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2020" w:type="dxa"/>
            <w:vAlign w:val="bottom"/>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4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41,446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3.78</w:t>
            </w:r>
          </w:p>
        </w:tc>
        <w:tc>
          <w:tcPr>
            <w:tcW w:w="238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57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445"/>
        </w:trPr>
        <w:tc>
          <w:tcPr>
            <w:tcW w:w="1060" w:type="dxa"/>
            <w:vAlign w:val="bottom"/>
            <w:tcBorders>
              <w:top w:val="single" w:sz="8" w:color="auto"/>
            </w:tcBorders>
          </w:tcPr>
          <w:p>
            <w:pPr>
              <w:ind w:left="2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10.1</w:t>
              </w:r>
            </w:hyperlink>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tcBorders>
            <w:gridSpan w:val="4"/>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Certification of Chief Second Amendment, dated March 9, 2020, to Fifth Amended and Restated Credit Agreement, dated December 13,</w:t>
              </w:r>
            </w:hyperlink>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
          </w:tcPr>
          <w:p>
            <w:pPr>
              <w:spacing w:after="0" w:line="15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2018 (filed as Exhibit 10.1 to Current Report on Form 8-K filed March 13, 2020 and incorporated herein by reference). Officer pursuant</w:t>
              </w:r>
            </w:hyperlink>
          </w:p>
        </w:tc>
        <w:tc>
          <w:tcPr>
            <w:tcW w:w="160" w:type="dxa"/>
            <w:vAlign w:val="bottom"/>
            <w:gridSpan w:val="2"/>
          </w:tcPr>
          <w:p>
            <w:pPr>
              <w:spacing w:after="0" w:line="15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to</w:t>
              </w:r>
            </w:hyperlink>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Rule 13a-14(a) under the Securities Exchange Act of 1934.</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r>
      <w:tr>
        <w:trPr>
          <w:trHeight w:val="520"/>
        </w:trPr>
        <w:tc>
          <w:tcPr>
            <w:tcW w:w="106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10.2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rFonts w:ascii="Arial" w:cs="Arial" w:eastAsia="Arial" w:hAnsi="Arial"/>
                <w:sz w:val="18"/>
                <w:szCs w:val="18"/>
                <w:u w:val="single" w:color="auto"/>
                <w:color w:val="0000FF"/>
                <w:w w:val="95"/>
              </w:rPr>
            </w:pPr>
            <w:hyperlink w:anchor="page44">
              <w:r>
                <w:rPr>
                  <w:rFonts w:ascii="Arial" w:cs="Arial" w:eastAsia="Arial" w:hAnsi="Arial"/>
                  <w:sz w:val="18"/>
                  <w:szCs w:val="18"/>
                  <w:u w:val="single" w:color="auto"/>
                  <w:color w:val="0000FF"/>
                  <w:w w:val="95"/>
                </w:rPr>
                <w:t>Form of Restricted Stock Unit Certificate for awards to senior officers under the Mistras Group, Inc. 2016 Long-Term Incentive Plan.</w:t>
              </w:r>
            </w:hyperlink>
          </w:p>
        </w:tc>
      </w:tr>
      <w:tr>
        <w:trPr>
          <w:trHeight w:val="499"/>
        </w:trPr>
        <w:tc>
          <w:tcPr>
            <w:tcW w:w="1060" w:type="dxa"/>
            <w:vAlign w:val="bottom"/>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31.1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of Chief Executive Officer pursuant to Rule 13a-14(a) under the Securities Exchange Act of 1934.</w:t>
              </w:r>
            </w:hyperlink>
          </w:p>
        </w:tc>
      </w:tr>
      <w:tr>
        <w:trPr>
          <w:trHeight w:val="499"/>
        </w:trPr>
        <w:tc>
          <w:tcPr>
            <w:tcW w:w="1060" w:type="dxa"/>
            <w:vAlign w:val="bottom"/>
          </w:tcPr>
          <w:p>
            <w:pPr>
              <w:ind w:left="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31.2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Chief Financial Officer pursuant to Rule 13a-14(a) under the Securities Exchange Act of 1934.</w:t>
              </w:r>
            </w:hyperlink>
          </w:p>
        </w:tc>
      </w:tr>
      <w:tr>
        <w:trPr>
          <w:trHeight w:val="500"/>
        </w:trPr>
        <w:tc>
          <w:tcPr>
            <w:tcW w:w="1060" w:type="dxa"/>
            <w:vAlign w:val="bottom"/>
          </w:tcPr>
          <w:p>
            <w:pPr>
              <w:ind w:left="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32.1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4"/>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pursuant to Section 906 of the Sarbanes-Oxley Act of 2002.</w:t>
              </w:r>
            </w:hyperlink>
          </w:p>
        </w:tc>
      </w:tr>
      <w:tr>
        <w:trPr>
          <w:trHeight w:val="513"/>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1002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10.2 is a management contract or compensatory plan, contract, or arrangement.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MISTRAS GROUP, INC.</w:t>
      </w:r>
    </w:p>
    <w:p>
      <w:pPr>
        <w:spacing w:after="0" w:line="337" w:lineRule="exact"/>
        <w:rPr>
          <w:sz w:val="20"/>
          <w:szCs w:val="20"/>
          <w:color w:val="auto"/>
        </w:rPr>
      </w:pPr>
    </w:p>
    <w:p>
      <w:pPr>
        <w:ind w:left="48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31750</wp:posOffset>
            </wp:positionV>
            <wp:extent cx="37547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and Accounting Officer and duly authorized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320" w:top="122" w:right="659" w:bottom="1440" w:gutter="0" w:footer="0" w:header="0"/>
        </w:sectPr>
      </w:pPr>
    </w:p>
    <w:bookmarkStart w:id="43" w:name="page44"/>
    <w:bookmarkEnd w:id="43"/>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MISTRAS GROUP,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CERTIFICATE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Granted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Total Units: Grant Date: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Vesting Dates:</w:t>
      </w:r>
    </w:p>
    <w:p>
      <w:pPr>
        <w:spacing w:after="0" w:line="200" w:lineRule="exact"/>
        <w:rPr>
          <w:sz w:val="20"/>
          <w:szCs w:val="20"/>
          <w:color w:val="auto"/>
        </w:rPr>
      </w:pPr>
    </w:p>
    <w:p>
      <w:pPr>
        <w:spacing w:after="0" w:line="272" w:lineRule="exact"/>
        <w:rPr>
          <w:sz w:val="20"/>
          <w:szCs w:val="20"/>
          <w:color w:val="auto"/>
        </w:rPr>
      </w:pPr>
    </w:p>
    <w:p>
      <w:pPr>
        <w:ind w:firstLine="656"/>
        <w:spacing w:after="0" w:line="232" w:lineRule="auto"/>
        <w:tabs>
          <w:tab w:leader="none" w:pos="129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Award</w:t>
      </w:r>
      <w:r>
        <w:rPr>
          <w:rFonts w:ascii="Arial" w:cs="Arial" w:eastAsia="Arial" w:hAnsi="Arial"/>
          <w:sz w:val="20"/>
          <w:szCs w:val="20"/>
          <w:color w:val="auto"/>
        </w:rPr>
        <w:t>. In accordance with the Mistras Group, Inc. 2016 Long-Term Incentive Plan (the “Plan”), Mistras Group, Inc. (the “Company”) has made an award to you of restricted stock units (the “RSUs”). Each RSU, upon vesting, will become one share of the Company’s common stock. The award and the RSUs are subject to the provisions of the Plan and, to the extent not prohibited by the Plan, the terms and conditions of this certificate. Capitalized terms that are used but not defined in this certificate shall have the meanings ascribed to them by the Plan.</w:t>
      </w:r>
    </w:p>
    <w:p>
      <w:pPr>
        <w:spacing w:after="0" w:line="211" w:lineRule="exact"/>
        <w:rPr>
          <w:rFonts w:ascii="Arial" w:cs="Arial" w:eastAsia="Arial" w:hAnsi="Arial"/>
          <w:sz w:val="20"/>
          <w:szCs w:val="20"/>
          <w:color w:val="auto"/>
        </w:rPr>
      </w:pPr>
    </w:p>
    <w:p>
      <w:pPr>
        <w:ind w:firstLine="656"/>
        <w:spacing w:after="0" w:line="234" w:lineRule="auto"/>
        <w:tabs>
          <w:tab w:leader="none" w:pos="129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Vesting of RSUs</w:t>
      </w:r>
      <w:r>
        <w:rPr>
          <w:rFonts w:ascii="Arial" w:cs="Arial" w:eastAsia="Arial" w:hAnsi="Arial"/>
          <w:sz w:val="20"/>
          <w:szCs w:val="20"/>
          <w:color w:val="auto"/>
        </w:rPr>
        <w:t>. Except as otherwise provided herein or the Plan, the RSUs will vest in equal annual installments on each of the dates set forth above, or 100% on the vesting date if only one vesting date is listed above. All vesting is subject to your continuous employment or other service with the Company or a Subsidiary from the Grant Date until the applicable vesting date, except as otherwise provided in this certificate or in the Plan.</w:t>
      </w:r>
    </w:p>
    <w:p>
      <w:pPr>
        <w:spacing w:after="0" w:line="210" w:lineRule="exact"/>
        <w:rPr>
          <w:rFonts w:ascii="Arial" w:cs="Arial" w:eastAsia="Arial" w:hAnsi="Arial"/>
          <w:sz w:val="20"/>
          <w:szCs w:val="20"/>
          <w:color w:val="auto"/>
        </w:rPr>
      </w:pPr>
    </w:p>
    <w:p>
      <w:pPr>
        <w:ind w:right="40" w:firstLine="656"/>
        <w:spacing w:after="0" w:line="246" w:lineRule="auto"/>
        <w:tabs>
          <w:tab w:leader="none" w:pos="1296"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Forfeiture of Unvested RSUs</w:t>
      </w:r>
      <w:r>
        <w:rPr>
          <w:rFonts w:ascii="Arial" w:cs="Arial" w:eastAsia="Arial" w:hAnsi="Arial"/>
          <w:sz w:val="19"/>
          <w:szCs w:val="19"/>
          <w:color w:val="auto"/>
        </w:rPr>
        <w:t>. Unless the Committee, acting in its sole and absolute discretion, determines otherwise, upon the termination of your employment and other service with the Company and its Subsidiaries (“Termination of Employment”), you will forfeit all right, title and interest in the unvested RSUs, unless your Termination of Employment is as a result of (i) Retirement, in which case the terms of Section 4 shall control, (ii) death or permanent disability, in which case Section 5 shall control, or (iii) as expressly set forth in the Plan, such as in connection with a Change of Control.</w:t>
      </w:r>
    </w:p>
    <w:p>
      <w:pPr>
        <w:spacing w:after="0" w:line="203" w:lineRule="exact"/>
        <w:rPr>
          <w:rFonts w:ascii="Arial" w:cs="Arial" w:eastAsia="Arial" w:hAnsi="Arial"/>
          <w:sz w:val="19"/>
          <w:szCs w:val="19"/>
          <w:color w:val="auto"/>
        </w:rPr>
      </w:pPr>
    </w:p>
    <w:p>
      <w:pPr>
        <w:ind w:right="100" w:firstLine="656"/>
        <w:spacing w:after="0" w:line="232" w:lineRule="auto"/>
        <w:tabs>
          <w:tab w:leader="none" w:pos="1296"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Eligible Retirement</w:t>
      </w:r>
      <w:r>
        <w:rPr>
          <w:rFonts w:ascii="Arial" w:cs="Arial" w:eastAsia="Arial" w:hAnsi="Arial"/>
          <w:sz w:val="20"/>
          <w:szCs w:val="20"/>
          <w:color w:val="auto"/>
        </w:rPr>
        <w:t>. (a) The following terms shall govern if you retire pursuant to an Eligible Retirement. As used in this Section 4, “</w:t>
      </w:r>
      <w:r>
        <w:rPr>
          <w:rFonts w:ascii="Arial" w:cs="Arial" w:eastAsia="Arial" w:hAnsi="Arial"/>
          <w:sz w:val="20"/>
          <w:szCs w:val="20"/>
          <w:u w:val="single" w:color="auto"/>
          <w:color w:val="auto"/>
        </w:rPr>
        <w:t>Eligible Retirement</w:t>
      </w:r>
      <w:r>
        <w:rPr>
          <w:rFonts w:ascii="Arial" w:cs="Arial" w:eastAsia="Arial" w:hAnsi="Arial"/>
          <w:sz w:val="20"/>
          <w:szCs w:val="20"/>
          <w:color w:val="auto"/>
        </w:rPr>
        <w:t>” means that you have reached the age of 65. If you meet the Eligible Retirement terms, and you retire or resign from providing service to the Company and its subsidiaries, you will be a “Retiree.” If you are a Retiree, any outstanding unvested RSUs hereunder shall continue to vest after retirement but only on the condition that you continuously comply with the restrictive covenants set forth below in (b).</w:t>
      </w:r>
    </w:p>
    <w:p>
      <w:pPr>
        <w:spacing w:after="0" w:line="211" w:lineRule="exact"/>
        <w:rPr>
          <w:rFonts w:ascii="Arial" w:cs="Arial" w:eastAsia="Arial" w:hAnsi="Arial"/>
          <w:sz w:val="20"/>
          <w:szCs w:val="20"/>
          <w:color w:val="auto"/>
        </w:rPr>
      </w:pPr>
    </w:p>
    <w:p>
      <w:pPr>
        <w:ind w:right="80" w:firstLine="1304"/>
        <w:spacing w:after="0" w:line="256" w:lineRule="auto"/>
        <w:tabs>
          <w:tab w:leader="none" w:pos="15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consideration of you having the benefit of post-retirement vesting of RSUs upon becoming a Retiree, you agree that continuously until 6 months after the last of the any unvested RSUs you may have vests (such period being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shall not, directly or indirectly, on your own behalf or on behalf of any person other than the Company (i) engage in, have an equity or profit interest in, or lend money to, or manage, operate, or work for any person, firm, corporation, partnership, or business (whether as a director, officer, employee, agent, representative, partner, security holder, consultant, or otherwise) that engages in any business which competes in any respect with the Company or any of its Subsidiaries, or (ii) recruit or otherwise solicit or induce any employee, consultant, customer, client, or supplier of the Company or any of its Subsidiaries to (A) terminate its employment or other business arrangement or relationship with the Company or any of its Subsidiaries, (B) otherwise change its relationship with the Company or any of its Subsidiaries or (C) establish any business relationship with you or person controlled by or related to you for any business</w:t>
      </w:r>
    </w:p>
    <w:p>
      <w:pPr>
        <w:sectPr>
          <w:pgSz w:w="11900" w:h="16838" w:orient="portrait"/>
          <w:cols w:equalWidth="0" w:num="1">
            <w:col w:w="11220"/>
          </w:cols>
          <w:pgMar w:left="320" w:top="1440" w:right="359" w:bottom="1440" w:gutter="0" w:footer="0" w:header="0"/>
        </w:sectPr>
      </w:pPr>
    </w:p>
    <w:bookmarkStart w:id="44" w:name="page45"/>
    <w:bookmarkEnd w:id="44"/>
    <w:p>
      <w:pPr>
        <w:ind w:right="200"/>
        <w:spacing w:after="0" w:line="237" w:lineRule="auto"/>
        <w:rPr>
          <w:sz w:val="20"/>
          <w:szCs w:val="20"/>
          <w:color w:val="auto"/>
        </w:rPr>
      </w:pPr>
      <w:r>
        <w:rPr>
          <w:rFonts w:ascii="Arial" w:cs="Arial" w:eastAsia="Arial" w:hAnsi="Arial"/>
          <w:sz w:val="20"/>
          <w:szCs w:val="20"/>
          <w:color w:val="auto"/>
        </w:rPr>
        <w:t>purpose competitive with the Company or of its Subsidiaries. A passive investment by you in a publicly traded company in which you exercise no operational or strategic control and which constitutes less than 2% of the outstanding shares of such entity shall not constitute a breach of this covenant.</w:t>
      </w:r>
    </w:p>
    <w:p>
      <w:pPr>
        <w:spacing w:after="0" w:line="210" w:lineRule="exact"/>
        <w:rPr>
          <w:sz w:val="20"/>
          <w:szCs w:val="20"/>
          <w:color w:val="auto"/>
        </w:rPr>
      </w:pPr>
    </w:p>
    <w:p>
      <w:pPr>
        <w:jc w:val="both"/>
        <w:ind w:right="240" w:firstLine="1304"/>
        <w:spacing w:after="0" w:line="275" w:lineRule="auto"/>
        <w:tabs>
          <w:tab w:leader="none" w:pos="15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you fail to meet the restrictive covenants set forth in (b) above continuously during the Restricted Period, then (i) all unvested RSUs shall automatically be cancelled and forfeited, and (ii) you shall repay to the Company the value realized by you of all post retirement vesting of RSUs without any reduction for taxes paid by or withheld on your behalf on account of any such value realized.</w:t>
      </w:r>
    </w:p>
    <w:p>
      <w:pPr>
        <w:spacing w:after="0" w:line="179" w:lineRule="exact"/>
        <w:rPr>
          <w:rFonts w:ascii="Arial" w:cs="Arial" w:eastAsia="Arial" w:hAnsi="Arial"/>
          <w:sz w:val="18"/>
          <w:szCs w:val="18"/>
          <w:color w:val="auto"/>
        </w:rPr>
      </w:pPr>
    </w:p>
    <w:p>
      <w:pPr>
        <w:ind w:right="200" w:firstLine="656"/>
        <w:spacing w:after="0" w:line="246"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Vesting Upon Death or Disability</w:t>
      </w:r>
      <w:r>
        <w:rPr>
          <w:rFonts w:ascii="Arial" w:cs="Arial" w:eastAsia="Arial" w:hAnsi="Arial"/>
          <w:sz w:val="20"/>
          <w:szCs w:val="20"/>
          <w:color w:val="auto"/>
        </w:rPr>
        <w:t>. Upon your Disability (as defined in the Plan) or death, all unvested RSUs shall vest and, in the case of your death, the shares represented by such RSUs shall be distributed to your heirs.</w:t>
      </w:r>
    </w:p>
    <w:p>
      <w:pPr>
        <w:spacing w:after="0" w:line="203" w:lineRule="exact"/>
        <w:rPr>
          <w:rFonts w:ascii="Arial" w:cs="Arial" w:eastAsia="Arial" w:hAnsi="Arial"/>
          <w:sz w:val="20"/>
          <w:szCs w:val="20"/>
          <w:color w:val="auto"/>
        </w:rPr>
      </w:pPr>
    </w:p>
    <w:p>
      <w:pPr>
        <w:ind w:firstLine="656"/>
        <w:spacing w:after="0" w:line="232"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Transfer Restrictions</w:t>
      </w:r>
      <w:r>
        <w:rPr>
          <w:rFonts w:ascii="Arial" w:cs="Arial" w:eastAsia="Arial" w:hAnsi="Arial"/>
          <w:sz w:val="20"/>
          <w:szCs w:val="20"/>
          <w:color w:val="auto"/>
        </w:rPr>
        <w:t>. You may not sell, assign, transfer, pledge, hedge, hypothecate, encumber or dispose of in any way (whether by operation of law or otherwise) any unvested RSUs, and unvested RSUs shall not be subject to execution, attachment or similar process. Any attempt by you or any other person claiming against, through or under you to cause unvested RSUs to be transferred or assigned in any manner and for any purpose not permitted hereunder or under the Plan shall be null and void and without effect upon the Company, you or any other person.</w:t>
      </w:r>
    </w:p>
    <w:p>
      <w:pPr>
        <w:spacing w:after="0" w:line="211" w:lineRule="exact"/>
        <w:rPr>
          <w:rFonts w:ascii="Arial" w:cs="Arial" w:eastAsia="Arial" w:hAnsi="Arial"/>
          <w:sz w:val="20"/>
          <w:szCs w:val="20"/>
          <w:color w:val="auto"/>
        </w:rPr>
      </w:pPr>
    </w:p>
    <w:p>
      <w:pPr>
        <w:ind w:right="180" w:firstLine="656"/>
        <w:spacing w:after="0" w:line="237"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No Ownership of Stock; No Dividends or Voting Rights</w:t>
      </w:r>
      <w:r>
        <w:rPr>
          <w:rFonts w:ascii="Arial" w:cs="Arial" w:eastAsia="Arial" w:hAnsi="Arial"/>
          <w:sz w:val="20"/>
          <w:szCs w:val="20"/>
          <w:color w:val="auto"/>
        </w:rPr>
        <w:t>. The RSUs do not represent shares of the Company’s common stock, and no dividends or other distributions will be payable on unvested RSUs, and you will not have any voting rights with respect to the unvested RSUs.</w:t>
      </w:r>
    </w:p>
    <w:p>
      <w:pPr>
        <w:spacing w:after="0" w:line="209" w:lineRule="exact"/>
        <w:rPr>
          <w:rFonts w:ascii="Arial" w:cs="Arial" w:eastAsia="Arial" w:hAnsi="Arial"/>
          <w:sz w:val="20"/>
          <w:szCs w:val="20"/>
          <w:color w:val="auto"/>
        </w:rPr>
      </w:pPr>
    </w:p>
    <w:p>
      <w:pPr>
        <w:ind w:right="180" w:firstLine="656"/>
        <w:spacing w:after="0" w:line="237"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Issuance of Shares Upon Vesting</w:t>
      </w:r>
      <w:r>
        <w:rPr>
          <w:rFonts w:ascii="Arial" w:cs="Arial" w:eastAsia="Arial" w:hAnsi="Arial"/>
          <w:sz w:val="20"/>
          <w:szCs w:val="20"/>
          <w:color w:val="auto"/>
        </w:rPr>
        <w:t>. If, as and when any RSU becomes vested, and subject to the satisfaction of applicable withholding and other legal requirements, the vested RSU becomes void and you shall own one share of common stock of the Company for each vested RSU.</w:t>
      </w:r>
    </w:p>
    <w:p>
      <w:pPr>
        <w:spacing w:after="0" w:line="209" w:lineRule="exact"/>
        <w:rPr>
          <w:rFonts w:ascii="Arial" w:cs="Arial" w:eastAsia="Arial" w:hAnsi="Arial"/>
          <w:sz w:val="20"/>
          <w:szCs w:val="20"/>
          <w:color w:val="auto"/>
        </w:rPr>
      </w:pPr>
    </w:p>
    <w:p>
      <w:pPr>
        <w:ind w:right="20" w:firstLine="656"/>
        <w:spacing w:after="0" w:line="230"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vesting of RSUs covered by this certificate shall be subject to and conditioned upon the satisfaction by you of applicable tax withholding obligations. The Company and its Subsidiaries may require you to remit an amount sufficient to satisfy applicable withholding taxes or deduct or withhold such amount from any payments otherwise owed to you. By accepting this award, you expressly authorizes the Company to deduct from any compensation or any other payment of any kind due to you, including withholding shares issued in exchange for vested RSUs, for the amount of any federal, state, local or foreign taxes required by law to be withheld in connection with the vesting of RSUs; provided, however, that the value of the RSUs withheld may not exceed the statutory maximum withholding amount allowed by law.</w:t>
      </w:r>
    </w:p>
    <w:p>
      <w:pPr>
        <w:spacing w:after="0" w:line="212" w:lineRule="exact"/>
        <w:rPr>
          <w:rFonts w:ascii="Arial" w:cs="Arial" w:eastAsia="Arial" w:hAnsi="Arial"/>
          <w:sz w:val="20"/>
          <w:szCs w:val="20"/>
          <w:color w:val="auto"/>
        </w:rPr>
      </w:pPr>
    </w:p>
    <w:p>
      <w:pPr>
        <w:ind w:right="20" w:firstLine="656"/>
        <w:spacing w:after="0" w:line="257" w:lineRule="auto"/>
        <w:tabs>
          <w:tab w:leader="none" w:pos="128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Provisions of the Plan and the Committee’s Authority Control</w:t>
      </w:r>
      <w:r>
        <w:rPr>
          <w:rFonts w:ascii="Arial" w:cs="Arial" w:eastAsia="Arial" w:hAnsi="Arial"/>
          <w:sz w:val="18"/>
          <w:szCs w:val="18"/>
          <w:color w:val="auto"/>
        </w:rPr>
        <w:t>. This certificate is subject to all the terms, conditions and provisions of the Plan and to the rules, regulations and interpretations as may be established or made by the Committee acting within the scope of its authority and responsibility under the Plan. A copy of the Plan is available to you and may be obtained from the Company’s Corporate Secretary at the Company’s corporate headquarters. The applicable provisions of the Plan shall govern in any situation where this certificate is silent or where the applicable provisions of this certificate are contrary to or not reconcilable with such Plan provisions. The Committee shall have complete discretion in the exercise of its rights, powers, and duties with respect to the award represented by this certificate. Any interpretation or construction of any provision of, and the determination of any question arising under, this certificate shall be made by the Committee in its discretion and such exercise shall be final, conclusive,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45" w:name="page46"/>
    <w:bookmarkEnd w:id="45"/>
    <w:p>
      <w:pPr>
        <w:ind w:firstLine="656"/>
        <w:spacing w:after="0" w:line="234" w:lineRule="auto"/>
        <w:tabs>
          <w:tab w:leader="none" w:pos="1279"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No Employment Rights</w:t>
      </w:r>
      <w:r>
        <w:rPr>
          <w:rFonts w:ascii="Arial" w:cs="Arial" w:eastAsia="Arial" w:hAnsi="Arial"/>
          <w:sz w:val="20"/>
          <w:szCs w:val="20"/>
          <w:color w:val="auto"/>
        </w:rPr>
        <w:t>. Nothing contained herein or in the Plan shall confer upon you any right of continued employment or other service with the Company or a Subsidiary or interfere in any way with the right of the Company and its Subsidiaries at any time to terminate your employment or other service with the Company or its Subsidiaries or to increase, decrease or otherwise adjust your compensation and any other terms and conditions of your employment or other service.</w:t>
      </w:r>
    </w:p>
    <w:p>
      <w:pPr>
        <w:spacing w:after="0" w:line="210" w:lineRule="exact"/>
        <w:rPr>
          <w:rFonts w:ascii="Arial" w:cs="Arial" w:eastAsia="Arial" w:hAnsi="Arial"/>
          <w:sz w:val="20"/>
          <w:szCs w:val="20"/>
          <w:color w:val="auto"/>
        </w:rPr>
      </w:pPr>
    </w:p>
    <w:p>
      <w:pPr>
        <w:ind w:right="200" w:firstLine="656"/>
        <w:spacing w:after="0" w:line="246" w:lineRule="auto"/>
        <w:tabs>
          <w:tab w:leader="none" w:pos="1287"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certificate shall be binding upon, and inure to the benefit of, any successor or successors of the Company, you and any of your beneficiaries</w:t>
      </w:r>
      <w:r>
        <w:rPr>
          <w:rFonts w:ascii="Arial" w:cs="Arial" w:eastAsia="Arial" w:hAnsi="Arial"/>
          <w:sz w:val="20"/>
          <w:szCs w:val="20"/>
          <w:u w:val="single" w:color="auto"/>
          <w:color w:val="auto"/>
        </w:rPr>
        <w:t>.</w:t>
      </w:r>
    </w:p>
    <w:p>
      <w:pPr>
        <w:spacing w:after="0" w:line="203" w:lineRule="exact"/>
        <w:rPr>
          <w:rFonts w:ascii="Arial" w:cs="Arial" w:eastAsia="Arial" w:hAnsi="Arial"/>
          <w:sz w:val="20"/>
          <w:szCs w:val="20"/>
          <w:color w:val="auto"/>
        </w:rPr>
      </w:pPr>
    </w:p>
    <w:p>
      <w:pPr>
        <w:ind w:right="280" w:firstLine="656"/>
        <w:spacing w:after="0" w:line="368" w:lineRule="auto"/>
        <w:tabs>
          <w:tab w:leader="none" w:pos="1287"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Entire Understanding</w:t>
      </w:r>
      <w:r>
        <w:rPr>
          <w:rFonts w:ascii="Arial" w:cs="Arial" w:eastAsia="Arial" w:hAnsi="Arial"/>
          <w:sz w:val="16"/>
          <w:szCs w:val="16"/>
          <w:color w:val="auto"/>
        </w:rPr>
        <w:t>. This certificate and the terms of Plan constitute the entire terms of the award represented by this certificate and may not be amended, except as provided in the Plan, other than by a written instrument executed by the Company and you.</w:t>
      </w:r>
    </w:p>
    <w:p>
      <w:pPr>
        <w:spacing w:after="0" w:line="110" w:lineRule="exact"/>
        <w:rPr>
          <w:rFonts w:ascii="Arial" w:cs="Arial" w:eastAsia="Arial" w:hAnsi="Arial"/>
          <w:sz w:val="16"/>
          <w:szCs w:val="16"/>
          <w:color w:val="auto"/>
        </w:rPr>
      </w:pPr>
    </w:p>
    <w:p>
      <w:pPr>
        <w:ind w:right="200" w:firstLine="656"/>
        <w:spacing w:after="0" w:line="246" w:lineRule="auto"/>
        <w:tabs>
          <w:tab w:leader="none" w:pos="1287"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All rights and obligations under this certificate shall be governed by and construed in accordance with the laws of the State of Delaware, without regard to its principles of conflict of laws.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Mistras Group,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Dennis Bertolotti</w:t>
      </w:r>
      <w:r>
        <w:rPr>
          <w:rFonts w:ascii="Arial" w:cs="Arial" w:eastAsia="Arial" w:hAnsi="Arial"/>
          <w:sz w:val="20"/>
          <w:szCs w:val="20"/>
          <w:color w:val="auto"/>
        </w:rPr>
        <w:t xml:space="preserve"> By: </w:t>
      </w:r>
      <w:r>
        <w:rPr>
          <w:rFonts w:ascii="Arial" w:cs="Arial" w:eastAsia="Arial" w:hAnsi="Arial"/>
          <w:sz w:val="20"/>
          <w:szCs w:val="20"/>
          <w:u w:val="single" w:color="auto"/>
          <w:color w:val="auto"/>
        </w:rPr>
        <w:t>Michael C. Keefe</w:t>
      </w:r>
    </w:p>
    <w:p>
      <w:pPr>
        <w:spacing w:after="0" w:line="227" w:lineRule="auto"/>
        <w:rPr>
          <w:sz w:val="20"/>
          <w:szCs w:val="20"/>
          <w:color w:val="auto"/>
        </w:rPr>
      </w:pPr>
      <w:r>
        <w:rPr>
          <w:rFonts w:ascii="Arial" w:cs="Arial" w:eastAsia="Arial" w:hAnsi="Arial"/>
          <w:sz w:val="20"/>
          <w:szCs w:val="20"/>
          <w:color w:val="auto"/>
        </w:rPr>
        <w:t>President and Chief Executive VP, General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Executive Officer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19"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2020</w:t>
      </w:r>
    </w:p>
    <w:p>
      <w:pPr>
        <w:spacing w:after="0" w:line="15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04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2020</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31750</wp:posOffset>
            </wp:positionV>
            <wp:extent cx="38233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2020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2020</w:t>
      </w:r>
    </w:p>
    <w:p>
      <w:pPr>
        <w:spacing w:after="0" w:line="30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7890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31750</wp:posOffset>
            </wp:positionV>
            <wp:extent cx="37890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2"/>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lvl w:ilvl="1">
      <w:lvlJc w:val="left"/>
      <w:lvlText w:val="(%2)"/>
      <w:numFmt w:val="lowerLetter"/>
      <w:start w:val="2"/>
    </w:lvl>
  </w:abstractNum>
  <w:abstractNum w:abstractNumId="15">
    <w:nsid w:val="431BD7B7"/>
    <w:multiLevelType w:val="hybridMultilevel"/>
    <w:lvl w:ilvl="0">
      <w:lvlJc w:val="left"/>
      <w:lvlText w:val="%1"/>
      <w:numFmt w:val="decimal"/>
      <w:start w:val="1"/>
    </w:lvl>
    <w:lvl w:ilvl="1">
      <w:lvlJc w:val="left"/>
      <w:lvlText w:val="(%2)"/>
      <w:numFmt w:val="lowerLetter"/>
      <w:start w:val="3"/>
    </w:lvl>
  </w:abstractNum>
  <w:abstractNum w:abstractNumId="16">
    <w:nsid w:val="3F2DBA31"/>
    <w:multiLevelType w:val="hybridMultilevel"/>
    <w:lvl w:ilvl="0">
      <w:lvlJc w:val="left"/>
      <w:lvlText w:val="%1."/>
      <w:numFmt w:val="decimal"/>
      <w:start w:val="5"/>
    </w:lvl>
    <w:lvl w:ilvl="1">
      <w:lvlJc w:val="left"/>
      <w:lvlText w:val="%2"/>
      <w:numFmt w:val="lowerLetter"/>
      <w:start w:val="1"/>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1" Type="http://schemas.openxmlformats.org/officeDocument/2006/relationships/hyperlink" Target="http://www.sec.gov/Archives/edgar/data/1436126/000143612620000009/0001436126-20-000009-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2020-05-19T05:04:31Z</dcterms:created>
  <dcterms:modified xsi:type="dcterms:W3CDTF">2020-05-19T05:04:31Z</dcterms:modified>
</cp:coreProperties>
</file>