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0"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4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For the transition period from __ to __</w:t>
      </w:r>
    </w:p>
    <w:p>
      <w:pPr>
        <w:spacing w:after="0" w:line="225"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-93345</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5020" w:type="dxa"/>
            <w:vAlign w:val="bottom"/>
            <w:gridSpan w:val="4"/>
            <w:vMerge w:val="restart"/>
          </w:tcPr>
          <w:p>
            <w:pPr>
              <w:jc w:val="right"/>
              <w:spacing w:after="0"/>
              <w:rPr>
                <w:sz w:val="20"/>
                <w:szCs w:val="20"/>
                <w:color w:val="auto"/>
              </w:rPr>
            </w:pPr>
            <w:r>
              <w:rPr>
                <w:rFonts w:ascii="Arial" w:cs="Arial" w:eastAsia="Arial" w:hAnsi="Arial"/>
                <w:sz w:val="18"/>
                <w:szCs w:val="18"/>
                <w:i w:val="1"/>
                <w:iCs w:val="1"/>
                <w:color w:val="auto"/>
              </w:rPr>
              <w:t>(Exact name of registrant as specified in its charter)</w:t>
            </w:r>
          </w:p>
        </w:tc>
        <w:tc>
          <w:tcPr>
            <w:tcW w:w="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50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gridSpan w:val="4"/>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gridSpan w:val="3"/>
          </w:tcPr>
          <w:p>
            <w:pPr>
              <w:jc w:val="right"/>
              <w:ind w:right="2270"/>
              <w:spacing w:after="0"/>
              <w:rPr>
                <w:sz w:val="20"/>
                <w:szCs w:val="20"/>
                <w:color w:val="auto"/>
              </w:rPr>
            </w:pPr>
            <w:r>
              <w:rPr>
                <w:rFonts w:ascii="Arial" w:cs="Arial" w:eastAsia="Arial" w:hAnsi="Arial"/>
                <w:sz w:val="18"/>
                <w:szCs w:val="18"/>
                <w:b w:val="1"/>
                <w:bCs w:val="1"/>
                <w:color w:val="auto"/>
              </w:rPr>
              <w:t>22-3341267</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2980" w:type="dxa"/>
            <w:vAlign w:val="bottom"/>
            <w:gridSpan w:val="5"/>
          </w:tcPr>
          <w:p>
            <w:pPr>
              <w:jc w:val="center"/>
              <w:ind w:right="30"/>
              <w:spacing w:after="0" w:line="202" w:lineRule="exact"/>
              <w:rPr>
                <w:sz w:val="20"/>
                <w:szCs w:val="20"/>
                <w:color w:val="auto"/>
              </w:rPr>
            </w:pPr>
            <w:r>
              <w:rPr>
                <w:rFonts w:ascii="Arial" w:cs="Arial" w:eastAsia="Arial" w:hAnsi="Arial"/>
                <w:sz w:val="18"/>
                <w:szCs w:val="18"/>
                <w:i w:val="1"/>
                <w:iCs w:val="1"/>
                <w:color w:val="auto"/>
                <w:w w:val="93"/>
              </w:rPr>
              <w:t>(State or other jurisdiction of</w:t>
            </w:r>
          </w:p>
        </w:tc>
        <w:tc>
          <w:tcPr>
            <w:tcW w:w="4820" w:type="dxa"/>
            <w:vAlign w:val="bottom"/>
            <w:gridSpan w:val="5"/>
          </w:tcPr>
          <w:p>
            <w:pPr>
              <w:jc w:val="center"/>
              <w:ind w:right="3220"/>
              <w:spacing w:after="0" w:line="202" w:lineRule="exact"/>
              <w:rPr>
                <w:sz w:val="20"/>
                <w:szCs w:val="20"/>
                <w:color w:val="auto"/>
              </w:rPr>
            </w:pP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i w:val="1"/>
                <w:iCs w:val="1"/>
                <w:color w:val="auto"/>
                <w:w w:val="94"/>
              </w:rPr>
              <w:t>incorporation or organization)</w:t>
            </w:r>
          </w:p>
        </w:tc>
        <w:tc>
          <w:tcPr>
            <w:tcW w:w="4820" w:type="dxa"/>
            <w:vAlign w:val="bottom"/>
            <w:gridSpan w:val="5"/>
          </w:tcPr>
          <w:p>
            <w:pPr>
              <w:jc w:val="center"/>
              <w:ind w:right="3220"/>
              <w:spacing w:after="0"/>
              <w:rPr>
                <w:sz w:val="20"/>
                <w:szCs w:val="20"/>
                <w:color w:val="auto"/>
              </w:rPr>
            </w:pPr>
            <w:r>
              <w:rPr>
                <w:rFonts w:ascii="Arial" w:cs="Arial" w:eastAsia="Arial" w:hAnsi="Arial"/>
                <w:sz w:val="18"/>
                <w:szCs w:val="18"/>
                <w:i w:val="1"/>
                <w:iCs w:val="1"/>
                <w:color w:val="auto"/>
                <w:w w:val="94"/>
              </w:rPr>
              <w:t>Identification No.)</w:t>
            </w:r>
          </w:p>
        </w:tc>
        <w:tc>
          <w:tcPr>
            <w:tcW w:w="0" w:type="dxa"/>
            <w:vAlign w:val="bottom"/>
          </w:tcPr>
          <w:p>
            <w:pPr>
              <w:spacing w:after="0"/>
              <w:rPr>
                <w:sz w:val="1"/>
                <w:szCs w:val="1"/>
                <w:color w:val="auto"/>
              </w:rPr>
            </w:pPr>
          </w:p>
        </w:tc>
      </w:tr>
      <w:tr>
        <w:trPr>
          <w:trHeight w:val="485"/>
        </w:trPr>
        <w:tc>
          <w:tcPr>
            <w:tcW w:w="3420" w:type="dxa"/>
            <w:vAlign w:val="bottom"/>
          </w:tcPr>
          <w:p>
            <w:pPr>
              <w:spacing w:after="0"/>
              <w:rPr>
                <w:sz w:val="24"/>
                <w:szCs w:val="24"/>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195 Clarksville Road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2"/>
                <w:szCs w:val="22"/>
                <w:color w:val="auto"/>
              </w:rPr>
            </w:pPr>
          </w:p>
        </w:tc>
        <w:tc>
          <w:tcPr>
            <w:tcW w:w="29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w w:val="91"/>
              </w:rPr>
              <w:t>Princeton Junction, New Jersey</w:t>
            </w:r>
          </w:p>
        </w:tc>
        <w:tc>
          <w:tcPr>
            <w:tcW w:w="3600" w:type="dxa"/>
            <w:vAlign w:val="bottom"/>
            <w:gridSpan w:val="3"/>
          </w:tcPr>
          <w:p>
            <w:pPr>
              <w:jc w:val="right"/>
              <w:ind w:right="2490"/>
              <w:spacing w:after="0"/>
              <w:rPr>
                <w:sz w:val="20"/>
                <w:szCs w:val="20"/>
                <w:color w:val="auto"/>
              </w:rPr>
            </w:pPr>
            <w:r>
              <w:rPr>
                <w:rFonts w:ascii="Arial" w:cs="Arial" w:eastAsia="Arial" w:hAnsi="Arial"/>
                <w:sz w:val="18"/>
                <w:szCs w:val="18"/>
                <w:b w:val="1"/>
                <w:bCs w:val="1"/>
                <w:color w:val="auto"/>
              </w:rPr>
              <w:t>08550</w:t>
            </w: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gridSpan w:val="3"/>
          </w:tcPr>
          <w:p>
            <w:pPr>
              <w:jc w:val="center"/>
              <w:ind w:right="3540"/>
              <w:spacing w:after="0"/>
              <w:rPr>
                <w:sz w:val="20"/>
                <w:szCs w:val="20"/>
                <w:color w:val="auto"/>
              </w:rPr>
            </w:pPr>
            <w:r>
              <w:rPr>
                <w:rFonts w:ascii="Arial" w:cs="Arial" w:eastAsia="Arial" w:hAnsi="Arial"/>
                <w:sz w:val="18"/>
                <w:szCs w:val="18"/>
                <w:i w:val="1"/>
                <w:iCs w:val="1"/>
                <w:color w:val="auto"/>
                <w:w w:val="94"/>
              </w:rPr>
              <w:t>(Zip Code)</w:t>
            </w:r>
          </w:p>
        </w:tc>
        <w:tc>
          <w:tcPr>
            <w:tcW w:w="0" w:type="dxa"/>
            <w:vAlign w:val="bottom"/>
          </w:tcPr>
          <w:p>
            <w:pPr>
              <w:spacing w:after="0"/>
              <w:rPr>
                <w:sz w:val="1"/>
                <w:szCs w:val="1"/>
                <w:color w:val="auto"/>
              </w:rPr>
            </w:pPr>
          </w:p>
        </w:tc>
      </w:tr>
      <w:tr>
        <w:trPr>
          <w:trHeight w:val="540"/>
        </w:trPr>
        <w:tc>
          <w:tcPr>
            <w:tcW w:w="3420" w:type="dxa"/>
            <w:vAlign w:val="bottom"/>
          </w:tcPr>
          <w:p>
            <w:pPr>
              <w:spacing w:after="0"/>
              <w:rPr>
                <w:sz w:val="24"/>
                <w:szCs w:val="24"/>
                <w:color w:val="auto"/>
              </w:rPr>
            </w:pPr>
          </w:p>
        </w:tc>
        <w:tc>
          <w:tcPr>
            <w:tcW w:w="298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(609) 716-4000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080" w:type="dxa"/>
            <w:vAlign w:val="bottom"/>
            <w:gridSpan w:val="5"/>
            <w:vMerge w:val="restart"/>
          </w:tcPr>
          <w:p>
            <w:pPr>
              <w:jc w:val="right"/>
              <w:ind w:right="60"/>
              <w:spacing w:after="0"/>
              <w:rPr>
                <w:sz w:val="20"/>
                <w:szCs w:val="20"/>
                <w:color w:val="auto"/>
              </w:rPr>
            </w:pPr>
            <w:r>
              <w:rPr>
                <w:rFonts w:ascii="Arial" w:cs="Arial" w:eastAsia="Arial" w:hAnsi="Arial"/>
                <w:sz w:val="18"/>
                <w:szCs w:val="18"/>
                <w:i w:val="1"/>
                <w:iCs w:val="1"/>
                <w:color w:val="auto"/>
              </w:rPr>
              <w:t>(Registrant’s telephone number, including area code)</w:t>
            </w: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80" w:type="dxa"/>
            <w:vAlign w:val="bottom"/>
            <w:gridSpan w:val="5"/>
            <w:vMerge w:val="continue"/>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1"/>
        </w:trPr>
        <w:tc>
          <w:tcPr>
            <w:tcW w:w="6400" w:type="dxa"/>
            <w:vAlign w:val="bottom"/>
            <w:gridSpan w:val="6"/>
          </w:tcPr>
          <w:p>
            <w:pPr>
              <w:jc w:val="right"/>
              <w:ind w:right="215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i w:val="1"/>
                <w:iCs w:val="1"/>
                <w:color w:val="auto"/>
                <w:w w:val="88"/>
              </w:rPr>
              <w:t>Title of each class</w:t>
            </w: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i w:val="1"/>
                <w:iCs w:val="1"/>
                <w:color w:val="auto"/>
                <w:w w:val="91"/>
              </w:rPr>
              <w:t>Trading Symbol(s)</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c>
          <w:tcPr>
            <w:tcW w:w="0" w:type="dxa"/>
            <w:vAlign w:val="bottom"/>
          </w:tcPr>
          <w:p>
            <w:pPr>
              <w:spacing w:after="0"/>
              <w:rPr>
                <w:sz w:val="1"/>
                <w:szCs w:val="1"/>
                <w:color w:val="auto"/>
              </w:rPr>
            </w:pPr>
          </w:p>
        </w:tc>
      </w:tr>
      <w:tr>
        <w:trPr>
          <w:trHeight w:val="224"/>
        </w:trPr>
        <w:tc>
          <w:tcPr>
            <w:tcW w:w="3420" w:type="dxa"/>
            <w:vAlign w:val="bottom"/>
          </w:tcPr>
          <w:p>
            <w:pPr>
              <w:jc w:val="center"/>
              <w:ind w:left="970"/>
              <w:spacing w:after="0"/>
              <w:rPr>
                <w:sz w:val="20"/>
                <w:szCs w:val="20"/>
                <w:color w:val="auto"/>
              </w:rPr>
            </w:pPr>
            <w:r>
              <w:rPr>
                <w:rFonts w:ascii="Arial" w:cs="Arial" w:eastAsia="Arial" w:hAnsi="Arial"/>
                <w:sz w:val="18"/>
                <w:szCs w:val="18"/>
                <w:color w:val="auto"/>
                <w:w w:val="90"/>
              </w:rPr>
              <w:t>Common Stock, $0.01 par value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96"/>
              </w:rPr>
              <w:t>MG</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4"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205"/>
        </w:trPr>
        <w:tc>
          <w:tcPr>
            <w:tcW w:w="1980" w:type="dxa"/>
            <w:vAlign w:val="bottom"/>
          </w:tcPr>
          <w:p>
            <w:pPr>
              <w:spacing w:after="0" w:line="205" w:lineRule="exact"/>
              <w:rPr>
                <w:sz w:val="20"/>
                <w:szCs w:val="20"/>
                <w:color w:val="auto"/>
              </w:rPr>
            </w:pPr>
            <w:r>
              <w:rPr>
                <w:rFonts w:ascii="Arial" w:cs="Arial" w:eastAsia="Arial" w:hAnsi="Arial"/>
                <w:sz w:val="18"/>
                <w:szCs w:val="18"/>
                <w:color w:val="auto"/>
              </w:rPr>
              <w:t>Large accelerated filer</w:t>
            </w:r>
          </w:p>
        </w:tc>
        <w:tc>
          <w:tcPr>
            <w:tcW w:w="2500" w:type="dxa"/>
            <w:vAlign w:val="bottom"/>
          </w:tcPr>
          <w:p>
            <w:pPr>
              <w:ind w:left="380"/>
              <w:spacing w:after="0" w:line="205" w:lineRule="exact"/>
              <w:rPr>
                <w:sz w:val="20"/>
                <w:szCs w:val="20"/>
                <w:color w:val="auto"/>
              </w:rPr>
            </w:pPr>
            <w:r>
              <w:rPr>
                <w:rFonts w:ascii="Arial" w:cs="Arial" w:eastAsia="Arial" w:hAnsi="Arial"/>
                <w:sz w:val="18"/>
                <w:szCs w:val="18"/>
                <w:color w:val="auto"/>
              </w:rPr>
              <w:t>o</w:t>
            </w:r>
          </w:p>
        </w:tc>
        <w:tc>
          <w:tcPr>
            <w:tcW w:w="4500" w:type="dxa"/>
            <w:vAlign w:val="bottom"/>
          </w:tcPr>
          <w:p>
            <w:pPr>
              <w:ind w:left="2040"/>
              <w:spacing w:after="0" w:line="205" w:lineRule="exact"/>
              <w:rPr>
                <w:sz w:val="20"/>
                <w:szCs w:val="20"/>
                <w:color w:val="auto"/>
              </w:rPr>
            </w:pPr>
            <w:r>
              <w:rPr>
                <w:rFonts w:ascii="Arial" w:cs="Arial" w:eastAsia="Arial" w:hAnsi="Arial"/>
                <w:sz w:val="18"/>
                <w:szCs w:val="18"/>
                <w:color w:val="auto"/>
              </w:rPr>
              <w:t>Accelerated filer</w:t>
            </w:r>
          </w:p>
        </w:tc>
        <w:tc>
          <w:tcPr>
            <w:tcW w:w="560" w:type="dxa"/>
            <w:vAlign w:val="bottom"/>
          </w:tcPr>
          <w:p>
            <w:pPr>
              <w:jc w:val="center"/>
              <w:ind w:left="330"/>
              <w:spacing w:after="0" w:line="205" w:lineRule="exact"/>
              <w:rPr>
                <w:sz w:val="20"/>
                <w:szCs w:val="20"/>
                <w:color w:val="auto"/>
              </w:rPr>
            </w:pPr>
            <w:r>
              <w:rPr>
                <w:rFonts w:ascii="Arial" w:cs="Arial" w:eastAsia="Arial" w:hAnsi="Arial"/>
                <w:sz w:val="18"/>
                <w:szCs w:val="18"/>
                <w:color w:val="auto"/>
              </w:rPr>
              <w:t>x</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500" w:type="dxa"/>
            <w:vAlign w:val="bottom"/>
          </w:tcPr>
          <w:p>
            <w:pPr>
              <w:ind w:left="380"/>
              <w:spacing w:after="0"/>
              <w:rPr>
                <w:sz w:val="20"/>
                <w:szCs w:val="20"/>
                <w:color w:val="auto"/>
              </w:rPr>
            </w:pPr>
            <w:r>
              <w:rPr>
                <w:rFonts w:ascii="Arial" w:cs="Arial" w:eastAsia="Arial" w:hAnsi="Arial"/>
                <w:sz w:val="18"/>
                <w:szCs w:val="18"/>
                <w:color w:val="auto"/>
              </w:rPr>
              <w:t>o</w:t>
            </w:r>
          </w:p>
        </w:tc>
        <w:tc>
          <w:tcPr>
            <w:tcW w:w="4500" w:type="dxa"/>
            <w:vAlign w:val="bottom"/>
          </w:tcPr>
          <w:p>
            <w:pPr>
              <w:ind w:left="204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00" w:type="dxa"/>
            <w:vAlign w:val="bottom"/>
          </w:tcPr>
          <w:p>
            <w:pPr>
              <w:ind w:left="204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63"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240"/>
          </w:cols>
          <w:pgMar w:left="320" w:top="229" w:right="339" w:bottom="210" w:gutter="0" w:footer="0" w:header="0"/>
        </w:sect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As of April 29, 2022, the registrant had 29,805,316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21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445135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2980" w:type="dxa"/>
            <w:vAlign w:val="bottom"/>
            <w:tcBorders>
              <w:bottom w:val="single" w:sz="8" w:color="0000FF"/>
            </w:tcBorders>
            <w:gridSpan w:val="12"/>
          </w:tcPr>
          <w:p>
            <w:pPr>
              <w:spacing w:after="0" w:line="176"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PART I—FINANCIAL INFORMATION</w:t>
              </w:r>
            </w:hyperlink>
          </w:p>
        </w:tc>
        <w:tc>
          <w:tcPr>
            <w:tcW w:w="7520" w:type="dxa"/>
            <w:vAlign w:val="bottom"/>
            <w:gridSpan w:val="11"/>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890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E32E1"/>
              </w:rPr>
            </w:pPr>
            <w:hyperlink w:anchor="page4">
              <w:r>
                <w:rPr>
                  <w:rFonts w:ascii="Arial" w:cs="Arial" w:eastAsia="Arial" w:hAnsi="Arial"/>
                  <w:sz w:val="18"/>
                  <w:szCs w:val="18"/>
                  <w:color w:val="0E32E1"/>
                </w:rPr>
                <w:t xml:space="preserve">Condensed Consolidated Balance Sheets as of </w:t>
              </w:r>
            </w:hyperlink>
            <w:r>
              <w:rPr>
                <w:rFonts w:ascii="Arial" w:cs="Arial" w:eastAsia="Arial" w:hAnsi="Arial"/>
                <w:sz w:val="18"/>
                <w:szCs w:val="18"/>
                <w:color w:val="0E32E1"/>
              </w:rPr>
              <w:t xml:space="preserve">March 31, 2022 </w:t>
            </w:r>
            <w:hyperlink w:anchor="page4">
              <w:r>
                <w:rPr>
                  <w:rFonts w:ascii="Arial" w:cs="Arial" w:eastAsia="Arial" w:hAnsi="Arial"/>
                  <w:sz w:val="18"/>
                  <w:szCs w:val="18"/>
                  <w:color w:val="0E32E1"/>
                </w:rPr>
                <w:t xml:space="preserve">(unaudited) and </w:t>
              </w:r>
            </w:hyperlink>
            <w:r>
              <w:rPr>
                <w:rFonts w:ascii="Arial" w:cs="Arial" w:eastAsia="Arial" w:hAnsi="Arial"/>
                <w:sz w:val="18"/>
                <w:szCs w:val="18"/>
                <w:color w:val="0E32E1"/>
              </w:rPr>
              <w:t>December 31, 2021</w:t>
            </w: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60" w:type="dxa"/>
            <w:vAlign w:val="bottom"/>
            <w:gridSpan w:val="16"/>
          </w:tcPr>
          <w:p>
            <w:pPr>
              <w:spacing w:after="0"/>
              <w:rPr>
                <w:rFonts w:ascii="Arial" w:cs="Arial" w:eastAsia="Arial" w:hAnsi="Arial"/>
                <w:sz w:val="18"/>
                <w:szCs w:val="18"/>
                <w:color w:val="0E32E1"/>
                <w:w w:val="89"/>
              </w:rPr>
            </w:pPr>
            <w:hyperlink w:anchor="page4">
              <w:r>
                <w:rPr>
                  <w:rFonts w:ascii="Arial" w:cs="Arial" w:eastAsia="Arial" w:hAnsi="Arial"/>
                  <w:sz w:val="18"/>
                  <w:szCs w:val="18"/>
                  <w:color w:val="0E32E1"/>
                  <w:w w:val="89"/>
                </w:rPr>
                <w:t xml:space="preserve">Unaudited Condensed Consolidated Statements of Loss for the </w:t>
              </w:r>
            </w:hyperlink>
            <w:r>
              <w:rPr>
                <w:rFonts w:ascii="Arial" w:cs="Arial" w:eastAsia="Arial" w:hAnsi="Arial"/>
                <w:sz w:val="18"/>
                <w:szCs w:val="18"/>
                <w:color w:val="0E32E1"/>
                <w:w w:val="89"/>
              </w:rPr>
              <w:t xml:space="preserve">three months ended March 31, 2022 </w:t>
            </w:r>
            <w:hyperlink w:anchor="page4">
              <w:r>
                <w:rPr>
                  <w:rFonts w:ascii="Arial" w:cs="Arial" w:eastAsia="Arial" w:hAnsi="Arial"/>
                  <w:sz w:val="18"/>
                  <w:szCs w:val="18"/>
                  <w:color w:val="0E32E1"/>
                  <w:w w:val="89"/>
                </w:rPr>
                <w:t xml:space="preserve">and </w:t>
              </w:r>
            </w:hyperlink>
            <w:r>
              <w:rPr>
                <w:rFonts w:ascii="Arial" w:cs="Arial" w:eastAsia="Arial" w:hAnsi="Arial"/>
                <w:sz w:val="18"/>
                <w:szCs w:val="18"/>
                <w:color w:val="0E32E1"/>
                <w:w w:val="89"/>
              </w:rPr>
              <w:t>March 31, 2021</w:t>
            </w:r>
          </w:p>
        </w:tc>
        <w:tc>
          <w:tcPr>
            <w:tcW w:w="240" w:type="dxa"/>
            <w:vAlign w:val="bottom"/>
            <w:gridSpan w:val="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gridSpan w:val="3"/>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2200" w:type="dxa"/>
            <w:vAlign w:val="bottom"/>
            <w:tcBorders>
              <w:right w:val="single" w:sz="8" w:color="0E32E1"/>
            </w:tcBorders>
            <w:gridSpan w:val="2"/>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60" w:type="dxa"/>
            <w:vAlign w:val="bottom"/>
            <w:gridSpan w:val="16"/>
          </w:tcPr>
          <w:p>
            <w:pPr>
              <w:spacing w:after="0"/>
              <w:rPr>
                <w:rFonts w:ascii="Arial" w:cs="Arial" w:eastAsia="Arial" w:hAnsi="Arial"/>
                <w:sz w:val="18"/>
                <w:szCs w:val="18"/>
                <w:color w:val="0E32E1"/>
                <w:w w:val="89"/>
              </w:rPr>
            </w:pPr>
            <w:hyperlink w:anchor="page5">
              <w:r>
                <w:rPr>
                  <w:rFonts w:ascii="Arial" w:cs="Arial" w:eastAsia="Arial" w:hAnsi="Arial"/>
                  <w:sz w:val="18"/>
                  <w:szCs w:val="18"/>
                  <w:color w:val="0E32E1"/>
                  <w:w w:val="89"/>
                </w:rPr>
                <w:t xml:space="preserve">Unaudited Condensed Consolidated Statements of Comprehensive Loss for the </w:t>
              </w:r>
            </w:hyperlink>
            <w:r>
              <w:rPr>
                <w:rFonts w:ascii="Arial" w:cs="Arial" w:eastAsia="Arial" w:hAnsi="Arial"/>
                <w:sz w:val="18"/>
                <w:szCs w:val="18"/>
                <w:color w:val="0E32E1"/>
                <w:w w:val="89"/>
              </w:rPr>
              <w:t xml:space="preserve">three months ended March 31, 2022 </w:t>
            </w:r>
            <w:hyperlink w:anchor="page5">
              <w:r>
                <w:rPr>
                  <w:rFonts w:ascii="Arial" w:cs="Arial" w:eastAsia="Arial" w:hAnsi="Arial"/>
                  <w:sz w:val="18"/>
                  <w:szCs w:val="18"/>
                  <w:color w:val="0E32E1"/>
                  <w:w w:val="89"/>
                </w:rPr>
                <w:t>and</w:t>
              </w:r>
            </w:hyperlink>
          </w:p>
        </w:tc>
        <w:tc>
          <w:tcPr>
            <w:tcW w:w="240" w:type="dxa"/>
            <w:vAlign w:val="bottom"/>
            <w:gridSpan w:val="2"/>
          </w:tcPr>
          <w:p>
            <w:pPr>
              <w:spacing w:after="0"/>
              <w:rPr>
                <w:sz w:val="24"/>
                <w:szCs w:val="24"/>
                <w:color w:val="auto"/>
              </w:rPr>
            </w:pPr>
          </w:p>
        </w:tc>
        <w:tc>
          <w:tcPr>
            <w:tcW w:w="68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60" w:type="dxa"/>
            <w:vAlign w:val="bottom"/>
            <w:tcBorders>
              <w:top w:val="single" w:sz="8" w:color="0E32E1"/>
            </w:tcBorders>
            <w:gridSpan w:val="16"/>
          </w:tcPr>
          <w:p>
            <w:pPr>
              <w:spacing w:after="0" w:line="156" w:lineRule="exact"/>
              <w:rPr>
                <w:sz w:val="20"/>
                <w:szCs w:val="20"/>
                <w:color w:val="auto"/>
              </w:rPr>
            </w:pPr>
            <w:r>
              <w:rPr>
                <w:rFonts w:ascii="Arial" w:cs="Arial" w:eastAsia="Arial" w:hAnsi="Arial"/>
                <w:sz w:val="18"/>
                <w:szCs w:val="18"/>
                <w:color w:val="0E32E1"/>
              </w:rPr>
              <w:t>March 31, 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7"/>
          </w:tcPr>
          <w:p>
            <w:pPr>
              <w:spacing w:after="0"/>
              <w:rPr>
                <w:rFonts w:ascii="Arial" w:cs="Arial" w:eastAsia="Arial" w:hAnsi="Arial"/>
                <w:sz w:val="18"/>
                <w:szCs w:val="18"/>
                <w:color w:val="0E32E1"/>
                <w:w w:val="89"/>
              </w:rPr>
            </w:pPr>
            <w:hyperlink w:anchor="page6">
              <w:r>
                <w:rPr>
                  <w:rFonts w:ascii="Arial" w:cs="Arial" w:eastAsia="Arial" w:hAnsi="Arial"/>
                  <w:sz w:val="18"/>
                  <w:szCs w:val="18"/>
                  <w:color w:val="0E32E1"/>
                  <w:w w:val="89"/>
                </w:rPr>
                <w:t xml:space="preserve">Unaudited Condensed Consolidated Statements of Equity for the </w:t>
              </w:r>
            </w:hyperlink>
            <w:r>
              <w:rPr>
                <w:rFonts w:ascii="Arial" w:cs="Arial" w:eastAsia="Arial" w:hAnsi="Arial"/>
                <w:sz w:val="18"/>
                <w:szCs w:val="18"/>
                <w:color w:val="0E32E1"/>
                <w:w w:val="89"/>
              </w:rPr>
              <w:t xml:space="preserve">three months ended March 31, 2022 </w:t>
            </w:r>
            <w:hyperlink w:anchor="page6">
              <w:r>
                <w:rPr>
                  <w:rFonts w:ascii="Arial" w:cs="Arial" w:eastAsia="Arial" w:hAnsi="Arial"/>
                  <w:sz w:val="18"/>
                  <w:szCs w:val="18"/>
                  <w:color w:val="0E32E1"/>
                  <w:w w:val="89"/>
                </w:rPr>
                <w:t xml:space="preserve">and </w:t>
              </w:r>
            </w:hyperlink>
            <w:r>
              <w:rPr>
                <w:rFonts w:ascii="Arial" w:cs="Arial" w:eastAsia="Arial" w:hAnsi="Arial"/>
                <w:sz w:val="18"/>
                <w:szCs w:val="18"/>
                <w:color w:val="0E32E1"/>
                <w:w w:val="89"/>
              </w:rPr>
              <w:t>March 31, 2021</w:t>
            </w:r>
          </w:p>
        </w:tc>
        <w:tc>
          <w:tcPr>
            <w:tcW w:w="10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gridSpan w:val="3"/>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2340" w:type="dxa"/>
            <w:vAlign w:val="bottom"/>
            <w:tcBorders>
              <w:right w:val="single" w:sz="8" w:color="0E32E1"/>
            </w:tcBorders>
            <w:gridSpan w:val="3"/>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7"/>
          </w:tcPr>
          <w:p>
            <w:pPr>
              <w:spacing w:after="0"/>
              <w:rPr>
                <w:rFonts w:ascii="Arial" w:cs="Arial" w:eastAsia="Arial" w:hAnsi="Arial"/>
                <w:sz w:val="18"/>
                <w:szCs w:val="18"/>
                <w:color w:val="0E32E1"/>
                <w:w w:val="89"/>
              </w:rPr>
            </w:pPr>
            <w:hyperlink w:anchor="page7">
              <w:r>
                <w:rPr>
                  <w:rFonts w:ascii="Arial" w:cs="Arial" w:eastAsia="Arial" w:hAnsi="Arial"/>
                  <w:sz w:val="18"/>
                  <w:szCs w:val="18"/>
                  <w:color w:val="0E32E1"/>
                  <w:w w:val="89"/>
                </w:rPr>
                <w:t xml:space="preserve">Unaudited Condensed Consolidated Statements of Cash Flows for the </w:t>
              </w:r>
            </w:hyperlink>
            <w:r>
              <w:rPr>
                <w:rFonts w:ascii="Arial" w:cs="Arial" w:eastAsia="Arial" w:hAnsi="Arial"/>
                <w:sz w:val="18"/>
                <w:szCs w:val="18"/>
                <w:color w:val="0E32E1"/>
                <w:w w:val="89"/>
              </w:rPr>
              <w:t>three months ended March 31, 2022 and March 31,</w:t>
            </w:r>
          </w:p>
        </w:tc>
        <w:tc>
          <w:tcPr>
            <w:tcW w:w="100" w:type="dxa"/>
            <w:vAlign w:val="bottom"/>
          </w:tcPr>
          <w:p>
            <w:pPr>
              <w:spacing w:after="0"/>
              <w:rPr>
                <w:sz w:val="24"/>
                <w:szCs w:val="24"/>
                <w:color w:val="auto"/>
              </w:rPr>
            </w:pPr>
          </w:p>
        </w:tc>
        <w:tc>
          <w:tcPr>
            <w:tcW w:w="680" w:type="dxa"/>
            <w:vAlign w:val="bottom"/>
            <w:gridSpan w:val="4"/>
            <w:vMerge w:val="restart"/>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E32E1"/>
            </w:tcBorders>
          </w:tcPr>
          <w:p>
            <w:pPr>
              <w:spacing w:after="0" w:line="156" w:lineRule="exact"/>
              <w:rPr>
                <w:sz w:val="20"/>
                <w:szCs w:val="20"/>
                <w:color w:val="auto"/>
              </w:rPr>
            </w:pPr>
            <w:r>
              <w:rPr>
                <w:rFonts w:ascii="Arial" w:cs="Arial" w:eastAsia="Arial" w:hAnsi="Arial"/>
                <w:sz w:val="18"/>
                <w:szCs w:val="18"/>
                <w:color w:val="0E32E1"/>
                <w:w w:val="84"/>
              </w:rPr>
              <w:t>2021</w:t>
            </w:r>
          </w:p>
        </w:tc>
        <w:tc>
          <w:tcPr>
            <w:tcW w:w="240" w:type="dxa"/>
            <w:vAlign w:val="bottom"/>
            <w:tcBorders>
              <w:top w:val="single" w:sz="8" w:color="0E32E1"/>
            </w:tcBorders>
          </w:tcPr>
          <w:p>
            <w:pPr>
              <w:spacing w:after="0"/>
              <w:rPr>
                <w:sz w:val="13"/>
                <w:szCs w:val="13"/>
                <w:color w:val="auto"/>
              </w:rPr>
            </w:pPr>
          </w:p>
        </w:tc>
        <w:tc>
          <w:tcPr>
            <w:tcW w:w="300" w:type="dxa"/>
            <w:vAlign w:val="bottom"/>
            <w:tcBorders>
              <w:top w:val="single" w:sz="8" w:color="0E32E1"/>
            </w:tcBorders>
          </w:tcPr>
          <w:p>
            <w:pPr>
              <w:spacing w:after="0"/>
              <w:rPr>
                <w:sz w:val="13"/>
                <w:szCs w:val="13"/>
                <w:color w:val="auto"/>
              </w:rPr>
            </w:pPr>
          </w:p>
        </w:tc>
        <w:tc>
          <w:tcPr>
            <w:tcW w:w="160" w:type="dxa"/>
            <w:vAlign w:val="bottom"/>
            <w:tcBorders>
              <w:top w:val="single" w:sz="8" w:color="0E32E1"/>
            </w:tcBorders>
          </w:tcPr>
          <w:p>
            <w:pPr>
              <w:spacing w:after="0"/>
              <w:rPr>
                <w:sz w:val="13"/>
                <w:szCs w:val="13"/>
                <w:color w:val="auto"/>
              </w:rPr>
            </w:pPr>
          </w:p>
        </w:tc>
        <w:tc>
          <w:tcPr>
            <w:tcW w:w="80" w:type="dxa"/>
            <w:vAlign w:val="bottom"/>
            <w:tcBorders>
              <w:top w:val="single" w:sz="8" w:color="0E32E1"/>
            </w:tcBorders>
          </w:tcPr>
          <w:p>
            <w:pPr>
              <w:spacing w:after="0"/>
              <w:rPr>
                <w:sz w:val="13"/>
                <w:szCs w:val="13"/>
                <w:color w:val="auto"/>
              </w:rPr>
            </w:pPr>
          </w:p>
        </w:tc>
        <w:tc>
          <w:tcPr>
            <w:tcW w:w="18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560" w:type="dxa"/>
            <w:vAlign w:val="bottom"/>
            <w:tcBorders>
              <w:top w:val="single" w:sz="8" w:color="0E32E1"/>
            </w:tcBorders>
          </w:tcPr>
          <w:p>
            <w:pPr>
              <w:spacing w:after="0"/>
              <w:rPr>
                <w:sz w:val="13"/>
                <w:szCs w:val="13"/>
                <w:color w:val="auto"/>
              </w:rPr>
            </w:pPr>
          </w:p>
        </w:tc>
        <w:tc>
          <w:tcPr>
            <w:tcW w:w="19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1680" w:type="dxa"/>
            <w:vAlign w:val="bottom"/>
            <w:tcBorders>
              <w:top w:val="single" w:sz="8" w:color="0E32E1"/>
            </w:tcBorders>
          </w:tcPr>
          <w:p>
            <w:pPr>
              <w:spacing w:after="0"/>
              <w:rPr>
                <w:sz w:val="13"/>
                <w:szCs w:val="13"/>
                <w:color w:val="auto"/>
              </w:rPr>
            </w:pPr>
          </w:p>
        </w:tc>
        <w:tc>
          <w:tcPr>
            <w:tcW w:w="680" w:type="dxa"/>
            <w:vAlign w:val="bottom"/>
            <w:tcBorders>
              <w:top w:val="single" w:sz="8" w:color="0E32E1"/>
            </w:tcBorders>
          </w:tcPr>
          <w:p>
            <w:pPr>
              <w:spacing w:after="0"/>
              <w:rPr>
                <w:sz w:val="13"/>
                <w:szCs w:val="13"/>
                <w:color w:val="auto"/>
              </w:rPr>
            </w:pPr>
          </w:p>
        </w:tc>
        <w:tc>
          <w:tcPr>
            <w:tcW w:w="1520" w:type="dxa"/>
            <w:vAlign w:val="bottom"/>
            <w:tcBorders>
              <w:top w:val="single" w:sz="8" w:color="0E32E1"/>
            </w:tcBorders>
          </w:tcPr>
          <w:p>
            <w:pPr>
              <w:spacing w:after="0"/>
              <w:rPr>
                <w:sz w:val="13"/>
                <w:szCs w:val="13"/>
                <w:color w:val="auto"/>
              </w:rPr>
            </w:pPr>
          </w:p>
        </w:tc>
        <w:tc>
          <w:tcPr>
            <w:tcW w:w="140" w:type="dxa"/>
            <w:vAlign w:val="bottom"/>
            <w:tcBorders>
              <w:top w:val="single" w:sz="8" w:color="0E32E1"/>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27">
              <w:r>
                <w:rPr>
                  <w:rFonts w:ascii="Arial" w:cs="Arial" w:eastAsia="Arial" w:hAnsi="Arial"/>
                  <w:sz w:val="18"/>
                  <w:szCs w:val="18"/>
                  <w:color w:val="0000FF"/>
                  <w:w w:val="85"/>
                </w:rPr>
                <w:t>ITEM 2.</w:t>
              </w:r>
            </w:hyperlink>
          </w:p>
        </w:tc>
        <w:tc>
          <w:tcPr>
            <w:tcW w:w="540" w:type="dxa"/>
            <w:vAlign w:val="bottom"/>
            <w:gridSpan w:val="2"/>
          </w:tcPr>
          <w:p>
            <w:pPr>
              <w:spacing w:after="0"/>
              <w:rPr>
                <w:sz w:val="24"/>
                <w:szCs w:val="24"/>
                <w:color w:val="auto"/>
              </w:rPr>
            </w:pPr>
          </w:p>
        </w:tc>
        <w:tc>
          <w:tcPr>
            <w:tcW w:w="646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Management’s Discussion and Analysis of Financial Condition and Results of Operations</w:t>
              </w:r>
            </w:hyperlink>
          </w:p>
        </w:tc>
        <w:tc>
          <w:tcPr>
            <w:tcW w:w="244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0000FF"/>
            </w:tcBorders>
            <w:gridSpan w:val="3"/>
          </w:tcPr>
          <w:p>
            <w:pPr>
              <w:jc w:val="right"/>
              <w:ind w:right="2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25</w:t>
              </w:r>
            </w:hyperlink>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ITEM 3.</w:t>
              </w:r>
            </w:hyperlink>
          </w:p>
        </w:tc>
        <w:tc>
          <w:tcPr>
            <w:tcW w:w="540" w:type="dxa"/>
            <w:vAlign w:val="bottom"/>
            <w:gridSpan w:val="2"/>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ITEM 4</w:t>
              </w:r>
            </w:hyperlink>
          </w:p>
        </w:tc>
        <w:tc>
          <w:tcPr>
            <w:tcW w:w="540" w:type="dxa"/>
            <w:vAlign w:val="bottom"/>
            <w:gridSpan w:val="2"/>
          </w:tcPr>
          <w:p>
            <w:pPr>
              <w:spacing w:after="0"/>
              <w:rPr>
                <w:sz w:val="24"/>
                <w:szCs w:val="24"/>
                <w:color w:val="auto"/>
              </w:rPr>
            </w:pPr>
          </w:p>
        </w:tc>
        <w:tc>
          <w:tcPr>
            <w:tcW w:w="4300" w:type="dxa"/>
            <w:vAlign w:val="bottom"/>
            <w:gridSpan w:val="11"/>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460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34</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PART II—OTHER INFORMATION</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ITEM 1.</w:t>
              </w:r>
            </w:hyperlink>
          </w:p>
        </w:tc>
        <w:tc>
          <w:tcPr>
            <w:tcW w:w="540" w:type="dxa"/>
            <w:vAlign w:val="bottom"/>
            <w:gridSpan w:val="2"/>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Legal Proceedings</w:t>
              </w:r>
            </w:hyperlink>
          </w:p>
        </w:tc>
        <w:tc>
          <w:tcPr>
            <w:tcW w:w="758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0000FF"/>
                <w:w w:val="97"/>
              </w:rPr>
            </w:pPr>
            <w:hyperlink w:anchor="page38">
              <w:r>
                <w:rPr>
                  <w:rFonts w:ascii="Arial" w:cs="Arial" w:eastAsia="Arial" w:hAnsi="Arial"/>
                  <w:sz w:val="18"/>
                  <w:szCs w:val="18"/>
                  <w:color w:val="0000FF"/>
                  <w:w w:val="97"/>
                </w:rPr>
                <w:t>ITEM 1.A.</w:t>
              </w:r>
            </w:hyperlink>
          </w:p>
        </w:tc>
        <w:tc>
          <w:tcPr>
            <w:tcW w:w="3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ITEM 2.</w:t>
              </w:r>
            </w:hyperlink>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ITEM 3.</w:t>
              </w:r>
            </w:hyperlink>
          </w:p>
        </w:tc>
        <w:tc>
          <w:tcPr>
            <w:tcW w:w="540" w:type="dxa"/>
            <w:vAlign w:val="bottom"/>
            <w:gridSpan w:val="2"/>
          </w:tcPr>
          <w:p>
            <w:pPr>
              <w:spacing w:after="0"/>
              <w:rPr>
                <w:sz w:val="24"/>
                <w:szCs w:val="24"/>
                <w:color w:val="auto"/>
              </w:rPr>
            </w:pPr>
          </w:p>
        </w:tc>
        <w:tc>
          <w:tcPr>
            <w:tcW w:w="4340" w:type="dxa"/>
            <w:vAlign w:val="bottom"/>
            <w:gridSpan w:val="1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Defaults Upon Senior Securities</w:t>
              </w:r>
            </w:hyperlink>
          </w:p>
        </w:tc>
        <w:tc>
          <w:tcPr>
            <w:tcW w:w="456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35</w:t>
              </w:r>
            </w:hyperlink>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ITEM 4.</w:t>
              </w:r>
            </w:hyperlink>
          </w:p>
        </w:tc>
        <w:tc>
          <w:tcPr>
            <w:tcW w:w="540" w:type="dxa"/>
            <w:vAlign w:val="bottom"/>
            <w:gridSpan w:val="2"/>
          </w:tcPr>
          <w:p>
            <w:pPr>
              <w:spacing w:after="0"/>
              <w:rPr>
                <w:sz w:val="24"/>
                <w:szCs w:val="24"/>
                <w:color w:val="auto"/>
              </w:rPr>
            </w:pPr>
          </w:p>
        </w:tc>
        <w:tc>
          <w:tcPr>
            <w:tcW w:w="2320" w:type="dxa"/>
            <w:vAlign w:val="bottom"/>
            <w:tcBorders>
              <w:top w:val="single" w:sz="8" w:color="0000FF"/>
            </w:tcBorders>
            <w:gridSpan w:val="1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658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1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ITEM 5.</w:t>
              </w:r>
            </w:hyperlink>
          </w:p>
        </w:tc>
        <w:tc>
          <w:tcPr>
            <w:tcW w:w="540" w:type="dxa"/>
            <w:vAlign w:val="bottom"/>
            <w:gridSpan w:val="2"/>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Other Information</w:t>
              </w:r>
            </w:hyperlink>
          </w:p>
        </w:tc>
        <w:tc>
          <w:tcPr>
            <w:tcW w:w="440" w:type="dxa"/>
            <w:vAlign w:val="bottom"/>
            <w:gridSpan w:val="3"/>
          </w:tcPr>
          <w:p>
            <w:pPr>
              <w:spacing w:after="0"/>
              <w:rPr>
                <w:sz w:val="24"/>
                <w:szCs w:val="24"/>
                <w:color w:val="auto"/>
              </w:rPr>
            </w:pPr>
          </w:p>
        </w:tc>
        <w:tc>
          <w:tcPr>
            <w:tcW w:w="714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ITEM 6.</w:t>
              </w:r>
            </w:hyperlink>
          </w:p>
        </w:tc>
        <w:tc>
          <w:tcPr>
            <w:tcW w:w="540" w:type="dxa"/>
            <w:vAlign w:val="bottom"/>
            <w:gridSpan w:val="2"/>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Exhibits</w:t>
              </w:r>
            </w:hyperlink>
          </w:p>
        </w:tc>
        <w:tc>
          <w:tcPr>
            <w:tcW w:w="720" w:type="dxa"/>
            <w:vAlign w:val="bottom"/>
            <w:gridSpan w:val="4"/>
          </w:tcPr>
          <w:p>
            <w:pPr>
              <w:spacing w:after="0"/>
              <w:rPr>
                <w:sz w:val="24"/>
                <w:szCs w:val="24"/>
                <w:color w:val="auto"/>
              </w:rPr>
            </w:pPr>
          </w:p>
        </w:tc>
        <w:tc>
          <w:tcPr>
            <w:tcW w:w="758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36</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SIGNATURES</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data</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6"/>
              </w:rPr>
              <w:t>March 31, 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19,921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24,110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109,511</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12,686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171,304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161,338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86,578</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57,479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59,381</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205,439</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47,285</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568,228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562,195</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87,466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83,863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20,162</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Current portion of finance lease obligations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126,215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121,415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182,403</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Obligations under finance leases, net of current portion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9,752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Preferred stock, 10,000,000 shares authorized</w:t>
            </w:r>
          </w:p>
        </w:tc>
        <w:tc>
          <w:tcPr>
            <w:tcW w:w="2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9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0"/>
              </w:rPr>
              <w:t>Common stock, $0.01 par value, 200,000,000 shares authorized, 29,720,443 and 29,546,263 shares issued</w:t>
            </w:r>
          </w:p>
        </w:tc>
        <w:tc>
          <w:tcPr>
            <w:tcW w:w="2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outstanding</w:t>
            </w:r>
          </w:p>
        </w:tc>
        <w:tc>
          <w:tcPr>
            <w:tcW w:w="2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239,656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238,687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Mistras Group, Inc. stockholders’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197,085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200,912</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568,228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562,195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r>
      <w:tr>
        <w:trPr>
          <w:trHeight w:val="62"/>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153,735</w:t>
            </w: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115,758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108,243</w:t>
            </w: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40,001</w:t>
            </w: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39,639</w:t>
            </w: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Legal settlement and insurance recoveries,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engineering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3,074</w:t>
            </w: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Acquisition-related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(4,746)</w:t>
            </w: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Loss before benefit for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(7,959)</w:t>
            </w: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(5,359)</w:t>
            </w: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income attributable to noncontrolling interests, net of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Net Loss attributable to Mistras Group, Inc.</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Loss per common share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79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00" w:type="dxa"/>
            <w:vAlign w:val="bottom"/>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29,425</w:t>
            </w:r>
          </w:p>
        </w:tc>
      </w:tr>
      <w:tr>
        <w:trPr>
          <w:trHeight w:val="230"/>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29,425</w:t>
            </w: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7"/>
        </w:trPr>
        <w:tc>
          <w:tcPr>
            <w:tcW w:w="79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r>
      <w:tr>
        <w:trPr>
          <w:trHeight w:val="197"/>
        </w:trPr>
        <w:tc>
          <w:tcPr>
            <w:tcW w:w="79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(5,353)</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(5,359)</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(4,798)</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(5,951)</w:t>
            </w: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income attributable to noncontrolling interest</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900" w:type="dxa"/>
            <w:vAlign w:val="bottom"/>
          </w:tcPr>
          <w:p>
            <w:pPr>
              <w:ind w:left="20"/>
              <w:spacing w:after="0"/>
              <w:rPr>
                <w:sz w:val="20"/>
                <w:szCs w:val="20"/>
                <w:color w:val="auto"/>
              </w:rPr>
            </w:pPr>
            <w:r>
              <w:rPr>
                <w:rFonts w:ascii="Arial" w:cs="Arial" w:eastAsia="Arial" w:hAnsi="Arial"/>
                <w:sz w:val="18"/>
                <w:szCs w:val="18"/>
                <w:color w:val="auto"/>
              </w:rPr>
              <w:t>Comprehensive loss attributable to Mistras Group, Inc.</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(4,808)</w:t>
            </w:r>
          </w:p>
        </w:tc>
        <w:tc>
          <w:tcPr>
            <w:tcW w:w="100" w:type="dxa"/>
            <w:vAlign w:val="bottom"/>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(5,954)</w:t>
            </w:r>
          </w:p>
        </w:tc>
      </w:tr>
      <w:tr>
        <w:trPr>
          <w:trHeight w:val="20"/>
        </w:trPr>
        <w:tc>
          <w:tcPr>
            <w:tcW w:w="790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Mistras Group,</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68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4"/>
                <w:szCs w:val="4"/>
                <w:color w:val="auto"/>
              </w:rPr>
            </w:pPr>
          </w:p>
        </w:tc>
        <w:tc>
          <w:tcPr>
            <w:tcW w:w="880" w:type="dxa"/>
            <w:vAlign w:val="bottom"/>
            <w:vMerge w:val="restart"/>
          </w:tcPr>
          <w:p>
            <w:pPr>
              <w:jc w:val="right"/>
              <w:ind w:right="78"/>
              <w:spacing w:after="0" w:line="95"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Stockholders’</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Noncontrolling</w:t>
            </w: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line="20" w:lineRule="exact"/>
              <w:rPr>
                <w:sz w:val="1"/>
                <w:szCs w:val="1"/>
                <w:color w:val="auto"/>
              </w:rPr>
            </w:pPr>
          </w:p>
        </w:tc>
      </w:tr>
      <w:tr>
        <w:trPr>
          <w:trHeight w:val="170"/>
        </w:trPr>
        <w:tc>
          <w:tcPr>
            <w:tcW w:w="25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paid-in capital</w:t>
            </w:r>
          </w:p>
        </w:tc>
        <w:tc>
          <w:tcPr>
            <w:tcW w:w="120" w:type="dxa"/>
            <w:vAlign w:val="bottom"/>
          </w:tcPr>
          <w:p>
            <w:pPr>
              <w:spacing w:after="0"/>
              <w:rPr>
                <w:sz w:val="14"/>
                <w:szCs w:val="14"/>
                <w:color w:val="auto"/>
              </w:rPr>
            </w:pPr>
          </w:p>
        </w:tc>
        <w:tc>
          <w:tcPr>
            <w:tcW w:w="880" w:type="dxa"/>
            <w:vAlign w:val="bottom"/>
          </w:tcPr>
          <w:p>
            <w:pPr>
              <w:jc w:val="right"/>
              <w:ind w:right="278"/>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comprehensive loss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238,687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200,912</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(5,363)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(5,353)</w:t>
            </w: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1,515</w:t>
            </w: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0" w:type="dxa"/>
            <w:vAlign w:val="bottom"/>
          </w:tcPr>
          <w:p>
            <w:pPr>
              <w:spacing w:after="0"/>
              <w:rPr>
                <w:sz w:val="1"/>
                <w:szCs w:val="1"/>
                <w:color w:val="auto"/>
              </w:rPr>
            </w:pPr>
          </w:p>
        </w:tc>
      </w:tr>
      <w:tr>
        <w:trPr>
          <w:trHeight w:val="169"/>
        </w:trPr>
        <w:tc>
          <w:tcPr>
            <w:tcW w:w="250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29,720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239,656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(23,351)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(19,756)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196,846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197,085</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720" w:type="dxa"/>
            <w:vAlign w:val="bottom"/>
          </w:tcPr>
          <w:p>
            <w:pPr>
              <w:jc w:val="right"/>
              <w:spacing w:after="0"/>
              <w:rPr>
                <w:sz w:val="20"/>
                <w:szCs w:val="20"/>
                <w:color w:val="auto"/>
              </w:rPr>
            </w:pPr>
            <w:r>
              <w:rPr>
                <w:rFonts w:ascii="Arial" w:cs="Arial" w:eastAsia="Arial" w:hAnsi="Arial"/>
                <w:sz w:val="13"/>
                <w:szCs w:val="13"/>
                <w:color w:val="auto"/>
              </w:rPr>
              <w:t>29,234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234,638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(21,848)</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(16,061)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197,021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197,219</w:t>
            </w: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(5,359)</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rPr>
                <w:sz w:val="20"/>
                <w:szCs w:val="20"/>
                <w:color w:val="auto"/>
              </w:rPr>
            </w:pPr>
            <w:r>
              <w:rPr>
                <w:rFonts w:ascii="Arial" w:cs="Arial" w:eastAsia="Arial" w:hAnsi="Arial"/>
                <w:sz w:val="13"/>
                <w:szCs w:val="13"/>
                <w:color w:val="auto"/>
              </w:rPr>
              <w:t>Other comprehensive loss, net of tax</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0" w:type="dxa"/>
            <w:vAlign w:val="bottom"/>
          </w:tcPr>
          <w:p>
            <w:pPr>
              <w:spacing w:after="0"/>
              <w:rPr>
                <w:sz w:val="1"/>
                <w:szCs w:val="1"/>
                <w:color w:val="auto"/>
              </w:rPr>
            </w:pPr>
          </w:p>
        </w:tc>
      </w:tr>
      <w:tr>
        <w:trPr>
          <w:trHeight w:val="169"/>
        </w:trPr>
        <w:tc>
          <w:tcPr>
            <w:tcW w:w="2500" w:type="dxa"/>
            <w:vAlign w:val="bottom"/>
          </w:tcPr>
          <w:p>
            <w:pPr>
              <w:ind w:left="20"/>
              <w:spacing w:after="0"/>
              <w:rPr>
                <w:sz w:val="20"/>
                <w:szCs w:val="20"/>
                <w:color w:val="auto"/>
              </w:rPr>
            </w:pPr>
            <w:r>
              <w:rPr>
                <w:rFonts w:ascii="Arial" w:cs="Arial" w:eastAsia="Arial" w:hAnsi="Arial"/>
                <w:sz w:val="13"/>
                <w:szCs w:val="13"/>
                <w:color w:val="auto"/>
              </w:rPr>
              <w:t>Net settlement of restricted stock units</w:t>
            </w:r>
          </w:p>
        </w:tc>
        <w:tc>
          <w:tcPr>
            <w:tcW w:w="720" w:type="dxa"/>
            <w:vAlign w:val="bottom"/>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(486)</w:t>
            </w:r>
          </w:p>
        </w:tc>
        <w:tc>
          <w:tcPr>
            <w:tcW w:w="0" w:type="dxa"/>
            <w:vAlign w:val="bottom"/>
          </w:tcPr>
          <w:p>
            <w:pPr>
              <w:spacing w:after="0"/>
              <w:rPr>
                <w:sz w:val="1"/>
                <w:szCs w:val="1"/>
                <w:color w:val="auto"/>
              </w:rPr>
            </w:pPr>
          </w:p>
        </w:tc>
      </w:tr>
      <w:tr>
        <w:trPr>
          <w:trHeight w:val="201"/>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235,413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191,843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192,044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6"/>
        </w:trPr>
        <w:tc>
          <w:tcPr>
            <w:tcW w:w="78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0"/>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(5,359)</w:t>
            </w:r>
          </w:p>
        </w:tc>
        <w:tc>
          <w:tcPr>
            <w:tcW w:w="40" w:type="dxa"/>
            <w:vAlign w:val="bottom"/>
          </w:tcPr>
          <w:p>
            <w:pPr>
              <w:spacing w:after="0"/>
              <w:rPr>
                <w:sz w:val="16"/>
                <w:szCs w:val="16"/>
                <w:color w:val="auto"/>
              </w:rPr>
            </w:pPr>
          </w:p>
        </w:tc>
      </w:tr>
      <w:tr>
        <w:trPr>
          <w:trHeight w:val="186"/>
        </w:trPr>
        <w:tc>
          <w:tcPr>
            <w:tcW w:w="788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8,807</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8,565</w:t>
            </w:r>
          </w:p>
        </w:tc>
        <w:tc>
          <w:tcPr>
            <w:tcW w:w="40" w:type="dxa"/>
            <w:vAlign w:val="bottom"/>
          </w:tcPr>
          <w:p>
            <w:pPr>
              <w:spacing w:after="0"/>
              <w:rPr>
                <w:sz w:val="16"/>
                <w:szCs w:val="16"/>
                <w:color w:val="auto"/>
              </w:rPr>
            </w:pP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866</w:t>
            </w:r>
          </w:p>
        </w:tc>
        <w:tc>
          <w:tcPr>
            <w:tcW w:w="4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w:t>
            </w:r>
          </w:p>
        </w:tc>
        <w:tc>
          <w:tcPr>
            <w:tcW w:w="40" w:type="dxa"/>
            <w:vAlign w:val="bottom"/>
          </w:tcPr>
          <w:p>
            <w:pPr>
              <w:spacing w:after="0"/>
              <w:rPr>
                <w:sz w:val="16"/>
                <w:szCs w:val="16"/>
                <w:color w:val="auto"/>
              </w:rPr>
            </w:pP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Fair value adjustments to contingent consideration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243</w:t>
            </w:r>
          </w:p>
        </w:tc>
        <w:tc>
          <w:tcPr>
            <w:tcW w:w="4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loss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40" w:type="dxa"/>
            <w:vAlign w:val="bottom"/>
          </w:tcPr>
          <w:p>
            <w:pPr>
              <w:spacing w:after="0"/>
              <w:rPr>
                <w:sz w:val="16"/>
                <w:szCs w:val="16"/>
                <w:color w:val="auto"/>
              </w:rPr>
            </w:pP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Other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w:t>
            </w:r>
          </w:p>
        </w:tc>
        <w:tc>
          <w:tcPr>
            <w:tcW w:w="40" w:type="dxa"/>
            <w:vAlign w:val="bottom"/>
          </w:tcPr>
          <w:p>
            <w:pPr>
              <w:spacing w:after="0"/>
              <w:rPr>
                <w:sz w:val="16"/>
                <w:szCs w:val="16"/>
                <w:color w:val="auto"/>
              </w:rPr>
            </w:pPr>
          </w:p>
        </w:tc>
      </w:tr>
      <w:tr>
        <w:trPr>
          <w:trHeight w:val="19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 net of effect of acquisitions and dispositions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(17,831)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(5,417)</w:t>
            </w:r>
          </w:p>
        </w:tc>
        <w:tc>
          <w:tcPr>
            <w:tcW w:w="4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40" w:type="dxa"/>
            <w:vAlign w:val="bottom"/>
          </w:tcPr>
          <w:p>
            <w:pPr>
              <w:spacing w:after="0"/>
              <w:rPr>
                <w:sz w:val="16"/>
                <w:szCs w:val="16"/>
                <w:color w:val="auto"/>
              </w:rPr>
            </w:pP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Prepaid expenses and other assets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3,421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(4,944)</w:t>
            </w:r>
          </w:p>
        </w:tc>
        <w:tc>
          <w:tcPr>
            <w:tcW w:w="4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40" w:type="dxa"/>
            <w:vAlign w:val="bottom"/>
          </w:tcPr>
          <w:p>
            <w:pPr>
              <w:spacing w:after="0"/>
              <w:rPr>
                <w:sz w:val="16"/>
                <w:szCs w:val="16"/>
                <w:color w:val="auto"/>
              </w:rPr>
            </w:pP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3,605</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6,881</w:t>
            </w:r>
          </w:p>
        </w:tc>
        <w:tc>
          <w:tcPr>
            <w:tcW w:w="4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40" w:type="dxa"/>
            <w:vAlign w:val="bottom"/>
          </w:tcPr>
          <w:p>
            <w:pPr>
              <w:spacing w:after="0"/>
              <w:rPr>
                <w:sz w:val="16"/>
                <w:szCs w:val="16"/>
                <w:color w:val="auto"/>
              </w:rPr>
            </w:pP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Payment of contingent consideration liability in excess of acquisition-date fair value</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3,148</w:t>
            </w:r>
          </w:p>
        </w:tc>
        <w:tc>
          <w:tcPr>
            <w:tcW w:w="40" w:type="dxa"/>
            <w:vAlign w:val="bottom"/>
          </w:tcPr>
          <w:p>
            <w:pPr>
              <w:spacing w:after="0"/>
              <w:rPr>
                <w:sz w:val="16"/>
                <w:szCs w:val="16"/>
                <w:color w:val="auto"/>
              </w:rPr>
            </w:pPr>
          </w:p>
        </w:tc>
      </w:tr>
      <w:tr>
        <w:trPr>
          <w:trHeight w:val="188"/>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property, plant and equipment</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(4,003)</w:t>
            </w:r>
          </w:p>
        </w:tc>
        <w:tc>
          <w:tcPr>
            <w:tcW w:w="40" w:type="dxa"/>
            <w:vAlign w:val="bottom"/>
          </w:tcPr>
          <w:p>
            <w:pPr>
              <w:spacing w:after="0"/>
              <w:rPr>
                <w:sz w:val="16"/>
                <w:szCs w:val="16"/>
                <w:color w:val="auto"/>
              </w:rPr>
            </w:pP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Purchase of intangible assets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w:t>
            </w:r>
          </w:p>
        </w:tc>
        <w:tc>
          <w:tcPr>
            <w:tcW w:w="4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business, net of cash acquired</w:t>
            </w:r>
          </w:p>
        </w:tc>
        <w:tc>
          <w:tcPr>
            <w:tcW w:w="10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40" w:type="dxa"/>
            <w:vAlign w:val="bottom"/>
          </w:tcPr>
          <w:p>
            <w:pPr>
              <w:spacing w:after="0"/>
              <w:rPr>
                <w:sz w:val="16"/>
                <w:szCs w:val="16"/>
                <w:color w:val="auto"/>
              </w:rPr>
            </w:pP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Proceeds from sale of equipment</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40" w:type="dxa"/>
            <w:vAlign w:val="bottom"/>
          </w:tcPr>
          <w:p>
            <w:pPr>
              <w:spacing w:after="0"/>
              <w:rPr>
                <w:sz w:val="16"/>
                <w:szCs w:val="16"/>
                <w:color w:val="auto"/>
              </w:rPr>
            </w:pP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w:t>
            </w:r>
          </w:p>
        </w:tc>
        <w:tc>
          <w:tcPr>
            <w:tcW w:w="40" w:type="dxa"/>
            <w:vAlign w:val="bottom"/>
          </w:tcPr>
          <w:p>
            <w:pPr>
              <w:spacing w:after="0"/>
              <w:rPr>
                <w:sz w:val="16"/>
                <w:szCs w:val="16"/>
                <w:color w:val="auto"/>
              </w:rPr>
            </w:pPr>
          </w:p>
        </w:tc>
      </w:tr>
      <w:tr>
        <w:trPr>
          <w:trHeight w:val="188"/>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finance lease obligations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40" w:type="dxa"/>
            <w:vAlign w:val="bottom"/>
          </w:tcPr>
          <w:p>
            <w:pPr>
              <w:spacing w:after="0"/>
              <w:rPr>
                <w:sz w:val="16"/>
                <w:szCs w:val="16"/>
                <w:color w:val="auto"/>
              </w:rPr>
            </w:pP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Repayment of long-term debt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(4,152)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(2,323)</w:t>
            </w:r>
          </w:p>
        </w:tc>
        <w:tc>
          <w:tcPr>
            <w:tcW w:w="4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revolver</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23,000</w:t>
            </w:r>
          </w:p>
        </w:tc>
        <w:tc>
          <w:tcPr>
            <w:tcW w:w="40" w:type="dxa"/>
            <w:vAlign w:val="bottom"/>
          </w:tcPr>
          <w:p>
            <w:pPr>
              <w:spacing w:after="0"/>
              <w:rPr>
                <w:sz w:val="16"/>
                <w:szCs w:val="16"/>
                <w:color w:val="auto"/>
              </w:rPr>
            </w:pP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Repayment of revolver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(15,500)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(17,750)</w:t>
            </w:r>
          </w:p>
        </w:tc>
        <w:tc>
          <w:tcPr>
            <w:tcW w:w="4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contingent consideration for business acquisitions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40" w:type="dxa"/>
            <w:vAlign w:val="bottom"/>
          </w:tcPr>
          <w:p>
            <w:pPr>
              <w:spacing w:after="0"/>
              <w:rPr>
                <w:sz w:val="16"/>
                <w:szCs w:val="16"/>
                <w:color w:val="auto"/>
              </w:rPr>
            </w:pP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Taxes paid related to net share settlement of share-based awards</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40" w:type="dxa"/>
            <w:vAlign w:val="bottom"/>
          </w:tcPr>
          <w:p>
            <w:pPr>
              <w:spacing w:after="0"/>
              <w:rPr>
                <w:sz w:val="16"/>
                <w:szCs w:val="16"/>
                <w:color w:val="auto"/>
              </w:rPr>
            </w:pP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4,323</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40" w:type="dxa"/>
            <w:vAlign w:val="bottom"/>
          </w:tcPr>
          <w:p>
            <w:pPr>
              <w:spacing w:after="0"/>
              <w:rPr>
                <w:sz w:val="16"/>
                <w:szCs w:val="16"/>
                <w:color w:val="auto"/>
              </w:rPr>
            </w:pP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Effect of exchange rate changes on cash and cash equivalents</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w:t>
            </w:r>
          </w:p>
        </w:tc>
        <w:tc>
          <w:tcPr>
            <w:tcW w:w="40" w:type="dxa"/>
            <w:vAlign w:val="bottom"/>
          </w:tcPr>
          <w:p>
            <w:pPr>
              <w:spacing w:after="0"/>
              <w:rPr>
                <w:sz w:val="16"/>
                <w:szCs w:val="16"/>
                <w:color w:val="auto"/>
              </w:rPr>
            </w:pP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40" w:type="dxa"/>
            <w:vAlign w:val="bottom"/>
          </w:tcPr>
          <w:p>
            <w:pPr>
              <w:spacing w:after="0"/>
              <w:rPr>
                <w:sz w:val="16"/>
                <w:szCs w:val="16"/>
                <w:color w:val="auto"/>
              </w:rPr>
            </w:pPr>
          </w:p>
        </w:tc>
      </w:tr>
      <w:tr>
        <w:trPr>
          <w:trHeight w:val="18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24,110</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25,760</w:t>
            </w:r>
          </w:p>
        </w:tc>
        <w:tc>
          <w:tcPr>
            <w:tcW w:w="40" w:type="dxa"/>
            <w:vAlign w:val="bottom"/>
          </w:tcPr>
          <w:p>
            <w:pPr>
              <w:spacing w:after="0"/>
              <w:rPr>
                <w:sz w:val="16"/>
                <w:szCs w:val="16"/>
                <w:color w:val="auto"/>
              </w:rPr>
            </w:pP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19,921</w:t>
            </w: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24,177</w:t>
            </w:r>
          </w:p>
        </w:tc>
        <w:tc>
          <w:tcPr>
            <w:tcW w:w="40" w:type="dxa"/>
            <w:vAlign w:val="bottom"/>
          </w:tcPr>
          <w:p>
            <w:pPr>
              <w:spacing w:after="0"/>
              <w:rPr>
                <w:sz w:val="16"/>
                <w:szCs w:val="16"/>
                <w:color w:val="auto"/>
              </w:rPr>
            </w:pPr>
          </w:p>
        </w:tc>
      </w:tr>
      <w:tr>
        <w:trPr>
          <w:trHeight w:val="176"/>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paid (received)</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5"/>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net</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2,916</w:t>
            </w:r>
          </w:p>
        </w:tc>
        <w:tc>
          <w:tcPr>
            <w:tcW w:w="40" w:type="dxa"/>
            <w:vAlign w:val="bottom"/>
          </w:tcPr>
          <w:p>
            <w:pPr>
              <w:spacing w:after="0"/>
              <w:rPr>
                <w:sz w:val="16"/>
                <w:szCs w:val="16"/>
                <w:color w:val="auto"/>
              </w:rPr>
            </w:pP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Income taxes, net of refunds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(4,661)</w:t>
            </w:r>
          </w:p>
        </w:tc>
        <w:tc>
          <w:tcPr>
            <w:tcW w:w="12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2,877</w:t>
            </w:r>
          </w:p>
        </w:tc>
        <w:tc>
          <w:tcPr>
            <w:tcW w:w="40" w:type="dxa"/>
            <w:vAlign w:val="bottom"/>
          </w:tcPr>
          <w:p>
            <w:pPr>
              <w:spacing w:after="0"/>
              <w:rPr>
                <w:sz w:val="16"/>
                <w:szCs w:val="16"/>
                <w:color w:val="auto"/>
              </w:rPr>
            </w:pPr>
          </w:p>
        </w:tc>
      </w:tr>
      <w:tr>
        <w:trPr>
          <w:trHeight w:val="19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97"/>
        </w:trPr>
        <w:tc>
          <w:tcPr>
            <w:tcW w:w="7880" w:type="dxa"/>
            <w:vAlign w:val="bottom"/>
          </w:tcPr>
          <w:p>
            <w:pPr>
              <w:ind w:left="140"/>
              <w:spacing w:after="0"/>
              <w:rPr>
                <w:sz w:val="20"/>
                <w:szCs w:val="20"/>
                <w:color w:val="auto"/>
              </w:rPr>
            </w:pPr>
            <w:r>
              <w:rPr>
                <w:rFonts w:ascii="Arial" w:cs="Arial" w:eastAsia="Arial" w:hAnsi="Arial"/>
                <w:sz w:val="14"/>
                <w:szCs w:val="14"/>
                <w:color w:val="auto"/>
              </w:rPr>
              <w:t>Equipment acquired through finance lease obligations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848</w:t>
            </w:r>
          </w:p>
        </w:tc>
        <w:tc>
          <w:tcPr>
            <w:tcW w:w="120" w:type="dxa"/>
            <w:vAlign w:val="bottom"/>
          </w:tcPr>
          <w:p>
            <w:pPr>
              <w:spacing w:after="0"/>
              <w:rPr>
                <w:sz w:val="24"/>
                <w:szCs w:val="24"/>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643</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Mistras Group, Inc. and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COVID-19 coronavirus (COVID-19) pandemic has continued to cause disruption and volatility in domestic and international markets although conditions continue to improve during 2022 as compared to 2021. The Company's businesses have been classified as non-healthcare critical infrastructure as defined by the U.S. Centers for Disease Control and Prevention (CDC). Our facilities, and the Company's customers facilities as well, have remained open with staffing modifications and precautionary procedures taken as necessary.</w:t>
      </w:r>
    </w:p>
    <w:p>
      <w:pPr>
        <w:spacing w:after="0" w:line="21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Overall, the Company has taken actions to help ensure the health and safety of Company employees and those of its customers and suppliers; maintain business continuity and financial strength and stability; and serve customers as they provide essential products and services to the world.</w:t>
      </w:r>
    </w:p>
    <w:p>
      <w:pPr>
        <w:spacing w:after="0" w:line="15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COVID-19 pandemic uncertainty, significant volatility in oil prices, and decreased traffic in the aerospace industry have adversely affected the operations of the Company's customers, suppliers and contractors beginning in the first quarter of 2020, and as a consequence, the Company's results of operations, were adversely impacted. These negative factors continue to cause volatility and uncertainty in the markets in which the Company operates, although the Company in 2022 has nevertheless begun approaching pre-pandemic levels of activity in certain end markets, particularly oil and gas where crude oil prices have exceeded pre-pandemic levels.</w:t>
      </w:r>
    </w:p>
    <w:p>
      <w:pPr>
        <w:spacing w:after="0" w:line="2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has eliminated substantially all of the cost reduction initiatives undertaken in 2020, including re-installment of the savings plan employer match and increasing wages back to pre-pandemic amounts.</w:t>
      </w:r>
    </w:p>
    <w:p>
      <w:pPr>
        <w:spacing w:after="0" w:line="198"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The Company is currently unable to predict with certainty the overall impact that the factors discussed above and the effect of the Russian-Ukrainian conflict may have on its business, results of operations or liquidity or in other ways which the Company cannot yet determine. To date, the Company's European operations have begun to see increased costs associated with higher energy costs, among others, due in part to the on-going conflict. The Company will continue to monitor market conditions and respond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years ending December 31, 2022 and December 31, 2021.</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2021 Annual Report on Form 10-K ("2021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Loss. All significant intercompany accounts and transactions have been eliminated in consolidation. The results of operations of companies acquired are included from the date of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three months ended March 31, 2022 and 2021, no customer represented 10% or more of the Company's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significant accounting policies are disclosed in Note 1–</w:t>
      </w:r>
      <w:r>
        <w:rPr>
          <w:rFonts w:ascii="Arial" w:cs="Arial" w:eastAsia="Arial" w:hAnsi="Arial"/>
          <w:sz w:val="18"/>
          <w:szCs w:val="18"/>
          <w:b w:val="1"/>
          <w:bCs w:val="1"/>
          <w:i w:val="1"/>
          <w:iCs w:val="1"/>
          <w:color w:val="auto"/>
        </w:rPr>
        <w:t>Summary of Significant Accounting Policies and Practices</w:t>
      </w:r>
      <w:r>
        <w:rPr>
          <w:rFonts w:ascii="Arial" w:cs="Arial" w:eastAsia="Arial" w:hAnsi="Arial"/>
          <w:sz w:val="18"/>
          <w:szCs w:val="18"/>
          <w:color w:val="auto"/>
        </w:rPr>
        <w:t xml:space="preserve"> in the 2021 Annual Report. On an ongoing basis, the Company evaluates its estimates and assumptions, including among other things, those related to revenue recognition, long-lived assets, goodwill and acquisitions. Since the date of the 2021 Annual Report, there have been no material changes to the Company's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2022, management concluded that it is more likely than not that a substantial portion of the Company's deferred tax assets will be realized.</w:t>
      </w:r>
    </w:p>
    <w:p>
      <w:pPr>
        <w:spacing w:after="0" w:line="27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effective income tax rate was approximately 19.3% and 32.7% for the three months ended March 31, 2022 and 2021, respectively. The effective income tax rate benefit for the three months ended March 31, 2022 was lower than the statutory rate primarily due to the impact of an unfavorable discrete item related to stock compensation. The effective income tax rate for the three months ended March 31, 2021 was higher than the statutory rate due to the capitalization of certain non-US intercompany balances which resulted in a deductible foreign exchange loss in the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March 2020 and updated in January 2021, the FASB issued ASU 2020-04 and 2021-01,</w:t>
      </w:r>
      <w:r>
        <w:rPr>
          <w:rFonts w:ascii="Arial" w:cs="Arial" w:eastAsia="Arial" w:hAnsi="Arial"/>
          <w:sz w:val="16"/>
          <w:szCs w:val="16"/>
          <w:i w:val="1"/>
          <w:iCs w:val="1"/>
          <w:color w:val="auto"/>
        </w:rPr>
        <w:t>“Reference Rate Reform (Topic 848): Facilitation of the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Reference Rate Reform on Financial Reporting.” </w:t>
      </w:r>
      <w:r>
        <w:rPr>
          <w:rFonts w:ascii="Arial" w:cs="Arial" w:eastAsia="Arial" w:hAnsi="Arial"/>
          <w:sz w:val="16"/>
          <w:szCs w:val="16"/>
          <w:color w:val="auto"/>
        </w:rPr>
        <w:t>The amendments provide optional guidance for a limited period of time to ease the potential burden in</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(or recognizing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2022. The Company is currently evaluating applicable contracts and the available expedients provided by the new guidance.</w:t>
      </w:r>
    </w:p>
    <w:p>
      <w:pPr>
        <w:spacing w:after="0" w:line="1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March 31, 2022</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94,223</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20,070</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15,037</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7,229</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13,812</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5,442</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Petrochemical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(2,358)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(2,358)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161,662</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87,212</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16,175</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8,271</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8,069</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Petrochemical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(1,199)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153,735</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March 31, 2022</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114,804</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18,800</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26,320</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161,662</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21"/>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105,823</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20,059</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26,036</w:t>
            </w:r>
          </w:p>
        </w:tc>
      </w:tr>
      <w:tr>
        <w:trPr>
          <w:trHeight w:val="229"/>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153,735</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19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Revenue recognized during the three months ended March 31, 2022 and 2021 that was included in the contract liability balance at the beginning of such year was $2.2 million and $1.9 million for each period. Changes in the contract asset and liability balances during these periods were not materially impacted by any other factors. The Company applies a practical expedient to expense incremental costs incurred related to obtaining a contract. The Company’s expenses are expected to be amortized over a period less than one year.</w:t>
      </w: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Share-Based Compensation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share-based incentive awards outstanding to its eligible employees and non-employee directors under two equity incentive plans: (i) the 2009 Long-Term Incentive Plan (the "2009 Plan") and (ii) the 2016 Long-Term Incentive Plan (the "2016 Plan"). No further awards may be granted under the 2009 Plan, and the remaining stock option award granted under the 2009 Plan expired during the three months ended March 31, 2022. Awards granted under the 2016 Plan may be in the form of stock options, restricted stock units and other forms of share-based incentives, including performance restricted stock units, stock appreciation rights and deferred stock rights. At the annual shareholders meeting on May 19, 2020, the Company’s shareholders approved an amendment to increase the total number of shares that may be issued under the 2016 Plan by 2.0 million, for a total of 3.7 million shares that are authorized for issuance under the 2016 Plan, of which 383,743 shares were available for future grants as of March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each of the three months ended March 31, 2022 and 2021, the Company did not recognize any share-based compensation expense related to the stock option award, as the one outstanding stock option award was already fully vested. No unrecognized compensation costs remained related to the stock option award as of March 31, 2022.</w:t>
      </w:r>
    </w:p>
    <w:p>
      <w:pPr>
        <w:spacing w:after="0" w:line="21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following table sets forth a summary of the stock option activity, weighted-average exercise prices and options outstanding as of March 31, 2022 and 2021:</w:t>
      </w:r>
    </w:p>
    <w:p>
      <w:pPr>
        <w:ind w:left="700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16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5"/>
              </w:rPr>
              <w:t>Common</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1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2"/>
              </w:rPr>
              <w:t>Common</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24"/>
              <w:spacing w:after="0" w:line="135"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16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04"/>
              <w:spacing w:after="0" w:line="135"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4"/>
              </w:rPr>
              <w:t>Options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0"/>
              </w:rPr>
              <w:t>Options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30"/>
        </w:trPr>
        <w:tc>
          <w:tcPr>
            <w:tcW w:w="59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64"/>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126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or forfeited</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gridSpan w:val="2"/>
          </w:tcPr>
          <w:p>
            <w:pPr>
              <w:jc w:val="right"/>
              <w:ind w:right="86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8"/>
              </w:rPr>
              <w:t>22.35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For the three months ended March 31, 2022 and March 31, 2021, the Company recognized share-based compensation expense related to restricted stock unit awards of $0.9 million and $0.9 million, respectively. As of March 31, 2022, there was $9.6 million of unrecognized compensation costs, net of estimated forfeitures, related to restricted stock unit awards, which is expected to be recognized over a remaining weighted-average period of 3.1 years. Upon vesting, restricted stock units are generally net share-settled to cover the required withholding tax and the remaining amount is converted into an equivalent number of shares of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6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6"/>
              </w:rPr>
              <w:t>Three months ended March 31,</w:t>
            </w:r>
          </w:p>
        </w:tc>
        <w:tc>
          <w:tcPr>
            <w:tcW w:w="54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 vested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Fair value of awards vested</w:t>
            </w: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1,189</w:t>
            </w:r>
          </w:p>
        </w:tc>
      </w:tr>
    </w:tbl>
    <w:p>
      <w:pPr>
        <w:spacing w:after="0" w:line="322" w:lineRule="exact"/>
        <w:rPr>
          <w:sz w:val="20"/>
          <w:szCs w:val="20"/>
          <w:color w:val="auto"/>
        </w:rPr>
      </w:pPr>
    </w:p>
    <w:p>
      <w:pPr>
        <w:ind w:right="700"/>
        <w:spacing w:after="0" w:line="269" w:lineRule="auto"/>
        <w:rPr>
          <w:sz w:val="20"/>
          <w:szCs w:val="20"/>
          <w:color w:val="auto"/>
        </w:rPr>
      </w:pPr>
      <w:r>
        <w:rPr>
          <w:rFonts w:ascii="Arial" w:cs="Arial" w:eastAsia="Arial" w:hAnsi="Arial"/>
          <w:sz w:val="18"/>
          <w:szCs w:val="18"/>
          <w:color w:val="auto"/>
        </w:rPr>
        <w:t>A summary of the fully-vested common stock the Company issued to its six non-employee directors, in connection with its non-employee director compensation plan, is as follows:</w:t>
      </w: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issued</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Grant date fair value of awards issued</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ind w:right="78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20"/>
                <w:szCs w:val="20"/>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6620" w:type="dxa"/>
            <w:vAlign w:val="bottom"/>
            <w:gridSpan w:val="4"/>
          </w:tcPr>
          <w:p>
            <w:pPr>
              <w:spacing w:after="0"/>
              <w:rPr>
                <w:sz w:val="20"/>
                <w:szCs w:val="20"/>
                <w:color w:val="auto"/>
              </w:rPr>
            </w:pPr>
            <w:r>
              <w:rPr>
                <w:rFonts w:ascii="Arial" w:cs="Arial" w:eastAsia="Arial" w:hAnsi="Arial"/>
                <w:sz w:val="18"/>
                <w:szCs w:val="18"/>
                <w:color w:val="auto"/>
                <w:w w:val="92"/>
              </w:rPr>
              <w:t>A summary of the Company's outstanding, non-vested restricted share units is as follows: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9"/>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center"/>
              <w:ind w:right="178"/>
              <w:spacing w:after="0" w:line="130"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9"/>
              </w:rPr>
              <w:t>Grant-Date</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Units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6"/>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beginning of period:</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Released</w:t>
            </w:r>
          </w:p>
        </w:tc>
        <w:tc>
          <w:tcPr>
            <w:tcW w:w="1540" w:type="dxa"/>
            <w:vAlign w:val="bottom"/>
          </w:tcPr>
          <w:p>
            <w:pPr>
              <w:jc w:val="right"/>
              <w:spacing w:after="0"/>
              <w:rPr>
                <w:sz w:val="20"/>
                <w:szCs w:val="20"/>
                <w:color w:val="auto"/>
              </w:rPr>
            </w:pPr>
            <w:r>
              <w:rPr>
                <w:rFonts w:ascii="Arial" w:cs="Arial" w:eastAsia="Arial" w:hAnsi="Arial"/>
                <w:sz w:val="18"/>
                <w:szCs w:val="18"/>
                <w:color w:val="auto"/>
              </w:rPr>
              <w:t>(226)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end of period: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1,474</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5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w:t>
      </w:r>
    </w:p>
    <w:p>
      <w:pPr>
        <w:spacing w:after="0" w:line="20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2021, the Compensation Committee made changes to the Company’s equity incentive compensation plan for its executive officers and approved the new target awards for 2021. For 2021, the three metrics were:</w:t>
      </w:r>
    </w:p>
    <w:p>
      <w:pPr>
        <w:spacing w:after="0" w:line="1" w:lineRule="exact"/>
        <w:rPr>
          <w:sz w:val="20"/>
          <w:szCs w:val="20"/>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net cash provided by operating activities less purchases of property, plant, equipment and intangible assets and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approved by the Compensation Committee.</w:t>
      </w:r>
    </w:p>
    <w:p>
      <w:pPr>
        <w:jc w:val="both"/>
        <w:ind w:left="660" w:hanging="328"/>
        <w:spacing w:after="0" w:line="281"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defined as net income attributable to the Company plus: interest expense, provision for income taxes,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Arial" w:cs="Arial" w:eastAsia="Arial" w:hAnsi="Arial"/>
          <w:sz w:val="16"/>
          <w:szCs w:val="16"/>
          <w:i w:val="1"/>
          <w:iCs w:val="1"/>
          <w:color w:val="auto"/>
        </w:rPr>
      </w:pP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Total Shareholder Return (TSR) </w:t>
      </w:r>
      <w:r>
        <w:rPr>
          <w:rFonts w:ascii="Arial" w:cs="Arial" w:eastAsia="Arial" w:hAnsi="Arial"/>
          <w:sz w:val="18"/>
          <w:szCs w:val="18"/>
          <w:color w:val="auto"/>
        </w:rPr>
        <w:t>measures the total return to shareholders of the Company during 2021 versus the total return to the shareholders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a predefined peer group of companies that provide inspection, testing, certification or similar industrial services. The return will be measured by the year over year percent change in share price. The share prices used to calculate the return are the average share price during the 20-trading day period ending on the initial</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measurement date (the last 20 trading days of 2020), compared to the average share price during the 20-trading day period ending on the final measurement date (the last 20 trading days of 2021). Any cash dividends or distributions paid in 2021 will be added to calculate the return to shareholders during the year. TSR is considered a market condition for which the fair value of PRSUs with this condition is determined using a Monte Carlo valuation model. Key assumptions in the Monte Carlo valuation model included:</w:t>
      </w:r>
    </w:p>
    <w:p>
      <w:pPr>
        <w:spacing w:after="0" w:line="2" w:lineRule="exact"/>
        <w:rPr>
          <w:sz w:val="20"/>
          <w:szCs w:val="20"/>
          <w:color w:val="auto"/>
        </w:rPr>
      </w:pPr>
    </w:p>
    <w:p>
      <w:pPr>
        <w:ind w:left="1300" w:right="20" w:hanging="320"/>
        <w:spacing w:after="0" w:line="250" w:lineRule="auto"/>
        <w:tabs>
          <w:tab w:leader="none" w:pos="129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Expected volatility of the Company’s common stock at the date of grant was estimated based on a historical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rate for the approximate 1-year performance period.</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dividend yield assumption was based on historical and anticipated dividend payouts (assumed at zero).</w:t>
      </w:r>
    </w:p>
    <w:p>
      <w:pPr>
        <w:spacing w:after="0" w:line="9" w:lineRule="exact"/>
        <w:rPr>
          <w:rFonts w:ascii="Arial" w:cs="Arial" w:eastAsia="Arial" w:hAnsi="Arial"/>
          <w:sz w:val="18"/>
          <w:szCs w:val="18"/>
          <w:color w:val="auto"/>
        </w:rPr>
      </w:pPr>
    </w:p>
    <w:p>
      <w:pPr>
        <w:ind w:left="1300" w:hanging="320"/>
        <w:spacing w:after="0" w:line="260" w:lineRule="auto"/>
        <w:tabs>
          <w:tab w:leader="none" w:pos="129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observed interest rates consistent with the approximate 1-year performance measurement period.</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2022, the Compensation Committee retained the Company's prior year equity incentive compensation plan for its executive officers including utilizing the same metrics, as defined above, and approved the new target awards for 2022.</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Compensation costs related to the PRSUs are subsequently adjusted for changes in the expected outcomes of the performance conditions. Compensation cost related to the PRSUs with a market condition is not reversed if the market condition is not achieved, provided the employee requisite service has been rendered. PRSUs generally vest ratably on each of the first four anniversary dates upon completion of the performance period, for a total requisite service period of up to five years and have no dividend rights.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as follows:</w:t>
      </w:r>
    </w:p>
    <w:p>
      <w:pPr>
        <w:spacing w:after="0" w:line="41"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7"/>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Units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9"/>
              </w:rPr>
              <w:t>Grant-Date</w:t>
            </w:r>
          </w:p>
        </w:tc>
        <w:tc>
          <w:tcPr>
            <w:tcW w:w="15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7"/>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beginning of period:</w:t>
            </w:r>
          </w:p>
        </w:tc>
        <w:tc>
          <w:tcPr>
            <w:tcW w:w="10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40"/>
              <w:spacing w:after="0"/>
              <w:rPr>
                <w:sz w:val="20"/>
                <w:szCs w:val="20"/>
                <w:color w:val="auto"/>
              </w:rPr>
            </w:pPr>
            <w:r>
              <w:rPr>
                <w:rFonts w:ascii="Arial" w:cs="Arial" w:eastAsia="Arial" w:hAnsi="Arial"/>
                <w:sz w:val="18"/>
                <w:szCs w:val="18"/>
                <w:color w:val="auto"/>
              </w:rPr>
              <w:t>Performance condition adjustments</w:t>
            </w: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During the three months ended March 31, 2022 and March 31, 2021, the Compensation Committee approved the final calculation of the award metrics for calendar year 2021 and 2020, respectively. As a result, the calendar year 2022 PRSUs decreased by approximately 56,000 units as a result of the final calculation of award metrics.</w:t>
      </w:r>
    </w:p>
    <w:p>
      <w:pPr>
        <w:spacing w:after="0" w:line="2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months ended March 31, 2022 and March 31, 2021, the Company recognized aggregate share-based compensation expense related to the awards described above of approximately $0.3 million and $0.1 million, respectively. At March 31, 2022, there was $2.6 million of total unrecognized compensation costs related to approximately 656,000 non-vested PRSUs, which is expected to be recognized over a remaining weighted-average period of 2.5 years.</w:t>
      </w: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(loss) per Share</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Basic earnings (loss) per share is computed by dividing net loss by the weighted-average number of shares outstanding during the period. Diluted earnings per share is computed by dividing net loss by the sum of (1) the weighted-average number of shares of common stock outstanding during the period, and</w:t>
      </w:r>
    </w:p>
    <w:p>
      <w:pPr>
        <w:ind w:right="20" w:firstLine="8"/>
        <w:spacing w:after="0" w:line="277"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loss per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5"/>
        </w:trPr>
        <w:tc>
          <w:tcPr>
            <w:tcW w:w="8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loss per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attributable to Mistras Group, Inc.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Basic loss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6"/>
        </w:trPr>
        <w:tc>
          <w:tcPr>
            <w:tcW w:w="8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Diluted loss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Net loss attributable to Mistras Group, Inc.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(5,363)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29,425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 outstanding</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Dilutive effect of restricted stock units outstanding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loss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vMerge w:val="continue"/>
          </w:tcPr>
          <w:p>
            <w:pPr>
              <w:spacing w:after="0"/>
              <w:rPr>
                <w:sz w:val="17"/>
                <w:szCs w:val="17"/>
                <w:color w:val="auto"/>
              </w:rPr>
            </w:pPr>
          </w:p>
        </w:tc>
        <w:tc>
          <w:tcPr>
            <w:tcW w:w="360" w:type="dxa"/>
            <w:vAlign w:val="bottom"/>
          </w:tcPr>
          <w:p>
            <w:pPr>
              <w:jc w:val="right"/>
              <w:ind w:right="170"/>
              <w:spacing w:after="0" w:line="204"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4" w:lineRule="exact"/>
              <w:rPr>
                <w:sz w:val="20"/>
                <w:szCs w:val="20"/>
                <w:color w:val="auto"/>
              </w:rPr>
            </w:pPr>
            <w:r>
              <w:rPr>
                <w:rFonts w:ascii="Arial" w:cs="Arial" w:eastAsia="Arial" w:hAnsi="Arial"/>
                <w:sz w:val="18"/>
                <w:szCs w:val="18"/>
                <w:color w:val="auto"/>
              </w:rPr>
              <w:t>(0.18)</w:t>
            </w:r>
          </w:p>
        </w:tc>
        <w:tc>
          <w:tcPr>
            <w:tcW w:w="120" w:type="dxa"/>
            <w:vAlign w:val="bottom"/>
          </w:tcPr>
          <w:p>
            <w:pPr>
              <w:spacing w:after="0"/>
              <w:rPr>
                <w:sz w:val="17"/>
                <w:szCs w:val="17"/>
                <w:color w:val="auto"/>
              </w:rPr>
            </w:pPr>
          </w:p>
        </w:tc>
        <w:tc>
          <w:tcPr>
            <w:tcW w:w="360" w:type="dxa"/>
            <w:vAlign w:val="bottom"/>
          </w:tcPr>
          <w:p>
            <w:pPr>
              <w:jc w:val="right"/>
              <w:ind w:right="170"/>
              <w:spacing w:after="0" w:line="204"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4"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300"/>
        </w:trPr>
        <w:tc>
          <w:tcPr>
            <w:tcW w:w="8040" w:type="dxa"/>
            <w:vAlign w:val="bottom"/>
          </w:tcPr>
          <w:p>
            <w:pPr>
              <w:spacing w:after="0"/>
              <w:rPr>
                <w:sz w:val="20"/>
                <w:szCs w:val="20"/>
                <w:color w:val="auto"/>
              </w:rPr>
            </w:pPr>
            <w:r>
              <w:rPr>
                <w:rFonts w:ascii="Arial" w:cs="Arial" w:eastAsia="Arial" w:hAnsi="Arial"/>
                <w:sz w:val="18"/>
                <w:szCs w:val="18"/>
                <w:color w:val="auto"/>
              </w:rPr>
              <w:t>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right="340" w:hanging="172"/>
        <w:spacing w:after="0" w:line="261" w:lineRule="auto"/>
        <w:tabs>
          <w:tab w:leader="none" w:pos="18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2022 and 2021, 1,212,000 and 509,000 shares, respectively, related to restricted stock were excluded from the calculation of diluted EPS due to the net loss for the period.</w:t>
      </w:r>
    </w:p>
    <w:p>
      <w:pPr>
        <w:spacing w:after="0" w:line="200" w:lineRule="exact"/>
        <w:rPr>
          <w:sz w:val="20"/>
          <w:szCs w:val="20"/>
          <w:color w:val="auto"/>
        </w:rPr>
      </w:pP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Loss and were as follows for the three months ended March 31, 2022 and 2021:</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224"/>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Due diligence, professional fees and other transaction costs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Adjustments to fair value of contingent consideration liabilities</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48"/>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expense, net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Company's contingent consideration liabilities are included in Accrued expenses and other current liabilities and Other long-term liabilities on the Condensed Consolidated Balance Sheets.</w:t>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December 31, 2021</w:t>
            </w:r>
          </w:p>
        </w:tc>
      </w:tr>
      <w:tr>
        <w:trPr>
          <w:trHeight w:val="256"/>
        </w:trPr>
        <w:tc>
          <w:tcPr>
            <w:tcW w:w="80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112,739</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had $23.7 million and $11.9 million of unbilled revenue accrued as of March 31, 2022 and December 31, 2021, respectively. These amounts are included in the trade accounts receivable balances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pacing w:after="0" w:line="21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recorded a full reserve for this receivable during 2019 and the status of this situation has not changed since 2019. See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 xml:space="preserve"> for additional details.</w:t>
      </w:r>
    </w:p>
    <w:p>
      <w:pPr>
        <w:spacing w:after="0" w:line="1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Plant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4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88"/>
        </w:trPr>
        <w:tc>
          <w:tcPr>
            <w:tcW w:w="694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9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24,787</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250,166</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294,335</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(207,757)</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March 31, 2022 and 2021 was approximately $6.6 million and $6.1 million, respectively.</w:t>
      </w:r>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and Systems</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205,439</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206,409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Company performed a quantitative annual impairment test as of October 1, 2021 and the Company did not identify any changes in circumstances that would indicate the carrying value of goodwill may not be recoverable. Additionally, through March 31, 2022,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1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6"/>
              </w:rPr>
              <w:t>March 31, 2022</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December 31, 2021</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60" w:type="dxa"/>
            <w:vAlign w:val="bottom"/>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1"/>
                <w:szCs w:val="11"/>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480" w:type="dxa"/>
            <w:vAlign w:val="bottom"/>
          </w:tcPr>
          <w:p>
            <w:pPr>
              <w:spacing w:after="0"/>
              <w:rPr>
                <w:sz w:val="11"/>
                <w:szCs w:val="11"/>
                <w:color w:val="auto"/>
              </w:rPr>
            </w:pPr>
          </w:p>
        </w:tc>
        <w:tc>
          <w:tcPr>
            <w:tcW w:w="1440" w:type="dxa"/>
            <w:vAlign w:val="bottom"/>
          </w:tcPr>
          <w:p>
            <w:pPr>
              <w:jc w:val="center"/>
              <w:ind w:right="397"/>
              <w:spacing w:after="0" w:line="135"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tcPr>
          <w:p>
            <w:pPr>
              <w:jc w:val="center"/>
              <w:ind w:right="397"/>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480" w:type="dxa"/>
            <w:vAlign w:val="bottom"/>
          </w:tcPr>
          <w:p>
            <w:pPr>
              <w:spacing w:after="0"/>
              <w:rPr>
                <w:sz w:val="16"/>
                <w:szCs w:val="16"/>
                <w:color w:val="auto"/>
              </w:rPr>
            </w:pPr>
          </w:p>
        </w:tc>
        <w:tc>
          <w:tcPr>
            <w:tcW w:w="1440" w:type="dxa"/>
            <w:vAlign w:val="bottom"/>
          </w:tcPr>
          <w:p>
            <w:pPr>
              <w:jc w:val="center"/>
              <w:ind w:right="397"/>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89"/>
        </w:trPr>
        <w:tc>
          <w:tcPr>
            <w:tcW w:w="236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4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31,790</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color w:val="auto"/>
              </w:rPr>
              <w:t>Software/Technology</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52,895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52,265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25,850</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Covenants not to compete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2-12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48"/>
        </w:trPr>
        <w:tc>
          <w:tcPr>
            <w:tcW w:w="2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59,381</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March 31, 2022 and 2021 was approximately $2.4 million and $2.5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2021</w:t>
            </w:r>
          </w:p>
        </w:tc>
      </w:tr>
      <w:tr>
        <w:trPr>
          <w:trHeight w:val="256"/>
        </w:trPr>
        <w:tc>
          <w:tcPr>
            <w:tcW w:w="80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related employee benefits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33,816</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workers’ compensation and health benefits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6,202</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accrual</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Right-of-use liability - Operating</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10,040</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25,462</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83,863</w:t>
            </w:r>
          </w:p>
        </w:tc>
      </w:tr>
      <w:tr>
        <w:trPr>
          <w:trHeight w:val="21"/>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2021</w:t>
            </w:r>
          </w:p>
        </w:tc>
      </w:tr>
      <w:tr>
        <w:trPr>
          <w:trHeight w:val="256"/>
        </w:trPr>
        <w:tc>
          <w:tcPr>
            <w:tcW w:w="80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119,500</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w w:val="91"/>
              </w:rPr>
              <w:t>Senior secured term loan, net of unamortized debt issuance costs of $0.2 million and $0.2 million, respectively</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72,949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76,673</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208,814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202,565</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(20,162)</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182,403</w:t>
            </w:r>
          </w:p>
        </w:tc>
      </w:tr>
      <w:tr>
        <w:trPr>
          <w:trHeight w:val="21"/>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a credit agreement with its banking group (as amended, the "Credit Agreement") which provides the Company with a revolving line of credit and a $100 million senior secured term loan A facility with a balance of $72.9 million as of March 31, 2022. Pursuant to the Amendment described below, the revolving line of credit was reduced from $155 million to $150 million on December 31, 2021. Both the revolving line of credit and the term loan A facility under the Credit Agreement have a maturity date of December 12, 2023.</w:t>
      </w:r>
    </w:p>
    <w:p>
      <w:pPr>
        <w:spacing w:after="0" w:line="214"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On May 19, 2021, the Company entered into the Fifth Amendment (the “Amendment”) to the Credit Agreement. The Amendment made the following changes:</w:t>
      </w:r>
    </w:p>
    <w:p>
      <w:pPr>
        <w:spacing w:after="0" w:line="1" w:lineRule="exact"/>
        <w:rPr>
          <w:sz w:val="20"/>
          <w:szCs w:val="20"/>
          <w:color w:val="auto"/>
        </w:rPr>
      </w:pPr>
    </w:p>
    <w:p>
      <w:pPr>
        <w:ind w:left="660" w:right="180" w:hanging="328"/>
        <w:spacing w:after="0" w:line="25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Removed the LIBOR floor of 1.0%, which provided that if LIBOR is below 1.0%, the interest rate will be calculated as if LIBOR is 1.0%. Now the actual LIBOR rate is used to calculate interest, even if LIBOR is below 1.0%. The LIBOR margins and base rate margins are unchanged but are based upon the new Total Consolidated Debt Leverage Ratio (defined below); previously the margin was based upon the Funded Debt Leverage Ratio.</w:t>
      </w:r>
    </w:p>
    <w:p>
      <w:pPr>
        <w:spacing w:after="0" w:line="219" w:lineRule="exact"/>
        <w:rPr>
          <w:rFonts w:ascii="Arial" w:cs="Arial" w:eastAsia="Arial" w:hAnsi="Arial"/>
          <w:sz w:val="18"/>
          <w:szCs w:val="18"/>
          <w:color w:val="auto"/>
        </w:rPr>
      </w:pPr>
    </w:p>
    <w:p>
      <w:pPr>
        <w:ind w:left="660" w:right="28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Requires the Company to maintain a Total Consolidated Debt Leverage Ratio not to exceed 4.0 to 1.0 as of the end of each quarter through the quarter ending March 31, 2022, and for each quarter thereafter the ratio shall not exceed 3.5 to 1.0.</w:t>
      </w:r>
    </w:p>
    <w:p>
      <w:pPr>
        <w:spacing w:after="0" w:line="1" w:lineRule="exact"/>
        <w:rPr>
          <w:rFonts w:ascii="Arial" w:cs="Arial" w:eastAsia="Arial" w:hAnsi="Arial"/>
          <w:sz w:val="18"/>
          <w:szCs w:val="18"/>
          <w:color w:val="auto"/>
        </w:rPr>
      </w:pPr>
    </w:p>
    <w:p>
      <w:pPr>
        <w:ind w:left="1300" w:right="680" w:hanging="320"/>
        <w:spacing w:after="0" w:line="250" w:lineRule="auto"/>
        <w:tabs>
          <w:tab w:leader="none" w:pos="1296" w:val="left"/>
        </w:tabs>
        <w:numPr>
          <w:ilvl w:val="1"/>
          <w:numId w:val="7"/>
        </w:numPr>
        <w:rPr>
          <w:rFonts w:ascii="Arial" w:cs="Arial" w:eastAsia="Arial" w:hAnsi="Arial"/>
          <w:sz w:val="18"/>
          <w:szCs w:val="18"/>
          <w:color w:val="auto"/>
        </w:rPr>
      </w:pPr>
      <w:r>
        <w:rPr>
          <w:rFonts w:ascii="Arial" w:cs="Arial" w:eastAsia="Arial" w:hAnsi="Arial"/>
          <w:sz w:val="18"/>
          <w:szCs w:val="18"/>
          <w:color w:val="auto"/>
        </w:rPr>
        <w:t>Total Consolidated Debt Leverage Ratio means the ratio of (a) Total Consolidated Debt to (b) EBITDA (as defined in the Credit Agreement) for the trailing four consecutive quarters</w:t>
      </w:r>
    </w:p>
    <w:p>
      <w:pPr>
        <w:ind w:left="1300" w:right="240" w:hanging="320"/>
        <w:spacing w:after="0" w:line="260" w:lineRule="auto"/>
        <w:tabs>
          <w:tab w:leader="none" w:pos="1296" w:val="left"/>
        </w:tabs>
        <w:numPr>
          <w:ilvl w:val="1"/>
          <w:numId w:val="7"/>
        </w:numPr>
        <w:rPr>
          <w:rFonts w:ascii="Arial" w:cs="Arial" w:eastAsia="Arial" w:hAnsi="Arial"/>
          <w:sz w:val="18"/>
          <w:szCs w:val="18"/>
          <w:color w:val="auto"/>
        </w:rPr>
      </w:pPr>
      <w:r>
        <w:rPr>
          <w:rFonts w:ascii="Arial" w:cs="Arial" w:eastAsia="Arial" w:hAnsi="Arial"/>
          <w:sz w:val="18"/>
          <w:szCs w:val="18"/>
          <w:color w:val="auto"/>
        </w:rPr>
        <w:t>Total Consolidated Debt means all indebtedness (including subordinated debt) of the Company on a consolidated basis (with a limited exception).</w:t>
      </w:r>
    </w:p>
    <w:p>
      <w:pPr>
        <w:spacing w:after="0" w:line="212" w:lineRule="exact"/>
        <w:rPr>
          <w:rFonts w:ascii="Arial" w:cs="Arial" w:eastAsia="Arial" w:hAnsi="Arial"/>
          <w:sz w:val="18"/>
          <w:szCs w:val="18"/>
          <w:color w:val="auto"/>
        </w:rPr>
      </w:pPr>
    </w:p>
    <w:p>
      <w:pPr>
        <w:jc w:val="both"/>
        <w:ind w:left="660" w:right="34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Company incurs certain subordinated debt or other permitted indebtedness, then the Company must maintain a Total Consolidated Debt Leverage Ratio not to exceed 4.5 to 1.0 and maintain a ratio of Senior Debt to EBITDA not to exceed 3.5 to 1.0, with Senior Debt being Total Consolidated Debt, less permitted subordinated debt.</w:t>
      </w:r>
    </w:p>
    <w:p>
      <w:pPr>
        <w:spacing w:after="0" w:line="210"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must repay loans under the Credit Agreement with the net proceeds from certain dispositions of assets under certain circumstances and limits investments in non-guarantor subsidiaries under certain circumstances if the Company's Total Consolidated Leverage Ratio is above 3.5 to 1.0.</w:t>
      </w:r>
    </w:p>
    <w:p>
      <w:pPr>
        <w:spacing w:after="0" w:line="210"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payments on the term loan increased to $3.75 million through March 31, 2022, then to $5.0 million for each quarterly payment thereafter and a final balloon payment at maturity.</w:t>
      </w:r>
    </w:p>
    <w:p>
      <w:pPr>
        <w:spacing w:after="0" w:line="19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As a result of the borrowing capacity reduction on the revolving loan line of credit, the Company expensed $0.1 million in unamortized capitalized debt issuance costs during the year ended December 31, 2021, which was included in selling, general and administrative expenses on the Consolidated Statements of Loss. The Company incurred $0.5 million in financing costs for the Amendment, of which $0.2 million of third-party costs were expensed and included in selling, general and administrative expenses on the Consolidated Statements of Loss.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Under the Credit Agreement, the Company may borrow up to $100 million in non-U.S. Dollar currencies and use up to $20 million of the credit limit for the issuance of letters of credit.</w:t>
      </w:r>
    </w:p>
    <w:p>
      <w:pPr>
        <w:spacing w:after="0" w:line="19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As of March 31, 2022, the Company had borrowings of $203.1 million and a total of $3.3 million of letters of credit outstanding under the Credit Agreement. The Company has capitalized costs associated with debt modifications of $0.8 million as of March 31, 2022, which is included in Other Assets on the Condensed Consolidated Balance Sheets and will be amortized into interest expense over the remaining term of the Credit Agreement through December 12, 2023</w:t>
      </w:r>
    </w:p>
    <w:p>
      <w:pPr>
        <w:spacing w:after="0" w:line="21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As of March 31, 2022, the Company was in compliance with the terms of the Credit Agreement. The Company continuously monitors compliance with the covenants contained in its Credit Agreement. The Company believes that it is probable that the Company will be able to comply with the financial covenants in the Credit Agreement and that sufficient credit remains available under the Credit Agreement to meet the Company's liquidity needs. However, due to the uncertainties being caused by the COVID-19 pandemic, the significant volatility in oil prices, and volatility in the aerospace production, such matters cannot be predicted with certainty.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25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Company's other debt includes bank financing provided at the local subsidiary level used to support working capital requirements and fund capital expenditures. At March 31, 2022, there was an aggregate of approximately $5.9 million outstanding, payable at various times through 2030. Monthly payments range from $0.4 thousand to $16 thousand and interest rates range from 0.4% to 3.5%.</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 xml:space="preserve">The Company performs fair value measurements in accordance with the guidance provided by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87"/>
        </w:trPr>
        <w:tc>
          <w:tcPr>
            <w:tcW w:w="80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1,640</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Accretion of liability</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Revaluation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current market conditions and borrower credit quality and has determined that the carrying value of its long-term debt approximates fair value. The fair value of the Company’s notes payable and finance lease obligations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approximates their carrying amounts based on anticipated interest rates which management believes would currently be available to the Company for similar issuances of debt.</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3"/>
          <w:szCs w:val="13"/>
          <w:b w:val="1"/>
          <w:bCs w:val="1"/>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Condensed Consolidated Balance Sheets include the following related to right-of-use ("ROU") operating leases: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6"/>
                <w:szCs w:val="16"/>
                <w:color w:val="auto"/>
              </w:rPr>
            </w:pPr>
          </w:p>
        </w:tc>
        <w:tc>
          <w:tcPr>
            <w:tcW w:w="138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29"/>
        </w:trPr>
        <w:tc>
          <w:tcPr>
            <w:tcW w:w="4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3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ROU assets</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42,451</w:t>
            </w:r>
          </w:p>
        </w:tc>
        <w:tc>
          <w:tcPr>
            <w:tcW w:w="0" w:type="dxa"/>
            <w:vAlign w:val="bottom"/>
          </w:tcPr>
          <w:p>
            <w:pPr>
              <w:spacing w:after="0"/>
              <w:rPr>
                <w:sz w:val="1"/>
                <w:szCs w:val="1"/>
                <w:color w:val="auto"/>
              </w:rPr>
            </w:pPr>
          </w:p>
        </w:tc>
      </w:tr>
      <w:tr>
        <w:trPr>
          <w:trHeight w:val="378"/>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ROU - current</w:t>
            </w:r>
          </w:p>
        </w:tc>
        <w:tc>
          <w:tcPr>
            <w:tcW w:w="3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expenses and other current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29"/>
        </w:trPr>
        <w:tc>
          <w:tcPr>
            <w:tcW w:w="4860" w:type="dxa"/>
            <w:vAlign w:val="bottom"/>
            <w:gridSpan w:val="2"/>
            <w:vMerge w:val="continue"/>
            <w:shd w:val="clear" w:color="auto" w:fill="CCEEFF"/>
          </w:tcPr>
          <w:p>
            <w:pPr>
              <w:spacing w:after="0"/>
              <w:rPr>
                <w:sz w:val="19"/>
                <w:szCs w:val="19"/>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ROU liability - long-term</w:t>
            </w:r>
          </w:p>
        </w:tc>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34,030</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ROU liabilities</w:t>
            </w:r>
          </w:p>
        </w:tc>
        <w:tc>
          <w:tcPr>
            <w:tcW w:w="3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Included within the balance of operating leases is a lease for the Company’s headquarters which is with a related party. The ROU liability for this facility was approximately $2.4 million and $2.9 million as of March 31, 2022 and December 31, 2021, respectively. Total rent payments for this facility were approximately $0.3 million and $0.5 million for the three months ended March 31, 2022 and March 31, 2021, respectively. An agreement was reached with the related party to reduce rental payments by 12.5% for the lease of the Company’s headquarters, effective February 2022 as part of a voluntary reduction.</w:t>
      </w:r>
    </w:p>
    <w:p>
      <w:pPr>
        <w:spacing w:after="0" w:line="169"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The total ROU assets attributable to finance leases were approximately $13.4 million and $13.8 million as of March 31, 2022 and December 31, 2021, respectively, which is included in Property, plant, and equipment, net on the Condensed Consolidated Balance Sheets.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3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lease expense</w:t>
            </w:r>
          </w:p>
        </w:tc>
        <w:tc>
          <w:tcPr>
            <w:tcW w:w="3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revenue; Selling, general &amp;</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rPr>
              <w:t>Short-term lease expense</w:t>
            </w:r>
          </w:p>
        </w:tc>
        <w:tc>
          <w:tcPr>
            <w:tcW w:w="3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revenue; Selling, general &amp;</w:t>
            </w: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Variable lease expense</w:t>
            </w:r>
          </w:p>
        </w:tc>
        <w:tc>
          <w:tcPr>
            <w:tcW w:w="3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revenue; Selling, general &amp;</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related to leases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652"/>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6"/>
                <w:szCs w:val="16"/>
                <w:color w:val="auto"/>
              </w:rPr>
            </w:pPr>
          </w:p>
        </w:tc>
      </w:tr>
      <w:tr>
        <w:trPr>
          <w:trHeight w:val="186"/>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212"/>
        </w:trPr>
        <w:tc>
          <w:tcPr>
            <w:tcW w:w="7780" w:type="dxa"/>
            <w:vAlign w:val="bottom"/>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 for finance and operating leases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Finance - financing cash flows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19"/>
                <w:szCs w:val="19"/>
                <w:color w:val="auto"/>
              </w:rPr>
            </w:pPr>
          </w:p>
        </w:tc>
      </w:tr>
      <w:tr>
        <w:trPr>
          <w:trHeight w:val="230"/>
        </w:trPr>
        <w:tc>
          <w:tcPr>
            <w:tcW w:w="7780" w:type="dxa"/>
            <w:vAlign w:val="bottom"/>
          </w:tcPr>
          <w:p>
            <w:pPr>
              <w:ind w:left="300"/>
              <w:spacing w:after="0"/>
              <w:rPr>
                <w:sz w:val="20"/>
                <w:szCs w:val="20"/>
                <w:color w:val="auto"/>
              </w:rPr>
            </w:pPr>
            <w:r>
              <w:rPr>
                <w:rFonts w:ascii="Arial" w:cs="Arial" w:eastAsia="Arial" w:hAnsi="Arial"/>
                <w:sz w:val="18"/>
                <w:szCs w:val="18"/>
                <w:color w:val="auto"/>
              </w:rPr>
              <w:t>Finance - operating cash flows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9"/>
                <w:szCs w:val="19"/>
                <w:color w:val="auto"/>
              </w:rPr>
            </w:pPr>
          </w:p>
        </w:tc>
      </w:tr>
      <w:tr>
        <w:trPr>
          <w:trHeight w:val="229"/>
        </w:trPr>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 operating cash flows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3,322</w:t>
            </w:r>
          </w:p>
        </w:tc>
        <w:tc>
          <w:tcPr>
            <w:tcW w:w="20" w:type="dxa"/>
            <w:vAlign w:val="bottom"/>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ROU assets obtained in the exchange for lease liabilities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9"/>
                <w:szCs w:val="19"/>
                <w:color w:val="auto"/>
              </w:rPr>
            </w:pPr>
          </w:p>
        </w:tc>
      </w:tr>
      <w:tr>
        <w:trPr>
          <w:trHeight w:val="229"/>
        </w:trPr>
        <w:tc>
          <w:tcPr>
            <w:tcW w:w="778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1,004</w:t>
            </w:r>
          </w:p>
        </w:tc>
        <w:tc>
          <w:tcPr>
            <w:tcW w:w="20" w:type="dxa"/>
            <w:vAlign w:val="bottom"/>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r>
      <w:tr>
        <w:trPr>
          <w:trHeight w:val="229"/>
        </w:trPr>
        <w:tc>
          <w:tcPr>
            <w:tcW w:w="778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20" w:type="dxa"/>
            <w:vAlign w:val="bottom"/>
          </w:tcPr>
          <w:p>
            <w:pPr>
              <w:spacing w:after="0"/>
              <w:rPr>
                <w:sz w:val="19"/>
                <w:szCs w:val="19"/>
                <w:color w:val="auto"/>
              </w:rPr>
            </w:pPr>
          </w:p>
        </w:tc>
      </w:tr>
      <w:tr>
        <w:trPr>
          <w:trHeight w:val="230"/>
        </w:trPr>
        <w:tc>
          <w:tcPr>
            <w:tcW w:w="778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5.7 %</w:t>
            </w:r>
          </w:p>
        </w:tc>
        <w:tc>
          <w:tcPr>
            <w:tcW w:w="20" w:type="dxa"/>
            <w:vAlign w:val="bottom"/>
          </w:tcPr>
          <w:p>
            <w:pPr>
              <w:spacing w:after="0"/>
              <w:rPr>
                <w:sz w:val="20"/>
                <w:szCs w:val="20"/>
                <w:color w:val="auto"/>
              </w:rPr>
            </w:pPr>
          </w:p>
        </w:tc>
      </w:tr>
      <w:tr>
        <w:trPr>
          <w:trHeight w:val="836"/>
        </w:trPr>
        <w:tc>
          <w:tcPr>
            <w:tcW w:w="7780" w:type="dxa"/>
            <w:vAlign w:val="bottom"/>
          </w:tcPr>
          <w:p>
            <w:pPr>
              <w:spacing w:after="0"/>
              <w:rPr>
                <w:sz w:val="20"/>
                <w:szCs w:val="20"/>
                <w:color w:val="auto"/>
              </w:rPr>
            </w:pPr>
            <w:r>
              <w:rPr>
                <w:rFonts w:ascii="Arial" w:cs="Arial" w:eastAsia="Arial" w:hAnsi="Arial"/>
                <w:sz w:val="18"/>
                <w:szCs w:val="18"/>
                <w:color w:val="auto"/>
              </w:rPr>
              <w:t>Maturities of lease liabilities as of March 31, 2022 were as follows: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77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Finance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Operating</w:t>
            </w:r>
          </w:p>
        </w:tc>
        <w:tc>
          <w:tcPr>
            <w:tcW w:w="20" w:type="dxa"/>
            <w:vAlign w:val="bottom"/>
            <w:tcBorders>
              <w:bottom w:val="single" w:sz="8" w:color="auto"/>
            </w:tcBorders>
          </w:tcPr>
          <w:p>
            <w:pPr>
              <w:spacing w:after="0"/>
              <w:rPr>
                <w:sz w:val="18"/>
                <w:szCs w:val="18"/>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w:t>
            </w:r>
          </w:p>
        </w:tc>
        <w:tc>
          <w:tcPr>
            <w:tcW w:w="20" w:type="dxa"/>
            <w:vAlign w:val="bottom"/>
            <w:shd w:val="clear" w:color="auto" w:fill="CCEEFF"/>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3,990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11,252</w:t>
            </w:r>
          </w:p>
        </w:tc>
        <w:tc>
          <w:tcPr>
            <w:tcW w:w="2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20" w:type="dxa"/>
            <w:vAlign w:val="bottom"/>
            <w:shd w:val="clear" w:color="auto" w:fill="CCEEFF"/>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6,763</w:t>
            </w:r>
          </w:p>
        </w:tc>
        <w:tc>
          <w:tcPr>
            <w:tcW w:w="2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20" w:type="dxa"/>
            <w:vAlign w:val="bottom"/>
            <w:shd w:val="clear" w:color="auto" w:fill="CCEEFF"/>
          </w:tcPr>
          <w:p>
            <w:pPr>
              <w:spacing w:after="0"/>
              <w:rPr>
                <w:sz w:val="19"/>
                <w:szCs w:val="19"/>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482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9,191</w:t>
            </w:r>
          </w:p>
        </w:tc>
        <w:tc>
          <w:tcPr>
            <w:tcW w:w="20" w:type="dxa"/>
            <w:vAlign w:val="bottom"/>
            <w:tcBorders>
              <w:bottom w:val="single" w:sz="8" w:color="auto"/>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50,476</w:t>
            </w:r>
          </w:p>
        </w:tc>
        <w:tc>
          <w:tcPr>
            <w:tcW w:w="20" w:type="dxa"/>
            <w:vAlign w:val="bottom"/>
            <w:shd w:val="clear" w:color="auto" w:fill="CCEEFF"/>
          </w:tcPr>
          <w:p>
            <w:pPr>
              <w:spacing w:after="0"/>
              <w:rPr>
                <w:sz w:val="19"/>
                <w:szCs w:val="19"/>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1,016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w:t>
            </w:r>
          </w:p>
        </w:tc>
        <w:tc>
          <w:tcPr>
            <w:tcW w:w="20" w:type="dxa"/>
            <w:vAlign w:val="bottom"/>
            <w:tcBorders>
              <w:bottom w:val="single" w:sz="8" w:color="auto"/>
            </w:tcBorders>
          </w:tcPr>
          <w:p>
            <w:pPr>
              <w:spacing w:after="0"/>
              <w:rPr>
                <w:sz w:val="19"/>
                <w:szCs w:val="19"/>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13,327</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is periodically involved in lawsuits, investigations and claims that arise in the ordinary course of business. The Company cannot predict with certainty the ultimate resolution of lawsuits, investigations and claims asserted against it. Except for possible losses from the matters described below, the Company does not believe that any currently pending or threatened legal proceeding to which the Company is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contracted to perform inspections of welds on various pipeline projects in Texas for a customer. As of March 31, 2022,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 million of past due receivables were outstanding from this customer. The customer provided the Company with notice in December 2019, alleging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inspection of 66 welds (out of approximately 16,000 welds inspected) were not in compliance with the contract, claimed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$7.6 million in damages, and requested that the Company pay these damages and any other damages incurred. The Company filed a lawsuit in the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of Bexar County, Texas, 37th Judicial District, in an action captioned Mistras Group, Inc. v. Epic Y-Grade Pipeline LP, to recover the $1.4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amounts due to the Company. The customer filed a counterclaim, alleging breach of contract and seeking recovery of its alleged damages.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believes that any successful claim by the customer regarding the Company’s workmanship will be covered by insurance, subject to payment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deductible. At this time, the Company is unable to determine whether it has any liability in connection with this matter and if so, the amount or range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such liability, and accordingly, has not established any accruals for this matter. Accordingly, the Company recorded a reserve in the amount of $1.4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during the twelve months ended December 31, 2019 for these past due receivables.</w:t>
      </w:r>
    </w:p>
    <w:p>
      <w:pPr>
        <w:spacing w:after="0" w:line="238"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 xml:space="preserve">Two proceedings have been filed in California Superior Court for the County of Los Angeles regarding alleged violations of the California Labor Code. Both cases are captioned </w:t>
      </w:r>
      <w:r>
        <w:rPr>
          <w:rFonts w:ascii="Arial" w:cs="Arial" w:eastAsia="Arial" w:hAnsi="Arial"/>
          <w:sz w:val="17"/>
          <w:szCs w:val="17"/>
          <w:i w:val="1"/>
          <w:iCs w:val="1"/>
          <w:color w:val="auto"/>
        </w:rPr>
        <w:t>Justin Price v. Mistras Group, Inc.</w:t>
      </w:r>
      <w:r>
        <w:rPr>
          <w:rFonts w:ascii="Arial" w:cs="Arial" w:eastAsia="Arial" w:hAnsi="Arial"/>
          <w:sz w:val="17"/>
          <w:szCs w:val="17"/>
          <w:color w:val="auto"/>
        </w:rPr>
        <w:t>, one being a purported class action lawsuit on behalf of current and former Mistras employees in California and the other was filed on behalf of the State of California under the California Private Attorney General Act on the basis of the same alleged violations. The two cases have been consolidated and are requesting payment of all damages, including unpaid wages, and various fines and penalties available under California law. On May 4, 2021, the Company agreed to a settlement of all claims in the cases, which was more formally documented pursuant to a settlement agreement completed October 5, 2021. Pursuant to the settlement, the Company will pay $2.3 million to resolve the allegations in these proceedings and will be responsible for the employer portion of payroll taxes on the amount of the settlement allocated to wages. The settlement is subject to court approval and will cover claims for the period from June 2016 through July 31, 2021. The Company recorded expense of approximately $1.6 million during the three months ended March 31, 2021 related to this settlement, which is in addition to expense of $0.8 million the Company recorded during the three months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25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Certain of Company’s subsidiaries had significant reductions in their unionized workers in 2018. The collective bargaining agreements for these employees required contributions for these employees to national multi-employer pension funds. The reduction in employees resulted in a subsidiary incurring a complete withdrawal to one of the pension funds under the Employee Retirement Income Security Act of 1974 ("ERISA"), which was fully satisfied in 2019. The Company has determined that the subsidiary is likely to incur partial or complete withdrawal liability to the other pension fund. The balance of the estimated total amount of this potential liability as of March 31, 2022 is approximately $2.5 million, which were incurred in 2018 and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December 2019, the Company executed an agreement to sell the rights of certain customer "staff leasing" contracts related to its German subsidiary for total consideration of approximately $0.1 million, effective January 1, 2020. No other assets or liabilities other than those employee benefits related to employees working on the customer contracts were included in the sale. As of March 31, 2022, the Company has approximately $0.1 million of accrued estimated severance payment obligations, which takes into account the Company's estimate with respect to the employees that have been or will be transitioned to the German subsidiaries' other customers. The $0.2 million of estimated obligations is net of $0.4 million in payments made and $1.0 million in reversals due to employees being transitioned to customer contracts.</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was entitled to indemnification on certain labor claims from the sellers of a company acquired by its Brazilian subsidiary. The Company and the sellers entered into a settlement agreement for approximately $1.0 million, which provided for payment in two installments, the first for approximately 31% of the settlement and the second for the remaining 69%. The first installment in the amount of approximately $0.3 million was paid by the sellers in December 2020 and the Company recognized that amount as a gain in selling, general and administrative expenses in the same period. The remaining payment for $0.6 million was received in the first quarter of 2021 and the Company recognized that amount as a gain in selling, general and administrative expenses in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related contingencies</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March 31, 2022, total potential acquisition-related contingent consideration ranged from zero to approximately $1.9 million and would be payable upon the achievement of specific performance metrics by certain of the acquired companies over the next six months.</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2018, the Company sold a subsidiary in the Products and Systems segment. As part of the sale, the Company entered into a three-year agreement to purchase products from the buyer, with a cumulative commitment of $2.3 million, of which $0.9 million is remaining as of March 31, 2022. The agreement is based on third-party pricing and the Company's planned purchase requirements over the three-year purchase period to meet the minimum contractual purchases. On August 3, 2021, the Company entered into an agreement and extended the period by twelve months. As of March 31, 2022, approximately $0.9 million is remaining on the amended purchase commitment. The agreement is based on third party pricing and the Company's planned purchase requirements over the duration of the extension to meet the minimum contractual purchases.</w:t>
      </w:r>
    </w:p>
    <w:p>
      <w:pPr>
        <w:spacing w:after="0" w:line="200" w:lineRule="exact"/>
        <w:rPr>
          <w:sz w:val="20"/>
          <w:szCs w:val="20"/>
          <w:color w:val="auto"/>
        </w:rPr>
      </w:pPr>
    </w:p>
    <w:p>
      <w:pPr>
        <w:spacing w:after="0" w:line="21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900" w:right="20" w:hanging="244"/>
        <w:spacing w:after="0" w:line="259" w:lineRule="auto"/>
        <w:tabs>
          <w:tab w:leader="none" w:pos="89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predominantly in North America, with the largest concentration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86" w:lineRule="exact"/>
        <w:rPr>
          <w:rFonts w:ascii="Arial" w:cs="Arial" w:eastAsia="Arial" w:hAnsi="Arial"/>
          <w:sz w:val="18"/>
          <w:szCs w:val="18"/>
          <w:i w:val="1"/>
          <w:iCs w:val="1"/>
          <w:color w:val="auto"/>
        </w:rPr>
      </w:pPr>
    </w:p>
    <w:p>
      <w:pPr>
        <w:ind w:left="900" w:right="160" w:hanging="244"/>
        <w:spacing w:after="0" w:line="263"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183" w:lineRule="exact"/>
        <w:rPr>
          <w:rFonts w:ascii="Arial" w:cs="Arial" w:eastAsia="Arial" w:hAnsi="Arial"/>
          <w:sz w:val="18"/>
          <w:szCs w:val="18"/>
          <w:color w:val="auto"/>
        </w:rPr>
      </w:pPr>
    </w:p>
    <w:p>
      <w:pPr>
        <w:ind w:left="900" w:right="180" w:hanging="244"/>
        <w:spacing w:after="0" w:line="277"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Costs incurred for general corporate services, including finance, legal, and certain other costs that are provided to the segments are reported within Corporate and eliminations. During the first quarter of 2022 the Company finalized a transfer pricing study which resulted in additional costs being allocated from Corporate to the operating segments with the majority of the costs allocated to the Services segment. These costs are reflected in operating income (loss) of each segment.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w:t>
      </w:r>
    </w:p>
    <w:p>
      <w:pPr>
        <w:spacing w:after="0" w:line="191" w:lineRule="exact"/>
        <w:rPr>
          <w:sz w:val="20"/>
          <w:szCs w:val="20"/>
          <w:color w:val="auto"/>
        </w:rPr>
      </w:pPr>
    </w:p>
    <w:p>
      <w:pPr>
        <w:ind w:firstLine="42"/>
        <w:spacing w:after="0" w:line="254" w:lineRule="auto"/>
        <w:rPr>
          <w:sz w:val="20"/>
          <w:szCs w:val="20"/>
          <w:color w:val="auto"/>
        </w:rPr>
      </w:pPr>
      <w:r>
        <w:rPr>
          <w:rFonts w:ascii="Arial" w:cs="Arial" w:eastAsia="Arial" w:hAnsi="Arial"/>
          <w:sz w:val="18"/>
          <w:szCs w:val="18"/>
          <w:color w:val="auto"/>
        </w:rPr>
        <w:t>The accounting policies of the reportable segments are the same as those described in Note 1</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Description of Business and Basis of Presentation</w:t>
      </w:r>
      <w:r>
        <w:rPr>
          <w:rFonts w:ascii="Arial" w:cs="Arial" w:eastAsia="Arial" w:hAnsi="Arial"/>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Selected consolidated financial information by segment for the periods shown was as follows: (with intercompany transactions eliminated in Corporate and eliminations)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124,298</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27,648</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4"/>
        </w:trPr>
        <w:tc>
          <w:tcPr>
            <w:tcW w:w="8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31,076</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7,625</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9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Services</w:t>
            </w:r>
          </w:p>
        </w:tc>
        <w:tc>
          <w:tcPr>
            <w:tcW w:w="5040" w:type="dxa"/>
            <w:vAlign w:val="bottom"/>
            <w:gridSpan w:val="3"/>
            <w:shd w:val="clear" w:color="auto" w:fill="CCEEFF"/>
          </w:tcPr>
          <w:p>
            <w:pPr>
              <w:jc w:val="right"/>
              <w:ind w:right="78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International</w:t>
            </w:r>
          </w:p>
        </w:tc>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Products and Systems</w:t>
            </w:r>
          </w:p>
        </w:tc>
        <w:tc>
          <w:tcPr>
            <w:tcW w:w="4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and eliminations</w:t>
            </w:r>
          </w:p>
        </w:tc>
        <w:tc>
          <w:tcPr>
            <w:tcW w:w="40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(8,161)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(7,893)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78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(4,698)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w w:val="93"/>
              </w:rPr>
              <w:t>Three months ended March 31,</w:t>
            </w: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4100" w:type="dxa"/>
            <w:vAlign w:val="bottom"/>
            <w:gridSpan w:val="2"/>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5040" w:type="dxa"/>
            <w:vAlign w:val="bottom"/>
            <w:gridSpan w:val="3"/>
            <w:shd w:val="clear" w:color="auto" w:fill="CCEEFF"/>
          </w:tcPr>
          <w:p>
            <w:pPr>
              <w:jc w:val="right"/>
              <w:ind w:right="76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4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eliminations</w:t>
            </w:r>
          </w:p>
        </w:tc>
        <w:tc>
          <w:tcPr>
            <w:tcW w:w="4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2021</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50,476</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51,862</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6,344</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94"/>
        </w:trPr>
        <w:tc>
          <w:tcPr>
            <w:tcW w:w="8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2021</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436,996</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424,058</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108,733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111,619</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15,986</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562,195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color w:val="auto"/>
        </w:rPr>
        <w:t xml:space="preserve"> for revenue by geographic area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following Management’s Discussion and Analysis (“MD&amp;A”) provides a discussion of our results of operations and financial position for the three months ended March 31, 2022 and 2021. The MD&amp;A should be read together with our Unaudited Condensed Consolidated Financial Statements and related notes included in Item 1 in this Quarterly Report on Form 10-Q and our audited consolidated financial statements and related notes included in our Annual Report on Form 10-K for the year ended December 31, 2021, filed with the Securities and Exchange Commission on March 14, 2022 (“2021 Annual Report”). Unless otherwise specified or the context otherwise requires, “Mistras,” “the Company,” “we,” “us” and “our” refer to Mistras Group, Inc. and its consolidated subsidiaries. The MD&amp;A includes the following sections:</w:t>
      </w:r>
    </w:p>
    <w:p>
      <w:pPr>
        <w:spacing w:after="0" w:line="1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 about Non-GAAP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2021 Annual Report as well as those discussed in this Quarterly Report on Form 10-Q and in our other filings with the SEC.</w:t>
      </w:r>
    </w:p>
    <w:p>
      <w:pPr>
        <w:spacing w:after="0" w:line="19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At the time of this report, the COVID-19 pandemic is continuing to have a negative impact on us and our key markets and is causing significant economic disruption worldwide, although the Company has nevertheless begun approaching pre-pandemic levels of activity in certain end markets, particularly oil and gas. Our discussion below is qualified by the unknown impact that the COVID-19 pandemic will continue to have on our business and the economy in general, including the duration of the health risk the COVID-19 pandemic will cause and the resulting economic disruption.</w:t>
      </w:r>
    </w:p>
    <w:p>
      <w:pPr>
        <w:spacing w:after="0" w:line="198"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The Company is currently unable to predict with certainty the overall impact that the factors discussed above and the effect of the Russian-Ukrainian conflict may have on its business, results of operations or liquidity or in other ways which the Company cannot yet determine. To date, the Company's European operations have begun to see increased costs associated with higher energy costs, among others, due in part to the on-going conflict. The Company will continue to monitor market conditions and respond accordingly.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is a leading "one 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00"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Company enhances value for its clients by integrating asset protection throughout supply chains and centralizing integrity data through a suite of Industrial IoT-connected digital software and monitoring solutions, including OneSuite™, which serves as an ecosystem platform, pulling together all of the Company’s software and data services capabilities, for the benefit of its customers.</w:t>
      </w:r>
    </w:p>
    <w:p>
      <w:pPr>
        <w:spacing w:after="0" w:line="21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63" w:lineRule="exact"/>
        <w:rPr>
          <w:sz w:val="20"/>
          <w:szCs w:val="20"/>
          <w:color w:val="auto"/>
        </w:rPr>
      </w:pPr>
    </w:p>
    <w:p>
      <w:pPr>
        <w:ind w:left="660" w:right="340" w:hanging="328"/>
        <w:spacing w:after="0" w:line="24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inspection, mechanical and engineering services that are used to evaluate the structural integrity and reliability of critical energy, industrial and public infrastructure and commercial aerospace components. Software, digital and data services are included in this segment.</w:t>
      </w:r>
    </w:p>
    <w:p>
      <w:pPr>
        <w:spacing w:after="0" w:line="25" w:lineRule="exact"/>
        <w:rPr>
          <w:rFonts w:ascii="Arial" w:cs="Arial" w:eastAsia="Arial" w:hAnsi="Arial"/>
          <w:sz w:val="18"/>
          <w:szCs w:val="18"/>
          <w:color w:val="auto"/>
        </w:rPr>
      </w:pPr>
    </w:p>
    <w:p>
      <w:pPr>
        <w:ind w:left="660" w:right="40" w:hanging="328"/>
        <w:spacing w:after="0" w:line="29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ind w:left="660" w:right="7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9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19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will enhance our advantages over our competition.</w:t>
      </w:r>
    </w:p>
    <w:p>
      <w:pPr>
        <w:spacing w:after="0" w:line="19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long-term growth can be realized in all of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have continued providing our customers with innovative asset protection software ecosystem through our MISTRAS OneSuite platform. The software platform offers functions of MISTRAS' popular software and services brands as integrated apps on a cloud environment. OneSuite serves as a single access portal for customers' data activities and provides access to 50 plus applications being offered on one centralized platform.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67" w:lineRule="exact"/>
        <w:rPr>
          <w:sz w:val="20"/>
          <w:szCs w:val="20"/>
          <w:color w:val="auto"/>
        </w:rPr>
      </w:pPr>
    </w:p>
    <w:p>
      <w:pPr>
        <w:ind w:right="280"/>
        <w:spacing w:after="0" w:line="231" w:lineRule="auto"/>
        <w:rPr>
          <w:sz w:val="20"/>
          <w:szCs w:val="20"/>
          <w:color w:val="auto"/>
        </w:rPr>
      </w:pPr>
      <w:r>
        <w:rPr>
          <w:rFonts w:ascii="Arial" w:cs="Arial" w:eastAsia="Arial" w:hAnsi="Arial"/>
          <w:sz w:val="18"/>
          <w:szCs w:val="18"/>
          <w:color w:val="auto"/>
        </w:rPr>
        <w:t>We have continued to develop new technologies to provide monitoring of wind blade integrity through our Sensoria™ tool. Sensoria helps provide real-time monitoring and damage detection of wind turbine blades and allows our customers to maximize uptime, performance and safety of wind turbine blades. This tool provides additional growth and expansion of our capabilities to serve both new and existing wind turbines and greatly enhances our product offerings within the renewable energy industry.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COVID-19 coronavirus (COVID-19) pandemic has continued to cause disruption and volatility in domestic and international markets although conditions continue to improve during 2022 as compared to 2021. The Company's businesses have been classified as non-healthcare critical infrastructure as defined by the U.S. Centers for Disease Control and Prevention (CDC). Our facilities, and the Company's customers facilities as well, have remained open with staffing modifications and precautionary procedures taken as necessary.</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Overall, we have taken actions to help ensure the health and safety of our employees and those of our customers and suppliers; maintain business continuity and financial strength and stability; and serve our customers as they provide essential products and services to the world.</w:t>
      </w:r>
    </w:p>
    <w:p>
      <w:pPr>
        <w:spacing w:after="0" w:line="19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COVID-19 pandemic uncertainty, significant volatility in oil prices and decreased traffic in the aerospace industry have adversely affected our workforce and operations, as well as the operations of our customers, suppliers and contractors beginning in 2020. These negative factors continue to cause volatility and uncertainty in the markets in which we operate, although we have nevertheless begun approaching pre-pandemic levels of activity in certain end markets, particularly oil and gas where crude oil prices have exceeded pre-pandemic levels.</w:t>
      </w:r>
    </w:p>
    <w:p>
      <w:pPr>
        <w:spacing w:after="0" w:line="252" w:lineRule="exact"/>
        <w:rPr>
          <w:sz w:val="20"/>
          <w:szCs w:val="20"/>
          <w:color w:val="auto"/>
        </w:rPr>
      </w:pPr>
    </w:p>
    <w:p>
      <w:pPr>
        <w:jc w:val="both"/>
        <w:ind w:right="260"/>
        <w:spacing w:after="0" w:line="248" w:lineRule="auto"/>
        <w:rPr>
          <w:sz w:val="20"/>
          <w:szCs w:val="20"/>
          <w:color w:val="auto"/>
        </w:rPr>
      </w:pPr>
      <w:r>
        <w:rPr>
          <w:rFonts w:ascii="Arial" w:cs="Arial" w:eastAsia="Arial" w:hAnsi="Arial"/>
          <w:sz w:val="18"/>
          <w:szCs w:val="18"/>
          <w:color w:val="auto"/>
        </w:rPr>
        <w:t>The Company has eliminated substantially all of the cost reduction initiatives undertaken in 2020, including re-installment of the savings plan employer match and increasing wages back to pre-pandemic amounts. Our cash position and liquidity remains strong. As of March 31, 2022, the cash balance was approximately $19.9 million.</w:t>
      </w:r>
    </w:p>
    <w:p>
      <w:pPr>
        <w:spacing w:after="0" w:line="20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April 2021, the Biden Administration announced aggressive initiatives to battle climate change, which includes a significant reduction in the use of fossil fuels and a transition to electric vehicles and increased use of alternative energy. Any legislation or regulations that may be adopted to implement these measures may negatively impact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1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currently unable to predict the overall impact that the COVID-19 pandemic uncertainty, volatility in oil prices and climate change initiatives to reduce the use of fossil fuels may have on our business, results of operations, liquidity or in other ways which we cannot yet determine. We will continue to monitor market conditions and respond accordingly. Refer to Item 1A. Risk Factors in Part I of our 2021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prepares its consolidated financial statements in accordance with U.S. GAAP. In this MD&amp;A under the heading "Income (loss) from Operations", the non-GAAP financial performance measure "Income (loss)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months ended March 31, 2022 and 2021 were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7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224"/>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161,662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153,735</w:t>
            </w:r>
          </w:p>
        </w:tc>
      </w:tr>
      <w:tr>
        <w:trPr>
          <w:trHeight w:val="229"/>
        </w:trPr>
        <w:tc>
          <w:tcPr>
            <w:tcW w:w="77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39,892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40,001</w:t>
            </w: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Gross profit as a %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26.0 %</w:t>
            </w:r>
          </w:p>
        </w:tc>
      </w:tr>
      <w:tr>
        <w:trPr>
          <w:trHeight w:val="230"/>
        </w:trPr>
        <w:tc>
          <w:tcPr>
            <w:tcW w:w="77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(4,698)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(4,746)</w:t>
            </w: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Loss from Operations as a %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w:t>
            </w:r>
          </w:p>
        </w:tc>
      </w:tr>
      <w:tr>
        <w:trPr>
          <w:trHeight w:val="229"/>
        </w:trPr>
        <w:tc>
          <w:tcPr>
            <w:tcW w:w="7780" w:type="dxa"/>
            <w:vAlign w:val="bottom"/>
          </w:tcPr>
          <w:p>
            <w:pPr>
              <w:spacing w:after="0"/>
              <w:rPr>
                <w:sz w:val="20"/>
                <w:szCs w:val="20"/>
                <w:color w:val="auto"/>
              </w:rPr>
            </w:pPr>
            <w:r>
              <w:rPr>
                <w:rFonts w:ascii="Arial" w:cs="Arial" w:eastAsia="Arial" w:hAnsi="Arial"/>
                <w:sz w:val="18"/>
                <w:szCs w:val="18"/>
                <w:b w:val="1"/>
                <w:bCs w:val="1"/>
                <w:color w:val="auto"/>
              </w:rPr>
              <w:t>Loss before benefit for income taxes</w:t>
            </w: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(6,636)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(7,959)</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(5,353)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(5,359)</w:t>
            </w:r>
          </w:p>
        </w:tc>
      </w:t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Net Loss attributable to Mistras Group, Inc.</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(5,362)</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 was $161.7 million for the three months ended March 31, 2022, an increase of $7.9 million, or 5.2%, compared with the three months ended March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Revenue by segment for the three months ended March 31, 2022 and 2021 were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12"/>
        </w:trPr>
        <w:tc>
          <w:tcPr>
            <w:tcW w:w="80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124,298</w:t>
            </w: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27,648</w:t>
            </w:r>
          </w:p>
        </w:tc>
      </w:tr>
      <w:tr>
        <w:trPr>
          <w:trHeight w:val="230"/>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r>
      <w:tr>
        <w:trPr>
          <w:trHeight w:val="230"/>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r>
      <w:tr>
        <w:trPr>
          <w:trHeight w:val="248"/>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three months ended March 31, 2022, total revenue increased 5.2% versus the prior year comparable period due predominantly to a single-digit organic increase. Services segment revenue increased 7.0%, driven predominantly by a single-digit organic increase, minimally offset by low single-digit unfavorable impact of foreign exchange rates. International segment revenue increased 1.8%, due predominantly to high single-digit organic growth mostly offset by high single-digit unfavorable impact of foreign exchange rates. Products and Systems segment revenue decreased by 1.7%, due to reduced sales volume as compared to the prior period.</w:t>
      </w:r>
    </w:p>
    <w:p>
      <w:pPr>
        <w:spacing w:after="0" w:line="21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Oil and gas customer revenue comprised approximately 58% and 57% of total revenue for the three months ended March 31, 2022 and 2021, respectively. Aerospace and defense customer revenue comprised approximately 12% and 11% of total revenue for the three months ended March 31, 2022 and 2021, respectively. The Company’s top ten customers comprised approximately 34% of total revenue for the three months ended March 31, 2022, as compared to 35% for the three months ended March 31, 2021, with no customer accounting for 10% or more of total revenue in either three-month period.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6"/>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Oil and Gas Revenue by sub-category</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Upstream</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41,665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33,926</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Midstream</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24,907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22,438</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Downstream</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27,651</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30,848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94,223</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87,212</w:t>
            </w:r>
          </w:p>
        </w:tc>
      </w:tr>
      <w:tr>
        <w:trPr>
          <w:trHeight w:val="21"/>
        </w:trPr>
        <w:tc>
          <w:tcPr>
            <w:tcW w:w="8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Oil and gas upstream customer revenue increased approximately $7.7 million, or 23%, due primarily to market share gains and expanded exploration operations compared to the prior period. Midstream customer revenues increased approximately $2.5 million, or 11%, due to increased pipe inspection services performed as compared to the prior year quarter. Downstream customer revenues decreased $3.2 million or, 10%, primarily due to delays in timing associated with customer turnarounds.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Gross profit decreased by $0.1 million, or 0.3%, in the three months ended March 31, 2022 versus the prior year comparable period, on a increase in revenue of 5.2%.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months ended March 31, 2022 and 2021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212"/>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30,526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31,076</w:t>
            </w:r>
          </w:p>
        </w:tc>
      </w:tr>
      <w:tr>
        <w:trPr>
          <w:trHeight w:val="230"/>
        </w:trPr>
        <w:tc>
          <w:tcPr>
            <w:tcW w:w="780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23.0 %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25.0 %</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8,190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7,625</w:t>
            </w:r>
          </w:p>
        </w:tc>
      </w:tr>
      <w:tr>
        <w:trPr>
          <w:trHeight w:val="230"/>
        </w:trPr>
        <w:tc>
          <w:tcPr>
            <w:tcW w:w="780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29.1 %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27.6 %</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1,281</w:t>
            </w:r>
          </w:p>
        </w:tc>
      </w:tr>
      <w:tr>
        <w:trPr>
          <w:trHeight w:val="230"/>
        </w:trPr>
        <w:tc>
          <w:tcPr>
            <w:tcW w:w="780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39.8 %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42.9 %</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r>
      <w:tr>
        <w:trPr>
          <w:trHeight w:val="223"/>
        </w:trPr>
        <w:tc>
          <w:tcPr>
            <w:tcW w:w="78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39,892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40,001</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 of total revenue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26.0 %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Gross profit margin was 24.7% and 26.0% for the three-month periods ended March 31, 2022 and 2021, respectively. Services segment realized a 2.0% reduction in gross profit margin to 23.0% during the three months ended March 31, 2022. This was primarily due to higher benefit costs in the US and the end of government wage subsidies received in Canada, both as compared to the prior year period. International segment realized a 1.5% increase in gross profit margin to 29.1% during the three months ended March 31, 2022 due primarily to continued recovery and sales within the aerospace end market. Products and Systems segment gross margin had a decrease of 310 basis points to 39.8% during the three months ended March 31, 2022 due to unfavorable sales mix, as compared to gross margin of 42.9% during 2021.</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three months ended March 31, 2022 and 2021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5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3"/>
              </w:rPr>
              <w:t>Three months ended March 31,</w:t>
            </w:r>
          </w:p>
        </w:tc>
        <w:tc>
          <w:tcPr>
            <w:tcW w:w="580" w:type="dxa"/>
            <w:vAlign w:val="bottom"/>
            <w:tcBorders>
              <w:bottom w:val="single" w:sz="8" w:color="auto"/>
            </w:tcBorders>
          </w:tcPr>
          <w:p>
            <w:pPr>
              <w:spacing w:after="0"/>
              <w:rPr>
                <w:sz w:val="16"/>
                <w:szCs w:val="16"/>
                <w:color w:val="auto"/>
              </w:rPr>
            </w:pPr>
          </w:p>
        </w:tc>
      </w:tr>
      <w:tr>
        <w:trPr>
          <w:trHeight w:val="186"/>
        </w:trPr>
        <w:tc>
          <w:tcPr>
            <w:tcW w:w="8040" w:type="dxa"/>
            <w:vAlign w:val="bottom"/>
          </w:tcPr>
          <w:p>
            <w:pPr>
              <w:spacing w:after="0"/>
              <w:rPr>
                <w:sz w:val="16"/>
                <w:szCs w:val="16"/>
                <w:color w:val="auto"/>
              </w:rPr>
            </w:pP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6"/>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42,036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39,639</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Research and engineering</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Operating expenses decreased $0.2 million, or 0.4%, for the three months ended March 31, 2022 compared to the three months ended March 31, 2021. Selling, general and administrative expenses increased $2.4 million during the three months ended March 31, 2022 compared to the three months ended March 31, 2021, due to increased costs and unfavorable foreign exchange impact as compared to the prior period. Depreciation and amortization decreased $0.3 million during the three months ended March 31, 2022 compared to the three months ended March 31, 2021. This was partially offset during the three months ended March 31, 2022 by a $0.8 million insurance recovery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56"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following table shows a reconciliation of the income from operations to income (loss) before special items for each of our three segments, Corporate and Elimination and for the Company in total:</w:t>
      </w: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Income from operations (GAAP)</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3,761</w:t>
            </w:r>
          </w:p>
        </w:tc>
        <w:tc>
          <w:tcPr>
            <w:tcW w:w="12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Income before special items (non-GAAP)</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Income (Loss) from operations (GAAP)</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Income (Loss) from operations before special items (non-GAAP)</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Products and Systems: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Loss from operations (GAAP)</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Loss from operations before special items (non-GAAP)</w:t>
            </w:r>
          </w:p>
        </w:tc>
        <w:tc>
          <w:tcPr>
            <w:tcW w:w="94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c>
          <w:tcPr>
            <w:tcW w:w="940" w:type="dxa"/>
            <w:vAlign w:val="bottom"/>
            <w:tcBorders>
              <w:top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Corporate and Eliminations: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Loss from operations (GAAP)</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(8,161)</w:t>
            </w:r>
          </w:p>
        </w:tc>
        <w:tc>
          <w:tcPr>
            <w:tcW w:w="12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(7,893)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net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 before special items (non-GAAP)</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(8,156)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(8,479)</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Total Company:</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Loss from operations (GAAP)</w:t>
            </w:r>
          </w:p>
        </w:tc>
        <w:tc>
          <w:tcPr>
            <w:tcW w:w="940" w:type="dxa"/>
            <w:vAlign w:val="bottom"/>
            <w:tcBorders>
              <w:bottom w:val="single" w:sz="8" w:color="auto"/>
            </w:tcBorders>
            <w:shd w:val="clear" w:color="auto" w:fill="CCEEFF"/>
          </w:tcPr>
          <w:p>
            <w:pPr>
              <w:jc w:val="right"/>
              <w:ind w:right="753"/>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(4,698)</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2"/>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(4,746)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Reorganization and other costs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114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net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from operations before special items (non-GAAP)</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(5,376)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(3,245)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section </w:t>
      </w:r>
      <w:r>
        <w:rPr>
          <w:rFonts w:ascii="Arial" w:cs="Arial" w:eastAsia="Arial" w:hAnsi="Arial"/>
          <w:sz w:val="18"/>
          <w:szCs w:val="18"/>
          <w:b w:val="1"/>
          <w:bCs w:val="1"/>
          <w:i w:val="1"/>
          <w:iCs w:val="1"/>
          <w:color w:val="auto"/>
        </w:rPr>
        <w:t>Note About Non-GAAP Measures</w:t>
      </w:r>
      <w:r>
        <w:rPr>
          <w:rFonts w:ascii="Arial" w:cs="Arial" w:eastAsia="Arial" w:hAnsi="Arial"/>
          <w:sz w:val="18"/>
          <w:szCs w:val="18"/>
          <w:color w:val="auto"/>
        </w:rPr>
        <w:t xml:space="preserve"> in this report for an explanation of the use of non-GAAP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For the three months ended March 31, 2022, the loss from operations (GAAP) decreased $0.05 million or 1.0%, compared with the three months ended March 31, 2021, while the loss before special items (non-GAAP) decreased $2.1 million, or 65.7%. As a percentage of revenue, the loss before special items decreased by 120 basis points to (3.3)% in the three months ended March 31, 2022 from (2.1)% in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Interest expense was approximately $1.9 million and $3.2 million for the three months ended March 31, 2022 and 2021, respectively. The decrease was a result of a change in the effective interest rate, due to a lower leverage ratio and the elimination of the minimum LIBOR floor.</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 amendment in May 2021 to our Credit Agreement removed the LIBOR floor of 1.0%, which provided that if LIBOR is below 1.0%, the interest rate will be calculated as if LIBOR is 1.0%. Now the actual LIBOR rate is used to calculate interest, even if LIBOR is below 1.0%. This will reduce our interest rate, when LIBOR is below 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was approximately 19.3% and 32.7% for the three months ended March 31, 2022 and 2021, respectively.</w:t>
      </w:r>
    </w:p>
    <w:p>
      <w:pPr>
        <w:spacing w:after="0" w:line="25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The effective income tax rate benefit for the three months ended March 31, 2022 was lower than the statutory rate primarily due to the impact of an unfavorable discrete item related to stock compensation. The effective income tax rate for the three months ended March 31, 2021 was higher than the statutory rate due to the capitalization of certain non-US intercompany balances which resulted in a deductible foreign exchange loss in the US.</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We evaluated the impact of this guidance on our consolidated financial position, results of operations, and cash flows, and it will not have a material impact.</w:t>
      </w:r>
    </w:p>
    <w:p>
      <w:pPr>
        <w:spacing w:after="0" w:line="21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86"/>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(5,399)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(2,737)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(4,176)</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(4,189)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(1,583)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During the three months ended March 31, 2022, cash used in operating activities was $(5.4) million, representing a year-on-year decrease of $8.5 million, or 272%. The decrease was primarily attributable to movements in working capital and an increase in the accounts receivable balance.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three months ended March 31, 2022 and 2021, cash used in investing activities was $2.7 million primarily attributable to a reduction in capital expenditures and no acquisitions in the three months ended March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provided by financing activities was $4.3 million for the three months ended March 31, 2022, compared to net cash provided by financing activities of $0.4 million for the three months ended March 31, 2021. During the three months ended March 31, 2022, net borrowings of debt were approximately $3.4 million higher as compared to 2021 resulting in debt paydown during the period. In addition, $0.1 million more taxes were paid related to net share settlement of share-based awards during the three months ended March 31,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 decrease of $0.4 million in the three months ended March 31, 2022, compared to a decrease of $1.0 million for the three months ended March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2022, we had cash and cash equivalents totaling $19.9 million and $11.2 million of unused commitments under our Credit Agreement with borrowings of $203.1 million and $3.3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31, 2022, we were in compliance with the terms of the Credit Agreement and will continuously monitor our compliance with the covenants contained in the Credit Agreement.</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Quarterly payments on the term loan increased to $3.75 million through March 31, 2022, and then to $5.0 million for each quarterly payment thereafter, with a final balloon payment at maturity.</w:t>
      </w:r>
    </w:p>
    <w:p>
      <w:pPr>
        <w:spacing w:after="0" w:line="19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 xml:space="preserve">The terms of our Credit Agreement (as modified) are described in Note </w:t>
      </w:r>
      <w:r>
        <w:rPr>
          <w:rFonts w:ascii="Arial" w:cs="Arial" w:eastAsia="Arial" w:hAnsi="Arial"/>
          <w:sz w:val="18"/>
          <w:szCs w:val="18"/>
          <w:b w:val="1"/>
          <w:bCs w:val="1"/>
          <w:color w:val="auto"/>
        </w:rPr>
        <w:t>11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xml:space="preserve"> of the Notes to the Unaudited Condensed Consolidated Financial Statements, under the heading "</w:t>
      </w:r>
      <w:r>
        <w:rPr>
          <w:rFonts w:ascii="Arial" w:cs="Arial" w:eastAsia="Arial" w:hAnsi="Arial"/>
          <w:sz w:val="18"/>
          <w:szCs w:val="18"/>
          <w:i w:val="1"/>
          <w:iCs w:val="1"/>
          <w:color w:val="auto"/>
        </w:rPr>
        <w:t>Senior Credit Facility</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contractual obligations and outstanding indebtedness as disclosed in the 2021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During the three months ended March 31, 2022,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2021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significant changes to our quantitative and qualitative disclosures about market risk as discussed in Part II, Item 7A “Quantitative and Qualitative Disclosures About Market Risk,” included in the 2021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March 31, 2022, our disclosure controls and procedures were effective.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See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 xml:space="preserve"> to the Notes to Unaudited Condensed Consolidated Financial Statements included in this Quarterly Report for a description of our legal proceedings. There have been no material developments with regard to any matters disclosed under Part I, Item 3 "Legal Proceedings" in our 2021 Annual Report, except as disclosed in such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w:t>
      </w:r>
    </w:p>
    <w:p>
      <w:pPr>
        <w:spacing w:after="0" w:line="1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discussed under the “Risk Factors” section included in our 2021 Annual Report. Except as described below, there have been no material changes to the risk factors previously disclosed in the 2021 Annual Report.</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620" w:hanging="652"/>
        <w:spacing w:after="0" w:line="500" w:lineRule="auto"/>
        <w:tabs>
          <w:tab w:leader="none" w:pos="267"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i w:val="1"/>
          <w:iCs w:val="1"/>
          <w:color w:val="auto"/>
        </w:rPr>
      </w:pPr>
    </w:p>
    <w:p>
      <w:pPr>
        <w:ind w:left="660" w:right="6800" w:hanging="652"/>
        <w:spacing w:after="0" w:line="498" w:lineRule="auto"/>
        <w:tabs>
          <w:tab w:leader="none" w:pos="267"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tbl>
      <w:tblPr>
        <w:tblLayout w:type="fixed"/>
        <w:tblInd w:w="40" w:type="dxa"/>
        <w:tblCellMar>
          <w:top w:w="0" w:type="dxa"/>
          <w:left w:w="0" w:type="dxa"/>
          <w:bottom w:w="0" w:type="dxa"/>
          <w:right w:w="0" w:type="dxa"/>
        </w:tblCellMar>
      </w:tblPr>
      <w:tr>
        <w:trPr>
          <w:trHeight w:val="144"/>
        </w:trPr>
        <w:tc>
          <w:tcPr>
            <w:tcW w:w="1820" w:type="dxa"/>
            <w:vAlign w:val="bottom"/>
          </w:tcPr>
          <w:p>
            <w:pPr>
              <w:spacing w:after="0"/>
              <w:rPr>
                <w:sz w:val="12"/>
                <w:szCs w:val="12"/>
                <w:color w:val="auto"/>
              </w:rPr>
            </w:pPr>
          </w:p>
        </w:tc>
        <w:tc>
          <w:tcPr>
            <w:tcW w:w="2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 (or</w:t>
            </w:r>
          </w:p>
        </w:tc>
        <w:tc>
          <w:tcPr>
            <w:tcW w:w="240" w:type="dxa"/>
            <w:vAlign w:val="bottom"/>
          </w:tcPr>
          <w:p>
            <w:pPr>
              <w:spacing w:after="0"/>
              <w:rPr>
                <w:sz w:val="12"/>
                <w:szCs w:val="12"/>
                <w:color w:val="auto"/>
              </w:rPr>
            </w:pPr>
          </w:p>
        </w:tc>
        <w:tc>
          <w:tcPr>
            <w:tcW w:w="19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w w:val="98"/>
              </w:rPr>
              <w:t>Average Price Paid per</w:t>
            </w:r>
          </w:p>
        </w:tc>
        <w:tc>
          <w:tcPr>
            <w:tcW w:w="23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Total Number of Shares Purchased</w:t>
            </w:r>
          </w:p>
        </w:tc>
        <w:tc>
          <w:tcPr>
            <w:tcW w:w="220" w:type="dxa"/>
            <w:vAlign w:val="bottom"/>
          </w:tcPr>
          <w:p>
            <w:pPr>
              <w:spacing w:after="0"/>
              <w:rPr>
                <w:sz w:val="12"/>
                <w:szCs w:val="12"/>
                <w:color w:val="auto"/>
              </w:rPr>
            </w:pPr>
          </w:p>
        </w:tc>
        <w:tc>
          <w:tcPr>
            <w:tcW w:w="206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1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 Ending</w:t>
            </w:r>
          </w:p>
        </w:tc>
        <w:tc>
          <w:tcPr>
            <w:tcW w:w="2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2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as Part of Publicly Announced</w:t>
            </w:r>
          </w:p>
        </w:tc>
        <w:tc>
          <w:tcPr>
            <w:tcW w:w="22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88"/>
        </w:trPr>
        <w:tc>
          <w:tcPr>
            <w:tcW w:w="1820" w:type="dxa"/>
            <w:vAlign w:val="bottom"/>
            <w:vMerge w:val="continue"/>
          </w:tcPr>
          <w:p>
            <w:pPr>
              <w:spacing w:after="0"/>
              <w:rPr>
                <w:sz w:val="16"/>
                <w:szCs w:val="16"/>
                <w:color w:val="auto"/>
              </w:rPr>
            </w:pP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Units) Purchased</w:t>
            </w:r>
          </w:p>
        </w:tc>
        <w:tc>
          <w:tcPr>
            <w:tcW w:w="240" w:type="dxa"/>
            <w:vAlign w:val="bottom"/>
          </w:tcPr>
          <w:p>
            <w:pPr>
              <w:spacing w:after="0"/>
              <w:rPr>
                <w:sz w:val="16"/>
                <w:szCs w:val="16"/>
                <w:color w:val="auto"/>
              </w:rPr>
            </w:pPr>
          </w:p>
        </w:tc>
        <w:tc>
          <w:tcPr>
            <w:tcW w:w="1900" w:type="dxa"/>
            <w:vAlign w:val="bottom"/>
          </w:tcPr>
          <w:p>
            <w:pPr>
              <w:jc w:val="right"/>
              <w:ind w:right="537"/>
              <w:spacing w:after="0"/>
              <w:rPr>
                <w:sz w:val="20"/>
                <w:szCs w:val="20"/>
                <w:color w:val="auto"/>
              </w:rPr>
            </w:pPr>
            <w:r>
              <w:rPr>
                <w:rFonts w:ascii="Arial" w:cs="Arial" w:eastAsia="Arial" w:hAnsi="Arial"/>
                <w:sz w:val="14"/>
                <w:szCs w:val="14"/>
                <w:b w:val="1"/>
                <w:bCs w:val="1"/>
                <w:color w:val="auto"/>
              </w:rPr>
              <w:t>Share (or Unit)</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220" w:type="dxa"/>
            <w:vAlign w:val="bottom"/>
          </w:tcPr>
          <w:p>
            <w:pPr>
              <w:spacing w:after="0"/>
              <w:rPr>
                <w:sz w:val="16"/>
                <w:szCs w:val="16"/>
                <w:color w:val="auto"/>
              </w:rPr>
            </w:pPr>
          </w:p>
        </w:tc>
        <w:tc>
          <w:tcPr>
            <w:tcW w:w="206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Under the Plans or Programs</w:t>
            </w:r>
          </w:p>
        </w:tc>
        <w:tc>
          <w:tcPr>
            <w:tcW w:w="0" w:type="dxa"/>
            <w:vAlign w:val="bottom"/>
          </w:tcPr>
          <w:p>
            <w:pPr>
              <w:spacing w:after="0"/>
              <w:rPr>
                <w:sz w:val="1"/>
                <w:szCs w:val="1"/>
                <w:color w:val="auto"/>
              </w:rPr>
            </w:pPr>
          </w:p>
        </w:tc>
      </w:tr>
      <w:tr>
        <w:trPr>
          <w:trHeight w:val="224"/>
        </w:trPr>
        <w:tc>
          <w:tcPr>
            <w:tcW w:w="18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January 31, 2022</w:t>
            </w: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340" w:type="dxa"/>
            <w:vAlign w:val="bottom"/>
            <w:tcBorders>
              <w:top w:val="single" w:sz="8" w:color="auto"/>
            </w:tcBorders>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20" w:type="dxa"/>
            <w:vAlign w:val="bottom"/>
          </w:tcPr>
          <w:p>
            <w:pPr>
              <w:ind w:left="40"/>
              <w:spacing w:after="0"/>
              <w:rPr>
                <w:sz w:val="20"/>
                <w:szCs w:val="20"/>
                <w:color w:val="auto"/>
              </w:rPr>
            </w:pPr>
            <w:r>
              <w:rPr>
                <w:rFonts w:ascii="Arial" w:cs="Arial" w:eastAsia="Arial" w:hAnsi="Arial"/>
                <w:sz w:val="18"/>
                <w:szCs w:val="18"/>
                <w:color w:val="auto"/>
              </w:rPr>
              <w:t>February 28, 2022</w:t>
            </w:r>
          </w:p>
        </w:tc>
        <w:tc>
          <w:tcPr>
            <w:tcW w:w="2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340" w:type="dxa"/>
            <w:vAlign w:val="bottom"/>
          </w:tcPr>
          <w:p>
            <w:pPr>
              <w:ind w:left="20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2022</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6.66</w:t>
            </w:r>
          </w:p>
        </w:tc>
        <w:tc>
          <w:tcPr>
            <w:tcW w:w="234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gridSpan w:val="7"/>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26"/>
        </w:trPr>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gridSpan w:val="4"/>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340" w:type="dxa"/>
            <w:vAlign w:val="bottom"/>
            <w:gridSpan w:val="2"/>
          </w:tcPr>
          <w:p>
            <w:pPr>
              <w:ind w:left="20"/>
              <w:spacing w:after="0" w:line="189" w:lineRule="exact"/>
              <w:rPr>
                <w:rFonts w:ascii="Arial" w:cs="Arial" w:eastAsia="Arial" w:hAnsi="Arial"/>
                <w:sz w:val="18"/>
                <w:szCs w:val="18"/>
                <w:color w:val="0000FF"/>
                <w:w w:val="85"/>
              </w:rPr>
            </w:pPr>
            <w:hyperlink w:anchor="page4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40" w:type="dxa"/>
            <w:vAlign w:val="bottom"/>
            <w:tcBorders>
              <w:bottom w:val="single" w:sz="8" w:color="0000FF"/>
            </w:tcBorders>
            <w:gridSpan w:val="3"/>
          </w:tcPr>
          <w:p>
            <w:pPr>
              <w:spacing w:after="0" w:line="189" w:lineRule="exact"/>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of Chief Executive Officer pursuant to Rule 13a-14(a) under the Securities Exchange Act of 1934.</w:t>
              </w:r>
            </w:hyperlink>
          </w:p>
        </w:tc>
        <w:tc>
          <w:tcPr>
            <w:tcW w:w="1980" w:type="dxa"/>
            <w:vAlign w:val="bottom"/>
          </w:tcPr>
          <w:p>
            <w:pPr>
              <w:spacing w:after="0"/>
              <w:rPr>
                <w:sz w:val="16"/>
                <w:szCs w:val="16"/>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FF"/>
                <w:w w:val="85"/>
              </w:rPr>
            </w:pPr>
            <w:hyperlink w:anchor="page4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Chief Financial Officer pursuant to Rule 13a-14(a) under the Securities Exchange Act of 1934.</w:t>
              </w:r>
            </w:hyperlink>
          </w:p>
        </w:tc>
      </w:tr>
      <w:tr>
        <w:trPr>
          <w:trHeight w:val="479"/>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rFonts w:ascii="Arial" w:cs="Arial" w:eastAsia="Arial" w:hAnsi="Arial"/>
                <w:sz w:val="18"/>
                <w:szCs w:val="18"/>
                <w:color w:val="0000FF"/>
                <w:w w:val="85"/>
              </w:rPr>
            </w:pPr>
            <w:hyperlink w:anchor="page4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tcBorders>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pursuant to Section 906 of the Sarbanes-Oxley Act of 2002.</w:t>
              </w:r>
            </w:hyperlink>
          </w:p>
        </w:tc>
        <w:tc>
          <w:tcPr>
            <w:tcW w:w="2040" w:type="dxa"/>
            <w:vAlign w:val="bottom"/>
            <w:gridSpan w:val="2"/>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Arial" w:cs="Arial" w:eastAsia="Arial" w:hAnsi="Arial"/>
                <w:sz w:val="18"/>
                <w:szCs w:val="18"/>
                <w:color w:val="auto"/>
              </w:rPr>
              <w:t>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Arial" w:cs="Arial" w:eastAsia="Arial" w:hAnsi="Arial"/>
                <w:sz w:val="18"/>
                <w:szCs w:val="18"/>
                <w:color w:val="auto"/>
              </w:rPr>
              <w:t>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Arial" w:cs="Arial" w:eastAsia="Arial" w:hAnsi="Arial"/>
                <w:sz w:val="18"/>
                <w:szCs w:val="18"/>
                <w:color w:val="auto"/>
              </w:rPr>
              <w:t>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Arial" w:cs="Arial" w:eastAsia="Arial" w:hAnsi="Arial"/>
                <w:sz w:val="18"/>
                <w:szCs w:val="18"/>
                <w:color w:val="auto"/>
              </w:rPr>
              <w:t>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630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320" w:top="122" w:right="6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Dennis Bertolotti, certify that:</w:t>
      </w:r>
    </w:p>
    <w:p>
      <w:pPr>
        <w:spacing w:after="0" w:line="9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06, 2022</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575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Dennis Bertolotti</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Edward J. Prajzner, certify that:</w:t>
      </w:r>
    </w:p>
    <w:p>
      <w:pPr>
        <w:spacing w:after="0" w:line="9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06, 2022</w:t>
      </w:r>
    </w:p>
    <w:p>
      <w:pPr>
        <w:spacing w:after="0" w:line="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8404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8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March 31, 2022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Dated: May 06, 2022</w:t>
      </w:r>
    </w:p>
    <w:p>
      <w:pPr>
        <w:spacing w:after="0" w:line="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Dennis Bertolotti</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2022-05-06T14:11:35Z</dcterms:created>
  <dcterms:modified xsi:type="dcterms:W3CDTF">2022-05-06T14:11:35Z</dcterms:modified>
</cp:coreProperties>
</file>