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10072026_081030.xml.htm"/>
      <w:bookmarkStart w:id="1" w:name="ksform4a10072026_0810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Vahaviolos Aspasia Felice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RIDGEVIEW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Mistras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11"/>
        <w:gridCol w:w="446"/>
        <w:gridCol w:w="609"/>
        <w:gridCol w:w="1314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387,093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2,160,790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ordinary course annuity payment made by the 2025 Irrevocable Two-Year Grantor Retained Annuity Trust of Aspasia F. Vahaviolos ("GRAT") to the reporting person pursuant to the terms of the GRAT.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was adjusted retroactively to reflect a reduction of 21,142 shares due to a reconciliation of the amounts previously reported against the reporting person's internal records.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Amended solely to correct a clerical error in the amount previously reported in Column 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Aspasia Vahaviolos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296" TargetMode="External"/><Relationship Id="rId5" Type="http://schemas.openxmlformats.org/officeDocument/2006/relationships/hyperlink" Target="http://www.sec.gov/cgi-bin/browse-edgar?action=getcompany&amp;CIK=0001436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3476</Characters>
  <CharactersWithSpaces>4044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